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D85B" w14:textId="32795DB5" w:rsidR="00F65654" w:rsidRPr="00CC26EA" w:rsidRDefault="00742E7F" w:rsidP="00742E7F">
      <w:pPr>
        <w:pStyle w:val="Pagedecouverture"/>
        <w:rPr>
          <w:noProof/>
          <w:lang w:val="sk-SK"/>
        </w:rPr>
      </w:pPr>
      <w:bookmarkStart w:id="0" w:name="LW_BM_COVERPAGE"/>
      <w:r>
        <w:rPr>
          <w:noProof/>
          <w:lang w:val="sk-SK"/>
        </w:rPr>
        <w:pict w14:anchorId="42553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6AE8645-21B3-4D5E-9F22-45717219B6DC" style="width:455.65pt;height:397.15pt">
            <v:imagedata r:id="rId11" o:title=""/>
          </v:shape>
        </w:pict>
      </w:r>
    </w:p>
    <w:bookmarkEnd w:id="0"/>
    <w:p w14:paraId="65956191" w14:textId="77F85DDD" w:rsidR="00F65654" w:rsidRPr="00CC26EA" w:rsidRDefault="00F65654">
      <w:pPr>
        <w:rPr>
          <w:rFonts w:ascii="Times New Roman" w:hAnsi="Times New Roman"/>
          <w:noProof/>
          <w:spacing w:val="-6"/>
          <w:lang w:val="sk-SK"/>
        </w:rPr>
        <w:sectPr w:rsidR="00F65654" w:rsidRPr="00CC26EA" w:rsidSect="00742E7F">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6DC6F445" w14:textId="583FAE1C" w:rsidR="00F65654" w:rsidRPr="00CC26EA" w:rsidRDefault="0041081E">
      <w:pPr>
        <w:pStyle w:val="P68B1DB1-Normal1"/>
        <w:jc w:val="center"/>
        <w:rPr>
          <w:rFonts w:ascii="Times New Roman" w:hAnsi="Times New Roman"/>
          <w:noProof/>
          <w:spacing w:val="-6"/>
          <w:lang w:val="sk-SK"/>
        </w:rPr>
      </w:pPr>
      <w:r w:rsidRPr="00CC26EA">
        <w:rPr>
          <w:rFonts w:ascii="Times New Roman" w:hAnsi="Times New Roman"/>
          <w:noProof/>
          <w:spacing w:val="-6"/>
          <w:lang w:val="sk-SK"/>
        </w:rPr>
        <w:lastRenderedPageBreak/>
        <w:t>PRÍLOHA</w:t>
      </w:r>
    </w:p>
    <w:p w14:paraId="2ECCDE54" w14:textId="0F7E7DA4" w:rsidR="00F65654" w:rsidRPr="00CC26EA" w:rsidRDefault="0041081E">
      <w:pPr>
        <w:pStyle w:val="P68B1DB1-Normal1"/>
        <w:rPr>
          <w:rFonts w:ascii="Times New Roman" w:hAnsi="Times New Roman"/>
          <w:noProof/>
          <w:spacing w:val="-6"/>
          <w:lang w:val="sk-SK"/>
        </w:rPr>
      </w:pPr>
      <w:r w:rsidRPr="00CC26EA">
        <w:rPr>
          <w:rFonts w:ascii="Times New Roman" w:hAnsi="Times New Roman"/>
          <w:noProof/>
          <w:spacing w:val="-6"/>
          <w:lang w:val="sk-SK"/>
        </w:rPr>
        <w:t>ODDIEL 1: REFORMY A INVESTÍCIE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RÁMCI PLÁNU OBNOVY A ODOLNOSTI</w:t>
      </w:r>
    </w:p>
    <w:p w14:paraId="047A1084" w14:textId="77777777" w:rsidR="00F65654" w:rsidRPr="00CC26EA" w:rsidRDefault="00F65654">
      <w:pPr>
        <w:rPr>
          <w:rFonts w:ascii="Times New Roman" w:hAnsi="Times New Roman"/>
          <w:noProof/>
          <w:spacing w:val="-6"/>
          <w:sz w:val="24"/>
          <w:lang w:val="sk-SK"/>
        </w:rPr>
      </w:pPr>
    </w:p>
    <w:p w14:paraId="4A579D9B" w14:textId="060D22BA" w:rsidR="00CC26EA" w:rsidRPr="00CC26EA" w:rsidRDefault="0041081E">
      <w:pPr>
        <w:pStyle w:val="P68B1DB1-NumPar12"/>
        <w:rPr>
          <w:noProof/>
          <w:spacing w:val="-6"/>
          <w:lang w:val="sk-SK"/>
        </w:rPr>
      </w:pPr>
      <w:r w:rsidRPr="00CC26EA">
        <w:rPr>
          <w:noProof/>
          <w:spacing w:val="-6"/>
          <w:lang w:val="sk-SK"/>
        </w:rPr>
        <w:t>Opis reforiem</w:t>
      </w:r>
      <w:r w:rsidR="00CC26EA" w:rsidRPr="00CC26EA">
        <w:rPr>
          <w:noProof/>
          <w:spacing w:val="-6"/>
          <w:lang w:val="sk-SK"/>
        </w:rPr>
        <w:t xml:space="preserve"> a </w:t>
      </w:r>
      <w:r w:rsidRPr="00CC26EA">
        <w:rPr>
          <w:noProof/>
          <w:spacing w:val="-6"/>
          <w:lang w:val="sk-SK"/>
        </w:rPr>
        <w:t>investícií</w:t>
      </w:r>
    </w:p>
    <w:p w14:paraId="57A205DA" w14:textId="42AB8D46" w:rsidR="00F65654" w:rsidRPr="00CC26EA" w:rsidRDefault="0041081E">
      <w:pPr>
        <w:pStyle w:val="ManualHeading1"/>
        <w:rPr>
          <w:noProof/>
          <w:spacing w:val="-6"/>
          <w:lang w:val="sk-SK"/>
        </w:rPr>
      </w:pPr>
      <w:r w:rsidRPr="00CC26EA">
        <w:rPr>
          <w:noProof/>
          <w:spacing w:val="-6"/>
          <w:lang w:val="sk-SK"/>
        </w:rPr>
        <w:t>A. ZLOŽKA 1: Posilnenie odolnosti systému zdravotnej starostlivosti</w:t>
      </w:r>
    </w:p>
    <w:p w14:paraId="7DC7538F" w14:textId="7B2604D6" w:rsidR="00F65654" w:rsidRPr="00CC26EA" w:rsidRDefault="0041081E">
      <w:pPr>
        <w:pStyle w:val="Text1"/>
        <w:ind w:left="0"/>
        <w:rPr>
          <w:noProof/>
          <w:spacing w:val="-6"/>
          <w:lang w:val="sk-SK"/>
        </w:rPr>
      </w:pPr>
      <w:r w:rsidRPr="00CC26EA">
        <w:rPr>
          <w:noProof/>
          <w:spacing w:val="-6"/>
          <w:lang w:val="sk-SK"/>
        </w:rPr>
        <w:t>Táto zložka dánskeho plánu obnovy</w:t>
      </w:r>
      <w:r w:rsidR="00CC26EA" w:rsidRPr="00CC26EA">
        <w:rPr>
          <w:noProof/>
          <w:spacing w:val="-6"/>
          <w:lang w:val="sk-SK"/>
        </w:rPr>
        <w:t xml:space="preserve"> a </w:t>
      </w:r>
      <w:r w:rsidRPr="00CC26EA">
        <w:rPr>
          <w:noProof/>
          <w:spacing w:val="-6"/>
          <w:lang w:val="sk-SK"/>
        </w:rPr>
        <w:t>odolnosti prispeje</w:t>
      </w:r>
      <w:r w:rsidR="00CC26EA" w:rsidRPr="00CC26EA">
        <w:rPr>
          <w:noProof/>
          <w:spacing w:val="-6"/>
          <w:lang w:val="sk-SK"/>
        </w:rPr>
        <w:t xml:space="preserve"> k </w:t>
      </w:r>
      <w:r w:rsidRPr="00CC26EA">
        <w:rPr>
          <w:noProof/>
          <w:spacing w:val="-6"/>
          <w:lang w:val="sk-SK"/>
        </w:rPr>
        <w:t>tomu, aby bol systém zdravotnej starostlivosti odolnejší</w:t>
      </w:r>
      <w:r w:rsidR="00CC26EA" w:rsidRPr="00CC26EA">
        <w:rPr>
          <w:noProof/>
          <w:spacing w:val="-6"/>
          <w:lang w:val="sk-SK"/>
        </w:rPr>
        <w:t xml:space="preserve"> a </w:t>
      </w:r>
      <w:r w:rsidRPr="00CC26EA">
        <w:rPr>
          <w:noProof/>
          <w:spacing w:val="-6"/>
          <w:lang w:val="sk-SK"/>
        </w:rPr>
        <w:t>lepšie pripravený na neočakávané krízy, ako je pandémia COVID-19. Zložka obsahuje štyri opatrenia týkajúce sa kritických zásob zdravotníckych výrobkov, telemedicíny, výskumu vakcín proti ochoreniu COVID-19</w:t>
      </w:r>
      <w:r w:rsidR="00CC26EA" w:rsidRPr="00CC26EA">
        <w:rPr>
          <w:noProof/>
          <w:spacing w:val="-6"/>
          <w:lang w:val="sk-SK"/>
        </w:rPr>
        <w:t xml:space="preserve"> a </w:t>
      </w:r>
      <w:r w:rsidRPr="00CC26EA">
        <w:rPr>
          <w:noProof/>
          <w:spacing w:val="-6"/>
          <w:lang w:val="sk-SK"/>
        </w:rPr>
        <w:t>riadenia zdravotníckych potrieb. To zahŕňa zabezpečenie strategických skladov liekov, od ktorých sa očakáva zníženie zraniteľnosti dodávateľských reťazcov. Okrem toho sa očakáva, že Dánsko posilní digitalizáciu systému zdravotnej starostlivosti,</w:t>
      </w:r>
      <w:r w:rsidR="00CC26EA" w:rsidRPr="00CC26EA">
        <w:rPr>
          <w:noProof/>
          <w:spacing w:val="-6"/>
          <w:lang w:val="sk-SK"/>
        </w:rPr>
        <w:t xml:space="preserve"> z </w:t>
      </w:r>
      <w:r w:rsidRPr="00CC26EA">
        <w:rPr>
          <w:noProof/>
          <w:spacing w:val="-6"/>
          <w:lang w:val="sk-SK"/>
        </w:rPr>
        <w:t>čoho budú mať prospech najmä ľudia žijúci</w:t>
      </w:r>
      <w:r w:rsidR="00CC26EA" w:rsidRPr="00CC26EA">
        <w:rPr>
          <w:noProof/>
          <w:spacing w:val="-6"/>
          <w:lang w:val="sk-SK"/>
        </w:rPr>
        <w:t xml:space="preserve"> v </w:t>
      </w:r>
      <w:r w:rsidRPr="00CC26EA">
        <w:rPr>
          <w:noProof/>
          <w:spacing w:val="-6"/>
          <w:lang w:val="sk-SK"/>
        </w:rPr>
        <w:t>menej husto osídlených oblastiach.</w:t>
      </w:r>
    </w:p>
    <w:p w14:paraId="5738637A" w14:textId="66895CEE" w:rsidR="00CC26EA" w:rsidRPr="00CC26EA" w:rsidRDefault="0041081E">
      <w:pPr>
        <w:pStyle w:val="Text1"/>
        <w:ind w:left="0"/>
        <w:rPr>
          <w:noProof/>
          <w:spacing w:val="-6"/>
          <w:lang w:val="sk-SK"/>
        </w:rPr>
      </w:pPr>
      <w:r w:rsidRPr="00CC26EA">
        <w:rPr>
          <w:noProof/>
          <w:spacing w:val="-6"/>
          <w:lang w:val="sk-SK"/>
        </w:rPr>
        <w:t>Tieto investície</w:t>
      </w:r>
      <w:r w:rsidR="00CC26EA" w:rsidRPr="00CC26EA">
        <w:rPr>
          <w:noProof/>
          <w:spacing w:val="-6"/>
          <w:lang w:val="sk-SK"/>
        </w:rPr>
        <w:t xml:space="preserve"> a </w:t>
      </w:r>
      <w:r w:rsidRPr="00CC26EA">
        <w:rPr>
          <w:noProof/>
          <w:spacing w:val="-6"/>
          <w:lang w:val="sk-SK"/>
        </w:rPr>
        <w:t>reformy prispejú</w:t>
      </w:r>
      <w:r w:rsidR="00CC26EA" w:rsidRPr="00CC26EA">
        <w:rPr>
          <w:noProof/>
          <w:spacing w:val="-6"/>
          <w:lang w:val="sk-SK"/>
        </w:rPr>
        <w:t xml:space="preserve"> k </w:t>
      </w:r>
      <w:r w:rsidRPr="00CC26EA">
        <w:rPr>
          <w:noProof/>
          <w:spacing w:val="-6"/>
          <w:lang w:val="sk-SK"/>
        </w:rPr>
        <w:t>plneniu odporúčania pre danú krajinu adresovaného Dánsku v</w:t>
      </w:r>
      <w:r w:rsidR="00CC26EA" w:rsidRPr="00CC26EA">
        <w:rPr>
          <w:noProof/>
          <w:spacing w:val="-6"/>
          <w:lang w:val="sk-SK"/>
        </w:rPr>
        <w:t xml:space="preserve"> </w:t>
      </w:r>
      <w:r w:rsidRPr="00CC26EA">
        <w:rPr>
          <w:i/>
          <w:noProof/>
          <w:spacing w:val="-6"/>
          <w:lang w:val="sk-SK"/>
        </w:rPr>
        <w:t>roku 2020, t. j. „Posilniť odolnosť systému zdravotnej starostlivosti,</w:t>
      </w:r>
      <w:r w:rsidR="00CC26EA" w:rsidRPr="00CC26EA">
        <w:rPr>
          <w:i/>
          <w:noProof/>
          <w:spacing w:val="-6"/>
          <w:lang w:val="sk-SK"/>
        </w:rPr>
        <w:t xml:space="preserve"> a </w:t>
      </w:r>
      <w:r w:rsidRPr="00CC26EA">
        <w:rPr>
          <w:i/>
          <w:noProof/>
          <w:spacing w:val="-6"/>
          <w:lang w:val="sk-SK"/>
        </w:rPr>
        <w:t>to aj zabezpečením dostatočného množstva kritických zdravotníckych produktov</w:t>
      </w:r>
      <w:r w:rsidR="00CC26EA" w:rsidRPr="00CC26EA">
        <w:rPr>
          <w:i/>
          <w:noProof/>
          <w:spacing w:val="-6"/>
          <w:lang w:val="sk-SK"/>
        </w:rPr>
        <w:t xml:space="preserve"> a </w:t>
      </w:r>
      <w:r w:rsidRPr="00CC26EA">
        <w:rPr>
          <w:i/>
          <w:noProof/>
          <w:spacing w:val="-6"/>
          <w:lang w:val="sk-SK"/>
        </w:rPr>
        <w:t>riešením nedostatku zdravotníckych pracovníkov</w:t>
      </w:r>
      <w:r w:rsidRPr="00CC26EA">
        <w:rPr>
          <w:noProof/>
          <w:spacing w:val="-6"/>
          <w:lang w:val="sk-SK"/>
        </w:rPr>
        <w:t>“ (odporúčanie 1.2, 2020)</w:t>
      </w:r>
      <w:r w:rsidR="00CC26EA" w:rsidRPr="00CC26EA">
        <w:rPr>
          <w:noProof/>
          <w:spacing w:val="-6"/>
          <w:lang w:val="sk-SK"/>
        </w:rPr>
        <w:t>.</w:t>
      </w:r>
    </w:p>
    <w:p w14:paraId="687F189F" w14:textId="022B6E70" w:rsidR="00F65654" w:rsidRPr="00CC26EA" w:rsidRDefault="00F65654">
      <w:pPr>
        <w:pStyle w:val="Text1"/>
        <w:ind w:left="0"/>
        <w:rPr>
          <w:b/>
          <w:noProof/>
          <w:spacing w:val="-6"/>
          <w:u w:val="single"/>
          <w:lang w:val="sk-SK"/>
        </w:rPr>
      </w:pPr>
    </w:p>
    <w:p w14:paraId="6EE07AF4" w14:textId="31EF43ED" w:rsidR="00F65654" w:rsidRPr="00CC26EA" w:rsidRDefault="0041081E">
      <w:pPr>
        <w:pStyle w:val="Text1"/>
        <w:ind w:left="0"/>
        <w:rPr>
          <w:b/>
          <w:i/>
          <w:noProof/>
          <w:color w:val="4F81BD"/>
          <w:spacing w:val="-6"/>
          <w:lang w:val="sk-SK"/>
        </w:rPr>
      </w:pPr>
      <w:r w:rsidRPr="00CC26EA">
        <w:rPr>
          <w:b/>
          <w:noProof/>
          <w:spacing w:val="-6"/>
          <w:u w:val="single"/>
          <w:lang w:val="sk-SK"/>
        </w:rPr>
        <w:t xml:space="preserve">A.1. </w:t>
      </w:r>
      <w:r w:rsidRPr="00CC26EA">
        <w:rPr>
          <w:noProof/>
          <w:spacing w:val="-6"/>
          <w:lang w:val="sk-SK"/>
        </w:rPr>
        <w:tab/>
      </w:r>
      <w:r w:rsidRPr="00CC26EA">
        <w:rPr>
          <w:b/>
          <w:noProof/>
          <w:spacing w:val="-6"/>
          <w:u w:val="single"/>
          <w:lang w:val="sk-SK"/>
        </w:rPr>
        <w:t>Opis reforiem</w:t>
      </w:r>
      <w:r w:rsidR="00CC26EA" w:rsidRPr="00CC26EA">
        <w:rPr>
          <w:b/>
          <w:noProof/>
          <w:spacing w:val="-6"/>
          <w:u w:val="single"/>
          <w:lang w:val="sk-SK"/>
        </w:rPr>
        <w:t xml:space="preserve"> a </w:t>
      </w:r>
      <w:r w:rsidRPr="00CC26EA">
        <w:rPr>
          <w:b/>
          <w:noProof/>
          <w:spacing w:val="-6"/>
          <w:u w:val="single"/>
          <w:lang w:val="sk-SK"/>
        </w:rPr>
        <w:t>investícií</w:t>
      </w:r>
      <w:r w:rsidR="00CC26EA" w:rsidRPr="00CC26EA">
        <w:rPr>
          <w:b/>
          <w:noProof/>
          <w:spacing w:val="-6"/>
          <w:u w:val="single"/>
          <w:lang w:val="sk-SK"/>
        </w:rPr>
        <w:t xml:space="preserve"> v </w:t>
      </w:r>
      <w:r w:rsidRPr="00CC26EA">
        <w:rPr>
          <w:b/>
          <w:noProof/>
          <w:spacing w:val="-6"/>
          <w:u w:val="single"/>
          <w:lang w:val="sk-SK"/>
        </w:rPr>
        <w:t>rámci nenávratnej finančnej podpory</w:t>
      </w:r>
    </w:p>
    <w:p w14:paraId="34D9D1C3" w14:textId="2397AA0F" w:rsidR="00F65654" w:rsidRPr="00CC26EA" w:rsidRDefault="0041081E">
      <w:pPr>
        <w:pStyle w:val="P68B1DB1-Text13"/>
        <w:ind w:left="0"/>
        <w:rPr>
          <w:noProof/>
          <w:spacing w:val="-6"/>
          <w:lang w:val="sk-SK"/>
        </w:rPr>
      </w:pPr>
      <w:r w:rsidRPr="00CC26EA">
        <w:rPr>
          <w:noProof/>
          <w:spacing w:val="-6"/>
          <w:lang w:val="sk-SK"/>
        </w:rPr>
        <w:t>Investícia 1: Klinická štúdia</w:t>
      </w:r>
      <w:r w:rsidR="00CC26EA" w:rsidRPr="00CC26EA">
        <w:rPr>
          <w:noProof/>
          <w:spacing w:val="-6"/>
          <w:lang w:val="sk-SK"/>
        </w:rPr>
        <w:t xml:space="preserve"> o </w:t>
      </w:r>
      <w:r w:rsidRPr="00CC26EA">
        <w:rPr>
          <w:noProof/>
          <w:spacing w:val="-6"/>
          <w:lang w:val="sk-SK"/>
        </w:rPr>
        <w:t>účinku vakcín proti ochoreniu COVID-19</w:t>
      </w:r>
    </w:p>
    <w:p w14:paraId="2350E7B4" w14:textId="71624788" w:rsidR="00F65654" w:rsidRPr="00CC26EA" w:rsidRDefault="0041081E">
      <w:pPr>
        <w:pStyle w:val="Text1"/>
        <w:ind w:left="0"/>
        <w:rPr>
          <w:i/>
          <w:noProof/>
          <w:spacing w:val="-6"/>
          <w:lang w:val="sk-SK"/>
        </w:rPr>
      </w:pPr>
      <w:r w:rsidRPr="00CC26EA">
        <w:rPr>
          <w:noProof/>
          <w:spacing w:val="-6"/>
          <w:lang w:val="sk-SK"/>
        </w:rPr>
        <w:t>Dánsko investuje do rozsiahlej štúdie klinickej kohorty rôznych vakcín proti ochoreniu COVID-19</w:t>
      </w:r>
      <w:r w:rsidR="00CC26EA" w:rsidRPr="00CC26EA">
        <w:rPr>
          <w:noProof/>
          <w:spacing w:val="-6"/>
          <w:lang w:val="sk-SK"/>
        </w:rPr>
        <w:t xml:space="preserve"> s </w:t>
      </w:r>
      <w:r w:rsidRPr="00CC26EA">
        <w:rPr>
          <w:noProof/>
          <w:spacing w:val="-6"/>
          <w:lang w:val="sk-SK"/>
        </w:rPr>
        <w:t>cieľom zvýšiť poznatky</w:t>
      </w:r>
      <w:r w:rsidR="00CC26EA" w:rsidRPr="00CC26EA">
        <w:rPr>
          <w:noProof/>
          <w:spacing w:val="-6"/>
          <w:lang w:val="sk-SK"/>
        </w:rPr>
        <w:t xml:space="preserve"> o </w:t>
      </w:r>
      <w:r w:rsidRPr="00CC26EA">
        <w:rPr>
          <w:noProof/>
          <w:spacing w:val="-6"/>
          <w:lang w:val="sk-SK"/>
        </w:rPr>
        <w:t>účinkoch</w:t>
      </w:r>
      <w:r w:rsidR="00CC26EA" w:rsidRPr="00CC26EA">
        <w:rPr>
          <w:noProof/>
          <w:spacing w:val="-6"/>
          <w:lang w:val="sk-SK"/>
        </w:rPr>
        <w:t xml:space="preserve"> a </w:t>
      </w:r>
      <w:r w:rsidRPr="00CC26EA">
        <w:rPr>
          <w:noProof/>
          <w:spacing w:val="-6"/>
          <w:lang w:val="sk-SK"/>
        </w:rPr>
        <w:t>vedľajších účinkoch vakcín. Cieľom tohto opatrenia je merať dlhodobé účinky týkajúce sa imunity</w:t>
      </w:r>
      <w:r w:rsidR="00CC26EA" w:rsidRPr="00CC26EA">
        <w:rPr>
          <w:noProof/>
          <w:spacing w:val="-6"/>
          <w:lang w:val="sk-SK"/>
        </w:rPr>
        <w:t xml:space="preserve"> a </w:t>
      </w:r>
      <w:r w:rsidRPr="00CC26EA">
        <w:rPr>
          <w:noProof/>
          <w:spacing w:val="-6"/>
          <w:lang w:val="sk-SK"/>
        </w:rPr>
        <w:t>vedľajších účinkov vakcín. Tieto informácie možno použiť na zlepšenie programu očkovania proti ochoreniu COVID-19.</w:t>
      </w:r>
    </w:p>
    <w:p w14:paraId="71D5B144" w14:textId="77777777" w:rsidR="00F65654" w:rsidRPr="00CC26EA" w:rsidRDefault="0041081E">
      <w:pPr>
        <w:pStyle w:val="Text1"/>
        <w:ind w:left="0"/>
        <w:rPr>
          <w:noProof/>
          <w:spacing w:val="-6"/>
          <w:u w:val="single"/>
          <w:lang w:val="sk-SK"/>
        </w:rPr>
      </w:pPr>
      <w:r w:rsidRPr="00CC26EA">
        <w:rPr>
          <w:noProof/>
          <w:spacing w:val="-6"/>
          <w:u w:val="single"/>
          <w:lang w:val="sk-SK"/>
        </w:rPr>
        <w:t>Investícia 2: Opatrenia</w:t>
      </w:r>
      <w:r w:rsidRPr="00CC26EA">
        <w:rPr>
          <w:noProof/>
          <w:spacing w:val="-6"/>
          <w:lang w:val="sk-SK"/>
        </w:rPr>
        <w:t xml:space="preserve"> </w:t>
      </w:r>
      <w:r w:rsidRPr="00CC26EA">
        <w:rPr>
          <w:noProof/>
          <w:spacing w:val="-6"/>
          <w:u w:val="single"/>
          <w:lang w:val="sk-SK"/>
        </w:rPr>
        <w:t>na zabezpečenie zásob kritických drog</w:t>
      </w:r>
    </w:p>
    <w:p w14:paraId="0EDC3649" w14:textId="369F5DF6" w:rsidR="00CC26EA" w:rsidRPr="00CC26EA" w:rsidRDefault="0041081E">
      <w:pPr>
        <w:pStyle w:val="Text1"/>
        <w:ind w:left="0"/>
        <w:rPr>
          <w:noProof/>
          <w:spacing w:val="-6"/>
          <w:lang w:val="sk-SK"/>
        </w:rPr>
      </w:pPr>
      <w:r w:rsidRPr="00CC26EA">
        <w:rPr>
          <w:noProof/>
          <w:spacing w:val="-6"/>
          <w:lang w:val="sk-SK"/>
        </w:rPr>
        <w:t>S cieľom zabrániť kritickým situáciám</w:t>
      </w:r>
      <w:r w:rsidR="00CC26EA" w:rsidRPr="00CC26EA">
        <w:rPr>
          <w:noProof/>
          <w:spacing w:val="-6"/>
          <w:lang w:val="sk-SK"/>
        </w:rPr>
        <w:t xml:space="preserve"> s </w:t>
      </w:r>
      <w:r w:rsidRPr="00CC26EA">
        <w:rPr>
          <w:noProof/>
          <w:spacing w:val="-6"/>
          <w:lang w:val="sk-SK"/>
        </w:rPr>
        <w:t>nedostatkom dôležitých drog Dánsko zriadilo</w:t>
      </w:r>
      <w:r w:rsidR="00CC26EA" w:rsidRPr="00CC26EA">
        <w:rPr>
          <w:noProof/>
          <w:spacing w:val="-6"/>
          <w:lang w:val="sk-SK"/>
        </w:rPr>
        <w:t xml:space="preserve"> a </w:t>
      </w:r>
      <w:r w:rsidRPr="00CC26EA">
        <w:rPr>
          <w:noProof/>
          <w:spacing w:val="-6"/>
          <w:lang w:val="sk-SK"/>
        </w:rPr>
        <w:t>teraz rozšíri podporu infraštruktúry</w:t>
      </w:r>
      <w:r w:rsidR="00CC26EA" w:rsidRPr="00CC26EA">
        <w:rPr>
          <w:noProof/>
          <w:spacing w:val="-6"/>
          <w:lang w:val="sk-SK"/>
        </w:rPr>
        <w:t xml:space="preserve"> a </w:t>
      </w:r>
      <w:r w:rsidRPr="00CC26EA">
        <w:rPr>
          <w:noProof/>
          <w:spacing w:val="-6"/>
          <w:lang w:val="sk-SK"/>
        </w:rPr>
        <w:t>logistiky</w:t>
      </w:r>
      <w:r w:rsidR="00CC26EA" w:rsidRPr="00CC26EA">
        <w:rPr>
          <w:noProof/>
          <w:spacing w:val="-6"/>
          <w:lang w:val="sk-SK"/>
        </w:rPr>
        <w:t xml:space="preserve"> s </w:t>
      </w:r>
      <w:r w:rsidRPr="00CC26EA">
        <w:rPr>
          <w:noProof/>
          <w:spacing w:val="-6"/>
          <w:lang w:val="sk-SK"/>
        </w:rPr>
        <w:t>cieľom udržiavať</w:t>
      </w:r>
      <w:r w:rsidR="00CC26EA" w:rsidRPr="00CC26EA">
        <w:rPr>
          <w:noProof/>
          <w:spacing w:val="-6"/>
          <w:lang w:val="sk-SK"/>
        </w:rPr>
        <w:t xml:space="preserve"> a </w:t>
      </w:r>
      <w:r w:rsidRPr="00CC26EA">
        <w:rPr>
          <w:noProof/>
          <w:spacing w:val="-6"/>
          <w:lang w:val="sk-SK"/>
        </w:rPr>
        <w:t>zabezpečovať strategické zásoby kritických drog</w:t>
      </w:r>
      <w:r w:rsidR="00CC26EA" w:rsidRPr="00CC26EA">
        <w:rPr>
          <w:noProof/>
          <w:spacing w:val="-6"/>
          <w:lang w:val="sk-SK"/>
        </w:rPr>
        <w:t xml:space="preserve"> v </w:t>
      </w:r>
      <w:r w:rsidRPr="00CC26EA">
        <w:rPr>
          <w:noProof/>
          <w:spacing w:val="-6"/>
          <w:lang w:val="sk-SK"/>
        </w:rPr>
        <w:t>sektore sekundárneho zdravotníctva. Zoznam kritických liekov bol vypracovaný na základe informácií od klinických farmakoológov</w:t>
      </w:r>
      <w:r w:rsidR="00CC26EA" w:rsidRPr="00CC26EA">
        <w:rPr>
          <w:noProof/>
          <w:spacing w:val="-6"/>
          <w:lang w:val="sk-SK"/>
        </w:rPr>
        <w:t xml:space="preserve"> v </w:t>
      </w:r>
      <w:r w:rsidRPr="00CC26EA">
        <w:rPr>
          <w:noProof/>
          <w:spacing w:val="-6"/>
          <w:lang w:val="sk-SK"/>
        </w:rPr>
        <w:t>regiónoch</w:t>
      </w:r>
      <w:r w:rsidR="00CC26EA" w:rsidRPr="00CC26EA">
        <w:rPr>
          <w:noProof/>
          <w:spacing w:val="-6"/>
          <w:lang w:val="sk-SK"/>
        </w:rPr>
        <w:t>.</w:t>
      </w:r>
    </w:p>
    <w:p w14:paraId="1387E931" w14:textId="4EA2241B" w:rsidR="00F65654" w:rsidRPr="00CC26EA" w:rsidRDefault="0041081E">
      <w:pPr>
        <w:pStyle w:val="P68B1DB1-Text13"/>
        <w:ind w:left="0"/>
        <w:rPr>
          <w:noProof/>
          <w:spacing w:val="-6"/>
          <w:lang w:val="sk-SK"/>
        </w:rPr>
      </w:pPr>
      <w:r w:rsidRPr="00CC26EA">
        <w:rPr>
          <w:noProof/>
          <w:spacing w:val="-6"/>
          <w:lang w:val="sk-SK"/>
        </w:rPr>
        <w:t>Investícia 3: Digitálne riešenia</w:t>
      </w:r>
      <w:r w:rsidR="00CC26EA" w:rsidRPr="00CC26EA">
        <w:rPr>
          <w:noProof/>
          <w:spacing w:val="-6"/>
          <w:lang w:val="sk-SK"/>
        </w:rPr>
        <w:t xml:space="preserve"> v </w:t>
      </w:r>
      <w:r w:rsidRPr="00CC26EA">
        <w:rPr>
          <w:noProof/>
          <w:spacing w:val="-6"/>
          <w:lang w:val="sk-SK"/>
        </w:rPr>
        <w:t>sektore zdravotnej starostlivosti</w:t>
      </w:r>
    </w:p>
    <w:p w14:paraId="00E4811A" w14:textId="61AD4F2A" w:rsidR="00CC26EA" w:rsidRPr="00CC26EA" w:rsidRDefault="0041081E">
      <w:pPr>
        <w:pStyle w:val="Text1"/>
        <w:ind w:left="0"/>
        <w:rPr>
          <w:noProof/>
          <w:spacing w:val="-6"/>
          <w:lang w:val="sk-SK"/>
        </w:rPr>
      </w:pPr>
      <w:r w:rsidRPr="00CC26EA">
        <w:rPr>
          <w:noProof/>
          <w:spacing w:val="-6"/>
          <w:lang w:val="sk-SK"/>
        </w:rPr>
        <w:t>Počas pandémie COVID-19 sa využili nové digitálne riešenia, aby sa občania</w:t>
      </w:r>
      <w:r w:rsidR="00CC26EA" w:rsidRPr="00CC26EA">
        <w:rPr>
          <w:noProof/>
          <w:spacing w:val="-6"/>
          <w:lang w:val="sk-SK"/>
        </w:rPr>
        <w:t xml:space="preserve"> a </w:t>
      </w:r>
      <w:r w:rsidRPr="00CC26EA">
        <w:rPr>
          <w:noProof/>
          <w:spacing w:val="-6"/>
          <w:lang w:val="sk-SK"/>
        </w:rPr>
        <w:t>systém zdravotnej starostlivosti prepojili. Ministerstvo zdravotníctva vyvinie</w:t>
      </w:r>
      <w:r w:rsidR="00CC26EA" w:rsidRPr="00CC26EA">
        <w:rPr>
          <w:noProof/>
          <w:spacing w:val="-6"/>
          <w:lang w:val="sk-SK"/>
        </w:rPr>
        <w:t xml:space="preserve"> a </w:t>
      </w:r>
      <w:r w:rsidRPr="00CC26EA">
        <w:rPr>
          <w:noProof/>
          <w:spacing w:val="-6"/>
          <w:lang w:val="sk-SK"/>
        </w:rPr>
        <w:t>zintenzívni využívanie týchto nových digitálnych riešení, ako sú 1) rozsiahle využívanie digitálnych riešení, 2) videokonzultácie, 3) zapojenie pacientov</w:t>
      </w:r>
      <w:r w:rsidR="00CC26EA" w:rsidRPr="00CC26EA">
        <w:rPr>
          <w:noProof/>
          <w:spacing w:val="-6"/>
          <w:lang w:val="sk-SK"/>
        </w:rPr>
        <w:t xml:space="preserve"> a </w:t>
      </w:r>
      <w:r w:rsidRPr="00CC26EA">
        <w:rPr>
          <w:noProof/>
          <w:spacing w:val="-6"/>
          <w:lang w:val="sk-SK"/>
        </w:rPr>
        <w:t>rozsiahle využívanie telemedicíny</w:t>
      </w:r>
      <w:r w:rsidR="00CC26EA" w:rsidRPr="00CC26EA">
        <w:rPr>
          <w:noProof/>
          <w:spacing w:val="-6"/>
          <w:lang w:val="sk-SK"/>
        </w:rPr>
        <w:t>.</w:t>
      </w:r>
    </w:p>
    <w:p w14:paraId="6FD338EB" w14:textId="5EAF5FD4" w:rsidR="00F65654" w:rsidRPr="00CC26EA" w:rsidRDefault="0041081E">
      <w:pPr>
        <w:pStyle w:val="P68B1DB1-Text13"/>
        <w:ind w:left="0"/>
        <w:rPr>
          <w:noProof/>
          <w:spacing w:val="-6"/>
          <w:lang w:val="sk-SK"/>
        </w:rPr>
      </w:pPr>
      <w:r w:rsidRPr="00CC26EA">
        <w:rPr>
          <w:noProof/>
          <w:spacing w:val="-6"/>
          <w:lang w:val="sk-SK"/>
        </w:rPr>
        <w:t>Investícia 4: Riadenie núdzových situácií</w:t>
      </w:r>
      <w:r w:rsidR="00CC26EA" w:rsidRPr="00CC26EA">
        <w:rPr>
          <w:noProof/>
          <w:spacing w:val="-6"/>
          <w:lang w:val="sk-SK"/>
        </w:rPr>
        <w:t xml:space="preserve"> a </w:t>
      </w:r>
      <w:r w:rsidRPr="00CC26EA">
        <w:rPr>
          <w:noProof/>
          <w:spacing w:val="-6"/>
          <w:lang w:val="sk-SK"/>
        </w:rPr>
        <w:t>monitorovanie kritických zdravotníckych produktov</w:t>
      </w:r>
    </w:p>
    <w:p w14:paraId="0BE9765C" w14:textId="06133DE9" w:rsidR="00CC26EA" w:rsidRPr="00CC26EA" w:rsidRDefault="0041081E">
      <w:pPr>
        <w:pStyle w:val="Text1"/>
        <w:ind w:left="0"/>
        <w:rPr>
          <w:noProof/>
          <w:spacing w:val="-6"/>
          <w:lang w:val="sk-SK"/>
        </w:rPr>
      </w:pPr>
      <w:r w:rsidRPr="00CC26EA">
        <w:rPr>
          <w:noProof/>
          <w:spacing w:val="-6"/>
          <w:lang w:val="sk-SK"/>
        </w:rPr>
        <w:t>V dôsledku ochorenia COVID-19 sa zaviedla kľúčová potreba akútneho plánovania</w:t>
      </w:r>
      <w:r w:rsidR="00CC26EA" w:rsidRPr="00CC26EA">
        <w:rPr>
          <w:noProof/>
          <w:spacing w:val="-6"/>
          <w:lang w:val="sk-SK"/>
        </w:rPr>
        <w:t xml:space="preserve"> a </w:t>
      </w:r>
      <w:r w:rsidRPr="00CC26EA">
        <w:rPr>
          <w:noProof/>
          <w:spacing w:val="-6"/>
          <w:lang w:val="sk-SK"/>
        </w:rPr>
        <w:t>monitorovania, pokiaľ ide</w:t>
      </w:r>
      <w:r w:rsidR="00CC26EA" w:rsidRPr="00CC26EA">
        <w:rPr>
          <w:noProof/>
          <w:spacing w:val="-6"/>
          <w:lang w:val="sk-SK"/>
        </w:rPr>
        <w:t xml:space="preserve"> o </w:t>
      </w:r>
      <w:r w:rsidRPr="00CC26EA">
        <w:rPr>
          <w:noProof/>
          <w:spacing w:val="-6"/>
          <w:lang w:val="sk-SK"/>
        </w:rPr>
        <w:t>problémy</w:t>
      </w:r>
      <w:r w:rsidR="00CC26EA" w:rsidRPr="00CC26EA">
        <w:rPr>
          <w:noProof/>
          <w:spacing w:val="-6"/>
          <w:lang w:val="sk-SK"/>
        </w:rPr>
        <w:t xml:space="preserve"> s </w:t>
      </w:r>
      <w:r w:rsidRPr="00CC26EA">
        <w:rPr>
          <w:noProof/>
          <w:spacing w:val="-6"/>
          <w:lang w:val="sk-SK"/>
        </w:rPr>
        <w:t>nedostatkom</w:t>
      </w:r>
      <w:r w:rsidR="00CC26EA" w:rsidRPr="00CC26EA">
        <w:rPr>
          <w:noProof/>
          <w:spacing w:val="-6"/>
          <w:lang w:val="sk-SK"/>
        </w:rPr>
        <w:t xml:space="preserve"> a </w:t>
      </w:r>
      <w:r w:rsidRPr="00CC26EA">
        <w:rPr>
          <w:noProof/>
          <w:spacing w:val="-6"/>
          <w:lang w:val="sk-SK"/>
        </w:rPr>
        <w:t>dodávkami</w:t>
      </w:r>
      <w:r w:rsidR="00CC26EA" w:rsidRPr="00CC26EA">
        <w:rPr>
          <w:noProof/>
          <w:spacing w:val="-6"/>
          <w:lang w:val="sk-SK"/>
        </w:rPr>
        <w:t xml:space="preserve"> a </w:t>
      </w:r>
      <w:r w:rsidRPr="00CC26EA">
        <w:rPr>
          <w:noProof/>
          <w:spacing w:val="-6"/>
          <w:lang w:val="sk-SK"/>
        </w:rPr>
        <w:t>potenciálne vedľajšie účinky vakcín proti ochoreniu COVID-19. Cieľom tohto opatrenia je zlepšiť infraštruktúru na monitorovanie nedostatkov</w:t>
      </w:r>
      <w:r w:rsidR="00CC26EA" w:rsidRPr="00CC26EA">
        <w:rPr>
          <w:noProof/>
          <w:spacing w:val="-6"/>
          <w:lang w:val="sk-SK"/>
        </w:rPr>
        <w:t xml:space="preserve"> a </w:t>
      </w:r>
      <w:r w:rsidRPr="00CC26EA">
        <w:rPr>
          <w:noProof/>
          <w:spacing w:val="-6"/>
          <w:lang w:val="sk-SK"/>
        </w:rPr>
        <w:t>problémov</w:t>
      </w:r>
      <w:r w:rsidR="00CC26EA" w:rsidRPr="00CC26EA">
        <w:rPr>
          <w:noProof/>
          <w:spacing w:val="-6"/>
          <w:lang w:val="sk-SK"/>
        </w:rPr>
        <w:t xml:space="preserve"> s </w:t>
      </w:r>
      <w:r w:rsidRPr="00CC26EA">
        <w:rPr>
          <w:noProof/>
          <w:spacing w:val="-6"/>
          <w:lang w:val="sk-SK"/>
        </w:rPr>
        <w:t>dodávkami</w:t>
      </w:r>
      <w:r w:rsidR="00CC26EA" w:rsidRPr="00CC26EA">
        <w:rPr>
          <w:noProof/>
          <w:spacing w:val="-6"/>
          <w:lang w:val="sk-SK"/>
        </w:rPr>
        <w:t xml:space="preserve"> a </w:t>
      </w:r>
      <w:r w:rsidRPr="00CC26EA">
        <w:rPr>
          <w:noProof/>
          <w:spacing w:val="-6"/>
          <w:lang w:val="sk-SK"/>
        </w:rPr>
        <w:t>na monitorovanie potenciálnych vedľajších účinkov vakcín proti ochoreniu COVID-19</w:t>
      </w:r>
      <w:r w:rsidR="00CC26EA" w:rsidRPr="00CC26EA">
        <w:rPr>
          <w:noProof/>
          <w:spacing w:val="-6"/>
          <w:lang w:val="sk-SK"/>
        </w:rPr>
        <w:t xml:space="preserve"> a </w:t>
      </w:r>
      <w:r w:rsidRPr="00CC26EA">
        <w:rPr>
          <w:noProof/>
          <w:spacing w:val="-6"/>
          <w:lang w:val="sk-SK"/>
        </w:rPr>
        <w:t>na ich riešenie, ako aj posilniť celkové núdzové plánovanie</w:t>
      </w:r>
      <w:r w:rsidR="00CC26EA" w:rsidRPr="00CC26EA">
        <w:rPr>
          <w:noProof/>
          <w:spacing w:val="-6"/>
          <w:lang w:val="sk-SK"/>
        </w:rPr>
        <w:t>.</w:t>
      </w:r>
    </w:p>
    <w:p w14:paraId="268488CF" w14:textId="59397279" w:rsidR="00F65654" w:rsidRPr="00CC26EA" w:rsidRDefault="00F65654">
      <w:pPr>
        <w:pStyle w:val="Text1"/>
        <w:ind w:left="0"/>
        <w:rPr>
          <w:i/>
          <w:noProof/>
          <w:spacing w:val="-6"/>
          <w:lang w:val="sk-SK"/>
        </w:rPr>
      </w:pPr>
    </w:p>
    <w:p w14:paraId="45812432" w14:textId="6DC6635A" w:rsidR="00F65654" w:rsidRPr="00CC26EA" w:rsidRDefault="0041081E">
      <w:pPr>
        <w:pStyle w:val="Text1"/>
        <w:ind w:left="0"/>
        <w:rPr>
          <w:noProof/>
          <w:spacing w:val="-6"/>
          <w:lang w:val="sk-SK"/>
        </w:rPr>
      </w:pPr>
      <w:r w:rsidRPr="00CC26EA">
        <w:rPr>
          <w:b/>
          <w:noProof/>
          <w:spacing w:val="-6"/>
          <w:u w:val="single"/>
          <w:lang w:val="sk-SK"/>
        </w:rPr>
        <w:t xml:space="preserve">A.2. </w:t>
      </w:r>
      <w:r w:rsidRPr="00CC26EA">
        <w:rPr>
          <w:noProof/>
          <w:spacing w:val="-6"/>
          <w:lang w:val="sk-SK"/>
        </w:rPr>
        <w:tab/>
      </w:r>
      <w:r w:rsidRPr="00CC26EA">
        <w:rPr>
          <w:b/>
          <w:noProof/>
          <w:spacing w:val="-6"/>
          <w:u w:val="single"/>
          <w:lang w:val="sk-SK"/>
        </w:rPr>
        <w:t>Míľniky, ciele, ukazovatele</w:t>
      </w:r>
      <w:r w:rsidR="00CC26EA" w:rsidRPr="00CC26EA">
        <w:rPr>
          <w:b/>
          <w:noProof/>
          <w:spacing w:val="-6"/>
          <w:u w:val="single"/>
          <w:lang w:val="sk-SK"/>
        </w:rPr>
        <w:t xml:space="preserve"> a </w:t>
      </w:r>
      <w:r w:rsidRPr="00CC26EA">
        <w:rPr>
          <w:b/>
          <w:noProof/>
          <w:spacing w:val="-6"/>
          <w:u w:val="single"/>
          <w:lang w:val="sk-SK"/>
        </w:rPr>
        <w:t>harmonogram monitorovania</w:t>
      </w:r>
      <w:r w:rsidR="00CC26EA" w:rsidRPr="00CC26EA">
        <w:rPr>
          <w:b/>
          <w:noProof/>
          <w:spacing w:val="-6"/>
          <w:u w:val="single"/>
          <w:lang w:val="sk-SK"/>
        </w:rPr>
        <w:t xml:space="preserve"> a </w:t>
      </w:r>
      <w:r w:rsidRPr="00CC26EA">
        <w:rPr>
          <w:b/>
          <w:noProof/>
          <w:spacing w:val="-6"/>
          <w:u w:val="single"/>
          <w:lang w:val="sk-SK"/>
        </w:rPr>
        <w:t>realizácie pre nenávratnú finančnú podporu</w:t>
      </w:r>
    </w:p>
    <w:p w14:paraId="06567872" w14:textId="77777777" w:rsidR="00F65654" w:rsidRPr="00CC26EA" w:rsidRDefault="00F65654">
      <w:pPr>
        <w:pStyle w:val="Text1"/>
        <w:ind w:left="709"/>
        <w:rPr>
          <w:noProof/>
          <w:spacing w:val="-6"/>
          <w:lang w:val="sk-SK"/>
        </w:rPr>
        <w:sectPr w:rsidR="00F65654" w:rsidRPr="00CC26EA" w:rsidSect="00A61D33">
          <w:headerReference w:type="even" r:id="rId18"/>
          <w:headerReference w:type="default" r:id="rId19"/>
          <w:footerReference w:type="even" r:id="rId20"/>
          <w:footerReference w:type="default" r:id="rId21"/>
          <w:headerReference w:type="first" r:id="rId22"/>
          <w:footerReference w:type="first" r:id="rId23"/>
          <w:pgSz w:w="11907" w:h="16839"/>
          <w:pgMar w:top="1134" w:right="1134" w:bottom="1134" w:left="1134" w:header="567" w:footer="567" w:gutter="0"/>
          <w:cols w:space="720"/>
          <w:docGrid w:linePitch="360"/>
        </w:sectPr>
      </w:pPr>
    </w:p>
    <w:tbl>
      <w:tblPr>
        <w:tblW w:w="15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562"/>
        <w:gridCol w:w="1249"/>
        <w:gridCol w:w="1994"/>
        <w:gridCol w:w="1825"/>
        <w:gridCol w:w="1010"/>
        <w:gridCol w:w="1073"/>
        <w:gridCol w:w="756"/>
        <w:gridCol w:w="1330"/>
        <w:gridCol w:w="772"/>
        <w:gridCol w:w="3088"/>
      </w:tblGrid>
      <w:tr w:rsidR="00F65654" w:rsidRPr="00CC26EA" w14:paraId="34C34015" w14:textId="77777777">
        <w:trPr>
          <w:trHeight w:val="917"/>
          <w:tblHeader/>
          <w:jc w:val="center"/>
        </w:trPr>
        <w:tc>
          <w:tcPr>
            <w:tcW w:w="1297" w:type="dxa"/>
            <w:vMerge w:val="restart"/>
            <w:shd w:val="clear" w:color="auto" w:fill="BDD7EE"/>
            <w:vAlign w:val="center"/>
            <w:hideMark/>
          </w:tcPr>
          <w:p w14:paraId="3E575E91"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lastRenderedPageBreak/>
              <w:t>Poradové číslo</w:t>
            </w:r>
          </w:p>
        </w:tc>
        <w:tc>
          <w:tcPr>
            <w:tcW w:w="1562" w:type="dxa"/>
            <w:vMerge w:val="restart"/>
            <w:shd w:val="clear" w:color="auto" w:fill="BDD7EE"/>
            <w:vAlign w:val="center"/>
            <w:hideMark/>
          </w:tcPr>
          <w:p w14:paraId="38D3C083"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Súvisiace opatrenie (reforma alebo investícia)</w:t>
            </w:r>
          </w:p>
        </w:tc>
        <w:tc>
          <w:tcPr>
            <w:tcW w:w="1215" w:type="dxa"/>
            <w:vMerge w:val="restart"/>
            <w:shd w:val="clear" w:color="auto" w:fill="BDD7EE"/>
            <w:vAlign w:val="center"/>
            <w:hideMark/>
          </w:tcPr>
          <w:p w14:paraId="2E8D2148"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Míľnik/cieľ</w:t>
            </w:r>
          </w:p>
        </w:tc>
        <w:tc>
          <w:tcPr>
            <w:tcW w:w="1994" w:type="dxa"/>
            <w:vMerge w:val="restart"/>
            <w:shd w:val="clear" w:color="auto" w:fill="BDD7EE"/>
            <w:vAlign w:val="center"/>
            <w:hideMark/>
          </w:tcPr>
          <w:p w14:paraId="774289C4"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Názov</w:t>
            </w:r>
          </w:p>
        </w:tc>
        <w:tc>
          <w:tcPr>
            <w:tcW w:w="1825" w:type="dxa"/>
            <w:vMerge w:val="restart"/>
            <w:shd w:val="clear" w:color="auto" w:fill="BDD7EE"/>
            <w:vAlign w:val="center"/>
            <w:hideMark/>
          </w:tcPr>
          <w:p w14:paraId="4EAC1066" w14:textId="77777777" w:rsidR="00F65654" w:rsidRPr="00CC26EA" w:rsidRDefault="0041081E">
            <w:pPr>
              <w:spacing w:after="0"/>
              <w:jc w:val="center"/>
              <w:rPr>
                <w:rFonts w:ascii="Times New Roman" w:eastAsia="Times New Roman" w:hAnsi="Times New Roman"/>
                <w:b/>
                <w:noProof/>
                <w:spacing w:val="-6"/>
                <w:lang w:val="sk-SK"/>
              </w:rPr>
            </w:pPr>
            <w:r w:rsidRPr="00CC26EA">
              <w:rPr>
                <w:rFonts w:ascii="Times New Roman" w:hAnsi="Times New Roman"/>
                <w:b/>
                <w:noProof/>
                <w:spacing w:val="-6"/>
                <w:lang w:val="sk-SK"/>
              </w:rPr>
              <w:t xml:space="preserve">Kvalitatívne ukazovatele </w:t>
            </w:r>
            <w:r w:rsidRPr="00CC26EA">
              <w:rPr>
                <w:rFonts w:ascii="Times New Roman" w:hAnsi="Times New Roman"/>
                <w:noProof/>
                <w:spacing w:val="-6"/>
                <w:lang w:val="sk-SK"/>
              </w:rPr>
              <w:t xml:space="preserve"> </w:t>
            </w:r>
            <w:r w:rsidRPr="00CC26EA">
              <w:rPr>
                <w:rFonts w:ascii="Times New Roman" w:hAnsi="Times New Roman"/>
                <w:b/>
                <w:noProof/>
                <w:spacing w:val="-6"/>
                <w:lang w:val="sk-SK"/>
              </w:rPr>
              <w:t>(pre míľniky)</w:t>
            </w:r>
          </w:p>
        </w:tc>
        <w:tc>
          <w:tcPr>
            <w:tcW w:w="2764" w:type="dxa"/>
            <w:gridSpan w:val="3"/>
            <w:shd w:val="clear" w:color="auto" w:fill="BDD7EE"/>
            <w:vAlign w:val="center"/>
            <w:hideMark/>
          </w:tcPr>
          <w:p w14:paraId="39FDFDFC" w14:textId="77777777" w:rsidR="00F65654" w:rsidRPr="00CC26EA" w:rsidRDefault="0041081E">
            <w:pPr>
              <w:spacing w:after="0"/>
              <w:jc w:val="center"/>
              <w:rPr>
                <w:rFonts w:ascii="Times New Roman" w:eastAsia="Times New Roman" w:hAnsi="Times New Roman"/>
                <w:b/>
                <w:noProof/>
                <w:spacing w:val="-6"/>
                <w:lang w:val="sk-SK"/>
              </w:rPr>
            </w:pPr>
            <w:r w:rsidRPr="00CC26EA">
              <w:rPr>
                <w:rFonts w:ascii="Times New Roman" w:hAnsi="Times New Roman"/>
                <w:b/>
                <w:noProof/>
                <w:spacing w:val="-6"/>
                <w:lang w:val="sk-SK"/>
              </w:rPr>
              <w:t xml:space="preserve">Kvantitatívne ukazovatele </w:t>
            </w:r>
            <w:r w:rsidRPr="00CC26EA">
              <w:rPr>
                <w:rFonts w:ascii="Times New Roman" w:hAnsi="Times New Roman"/>
                <w:noProof/>
                <w:spacing w:val="-6"/>
                <w:lang w:val="sk-SK"/>
              </w:rPr>
              <w:t xml:space="preserve"> </w:t>
            </w:r>
            <w:r w:rsidRPr="00CC26EA">
              <w:rPr>
                <w:rFonts w:ascii="Times New Roman" w:hAnsi="Times New Roman"/>
                <w:b/>
                <w:noProof/>
                <w:spacing w:val="-6"/>
                <w:lang w:val="sk-SK"/>
              </w:rPr>
              <w:t>(pre ciele)</w:t>
            </w:r>
          </w:p>
        </w:tc>
        <w:tc>
          <w:tcPr>
            <w:tcW w:w="1757" w:type="dxa"/>
            <w:gridSpan w:val="2"/>
            <w:shd w:val="clear" w:color="auto" w:fill="BDD7EE"/>
            <w:vAlign w:val="center"/>
            <w:hideMark/>
          </w:tcPr>
          <w:p w14:paraId="600579B9"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Orientačný harmonogram splnenia </w:t>
            </w:r>
          </w:p>
        </w:tc>
        <w:tc>
          <w:tcPr>
            <w:tcW w:w="3088" w:type="dxa"/>
            <w:vMerge w:val="restart"/>
            <w:shd w:val="clear" w:color="auto" w:fill="BDD7EE"/>
            <w:vAlign w:val="center"/>
            <w:hideMark/>
          </w:tcPr>
          <w:p w14:paraId="4D1B8B7E" w14:textId="7D8E1E4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Opis každého míľnika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cieľa</w:t>
            </w:r>
          </w:p>
        </w:tc>
      </w:tr>
      <w:tr w:rsidR="00F65654" w:rsidRPr="00CC26EA" w14:paraId="5B290A5E" w14:textId="77777777">
        <w:trPr>
          <w:trHeight w:val="1003"/>
          <w:tblHeader/>
          <w:jc w:val="center"/>
        </w:trPr>
        <w:tc>
          <w:tcPr>
            <w:tcW w:w="1297" w:type="dxa"/>
            <w:vMerge/>
            <w:vAlign w:val="center"/>
            <w:hideMark/>
          </w:tcPr>
          <w:p w14:paraId="417E4144" w14:textId="77777777" w:rsidR="00F65654" w:rsidRPr="00CC26EA" w:rsidRDefault="00F65654">
            <w:pPr>
              <w:spacing w:after="0"/>
              <w:rPr>
                <w:rFonts w:ascii="Times New Roman" w:eastAsia="Times New Roman" w:hAnsi="Times New Roman"/>
                <w:b/>
                <w:noProof/>
                <w:spacing w:val="-6"/>
                <w:lang w:val="sk-SK"/>
              </w:rPr>
            </w:pPr>
          </w:p>
        </w:tc>
        <w:tc>
          <w:tcPr>
            <w:tcW w:w="1562" w:type="dxa"/>
            <w:vMerge/>
            <w:vAlign w:val="center"/>
            <w:hideMark/>
          </w:tcPr>
          <w:p w14:paraId="239AAD2A" w14:textId="77777777" w:rsidR="00F65654" w:rsidRPr="00CC26EA" w:rsidRDefault="00F65654">
            <w:pPr>
              <w:spacing w:after="0"/>
              <w:rPr>
                <w:rFonts w:ascii="Times New Roman" w:eastAsia="Times New Roman" w:hAnsi="Times New Roman"/>
                <w:b/>
                <w:noProof/>
                <w:spacing w:val="-6"/>
                <w:lang w:val="sk-SK"/>
              </w:rPr>
            </w:pPr>
          </w:p>
        </w:tc>
        <w:tc>
          <w:tcPr>
            <w:tcW w:w="1215" w:type="dxa"/>
            <w:vMerge/>
            <w:vAlign w:val="center"/>
            <w:hideMark/>
          </w:tcPr>
          <w:p w14:paraId="7FF1E777" w14:textId="77777777" w:rsidR="00F65654" w:rsidRPr="00CC26EA" w:rsidRDefault="00F65654">
            <w:pPr>
              <w:spacing w:after="0"/>
              <w:rPr>
                <w:rFonts w:ascii="Times New Roman" w:eastAsia="Times New Roman" w:hAnsi="Times New Roman"/>
                <w:b/>
                <w:noProof/>
                <w:spacing w:val="-6"/>
                <w:lang w:val="sk-SK"/>
              </w:rPr>
            </w:pPr>
          </w:p>
        </w:tc>
        <w:tc>
          <w:tcPr>
            <w:tcW w:w="1994" w:type="dxa"/>
            <w:vMerge/>
            <w:vAlign w:val="center"/>
            <w:hideMark/>
          </w:tcPr>
          <w:p w14:paraId="7E49BDCF" w14:textId="77777777" w:rsidR="00F65654" w:rsidRPr="00CC26EA" w:rsidRDefault="00F65654">
            <w:pPr>
              <w:spacing w:after="0"/>
              <w:rPr>
                <w:rFonts w:ascii="Times New Roman" w:eastAsia="Times New Roman" w:hAnsi="Times New Roman"/>
                <w:b/>
                <w:noProof/>
                <w:spacing w:val="-6"/>
                <w:lang w:val="sk-SK"/>
              </w:rPr>
            </w:pPr>
          </w:p>
        </w:tc>
        <w:tc>
          <w:tcPr>
            <w:tcW w:w="1825" w:type="dxa"/>
            <w:vMerge/>
            <w:vAlign w:val="center"/>
            <w:hideMark/>
          </w:tcPr>
          <w:p w14:paraId="6E039885" w14:textId="77777777" w:rsidR="00F65654" w:rsidRPr="00CC26EA" w:rsidRDefault="00F65654">
            <w:pPr>
              <w:spacing w:after="0"/>
              <w:rPr>
                <w:rFonts w:ascii="Times New Roman" w:eastAsia="Times New Roman" w:hAnsi="Times New Roman"/>
                <w:b/>
                <w:noProof/>
                <w:spacing w:val="-6"/>
                <w:lang w:val="sk-SK"/>
              </w:rPr>
            </w:pPr>
          </w:p>
        </w:tc>
        <w:tc>
          <w:tcPr>
            <w:tcW w:w="1010" w:type="dxa"/>
            <w:shd w:val="clear" w:color="auto" w:fill="BDD7EE"/>
            <w:vAlign w:val="center"/>
            <w:hideMark/>
          </w:tcPr>
          <w:p w14:paraId="1AFF1CEE"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Merná jednotka</w:t>
            </w:r>
          </w:p>
        </w:tc>
        <w:tc>
          <w:tcPr>
            <w:tcW w:w="998" w:type="dxa"/>
            <w:shd w:val="clear" w:color="auto" w:fill="BDD7EE"/>
            <w:vAlign w:val="center"/>
            <w:hideMark/>
          </w:tcPr>
          <w:p w14:paraId="48059E9E"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Základná </w:t>
            </w:r>
          </w:p>
        </w:tc>
        <w:tc>
          <w:tcPr>
            <w:tcW w:w="756" w:type="dxa"/>
            <w:shd w:val="clear" w:color="auto" w:fill="BDD7EE"/>
            <w:vAlign w:val="center"/>
            <w:hideMark/>
          </w:tcPr>
          <w:p w14:paraId="1AA2EA2B"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Cieľ </w:t>
            </w:r>
          </w:p>
        </w:tc>
        <w:tc>
          <w:tcPr>
            <w:tcW w:w="985" w:type="dxa"/>
            <w:shd w:val="clear" w:color="auto" w:fill="BDD7EE"/>
            <w:vAlign w:val="center"/>
            <w:hideMark/>
          </w:tcPr>
          <w:p w14:paraId="76FE3422"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Štvrťrok</w:t>
            </w:r>
          </w:p>
        </w:tc>
        <w:tc>
          <w:tcPr>
            <w:tcW w:w="772" w:type="dxa"/>
            <w:shd w:val="clear" w:color="auto" w:fill="BDD7EE"/>
            <w:vAlign w:val="center"/>
            <w:hideMark/>
          </w:tcPr>
          <w:p w14:paraId="1122E541"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Rok</w:t>
            </w:r>
          </w:p>
        </w:tc>
        <w:tc>
          <w:tcPr>
            <w:tcW w:w="3088" w:type="dxa"/>
            <w:vMerge/>
            <w:vAlign w:val="center"/>
            <w:hideMark/>
          </w:tcPr>
          <w:p w14:paraId="02C1AD7B" w14:textId="77777777" w:rsidR="00F65654" w:rsidRPr="00CC26EA" w:rsidRDefault="00F65654">
            <w:pPr>
              <w:spacing w:after="0"/>
              <w:rPr>
                <w:rFonts w:ascii="Times New Roman" w:eastAsia="Times New Roman" w:hAnsi="Times New Roman"/>
                <w:b/>
                <w:noProof/>
                <w:spacing w:val="-6"/>
                <w:lang w:val="sk-SK"/>
              </w:rPr>
            </w:pPr>
          </w:p>
        </w:tc>
      </w:tr>
      <w:tr w:rsidR="00CC26EA" w:rsidRPr="00CC26EA" w14:paraId="5498F903" w14:textId="77777777">
        <w:trPr>
          <w:trHeight w:val="305"/>
          <w:jc w:val="center"/>
        </w:trPr>
        <w:tc>
          <w:tcPr>
            <w:tcW w:w="1297" w:type="dxa"/>
            <w:shd w:val="clear" w:color="auto" w:fill="C6EFCE"/>
            <w:noWrap/>
            <w:hideMark/>
          </w:tcPr>
          <w:p w14:paraId="507FAB51"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w:t>
            </w:r>
          </w:p>
        </w:tc>
        <w:tc>
          <w:tcPr>
            <w:tcW w:w="1562" w:type="dxa"/>
            <w:shd w:val="clear" w:color="auto" w:fill="C6EFCE"/>
            <w:noWrap/>
            <w:hideMark/>
          </w:tcPr>
          <w:p w14:paraId="4CDC13DF"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 – Posilnenie odolnosti systému zdravotnej starostlivosti – opatrenia na zabezpečenie zásob kritických liekov</w:t>
            </w:r>
          </w:p>
        </w:tc>
        <w:tc>
          <w:tcPr>
            <w:tcW w:w="1215" w:type="dxa"/>
            <w:shd w:val="clear" w:color="auto" w:fill="C6EFCE"/>
            <w:noWrap/>
            <w:hideMark/>
          </w:tcPr>
          <w:p w14:paraId="31F33CDC"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994" w:type="dxa"/>
            <w:shd w:val="clear" w:color="auto" w:fill="C6EFCE"/>
            <w:noWrap/>
            <w:hideMark/>
          </w:tcPr>
          <w:p w14:paraId="5B729E82" w14:textId="66C4999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Správa dánskej agentúry pre lieky</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hodnotení zásob kritických liekov, ktorá sa má sprístupniť</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cieľom zabrániť situáciám</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nedostatkom dôležitých liekov</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 xml:space="preserve">Dánsku.  </w:t>
            </w:r>
          </w:p>
        </w:tc>
        <w:tc>
          <w:tcPr>
            <w:tcW w:w="1825" w:type="dxa"/>
            <w:shd w:val="clear" w:color="auto" w:fill="C6EFCE"/>
            <w:noWrap/>
            <w:hideMark/>
          </w:tcPr>
          <w:p w14:paraId="5737D238" w14:textId="569D1A0E"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Správa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posúdení zásob kritických liekov</w:t>
            </w:r>
            <w:r w:rsidR="00CC26EA" w:rsidRPr="00CC26EA">
              <w:rPr>
                <w:rFonts w:ascii="Times New Roman" w:hAnsi="Times New Roman"/>
                <w:noProof/>
                <w:spacing w:val="-6"/>
                <w:lang w:val="sk-SK"/>
              </w:rPr>
              <w:t xml:space="preserve"> a v </w:t>
            </w:r>
            <w:r w:rsidRPr="00CC26EA">
              <w:rPr>
                <w:rFonts w:ascii="Times New Roman" w:hAnsi="Times New Roman"/>
                <w:noProof/>
                <w:spacing w:val="-6"/>
                <w:lang w:val="sk-SK"/>
              </w:rPr>
              <w:t xml:space="preserve">prípade potreby nadväzujúce opatrenia dánskou agentúrou pre lieky. </w:t>
            </w:r>
          </w:p>
        </w:tc>
        <w:tc>
          <w:tcPr>
            <w:tcW w:w="1010" w:type="dxa"/>
            <w:shd w:val="clear" w:color="auto" w:fill="C6EFCE"/>
            <w:noWrap/>
            <w:hideMark/>
          </w:tcPr>
          <w:p w14:paraId="138884E4"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98" w:type="dxa"/>
            <w:shd w:val="clear" w:color="auto" w:fill="C6EFCE"/>
            <w:noWrap/>
            <w:hideMark/>
          </w:tcPr>
          <w:p w14:paraId="775ECA6F"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756" w:type="dxa"/>
            <w:shd w:val="clear" w:color="auto" w:fill="C6EFCE"/>
            <w:noWrap/>
            <w:hideMark/>
          </w:tcPr>
          <w:p w14:paraId="0A88F997"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85" w:type="dxa"/>
            <w:shd w:val="clear" w:color="auto" w:fill="C6EFCE"/>
            <w:noWrap/>
            <w:hideMark/>
          </w:tcPr>
          <w:p w14:paraId="43DBD3AC"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772" w:type="dxa"/>
            <w:shd w:val="clear" w:color="auto" w:fill="C6EFCE"/>
            <w:noWrap/>
            <w:hideMark/>
          </w:tcPr>
          <w:p w14:paraId="635441B4"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3088" w:type="dxa"/>
            <w:shd w:val="clear" w:color="auto" w:fill="C6EFCE"/>
            <w:noWrap/>
            <w:hideMark/>
          </w:tcPr>
          <w:p w14:paraId="32CB59D1" w14:textId="25BC349E" w:rsidR="00CC26EA" w:rsidRPr="00CC26EA" w:rsidRDefault="0041081E">
            <w:pPr>
              <w:pStyle w:val="P68B1DB1-Normal4"/>
              <w:rPr>
                <w:rFonts w:ascii="Times New Roman" w:hAnsi="Times New Roman"/>
                <w:noProof/>
                <w:spacing w:val="-6"/>
                <w:lang w:val="sk-SK"/>
              </w:rPr>
            </w:pPr>
            <w:r w:rsidRPr="00CC26EA">
              <w:rPr>
                <w:rFonts w:ascii="Times New Roman" w:hAnsi="Times New Roman"/>
                <w:noProof/>
                <w:spacing w:val="-6"/>
                <w:lang w:val="sk-SK"/>
              </w:rPr>
              <w:t>Míľnik sa dosiahne, keď dánska agentúra pre lieky posúdila zásoby kritických liekov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podá</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tom správu dánskemu ministerstvu zdravotníctva.    Posúdenie má veľký význam pri predpovedaní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zabezpečovaní správnej úrovne skladovacej kapacity pre kritické drogy</w:t>
            </w:r>
            <w:r w:rsidR="00CC26EA" w:rsidRPr="00CC26EA">
              <w:rPr>
                <w:rFonts w:ascii="Times New Roman" w:hAnsi="Times New Roman"/>
                <w:noProof/>
                <w:spacing w:val="-6"/>
                <w:lang w:val="sk-SK"/>
              </w:rPr>
              <w:t>.</w:t>
            </w:r>
          </w:p>
          <w:p w14:paraId="12F4CE3F" w14:textId="41C1BE04"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Do posúdenia sa zahrnie posúdenie infekčného tlaku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počtu pacientov hospitalizovaných ochorením COVID-19, ako aj celkový vývoj na farmaceutických trhoch.</w:t>
            </w:r>
          </w:p>
        </w:tc>
      </w:tr>
      <w:tr w:rsidR="00CC26EA" w:rsidRPr="00CC26EA" w14:paraId="00617EE8" w14:textId="77777777">
        <w:trPr>
          <w:trHeight w:val="305"/>
          <w:jc w:val="center"/>
        </w:trPr>
        <w:tc>
          <w:tcPr>
            <w:tcW w:w="1297" w:type="dxa"/>
            <w:shd w:val="clear" w:color="auto" w:fill="C6EFCE"/>
            <w:noWrap/>
            <w:hideMark/>
          </w:tcPr>
          <w:p w14:paraId="0B95D5CA"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w:t>
            </w:r>
          </w:p>
        </w:tc>
        <w:tc>
          <w:tcPr>
            <w:tcW w:w="1562" w:type="dxa"/>
            <w:shd w:val="clear" w:color="auto" w:fill="C6EFCE"/>
            <w:noWrap/>
            <w:hideMark/>
          </w:tcPr>
          <w:p w14:paraId="0E3756DD" w14:textId="150716F2"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 – Posilnenie odolnosti systému zdravotnej starostlivosti – digitálne riešenia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 xml:space="preserve">sektore </w:t>
            </w:r>
            <w:r w:rsidRPr="00CC26EA">
              <w:rPr>
                <w:rFonts w:ascii="Times New Roman" w:hAnsi="Times New Roman"/>
                <w:noProof/>
                <w:spacing w:val="-6"/>
                <w:lang w:val="sk-SK"/>
              </w:rPr>
              <w:lastRenderedPageBreak/>
              <w:t>zdravotnej starostlivosti</w:t>
            </w:r>
          </w:p>
        </w:tc>
        <w:tc>
          <w:tcPr>
            <w:tcW w:w="1215" w:type="dxa"/>
            <w:shd w:val="clear" w:color="auto" w:fill="C6EFCE"/>
            <w:noWrap/>
            <w:hideMark/>
          </w:tcPr>
          <w:p w14:paraId="7C0C23C3"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lastRenderedPageBreak/>
              <w:t>Míľnik</w:t>
            </w:r>
          </w:p>
        </w:tc>
        <w:tc>
          <w:tcPr>
            <w:tcW w:w="1994" w:type="dxa"/>
            <w:shd w:val="clear" w:color="auto" w:fill="C6EFCE"/>
            <w:noWrap/>
            <w:hideMark/>
          </w:tcPr>
          <w:p w14:paraId="78C4FAFB" w14:textId="583ABD65"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Hodnotenie zapojenia pacientov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širokého využívania telemedicíny sprístupní dánske ministerstvo zdravotníctva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úzkej spolupráci</w:t>
            </w:r>
            <w:r w:rsidR="00CC26EA" w:rsidRPr="00CC26EA">
              <w:rPr>
                <w:rFonts w:ascii="Times New Roman" w:hAnsi="Times New Roman"/>
                <w:noProof/>
                <w:spacing w:val="-6"/>
                <w:lang w:val="sk-SK"/>
              </w:rPr>
              <w:t xml:space="preserve"> </w:t>
            </w:r>
            <w:r w:rsidR="00CC26EA" w:rsidRPr="00CC26EA">
              <w:rPr>
                <w:rFonts w:ascii="Times New Roman" w:hAnsi="Times New Roman"/>
                <w:noProof/>
                <w:spacing w:val="-6"/>
                <w:lang w:val="sk-SK"/>
              </w:rPr>
              <w:lastRenderedPageBreak/>
              <w:t>s </w:t>
            </w:r>
            <w:r w:rsidRPr="00CC26EA">
              <w:rPr>
                <w:rFonts w:ascii="Times New Roman" w:hAnsi="Times New Roman"/>
                <w:noProof/>
                <w:spacing w:val="-6"/>
                <w:lang w:val="sk-SK"/>
              </w:rPr>
              <w:t>dánskymi regiónmi.</w:t>
            </w:r>
          </w:p>
        </w:tc>
        <w:tc>
          <w:tcPr>
            <w:tcW w:w="1825" w:type="dxa"/>
            <w:shd w:val="clear" w:color="auto" w:fill="C6EFCE"/>
            <w:noWrap/>
            <w:hideMark/>
          </w:tcPr>
          <w:p w14:paraId="37DD54DD"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lastRenderedPageBreak/>
              <w:t xml:space="preserve">Hodnotenie telemedicínskych riešení úzkosti. </w:t>
            </w:r>
          </w:p>
        </w:tc>
        <w:tc>
          <w:tcPr>
            <w:tcW w:w="1010" w:type="dxa"/>
            <w:shd w:val="clear" w:color="auto" w:fill="C6EFCE"/>
            <w:noWrap/>
            <w:hideMark/>
          </w:tcPr>
          <w:p w14:paraId="410D687E"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98" w:type="dxa"/>
            <w:shd w:val="clear" w:color="auto" w:fill="C6EFCE"/>
            <w:noWrap/>
            <w:hideMark/>
          </w:tcPr>
          <w:p w14:paraId="3A6E8B2E"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756" w:type="dxa"/>
            <w:shd w:val="clear" w:color="auto" w:fill="C6EFCE"/>
            <w:noWrap/>
            <w:hideMark/>
          </w:tcPr>
          <w:p w14:paraId="3DDE42A5"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85" w:type="dxa"/>
            <w:shd w:val="clear" w:color="auto" w:fill="C6EFCE"/>
            <w:noWrap/>
            <w:hideMark/>
          </w:tcPr>
          <w:p w14:paraId="12AF931A"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772" w:type="dxa"/>
            <w:shd w:val="clear" w:color="auto" w:fill="C6EFCE"/>
            <w:noWrap/>
            <w:hideMark/>
          </w:tcPr>
          <w:p w14:paraId="74AB1A25"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3088" w:type="dxa"/>
            <w:shd w:val="clear" w:color="auto" w:fill="C6EFCE"/>
            <w:noWrap/>
            <w:hideMark/>
          </w:tcPr>
          <w:p w14:paraId="6316E524" w14:textId="070ED6E0"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Ústredný región</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úzkej spolupráci</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dánskymi regiónmi podá dánskemu ministerstvu zdravotníctva správu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hodnotení telemedicínskych riešení úzkosti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záujme ďalšieho rozvoja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zvýšenia využívania telemedicíny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zapojenia pacientov. </w:t>
            </w:r>
          </w:p>
        </w:tc>
      </w:tr>
      <w:tr w:rsidR="00CC26EA" w:rsidRPr="00CC26EA" w14:paraId="7150DF62" w14:textId="77777777">
        <w:trPr>
          <w:trHeight w:val="305"/>
          <w:jc w:val="center"/>
        </w:trPr>
        <w:tc>
          <w:tcPr>
            <w:tcW w:w="1297" w:type="dxa"/>
            <w:shd w:val="clear" w:color="auto" w:fill="C6EFCE"/>
            <w:noWrap/>
            <w:hideMark/>
          </w:tcPr>
          <w:p w14:paraId="374E422E"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w:t>
            </w:r>
          </w:p>
        </w:tc>
        <w:tc>
          <w:tcPr>
            <w:tcW w:w="1562" w:type="dxa"/>
            <w:shd w:val="clear" w:color="auto" w:fill="C6EFCE"/>
            <w:noWrap/>
            <w:hideMark/>
          </w:tcPr>
          <w:p w14:paraId="504DA585" w14:textId="5472E0A0"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 – Posilnenie odolnosti systému zdravotnej starostlivosti – digitálne riešenia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sektore zdravotnej starostlivosti</w:t>
            </w:r>
          </w:p>
        </w:tc>
        <w:tc>
          <w:tcPr>
            <w:tcW w:w="1215" w:type="dxa"/>
            <w:shd w:val="clear" w:color="auto" w:fill="C6EFCE"/>
            <w:noWrap/>
            <w:hideMark/>
          </w:tcPr>
          <w:p w14:paraId="4DD3BA21"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994" w:type="dxa"/>
            <w:shd w:val="clear" w:color="auto" w:fill="C6EFCE"/>
            <w:noWrap/>
            <w:hideMark/>
          </w:tcPr>
          <w:p w14:paraId="4E986385" w14:textId="7F3733B4"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Vytvoriť</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sprístupniť zariadenia na telemedicínske konzultácie (KontaktLæge) pre viaceré platformy.</w:t>
            </w:r>
          </w:p>
        </w:tc>
        <w:tc>
          <w:tcPr>
            <w:tcW w:w="1825" w:type="dxa"/>
            <w:shd w:val="clear" w:color="auto" w:fill="C6EFCE"/>
            <w:noWrap/>
            <w:hideMark/>
          </w:tcPr>
          <w:p w14:paraId="472ED5DC" w14:textId="77777777" w:rsidR="00F65654" w:rsidRPr="00CC26EA" w:rsidRDefault="00F65654">
            <w:pPr>
              <w:rPr>
                <w:rFonts w:ascii="Times New Roman" w:eastAsia="Times New Roman" w:hAnsi="Times New Roman"/>
                <w:noProof/>
                <w:color w:val="006100"/>
                <w:spacing w:val="-6"/>
                <w:lang w:val="sk-SK"/>
              </w:rPr>
            </w:pPr>
          </w:p>
        </w:tc>
        <w:tc>
          <w:tcPr>
            <w:tcW w:w="1010" w:type="dxa"/>
            <w:shd w:val="clear" w:color="auto" w:fill="C6EFCE"/>
            <w:noWrap/>
            <w:hideMark/>
          </w:tcPr>
          <w:p w14:paraId="6ACF2C04"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998" w:type="dxa"/>
            <w:shd w:val="clear" w:color="auto" w:fill="C6EFCE"/>
            <w:noWrap/>
            <w:hideMark/>
          </w:tcPr>
          <w:p w14:paraId="28D88027"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w:t>
            </w:r>
          </w:p>
        </w:tc>
        <w:tc>
          <w:tcPr>
            <w:tcW w:w="756" w:type="dxa"/>
            <w:shd w:val="clear" w:color="auto" w:fill="C6EFCE"/>
            <w:noWrap/>
            <w:hideMark/>
          </w:tcPr>
          <w:p w14:paraId="14B924D3"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w:t>
            </w:r>
          </w:p>
        </w:tc>
        <w:tc>
          <w:tcPr>
            <w:tcW w:w="985" w:type="dxa"/>
            <w:shd w:val="clear" w:color="auto" w:fill="C6EFCE"/>
            <w:noWrap/>
            <w:hideMark/>
          </w:tcPr>
          <w:p w14:paraId="1DC65F2A"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772" w:type="dxa"/>
            <w:shd w:val="clear" w:color="auto" w:fill="C6EFCE"/>
            <w:noWrap/>
            <w:hideMark/>
          </w:tcPr>
          <w:p w14:paraId="5E3D7DB0"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3088" w:type="dxa"/>
            <w:shd w:val="clear" w:color="auto" w:fill="C6EFCE"/>
            <w:noWrap/>
            <w:hideMark/>
          </w:tcPr>
          <w:p w14:paraId="780BA1F3" w14:textId="11D087DA"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S cieľom zvýšiť využívanie telemedicínskych konzultácií (KontaktLæge) na iných platformách mobilných zariadení dánske ministerstvo zdravotníctva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spolupráci</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MedCom vyvinie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sprístupní aplikáciu KontaktLæge na druhej platforme mobilných zariadení. Medcom je nezisková organizácia financovaná</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vlastnená ministerstvom zdravotníctva, dánskymi regiónmi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miestnou samosprávou Dánska</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cieľom uľahčiť spoluprácu medzi orgánmi, organizáciami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súkromnými firmami prepojenými</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dánskym sektorom zdravotnej starostlivosti.</w:t>
            </w:r>
          </w:p>
        </w:tc>
      </w:tr>
      <w:tr w:rsidR="00CC26EA" w:rsidRPr="00CC26EA" w14:paraId="71F4620C" w14:textId="77777777">
        <w:trPr>
          <w:trHeight w:val="305"/>
          <w:jc w:val="center"/>
        </w:trPr>
        <w:tc>
          <w:tcPr>
            <w:tcW w:w="1297" w:type="dxa"/>
            <w:shd w:val="clear" w:color="auto" w:fill="C6EFCE"/>
            <w:noWrap/>
            <w:hideMark/>
          </w:tcPr>
          <w:p w14:paraId="4696B966"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4</w:t>
            </w:r>
          </w:p>
        </w:tc>
        <w:tc>
          <w:tcPr>
            <w:tcW w:w="1562" w:type="dxa"/>
            <w:shd w:val="clear" w:color="auto" w:fill="C6EFCE"/>
            <w:noWrap/>
            <w:hideMark/>
          </w:tcPr>
          <w:p w14:paraId="1F534F34" w14:textId="7A2E0D52"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1 – Posilnenie odolnosti systému </w:t>
            </w:r>
            <w:r w:rsidRPr="00CC26EA">
              <w:rPr>
                <w:rFonts w:ascii="Times New Roman" w:hAnsi="Times New Roman"/>
                <w:noProof/>
                <w:spacing w:val="-6"/>
                <w:lang w:val="sk-SK"/>
              </w:rPr>
              <w:lastRenderedPageBreak/>
              <w:t>zdravotnej starostlivosti – digitálne riešenia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sektore zdravotnej starostlivosti</w:t>
            </w:r>
          </w:p>
        </w:tc>
        <w:tc>
          <w:tcPr>
            <w:tcW w:w="1215" w:type="dxa"/>
            <w:shd w:val="clear" w:color="auto" w:fill="C6EFCE"/>
            <w:noWrap/>
            <w:hideMark/>
          </w:tcPr>
          <w:p w14:paraId="5A124CDD"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lastRenderedPageBreak/>
              <w:t>Míľnik</w:t>
            </w:r>
          </w:p>
        </w:tc>
        <w:tc>
          <w:tcPr>
            <w:tcW w:w="1994" w:type="dxa"/>
            <w:shd w:val="clear" w:color="auto" w:fill="C6EFCE"/>
            <w:noWrap/>
            <w:hideMark/>
          </w:tcPr>
          <w:p w14:paraId="0B1BA55C" w14:textId="535BAEA4"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Zavedenie digitálneho dotazníka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 xml:space="preserve">aplikácii </w:t>
            </w:r>
            <w:r w:rsidRPr="00CC26EA">
              <w:rPr>
                <w:rFonts w:ascii="Times New Roman" w:hAnsi="Times New Roman"/>
                <w:noProof/>
                <w:spacing w:val="-6"/>
                <w:lang w:val="sk-SK"/>
              </w:rPr>
              <w:lastRenderedPageBreak/>
              <w:t>„MinLæge“ („My Doctor“)</w:t>
            </w:r>
          </w:p>
        </w:tc>
        <w:tc>
          <w:tcPr>
            <w:tcW w:w="1825" w:type="dxa"/>
            <w:shd w:val="clear" w:color="auto" w:fill="C6EFCE"/>
            <w:noWrap/>
            <w:hideMark/>
          </w:tcPr>
          <w:p w14:paraId="3EA3838D" w14:textId="5F2046FC"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lastRenderedPageBreak/>
              <w:t>Zavedenie digitálnych dotazníkov</w:t>
            </w:r>
            <w:r w:rsidR="00CC26EA" w:rsidRPr="00CC26EA">
              <w:rPr>
                <w:rFonts w:ascii="Times New Roman" w:hAnsi="Times New Roman"/>
                <w:noProof/>
                <w:spacing w:val="-6"/>
                <w:lang w:val="sk-SK"/>
              </w:rPr>
              <w:t xml:space="preserve"> </w:t>
            </w:r>
            <w:r w:rsidR="00CC26EA" w:rsidRPr="00CC26EA">
              <w:rPr>
                <w:rFonts w:ascii="Times New Roman" w:hAnsi="Times New Roman"/>
                <w:noProof/>
                <w:spacing w:val="-6"/>
                <w:lang w:val="sk-SK"/>
              </w:rPr>
              <w:lastRenderedPageBreak/>
              <w:t>a </w:t>
            </w:r>
            <w:r w:rsidRPr="00CC26EA">
              <w:rPr>
                <w:rFonts w:ascii="Times New Roman" w:hAnsi="Times New Roman"/>
                <w:noProof/>
                <w:spacing w:val="-6"/>
                <w:lang w:val="sk-SK"/>
              </w:rPr>
              <w:t xml:space="preserve">údajov nahlásených pacientmi prostredníctvom aplikácie MinLæge. </w:t>
            </w:r>
          </w:p>
        </w:tc>
        <w:tc>
          <w:tcPr>
            <w:tcW w:w="1010" w:type="dxa"/>
            <w:shd w:val="clear" w:color="auto" w:fill="C6EFCE"/>
            <w:noWrap/>
            <w:hideMark/>
          </w:tcPr>
          <w:p w14:paraId="21FA9CDA"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lastRenderedPageBreak/>
              <w:t xml:space="preserve"> </w:t>
            </w:r>
          </w:p>
        </w:tc>
        <w:tc>
          <w:tcPr>
            <w:tcW w:w="998" w:type="dxa"/>
            <w:shd w:val="clear" w:color="auto" w:fill="C6EFCE"/>
            <w:noWrap/>
            <w:hideMark/>
          </w:tcPr>
          <w:p w14:paraId="26602EDD"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756" w:type="dxa"/>
            <w:shd w:val="clear" w:color="auto" w:fill="C6EFCE"/>
            <w:noWrap/>
            <w:hideMark/>
          </w:tcPr>
          <w:p w14:paraId="52F29BB1"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85" w:type="dxa"/>
            <w:shd w:val="clear" w:color="auto" w:fill="C6EFCE"/>
            <w:noWrap/>
            <w:hideMark/>
          </w:tcPr>
          <w:p w14:paraId="404BB31C"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OTÁZKA Č. 1</w:t>
            </w:r>
          </w:p>
        </w:tc>
        <w:tc>
          <w:tcPr>
            <w:tcW w:w="772" w:type="dxa"/>
            <w:shd w:val="clear" w:color="auto" w:fill="C6EFCE"/>
            <w:noWrap/>
            <w:hideMark/>
          </w:tcPr>
          <w:p w14:paraId="332322E6"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2022</w:t>
            </w:r>
          </w:p>
        </w:tc>
        <w:tc>
          <w:tcPr>
            <w:tcW w:w="3088" w:type="dxa"/>
            <w:shd w:val="clear" w:color="auto" w:fill="C6EFCE"/>
            <w:noWrap/>
            <w:hideMark/>
          </w:tcPr>
          <w:p w14:paraId="65FE9058" w14:textId="7F6FF919"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Cieľom opatrenia je umožniť všeobecným lekárom používať „Môj doktor“</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požiadať </w:t>
            </w:r>
            <w:r w:rsidRPr="00CC26EA">
              <w:rPr>
                <w:rFonts w:ascii="Times New Roman" w:hAnsi="Times New Roman"/>
                <w:noProof/>
                <w:spacing w:val="-6"/>
                <w:lang w:val="sk-SK"/>
              </w:rPr>
              <w:lastRenderedPageBreak/>
              <w:t>používateľov</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vyplnenie digitálnych dotazníkov</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pneumokoku, chrípke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tehotenstve,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tým rýchlo stratifikovať pacientov</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súvislosti</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očkovaním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inými zdravotnými problémami.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úzkej spolupráci</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dánskou organizáciou všeobecných lekárov sa predloží písomná správa</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technickými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lekárskymi závermi. </w:t>
            </w:r>
          </w:p>
        </w:tc>
      </w:tr>
      <w:tr w:rsidR="00CC26EA" w:rsidRPr="00CC26EA" w14:paraId="7D08C968" w14:textId="77777777">
        <w:trPr>
          <w:trHeight w:val="305"/>
          <w:jc w:val="center"/>
        </w:trPr>
        <w:tc>
          <w:tcPr>
            <w:tcW w:w="1297" w:type="dxa"/>
            <w:shd w:val="clear" w:color="auto" w:fill="C6EFCE"/>
            <w:noWrap/>
            <w:hideMark/>
          </w:tcPr>
          <w:p w14:paraId="47625DA5"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lastRenderedPageBreak/>
              <w:t>5</w:t>
            </w:r>
          </w:p>
        </w:tc>
        <w:tc>
          <w:tcPr>
            <w:tcW w:w="1562" w:type="dxa"/>
            <w:shd w:val="clear" w:color="auto" w:fill="C6EFCE"/>
            <w:noWrap/>
            <w:hideMark/>
          </w:tcPr>
          <w:p w14:paraId="23AF6360" w14:textId="0F509C7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 – Posilnenie odolnosti systému zdravotnej starostlivosti – klinická štúdia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účinku vakcín proti ochoreniu COVID-19</w:t>
            </w:r>
          </w:p>
        </w:tc>
        <w:tc>
          <w:tcPr>
            <w:tcW w:w="1215" w:type="dxa"/>
            <w:shd w:val="clear" w:color="auto" w:fill="C6EFCE"/>
            <w:noWrap/>
            <w:hideMark/>
          </w:tcPr>
          <w:p w14:paraId="1A842AF3"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994" w:type="dxa"/>
            <w:shd w:val="clear" w:color="auto" w:fill="C6EFCE"/>
            <w:noWrap/>
            <w:hideMark/>
          </w:tcPr>
          <w:p w14:paraId="5B707448" w14:textId="0D2CC9B5"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Správa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štúdii vypracovanej nemocnicou Trial Nation</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Aarhus University Hospital</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účinkoch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vedľajších účinkoch vakcín proti ochoreniu COVID-19, ktorá sa má sprístupniť dánskemu </w:t>
            </w:r>
            <w:r w:rsidRPr="00CC26EA">
              <w:rPr>
                <w:rFonts w:ascii="Times New Roman" w:hAnsi="Times New Roman"/>
                <w:noProof/>
                <w:spacing w:val="-6"/>
                <w:lang w:val="sk-SK"/>
              </w:rPr>
              <w:lastRenderedPageBreak/>
              <w:t xml:space="preserve">ministerstvu zdravotníctva. </w:t>
            </w:r>
          </w:p>
        </w:tc>
        <w:tc>
          <w:tcPr>
            <w:tcW w:w="1825" w:type="dxa"/>
            <w:shd w:val="clear" w:color="auto" w:fill="C6EFCE"/>
            <w:noWrap/>
            <w:hideMark/>
          </w:tcPr>
          <w:p w14:paraId="0429DD5B" w14:textId="2869A99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lastRenderedPageBreak/>
              <w:t>Vykonať štúdiu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uverejniť správu týkajúcu sa výsledkov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ďalších poznatkov</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účinkoch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vedľajších účinkoch vakcín proti ochoreniu COVID-19</w:t>
            </w:r>
          </w:p>
        </w:tc>
        <w:tc>
          <w:tcPr>
            <w:tcW w:w="1010" w:type="dxa"/>
            <w:shd w:val="clear" w:color="auto" w:fill="C6EFCE"/>
            <w:noWrap/>
            <w:hideMark/>
          </w:tcPr>
          <w:p w14:paraId="551D8E73"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98" w:type="dxa"/>
            <w:shd w:val="clear" w:color="auto" w:fill="C6EFCE"/>
            <w:noWrap/>
            <w:hideMark/>
          </w:tcPr>
          <w:p w14:paraId="69EEB9ED"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756" w:type="dxa"/>
            <w:shd w:val="clear" w:color="auto" w:fill="C6EFCE"/>
            <w:noWrap/>
            <w:hideMark/>
          </w:tcPr>
          <w:p w14:paraId="065FA55F"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85" w:type="dxa"/>
            <w:shd w:val="clear" w:color="auto" w:fill="C6EFCE"/>
            <w:noWrap/>
            <w:hideMark/>
          </w:tcPr>
          <w:p w14:paraId="1E57F30C"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OTÁZKA Č. 3</w:t>
            </w:r>
          </w:p>
        </w:tc>
        <w:tc>
          <w:tcPr>
            <w:tcW w:w="772" w:type="dxa"/>
            <w:shd w:val="clear" w:color="auto" w:fill="C6EFCE"/>
            <w:noWrap/>
            <w:hideMark/>
          </w:tcPr>
          <w:p w14:paraId="2F13DC6A"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2023</w:t>
            </w:r>
          </w:p>
        </w:tc>
        <w:tc>
          <w:tcPr>
            <w:tcW w:w="3088" w:type="dxa"/>
            <w:shd w:val="clear" w:color="auto" w:fill="C6EFCE"/>
            <w:noWrap/>
            <w:hideMark/>
          </w:tcPr>
          <w:p w14:paraId="27FBAC2C" w14:textId="579212F6"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V spolupráci</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univerzitnou nemocnicou</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Aarhuse vypracuje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uverejní štúdiu 10000 účastníkov skúšania na obdobie dvoch rokov po očkovaní. Štúdia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správa sa zašlú dánskemu ministerstvu zdravotníctva.</w:t>
            </w:r>
          </w:p>
        </w:tc>
      </w:tr>
      <w:tr w:rsidR="00CC26EA" w:rsidRPr="00CC26EA" w14:paraId="77D8EE2B" w14:textId="77777777">
        <w:trPr>
          <w:trHeight w:val="305"/>
          <w:jc w:val="center"/>
        </w:trPr>
        <w:tc>
          <w:tcPr>
            <w:tcW w:w="1297" w:type="dxa"/>
            <w:shd w:val="clear" w:color="auto" w:fill="C6EFCE"/>
            <w:noWrap/>
          </w:tcPr>
          <w:p w14:paraId="5523882D"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6</w:t>
            </w:r>
          </w:p>
        </w:tc>
        <w:tc>
          <w:tcPr>
            <w:tcW w:w="1562" w:type="dxa"/>
            <w:shd w:val="clear" w:color="auto" w:fill="C6EFCE"/>
            <w:noWrap/>
          </w:tcPr>
          <w:p w14:paraId="4F2C07AE" w14:textId="6595D0EC"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 – Posilnenie odolnosti systému zdravotnej starostlivosti – riadenie núdzových situácií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monitorovanie kritických zdravotníckych produktov</w:t>
            </w:r>
          </w:p>
        </w:tc>
        <w:tc>
          <w:tcPr>
            <w:tcW w:w="1215" w:type="dxa"/>
            <w:shd w:val="clear" w:color="auto" w:fill="C6EFCE"/>
            <w:noWrap/>
          </w:tcPr>
          <w:p w14:paraId="672F762D"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994" w:type="dxa"/>
            <w:shd w:val="clear" w:color="auto" w:fill="C6EFCE"/>
            <w:noWrap/>
          </w:tcPr>
          <w:p w14:paraId="22D57FA1" w14:textId="33A7F2A5"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Zaviesť voliteľný informačný systém na podávanie správ</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vedľajších účinkoch vakcín proti ochoreniu COVID-19 do 1</w:t>
            </w:r>
          </w:p>
          <w:p w14:paraId="738E10D0"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250 miestnych digitálnych platforiem všeobecných lekárov. </w:t>
            </w:r>
          </w:p>
        </w:tc>
        <w:tc>
          <w:tcPr>
            <w:tcW w:w="1825" w:type="dxa"/>
            <w:shd w:val="clear" w:color="auto" w:fill="C6EFCE"/>
            <w:noWrap/>
          </w:tcPr>
          <w:p w14:paraId="2C27E6C9" w14:textId="77777777" w:rsidR="00F65654" w:rsidRPr="00CC26EA" w:rsidRDefault="00F65654">
            <w:pPr>
              <w:rPr>
                <w:rFonts w:ascii="Times New Roman" w:eastAsia="Times New Roman" w:hAnsi="Times New Roman"/>
                <w:noProof/>
                <w:color w:val="006100"/>
                <w:spacing w:val="-6"/>
                <w:lang w:val="sk-SK"/>
              </w:rPr>
            </w:pPr>
          </w:p>
        </w:tc>
        <w:tc>
          <w:tcPr>
            <w:tcW w:w="1010" w:type="dxa"/>
            <w:shd w:val="clear" w:color="auto" w:fill="C6EFCE"/>
            <w:noWrap/>
          </w:tcPr>
          <w:p w14:paraId="11CD842A"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998" w:type="dxa"/>
            <w:shd w:val="clear" w:color="auto" w:fill="C6EFCE"/>
            <w:noWrap/>
          </w:tcPr>
          <w:p w14:paraId="1453FC41"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1 000</w:t>
            </w:r>
          </w:p>
        </w:tc>
        <w:tc>
          <w:tcPr>
            <w:tcW w:w="756" w:type="dxa"/>
            <w:shd w:val="clear" w:color="auto" w:fill="C6EFCE"/>
            <w:noWrap/>
          </w:tcPr>
          <w:p w14:paraId="7500F78B"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2 250</w:t>
            </w:r>
          </w:p>
        </w:tc>
        <w:tc>
          <w:tcPr>
            <w:tcW w:w="985" w:type="dxa"/>
            <w:shd w:val="clear" w:color="auto" w:fill="C6EFCE"/>
            <w:noWrap/>
          </w:tcPr>
          <w:p w14:paraId="41257699"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OTÁZKA Č. 3</w:t>
            </w:r>
          </w:p>
        </w:tc>
        <w:tc>
          <w:tcPr>
            <w:tcW w:w="772" w:type="dxa"/>
            <w:shd w:val="clear" w:color="auto" w:fill="C6EFCE"/>
            <w:noWrap/>
          </w:tcPr>
          <w:p w14:paraId="5543A306"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3088" w:type="dxa"/>
            <w:shd w:val="clear" w:color="auto" w:fill="C6EFCE"/>
            <w:noWrap/>
          </w:tcPr>
          <w:p w14:paraId="1ED1F60C" w14:textId="6ECE7642"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Zavedenie IT systému týkajúceho sa nahlasovania vedľajších účinkov vakcín proti ochoreniu COVID-19 na 1250 ďalších miestnych digitálnych platforiem všeobecných lekárov</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porovnaní</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1000</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roku 2021. Dánska agentúra pre lieky zabezpečí zavedenie informačného systému týkajúceho sa nahlasovania vedľajších účinkov vakcín proti ochoreniu COVID-19 pre všeobecných lekárov, ktoré sa majú používať.</w:t>
            </w:r>
          </w:p>
        </w:tc>
      </w:tr>
    </w:tbl>
    <w:p w14:paraId="5835D038" w14:textId="77777777" w:rsidR="00F65654" w:rsidRPr="00CC26EA" w:rsidRDefault="00F65654">
      <w:pPr>
        <w:rPr>
          <w:rFonts w:ascii="Times New Roman" w:hAnsi="Times New Roman"/>
          <w:noProof/>
          <w:spacing w:val="-6"/>
          <w:lang w:val="sk-SK"/>
        </w:rPr>
      </w:pPr>
    </w:p>
    <w:p w14:paraId="2381E410" w14:textId="77777777" w:rsidR="00F65654" w:rsidRPr="00CC26EA" w:rsidRDefault="00F65654">
      <w:pPr>
        <w:rPr>
          <w:rFonts w:ascii="Times New Roman" w:hAnsi="Times New Roman"/>
          <w:noProof/>
          <w:spacing w:val="-6"/>
          <w:lang w:val="sk-SK"/>
        </w:rPr>
      </w:pPr>
    </w:p>
    <w:p w14:paraId="49170CFC" w14:textId="77777777" w:rsidR="00F65654" w:rsidRPr="00CC26EA" w:rsidRDefault="00F65654">
      <w:pPr>
        <w:rPr>
          <w:rFonts w:ascii="Times New Roman" w:hAnsi="Times New Roman"/>
          <w:noProof/>
          <w:spacing w:val="-6"/>
          <w:lang w:val="sk-SK"/>
        </w:rPr>
      </w:pPr>
    </w:p>
    <w:p w14:paraId="1459EADA" w14:textId="77777777" w:rsidR="00F65654" w:rsidRPr="00CC26EA" w:rsidRDefault="0041081E">
      <w:pPr>
        <w:tabs>
          <w:tab w:val="left" w:pos="6292"/>
        </w:tabs>
        <w:rPr>
          <w:rFonts w:ascii="Times New Roman" w:hAnsi="Times New Roman"/>
          <w:noProof/>
          <w:spacing w:val="-6"/>
          <w:lang w:val="sk-SK"/>
        </w:rPr>
        <w:sectPr w:rsidR="00F65654" w:rsidRPr="00CC26EA" w:rsidSect="00A61D33">
          <w:headerReference w:type="even" r:id="rId24"/>
          <w:headerReference w:type="default" r:id="rId25"/>
          <w:footerReference w:type="even" r:id="rId26"/>
          <w:footerReference w:type="default" r:id="rId27"/>
          <w:headerReference w:type="first" r:id="rId28"/>
          <w:footerReference w:type="first" r:id="rId29"/>
          <w:pgSz w:w="16839" w:h="11907" w:orient="landscape"/>
          <w:pgMar w:top="1134" w:right="1134" w:bottom="1134" w:left="1134" w:header="567" w:footer="567" w:gutter="0"/>
          <w:cols w:space="720"/>
          <w:docGrid w:linePitch="360"/>
        </w:sectPr>
      </w:pPr>
      <w:r w:rsidRPr="00CC26EA">
        <w:rPr>
          <w:rFonts w:ascii="Times New Roman" w:hAnsi="Times New Roman"/>
          <w:noProof/>
          <w:spacing w:val="-6"/>
          <w:lang w:val="sk-SK"/>
        </w:rPr>
        <w:tab/>
      </w:r>
    </w:p>
    <w:p w14:paraId="17DECA7B" w14:textId="77777777" w:rsidR="00CC26EA" w:rsidRPr="00CC26EA" w:rsidRDefault="0041081E">
      <w:pPr>
        <w:pStyle w:val="ManualHeading1"/>
        <w:spacing w:before="120"/>
        <w:ind w:left="0" w:firstLine="0"/>
        <w:rPr>
          <w:noProof/>
          <w:spacing w:val="-6"/>
          <w:lang w:val="sk-SK"/>
        </w:rPr>
      </w:pPr>
      <w:r w:rsidRPr="00CC26EA">
        <w:rPr>
          <w:noProof/>
          <w:spacing w:val="-6"/>
          <w:lang w:val="sk-SK"/>
        </w:rPr>
        <w:t>B. ZLOŽKA 2: Zelená transformácia poľnohospodárstva</w:t>
      </w:r>
      <w:r w:rsidR="00CC26EA" w:rsidRPr="00CC26EA">
        <w:rPr>
          <w:noProof/>
          <w:spacing w:val="-6"/>
          <w:lang w:val="sk-SK"/>
        </w:rPr>
        <w:t xml:space="preserve"> a </w:t>
      </w:r>
      <w:r w:rsidRPr="00CC26EA">
        <w:rPr>
          <w:noProof/>
          <w:spacing w:val="-6"/>
          <w:lang w:val="sk-SK"/>
        </w:rPr>
        <w:t>životného prostredia</w:t>
      </w:r>
    </w:p>
    <w:p w14:paraId="2C1833D1" w14:textId="282037A2" w:rsidR="00F65654" w:rsidRPr="00CC26EA" w:rsidRDefault="0041081E">
      <w:pPr>
        <w:pStyle w:val="Text1"/>
        <w:ind w:left="0"/>
        <w:rPr>
          <w:rStyle w:val="IntenseEmphasis"/>
          <w:i w:val="0"/>
          <w:noProof/>
          <w:color w:val="auto"/>
          <w:spacing w:val="-6"/>
          <w:lang w:val="sk-SK"/>
        </w:rPr>
      </w:pPr>
      <w:r w:rsidRPr="00CC26EA">
        <w:rPr>
          <w:rStyle w:val="IntenseEmphasis"/>
          <w:i w:val="0"/>
          <w:noProof/>
          <w:color w:val="auto"/>
          <w:spacing w:val="-6"/>
          <w:lang w:val="sk-SK"/>
        </w:rPr>
        <w:t xml:space="preserve">Cieľ tejto zložky </w:t>
      </w:r>
      <w:r w:rsidRPr="00CC26EA">
        <w:rPr>
          <w:noProof/>
          <w:spacing w:val="-6"/>
          <w:lang w:val="sk-SK"/>
        </w:rPr>
        <w:t>dánskeho plánu obnovy</w:t>
      </w:r>
      <w:r w:rsidR="00CC26EA" w:rsidRPr="00CC26EA">
        <w:rPr>
          <w:noProof/>
          <w:spacing w:val="-6"/>
          <w:lang w:val="sk-SK"/>
        </w:rPr>
        <w:t xml:space="preserve"> a </w:t>
      </w:r>
      <w:r w:rsidRPr="00CC26EA">
        <w:rPr>
          <w:noProof/>
          <w:spacing w:val="-6"/>
          <w:lang w:val="sk-SK"/>
        </w:rPr>
        <w:t xml:space="preserve">odolnosti </w:t>
      </w:r>
      <w:r w:rsidRPr="00CC26EA">
        <w:rPr>
          <w:rStyle w:val="IntenseEmphasis"/>
          <w:i w:val="0"/>
          <w:noProof/>
          <w:color w:val="auto"/>
          <w:spacing w:val="-6"/>
          <w:lang w:val="sk-SK"/>
        </w:rPr>
        <w:t>je trojaký. Po prvé, navrhované iniciatívy využívajú známe</w:t>
      </w:r>
      <w:r w:rsidR="00CC26EA" w:rsidRPr="00CC26EA">
        <w:rPr>
          <w:rStyle w:val="IntenseEmphasis"/>
          <w:i w:val="0"/>
          <w:noProof/>
          <w:color w:val="auto"/>
          <w:spacing w:val="-6"/>
          <w:lang w:val="sk-SK"/>
        </w:rPr>
        <w:t xml:space="preserve"> a </w:t>
      </w:r>
      <w:r w:rsidRPr="00CC26EA">
        <w:rPr>
          <w:rStyle w:val="IntenseEmphasis"/>
          <w:i w:val="0"/>
          <w:noProof/>
          <w:color w:val="auto"/>
          <w:spacing w:val="-6"/>
          <w:lang w:val="sk-SK"/>
        </w:rPr>
        <w:t>účinné nástroje na zníženie emisií skleníkových plynov</w:t>
      </w:r>
      <w:r w:rsidR="00CC26EA" w:rsidRPr="00CC26EA">
        <w:rPr>
          <w:rStyle w:val="IntenseEmphasis"/>
          <w:i w:val="0"/>
          <w:noProof/>
          <w:color w:val="auto"/>
          <w:spacing w:val="-6"/>
          <w:lang w:val="sk-SK"/>
        </w:rPr>
        <w:t xml:space="preserve"> v </w:t>
      </w:r>
      <w:r w:rsidRPr="00CC26EA">
        <w:rPr>
          <w:rStyle w:val="IntenseEmphasis"/>
          <w:i w:val="0"/>
          <w:noProof/>
          <w:color w:val="auto"/>
          <w:spacing w:val="-6"/>
          <w:lang w:val="sk-SK"/>
        </w:rPr>
        <w:t>dánskom poľnohospodárstve</w:t>
      </w:r>
      <w:r w:rsidR="00CC26EA" w:rsidRPr="00CC26EA">
        <w:rPr>
          <w:rStyle w:val="IntenseEmphasis"/>
          <w:i w:val="0"/>
          <w:noProof/>
          <w:color w:val="auto"/>
          <w:spacing w:val="-6"/>
          <w:lang w:val="sk-SK"/>
        </w:rPr>
        <w:t xml:space="preserve"> a </w:t>
      </w:r>
      <w:r w:rsidRPr="00CC26EA">
        <w:rPr>
          <w:rStyle w:val="IntenseEmphasis"/>
          <w:i w:val="0"/>
          <w:noProof/>
          <w:color w:val="auto"/>
          <w:spacing w:val="-6"/>
          <w:lang w:val="sk-SK"/>
        </w:rPr>
        <w:t>zároveň minimalizujú zníženie produkcie. Cieľom je znížiť do roku 2030 emisie skleníkových plynov približne</w:t>
      </w:r>
      <w:r w:rsidR="00CC26EA" w:rsidRPr="00CC26EA">
        <w:rPr>
          <w:rStyle w:val="IntenseEmphasis"/>
          <w:i w:val="0"/>
          <w:noProof/>
          <w:color w:val="auto"/>
          <w:spacing w:val="-6"/>
          <w:lang w:val="sk-SK"/>
        </w:rPr>
        <w:t xml:space="preserve"> o </w:t>
      </w:r>
      <w:r w:rsidRPr="00CC26EA">
        <w:rPr>
          <w:rStyle w:val="IntenseEmphasis"/>
          <w:i w:val="0"/>
          <w:noProof/>
          <w:color w:val="auto"/>
          <w:spacing w:val="-6"/>
          <w:lang w:val="sk-SK"/>
        </w:rPr>
        <w:t>0,1 megaton CO2e. Okrem toho sa očakáva, že emisie dusíka do pobrežných vôd sa do roku 2030 znížia približne</w:t>
      </w:r>
      <w:r w:rsidR="00CC26EA" w:rsidRPr="00CC26EA">
        <w:rPr>
          <w:rStyle w:val="IntenseEmphasis"/>
          <w:i w:val="0"/>
          <w:noProof/>
          <w:color w:val="auto"/>
          <w:spacing w:val="-6"/>
          <w:lang w:val="sk-SK"/>
        </w:rPr>
        <w:t xml:space="preserve"> o </w:t>
      </w:r>
      <w:r w:rsidRPr="00CC26EA">
        <w:rPr>
          <w:rStyle w:val="IntenseEmphasis"/>
          <w:i w:val="0"/>
          <w:noProof/>
          <w:color w:val="auto"/>
          <w:spacing w:val="-6"/>
          <w:lang w:val="sk-SK"/>
        </w:rPr>
        <w:t>198 ton. Očakáva sa, že dánske odvetvie poľnohospodárstva tým prispeje</w:t>
      </w:r>
      <w:r w:rsidR="00CC26EA" w:rsidRPr="00CC26EA">
        <w:rPr>
          <w:rStyle w:val="IntenseEmphasis"/>
          <w:i w:val="0"/>
          <w:noProof/>
          <w:color w:val="auto"/>
          <w:spacing w:val="-6"/>
          <w:lang w:val="sk-SK"/>
        </w:rPr>
        <w:t xml:space="preserve"> k </w:t>
      </w:r>
      <w:r w:rsidRPr="00CC26EA">
        <w:rPr>
          <w:rStyle w:val="IntenseEmphasis"/>
          <w:i w:val="0"/>
          <w:noProof/>
          <w:color w:val="auto"/>
          <w:spacing w:val="-6"/>
          <w:lang w:val="sk-SK"/>
        </w:rPr>
        <w:t>dosiahnutiu cieľa Dánska</w:t>
      </w:r>
      <w:r w:rsidR="00CC26EA" w:rsidRPr="00CC26EA">
        <w:rPr>
          <w:rStyle w:val="IntenseEmphasis"/>
          <w:i w:val="0"/>
          <w:noProof/>
          <w:color w:val="auto"/>
          <w:spacing w:val="-6"/>
          <w:lang w:val="sk-SK"/>
        </w:rPr>
        <w:t xml:space="preserve"> v </w:t>
      </w:r>
      <w:r w:rsidRPr="00CC26EA">
        <w:rPr>
          <w:rStyle w:val="IntenseEmphasis"/>
          <w:i w:val="0"/>
          <w:noProof/>
          <w:color w:val="auto"/>
          <w:spacing w:val="-6"/>
          <w:lang w:val="sk-SK"/>
        </w:rPr>
        <w:t>oblasti klímy, ktorým je zníženie emisií skleníkových plynov</w:t>
      </w:r>
      <w:r w:rsidR="00CC26EA" w:rsidRPr="00CC26EA">
        <w:rPr>
          <w:rStyle w:val="IntenseEmphasis"/>
          <w:i w:val="0"/>
          <w:noProof/>
          <w:color w:val="auto"/>
          <w:spacing w:val="-6"/>
          <w:lang w:val="sk-SK"/>
        </w:rPr>
        <w:t xml:space="preserve"> o </w:t>
      </w:r>
      <w:r w:rsidRPr="00CC26EA">
        <w:rPr>
          <w:rStyle w:val="IntenseEmphasis"/>
          <w:i w:val="0"/>
          <w:noProof/>
          <w:color w:val="auto"/>
          <w:spacing w:val="-6"/>
          <w:lang w:val="sk-SK"/>
        </w:rPr>
        <w:t>70</w:t>
      </w:r>
      <w:r w:rsidR="00CC26EA" w:rsidRPr="00CC26EA">
        <w:rPr>
          <w:rStyle w:val="IntenseEmphasis"/>
          <w:i w:val="0"/>
          <w:noProof/>
          <w:color w:val="auto"/>
          <w:spacing w:val="-6"/>
          <w:lang w:val="sk-SK"/>
        </w:rPr>
        <w:t> %</w:t>
      </w:r>
      <w:r w:rsidRPr="00CC26EA">
        <w:rPr>
          <w:rStyle w:val="IntenseEmphasis"/>
          <w:i w:val="0"/>
          <w:noProof/>
          <w:color w:val="auto"/>
          <w:spacing w:val="-6"/>
          <w:lang w:val="sk-SK"/>
        </w:rPr>
        <w:t xml:space="preserve"> do roku 2030, ako aj zlepšenie environmentálnych podmienok. Intenzívnejšie ekologické poľnohospodárstvo slúži ako prostriedok na dosiahnutie tohto cieľa, ako aj ako cieľ zelenej transformácie dánskeho poľnohospodárstva.</w:t>
      </w:r>
    </w:p>
    <w:p w14:paraId="3788AB33" w14:textId="39A7187D" w:rsidR="00F65654" w:rsidRPr="00CC26EA" w:rsidRDefault="0041081E">
      <w:pPr>
        <w:pStyle w:val="Text1"/>
        <w:ind w:left="0"/>
        <w:rPr>
          <w:rStyle w:val="IntenseEmphasis"/>
          <w:i w:val="0"/>
          <w:noProof/>
          <w:color w:val="auto"/>
          <w:spacing w:val="-6"/>
          <w:lang w:val="sk-SK"/>
        </w:rPr>
      </w:pPr>
      <w:r w:rsidRPr="00CC26EA">
        <w:rPr>
          <w:rStyle w:val="IntenseEmphasis"/>
          <w:i w:val="0"/>
          <w:noProof/>
          <w:color w:val="auto"/>
          <w:spacing w:val="-6"/>
          <w:lang w:val="sk-SK"/>
        </w:rPr>
        <w:t>Po druhé, ako doplnok</w:t>
      </w:r>
      <w:r w:rsidR="00CC26EA" w:rsidRPr="00CC26EA">
        <w:rPr>
          <w:rStyle w:val="IntenseEmphasis"/>
          <w:i w:val="0"/>
          <w:noProof/>
          <w:color w:val="auto"/>
          <w:spacing w:val="-6"/>
          <w:lang w:val="sk-SK"/>
        </w:rPr>
        <w:t xml:space="preserve"> k </w:t>
      </w:r>
      <w:r w:rsidRPr="00CC26EA">
        <w:rPr>
          <w:rStyle w:val="IntenseEmphasis"/>
          <w:i w:val="0"/>
          <w:noProof/>
          <w:color w:val="auto"/>
          <w:spacing w:val="-6"/>
          <w:lang w:val="sk-SK"/>
        </w:rPr>
        <w:t>stratégii dánskej vlády</w:t>
      </w:r>
      <w:r w:rsidR="00CC26EA" w:rsidRPr="00CC26EA">
        <w:rPr>
          <w:rStyle w:val="IntenseEmphasis"/>
          <w:i w:val="0"/>
          <w:noProof/>
          <w:color w:val="auto"/>
          <w:spacing w:val="-6"/>
          <w:lang w:val="sk-SK"/>
        </w:rPr>
        <w:t xml:space="preserve"> v </w:t>
      </w:r>
      <w:r w:rsidRPr="00CC26EA">
        <w:rPr>
          <w:rStyle w:val="IntenseEmphasis"/>
          <w:i w:val="0"/>
          <w:noProof/>
          <w:color w:val="auto"/>
          <w:spacing w:val="-6"/>
          <w:lang w:val="sk-SK"/>
        </w:rPr>
        <w:t>oblasti ekologického výskumu sa zavedú značné finančné prostriedky na výskum</w:t>
      </w:r>
      <w:r w:rsidR="00CC26EA" w:rsidRPr="00CC26EA">
        <w:rPr>
          <w:rStyle w:val="IntenseEmphasis"/>
          <w:i w:val="0"/>
          <w:noProof/>
          <w:color w:val="auto"/>
          <w:spacing w:val="-6"/>
          <w:lang w:val="sk-SK"/>
        </w:rPr>
        <w:t xml:space="preserve"> a </w:t>
      </w:r>
      <w:r w:rsidRPr="00CC26EA">
        <w:rPr>
          <w:rStyle w:val="IntenseEmphasis"/>
          <w:i w:val="0"/>
          <w:noProof/>
          <w:color w:val="auto"/>
          <w:spacing w:val="-6"/>
          <w:lang w:val="sk-SK"/>
        </w:rPr>
        <w:t>vývoj sľubných technológií</w:t>
      </w:r>
      <w:r w:rsidR="00CC26EA" w:rsidRPr="00CC26EA">
        <w:rPr>
          <w:rStyle w:val="IntenseEmphasis"/>
          <w:i w:val="0"/>
          <w:noProof/>
          <w:color w:val="auto"/>
          <w:spacing w:val="-6"/>
          <w:lang w:val="sk-SK"/>
        </w:rPr>
        <w:t xml:space="preserve"> v </w:t>
      </w:r>
      <w:r w:rsidRPr="00CC26EA">
        <w:rPr>
          <w:rStyle w:val="IntenseEmphasis"/>
          <w:i w:val="0"/>
          <w:noProof/>
          <w:color w:val="auto"/>
          <w:spacing w:val="-6"/>
          <w:lang w:val="sk-SK"/>
        </w:rPr>
        <w:t>odvetví poľnohospodárstva. Cieľom je zdokumentovať</w:t>
      </w:r>
      <w:r w:rsidR="00CC26EA" w:rsidRPr="00CC26EA">
        <w:rPr>
          <w:rStyle w:val="IntenseEmphasis"/>
          <w:i w:val="0"/>
          <w:noProof/>
          <w:color w:val="auto"/>
          <w:spacing w:val="-6"/>
          <w:lang w:val="sk-SK"/>
        </w:rPr>
        <w:t xml:space="preserve"> a </w:t>
      </w:r>
      <w:r w:rsidRPr="00CC26EA">
        <w:rPr>
          <w:rStyle w:val="IntenseEmphasis"/>
          <w:i w:val="0"/>
          <w:noProof/>
          <w:color w:val="auto"/>
          <w:spacing w:val="-6"/>
          <w:lang w:val="sk-SK"/>
        </w:rPr>
        <w:t>preukázať účinky tzv. hnedej biorafinačnej technológie na skleníkové plyny. Technológia má odhadovaný technický potenciál zníženia</w:t>
      </w:r>
      <w:r w:rsidR="00CC26EA" w:rsidRPr="00CC26EA">
        <w:rPr>
          <w:rStyle w:val="IntenseEmphasis"/>
          <w:i w:val="0"/>
          <w:noProof/>
          <w:color w:val="auto"/>
          <w:spacing w:val="-6"/>
          <w:lang w:val="sk-SK"/>
        </w:rPr>
        <w:t xml:space="preserve"> o </w:t>
      </w:r>
      <w:r w:rsidRPr="00CC26EA">
        <w:rPr>
          <w:rStyle w:val="IntenseEmphasis"/>
          <w:i w:val="0"/>
          <w:noProof/>
          <w:color w:val="auto"/>
          <w:spacing w:val="-6"/>
          <w:lang w:val="sk-SK"/>
        </w:rPr>
        <w:t>2 Mt ekvivalentu CO2</w:t>
      </w:r>
      <w:r w:rsidR="00CC26EA" w:rsidRPr="00CC26EA">
        <w:rPr>
          <w:rStyle w:val="IntenseEmphasis"/>
          <w:i w:val="0"/>
          <w:noProof/>
          <w:color w:val="auto"/>
          <w:spacing w:val="-6"/>
          <w:lang w:val="sk-SK"/>
        </w:rPr>
        <w:t xml:space="preserve"> v </w:t>
      </w:r>
      <w:r w:rsidRPr="00CC26EA">
        <w:rPr>
          <w:rStyle w:val="IntenseEmphasis"/>
          <w:i w:val="0"/>
          <w:noProof/>
          <w:color w:val="auto"/>
          <w:spacing w:val="-6"/>
          <w:lang w:val="sk-SK"/>
        </w:rPr>
        <w:t>roku 2030. To sa rovná približne 1/8 emisií skleníkových plynov</w:t>
      </w:r>
      <w:r w:rsidR="00CC26EA" w:rsidRPr="00CC26EA">
        <w:rPr>
          <w:rStyle w:val="IntenseEmphasis"/>
          <w:i w:val="0"/>
          <w:noProof/>
          <w:color w:val="auto"/>
          <w:spacing w:val="-6"/>
          <w:lang w:val="sk-SK"/>
        </w:rPr>
        <w:t xml:space="preserve"> v </w:t>
      </w:r>
      <w:r w:rsidRPr="00CC26EA">
        <w:rPr>
          <w:rStyle w:val="IntenseEmphasis"/>
          <w:i w:val="0"/>
          <w:noProof/>
          <w:color w:val="auto"/>
          <w:spacing w:val="-6"/>
          <w:lang w:val="sk-SK"/>
        </w:rPr>
        <w:t>odvetví poľnohospodárstva. Výskum</w:t>
      </w:r>
      <w:r w:rsidR="00CC26EA" w:rsidRPr="00CC26EA">
        <w:rPr>
          <w:rStyle w:val="IntenseEmphasis"/>
          <w:i w:val="0"/>
          <w:noProof/>
          <w:color w:val="auto"/>
          <w:spacing w:val="-6"/>
          <w:lang w:val="sk-SK"/>
        </w:rPr>
        <w:t xml:space="preserve"> a </w:t>
      </w:r>
      <w:r w:rsidRPr="00CC26EA">
        <w:rPr>
          <w:rStyle w:val="IntenseEmphasis"/>
          <w:i w:val="0"/>
          <w:noProof/>
          <w:color w:val="auto"/>
          <w:spacing w:val="-6"/>
          <w:lang w:val="sk-SK"/>
        </w:rPr>
        <w:t>vývoj takýchto nových riešení</w:t>
      </w:r>
      <w:r w:rsidR="00CC26EA" w:rsidRPr="00CC26EA">
        <w:rPr>
          <w:rStyle w:val="IntenseEmphasis"/>
          <w:i w:val="0"/>
          <w:noProof/>
          <w:color w:val="auto"/>
          <w:spacing w:val="-6"/>
          <w:lang w:val="sk-SK"/>
        </w:rPr>
        <w:t xml:space="preserve"> a </w:t>
      </w:r>
      <w:r w:rsidRPr="00CC26EA">
        <w:rPr>
          <w:rStyle w:val="IntenseEmphasis"/>
          <w:i w:val="0"/>
          <w:noProof/>
          <w:color w:val="auto"/>
          <w:spacing w:val="-6"/>
          <w:lang w:val="sk-SK"/>
        </w:rPr>
        <w:t>technológií sú preto kľúčom</w:t>
      </w:r>
      <w:r w:rsidR="00CC26EA" w:rsidRPr="00CC26EA">
        <w:rPr>
          <w:rStyle w:val="IntenseEmphasis"/>
          <w:i w:val="0"/>
          <w:noProof/>
          <w:color w:val="auto"/>
          <w:spacing w:val="-6"/>
          <w:lang w:val="sk-SK"/>
        </w:rPr>
        <w:t xml:space="preserve"> k </w:t>
      </w:r>
      <w:r w:rsidRPr="00CC26EA">
        <w:rPr>
          <w:rStyle w:val="IntenseEmphasis"/>
          <w:i w:val="0"/>
          <w:noProof/>
          <w:color w:val="auto"/>
          <w:spacing w:val="-6"/>
          <w:lang w:val="sk-SK"/>
        </w:rPr>
        <w:t>zelenej transformácii dánskeho poľnohospodárstva,</w:t>
      </w:r>
      <w:r w:rsidR="00CC26EA" w:rsidRPr="00CC26EA">
        <w:rPr>
          <w:rStyle w:val="IntenseEmphasis"/>
          <w:i w:val="0"/>
          <w:noProof/>
          <w:color w:val="auto"/>
          <w:spacing w:val="-6"/>
          <w:lang w:val="sk-SK"/>
        </w:rPr>
        <w:t xml:space="preserve"> a </w:t>
      </w:r>
      <w:r w:rsidRPr="00CC26EA">
        <w:rPr>
          <w:rStyle w:val="IntenseEmphasis"/>
          <w:i w:val="0"/>
          <w:noProof/>
          <w:color w:val="auto"/>
          <w:spacing w:val="-6"/>
          <w:lang w:val="sk-SK"/>
        </w:rPr>
        <w:t>to tak pri znižovaní národných emisií, ako aj pri preukazovaní spôsobu znižovania emisií</w:t>
      </w:r>
      <w:r w:rsidR="00CC26EA" w:rsidRPr="00CC26EA">
        <w:rPr>
          <w:rStyle w:val="IntenseEmphasis"/>
          <w:i w:val="0"/>
          <w:noProof/>
          <w:color w:val="auto"/>
          <w:spacing w:val="-6"/>
          <w:lang w:val="sk-SK"/>
        </w:rPr>
        <w:t xml:space="preserve"> z </w:t>
      </w:r>
      <w:r w:rsidRPr="00CC26EA">
        <w:rPr>
          <w:rStyle w:val="IntenseEmphasis"/>
          <w:i w:val="0"/>
          <w:noProof/>
          <w:color w:val="auto"/>
          <w:spacing w:val="-6"/>
          <w:lang w:val="sk-SK"/>
        </w:rPr>
        <w:t>poľnohospodárstva pre zvyšok sveta bez zníženia produkcie odvetvia.</w:t>
      </w:r>
    </w:p>
    <w:p w14:paraId="111C87F1" w14:textId="483A3F58" w:rsidR="00F65654" w:rsidRPr="00CC26EA" w:rsidRDefault="0041081E">
      <w:pPr>
        <w:pStyle w:val="Text1"/>
        <w:ind w:left="0"/>
        <w:rPr>
          <w:noProof/>
          <w:spacing w:val="-6"/>
          <w:lang w:val="sk-SK"/>
        </w:rPr>
      </w:pPr>
      <w:r w:rsidRPr="00CC26EA">
        <w:rPr>
          <w:rStyle w:val="IntenseEmphasis"/>
          <w:i w:val="0"/>
          <w:noProof/>
          <w:color w:val="auto"/>
          <w:spacing w:val="-6"/>
          <w:lang w:val="sk-SK"/>
        </w:rPr>
        <w:t>Napokon výroba</w:t>
      </w:r>
      <w:r w:rsidR="00CC26EA" w:rsidRPr="00CC26EA">
        <w:rPr>
          <w:rStyle w:val="IntenseEmphasis"/>
          <w:i w:val="0"/>
          <w:noProof/>
          <w:color w:val="auto"/>
          <w:spacing w:val="-6"/>
          <w:lang w:val="sk-SK"/>
        </w:rPr>
        <w:t xml:space="preserve"> v </w:t>
      </w:r>
      <w:r w:rsidRPr="00CC26EA">
        <w:rPr>
          <w:rStyle w:val="IntenseEmphasis"/>
          <w:i w:val="0"/>
          <w:noProof/>
          <w:color w:val="auto"/>
          <w:spacing w:val="-6"/>
          <w:lang w:val="sk-SK"/>
        </w:rPr>
        <w:t>minulosti spôsobila vážne znečistenie životného prostredia</w:t>
      </w:r>
      <w:r w:rsidR="00CC26EA" w:rsidRPr="00CC26EA">
        <w:rPr>
          <w:rStyle w:val="IntenseEmphasis"/>
          <w:i w:val="0"/>
          <w:noProof/>
          <w:color w:val="auto"/>
          <w:spacing w:val="-6"/>
          <w:lang w:val="sk-SK"/>
        </w:rPr>
        <w:t xml:space="preserve"> a </w:t>
      </w:r>
      <w:r w:rsidRPr="00CC26EA">
        <w:rPr>
          <w:rStyle w:val="IntenseEmphasis"/>
          <w:i w:val="0"/>
          <w:noProof/>
          <w:color w:val="auto"/>
          <w:spacing w:val="-6"/>
          <w:lang w:val="sk-SK"/>
        </w:rPr>
        <w:t>kontamináciu pôdy. Chemikálie</w:t>
      </w:r>
      <w:r w:rsidR="00CC26EA" w:rsidRPr="00CC26EA">
        <w:rPr>
          <w:rStyle w:val="IntenseEmphasis"/>
          <w:i w:val="0"/>
          <w:noProof/>
          <w:color w:val="auto"/>
          <w:spacing w:val="-6"/>
          <w:lang w:val="sk-SK"/>
        </w:rPr>
        <w:t xml:space="preserve"> a </w:t>
      </w:r>
      <w:r w:rsidRPr="00CC26EA">
        <w:rPr>
          <w:rStyle w:val="IntenseEmphasis"/>
          <w:i w:val="0"/>
          <w:noProof/>
          <w:color w:val="auto"/>
          <w:spacing w:val="-6"/>
          <w:lang w:val="sk-SK"/>
        </w:rPr>
        <w:t>škodlivé látky sa uvoľňovali priamo do prírody. Toto znečistenie je dôsledkom nedostatočných poznatkov</w:t>
      </w:r>
      <w:r w:rsidR="00CC26EA" w:rsidRPr="00CC26EA">
        <w:rPr>
          <w:rStyle w:val="IntenseEmphasis"/>
          <w:i w:val="0"/>
          <w:noProof/>
          <w:color w:val="auto"/>
          <w:spacing w:val="-6"/>
          <w:lang w:val="sk-SK"/>
        </w:rPr>
        <w:t xml:space="preserve"> o </w:t>
      </w:r>
      <w:r w:rsidRPr="00CC26EA">
        <w:rPr>
          <w:rStyle w:val="IntenseEmphasis"/>
          <w:i w:val="0"/>
          <w:noProof/>
          <w:color w:val="auto"/>
          <w:spacing w:val="-6"/>
          <w:lang w:val="sk-SK"/>
        </w:rPr>
        <w:t>škodlivom účinku skládkovania chemických látok do prírody</w:t>
      </w:r>
      <w:r w:rsidR="00CC26EA" w:rsidRPr="00CC26EA">
        <w:rPr>
          <w:rStyle w:val="IntenseEmphasis"/>
          <w:i w:val="0"/>
          <w:noProof/>
          <w:color w:val="auto"/>
          <w:spacing w:val="-6"/>
          <w:lang w:val="sk-SK"/>
        </w:rPr>
        <w:t xml:space="preserve"> a o </w:t>
      </w:r>
      <w:r w:rsidRPr="00CC26EA">
        <w:rPr>
          <w:rStyle w:val="IntenseEmphasis"/>
          <w:i w:val="0"/>
          <w:noProof/>
          <w:color w:val="auto"/>
          <w:spacing w:val="-6"/>
          <w:lang w:val="sk-SK"/>
        </w:rPr>
        <w:t>škodách, ktoré spôsobilo budúcim generáciám. Táto zložka zahŕňa investície zamerané na obnovu priemyselných lokalít</w:t>
      </w:r>
      <w:r w:rsidR="00CC26EA" w:rsidRPr="00CC26EA">
        <w:rPr>
          <w:rStyle w:val="IntenseEmphasis"/>
          <w:i w:val="0"/>
          <w:noProof/>
          <w:color w:val="auto"/>
          <w:spacing w:val="-6"/>
          <w:lang w:val="sk-SK"/>
        </w:rPr>
        <w:t xml:space="preserve"> a </w:t>
      </w:r>
      <w:r w:rsidRPr="00CC26EA">
        <w:rPr>
          <w:rStyle w:val="IntenseEmphasis"/>
          <w:i w:val="0"/>
          <w:noProof/>
          <w:color w:val="auto"/>
          <w:spacing w:val="-6"/>
          <w:lang w:val="sk-SK"/>
        </w:rPr>
        <w:t>pôdy, ktorá bola</w:t>
      </w:r>
      <w:r w:rsidR="00CC26EA" w:rsidRPr="00CC26EA">
        <w:rPr>
          <w:rStyle w:val="IntenseEmphasis"/>
          <w:i w:val="0"/>
          <w:noProof/>
          <w:color w:val="auto"/>
          <w:spacing w:val="-6"/>
          <w:lang w:val="sk-SK"/>
        </w:rPr>
        <w:t xml:space="preserve"> v </w:t>
      </w:r>
      <w:r w:rsidRPr="00CC26EA">
        <w:rPr>
          <w:rStyle w:val="IntenseEmphasis"/>
          <w:i w:val="0"/>
          <w:noProof/>
          <w:color w:val="auto"/>
          <w:spacing w:val="-6"/>
          <w:lang w:val="sk-SK"/>
        </w:rPr>
        <w:t>minulosti kontaminovaná</w:t>
      </w:r>
      <w:r w:rsidR="00CC26EA" w:rsidRPr="00CC26EA">
        <w:rPr>
          <w:rStyle w:val="IntenseEmphasis"/>
          <w:i w:val="0"/>
          <w:noProof/>
          <w:color w:val="auto"/>
          <w:spacing w:val="-6"/>
          <w:lang w:val="sk-SK"/>
        </w:rPr>
        <w:t xml:space="preserve"> v </w:t>
      </w:r>
      <w:r w:rsidRPr="00CC26EA">
        <w:rPr>
          <w:rStyle w:val="IntenseEmphasis"/>
          <w:i w:val="0"/>
          <w:noProof/>
          <w:color w:val="auto"/>
          <w:spacing w:val="-6"/>
          <w:lang w:val="sk-SK"/>
        </w:rPr>
        <w:t>dôsledku neudržateľnej výroby.</w:t>
      </w:r>
    </w:p>
    <w:p w14:paraId="0E97D5D0" w14:textId="16E87A6E" w:rsidR="00F65654" w:rsidRPr="00CC26EA" w:rsidRDefault="0041081E">
      <w:pPr>
        <w:pStyle w:val="Text1"/>
        <w:ind w:left="0"/>
        <w:rPr>
          <w:noProof/>
          <w:spacing w:val="-6"/>
          <w:lang w:val="sk-SK"/>
        </w:rPr>
      </w:pPr>
      <w:r w:rsidRPr="00CC26EA">
        <w:rPr>
          <w:noProof/>
          <w:spacing w:val="-6"/>
          <w:lang w:val="sk-SK"/>
        </w:rPr>
        <w:t>Táto zložka prispieva</w:t>
      </w:r>
      <w:r w:rsidR="00CC26EA" w:rsidRPr="00CC26EA">
        <w:rPr>
          <w:noProof/>
          <w:spacing w:val="-6"/>
          <w:lang w:val="sk-SK"/>
        </w:rPr>
        <w:t xml:space="preserve"> k </w:t>
      </w:r>
      <w:r w:rsidRPr="00CC26EA">
        <w:rPr>
          <w:noProof/>
          <w:spacing w:val="-6"/>
          <w:lang w:val="sk-SK"/>
        </w:rPr>
        <w:t>plneniu odporúčania pre danú krajinu určeného Dánsku</w:t>
      </w:r>
      <w:r w:rsidR="00CC26EA" w:rsidRPr="00CC26EA">
        <w:rPr>
          <w:noProof/>
          <w:spacing w:val="-6"/>
          <w:lang w:val="sk-SK"/>
        </w:rPr>
        <w:t xml:space="preserve"> v </w:t>
      </w:r>
      <w:r w:rsidRPr="00CC26EA">
        <w:rPr>
          <w:noProof/>
          <w:spacing w:val="-6"/>
          <w:lang w:val="sk-SK"/>
        </w:rPr>
        <w:t>roku 2020, pokiaľ ide</w:t>
      </w:r>
      <w:r w:rsidR="00CC26EA" w:rsidRPr="00CC26EA">
        <w:rPr>
          <w:noProof/>
          <w:spacing w:val="-6"/>
          <w:lang w:val="sk-SK"/>
        </w:rPr>
        <w:t xml:space="preserve"> o </w:t>
      </w:r>
      <w:r w:rsidRPr="00CC26EA">
        <w:rPr>
          <w:noProof/>
          <w:spacing w:val="-6"/>
          <w:lang w:val="sk-SK"/>
        </w:rPr>
        <w:t>potrebu „zamerať investície na zelenú</w:t>
      </w:r>
      <w:r w:rsidR="00CC26EA" w:rsidRPr="00CC26EA">
        <w:rPr>
          <w:noProof/>
          <w:spacing w:val="-6"/>
          <w:lang w:val="sk-SK"/>
        </w:rPr>
        <w:t xml:space="preserve"> a </w:t>
      </w:r>
      <w:r w:rsidRPr="00CC26EA">
        <w:rPr>
          <w:noProof/>
          <w:spacing w:val="-6"/>
          <w:lang w:val="sk-SK"/>
        </w:rPr>
        <w:t>digitálnu transformáciu, najmä na čistú</w:t>
      </w:r>
      <w:r w:rsidR="00CC26EA" w:rsidRPr="00CC26EA">
        <w:rPr>
          <w:noProof/>
          <w:spacing w:val="-6"/>
          <w:lang w:val="sk-SK"/>
        </w:rPr>
        <w:t xml:space="preserve"> a </w:t>
      </w:r>
      <w:r w:rsidRPr="00CC26EA">
        <w:rPr>
          <w:noProof/>
          <w:spacing w:val="-6"/>
          <w:lang w:val="sk-SK"/>
        </w:rPr>
        <w:t>efektívnu výrobu</w:t>
      </w:r>
      <w:r w:rsidR="00CC26EA" w:rsidRPr="00CC26EA">
        <w:rPr>
          <w:noProof/>
          <w:spacing w:val="-6"/>
          <w:lang w:val="sk-SK"/>
        </w:rPr>
        <w:t xml:space="preserve"> a </w:t>
      </w:r>
      <w:r w:rsidRPr="00CC26EA">
        <w:rPr>
          <w:noProof/>
          <w:spacing w:val="-6"/>
          <w:lang w:val="sk-SK"/>
        </w:rPr>
        <w:t>využívanie energie“ (odporúčanie pre jednotlivé krajiny 2, 2020).</w:t>
      </w:r>
    </w:p>
    <w:p w14:paraId="71F234F2" w14:textId="77777777" w:rsidR="00F65654" w:rsidRPr="00CC26EA" w:rsidRDefault="00F65654">
      <w:pPr>
        <w:pStyle w:val="Text1"/>
        <w:ind w:left="0"/>
        <w:rPr>
          <w:noProof/>
          <w:spacing w:val="-6"/>
          <w:lang w:val="sk-SK"/>
        </w:rPr>
      </w:pPr>
    </w:p>
    <w:p w14:paraId="73E62471" w14:textId="72B8120F" w:rsidR="00F65654" w:rsidRPr="00CC26EA" w:rsidRDefault="0041081E">
      <w:pPr>
        <w:pStyle w:val="Text1"/>
        <w:ind w:left="0"/>
        <w:rPr>
          <w:b/>
          <w:noProof/>
          <w:spacing w:val="-6"/>
          <w:u w:val="single"/>
          <w:lang w:val="sk-SK"/>
        </w:rPr>
      </w:pPr>
      <w:r w:rsidRPr="00CC26EA">
        <w:rPr>
          <w:b/>
          <w:noProof/>
          <w:spacing w:val="-6"/>
          <w:u w:val="single"/>
          <w:lang w:val="sk-SK"/>
        </w:rPr>
        <w:t xml:space="preserve">B.1. </w:t>
      </w:r>
      <w:r w:rsidRPr="00CC26EA">
        <w:rPr>
          <w:noProof/>
          <w:spacing w:val="-6"/>
          <w:lang w:val="sk-SK"/>
        </w:rPr>
        <w:tab/>
      </w:r>
      <w:r w:rsidRPr="00CC26EA">
        <w:rPr>
          <w:b/>
          <w:noProof/>
          <w:spacing w:val="-6"/>
          <w:u w:val="single"/>
          <w:lang w:val="sk-SK"/>
        </w:rPr>
        <w:t>Opis reforiem</w:t>
      </w:r>
      <w:r w:rsidR="00CC26EA" w:rsidRPr="00CC26EA">
        <w:rPr>
          <w:b/>
          <w:noProof/>
          <w:spacing w:val="-6"/>
          <w:u w:val="single"/>
          <w:lang w:val="sk-SK"/>
        </w:rPr>
        <w:t xml:space="preserve"> a </w:t>
      </w:r>
      <w:r w:rsidRPr="00CC26EA">
        <w:rPr>
          <w:b/>
          <w:noProof/>
          <w:spacing w:val="-6"/>
          <w:u w:val="single"/>
          <w:lang w:val="sk-SK"/>
        </w:rPr>
        <w:t>investícií</w:t>
      </w:r>
      <w:r w:rsidR="00CC26EA" w:rsidRPr="00CC26EA">
        <w:rPr>
          <w:b/>
          <w:noProof/>
          <w:spacing w:val="-6"/>
          <w:u w:val="single"/>
          <w:lang w:val="sk-SK"/>
        </w:rPr>
        <w:t xml:space="preserve"> v </w:t>
      </w:r>
      <w:r w:rsidRPr="00CC26EA">
        <w:rPr>
          <w:b/>
          <w:noProof/>
          <w:spacing w:val="-6"/>
          <w:u w:val="single"/>
          <w:lang w:val="sk-SK"/>
        </w:rPr>
        <w:t>rámci nenávratnej finančnej podpory</w:t>
      </w:r>
    </w:p>
    <w:p w14:paraId="5F10FF0E" w14:textId="77777777" w:rsidR="00F65654" w:rsidRPr="00CC26EA" w:rsidRDefault="0041081E">
      <w:pPr>
        <w:pStyle w:val="P68B1DB1-Text13"/>
        <w:ind w:left="0"/>
        <w:rPr>
          <w:noProof/>
          <w:spacing w:val="-6"/>
          <w:lang w:val="sk-SK"/>
        </w:rPr>
      </w:pPr>
      <w:r w:rsidRPr="00CC26EA">
        <w:rPr>
          <w:noProof/>
          <w:spacing w:val="-6"/>
          <w:lang w:val="sk-SK"/>
        </w:rPr>
        <w:t>Reforma 1: Pôdy bohaté na uhlík</w:t>
      </w:r>
    </w:p>
    <w:p w14:paraId="5634A46D" w14:textId="1616BD3B" w:rsidR="00CC26EA" w:rsidRPr="00CC26EA" w:rsidRDefault="0041081E">
      <w:pPr>
        <w:pStyle w:val="Text1"/>
        <w:ind w:left="0"/>
        <w:rPr>
          <w:noProof/>
          <w:spacing w:val="-6"/>
          <w:lang w:val="sk-SK"/>
        </w:rPr>
      </w:pPr>
      <w:r w:rsidRPr="00CC26EA">
        <w:rPr>
          <w:noProof/>
          <w:spacing w:val="-6"/>
          <w:lang w:val="sk-SK"/>
        </w:rPr>
        <w:t>Cieľom iniciatívy je zabezpečiť výrazné zníženie emisií skleníkových plynov</w:t>
      </w:r>
      <w:r w:rsidR="00CC26EA" w:rsidRPr="00CC26EA">
        <w:rPr>
          <w:noProof/>
          <w:spacing w:val="-6"/>
          <w:lang w:val="sk-SK"/>
        </w:rPr>
        <w:t xml:space="preserve"> z </w:t>
      </w:r>
      <w:r w:rsidRPr="00CC26EA">
        <w:rPr>
          <w:noProof/>
          <w:spacing w:val="-6"/>
          <w:lang w:val="sk-SK"/>
        </w:rPr>
        <w:t>výroby na pôdach bohatých na uhlík. Okrem toho opätovné zavlažovanie</w:t>
      </w:r>
      <w:r w:rsidR="00CC26EA" w:rsidRPr="00CC26EA">
        <w:rPr>
          <w:noProof/>
          <w:spacing w:val="-6"/>
          <w:lang w:val="sk-SK"/>
        </w:rPr>
        <w:t xml:space="preserve"> a </w:t>
      </w:r>
      <w:r w:rsidRPr="00CC26EA">
        <w:rPr>
          <w:noProof/>
          <w:spacing w:val="-6"/>
          <w:lang w:val="sk-SK"/>
        </w:rPr>
        <w:t>odstránenie pôdy bohatej na uhlík</w:t>
      </w:r>
      <w:r w:rsidR="00CC26EA" w:rsidRPr="00CC26EA">
        <w:rPr>
          <w:noProof/>
          <w:spacing w:val="-6"/>
          <w:lang w:val="sk-SK"/>
        </w:rPr>
        <w:t xml:space="preserve"> z </w:t>
      </w:r>
      <w:r w:rsidRPr="00CC26EA">
        <w:rPr>
          <w:noProof/>
          <w:spacing w:val="-6"/>
          <w:lang w:val="sk-SK"/>
        </w:rPr>
        <w:t>produkcie prispieva aj</w:t>
      </w:r>
      <w:r w:rsidR="00CC26EA" w:rsidRPr="00CC26EA">
        <w:rPr>
          <w:noProof/>
          <w:spacing w:val="-6"/>
          <w:lang w:val="sk-SK"/>
        </w:rPr>
        <w:t xml:space="preserve"> k </w:t>
      </w:r>
      <w:r w:rsidRPr="00CC26EA">
        <w:rPr>
          <w:noProof/>
          <w:spacing w:val="-6"/>
          <w:lang w:val="sk-SK"/>
        </w:rPr>
        <w:t>zníženiu emisií dusíka</w:t>
      </w:r>
      <w:r w:rsidR="00CC26EA" w:rsidRPr="00CC26EA">
        <w:rPr>
          <w:noProof/>
          <w:spacing w:val="-6"/>
          <w:lang w:val="sk-SK"/>
        </w:rPr>
        <w:t>.</w:t>
      </w:r>
    </w:p>
    <w:p w14:paraId="1CB1CDE8" w14:textId="486E9AC7" w:rsidR="00F65654" w:rsidRPr="00CC26EA" w:rsidRDefault="0041081E">
      <w:pPr>
        <w:pStyle w:val="P68B1DB1-Text13"/>
        <w:ind w:left="0"/>
        <w:rPr>
          <w:noProof/>
          <w:spacing w:val="-6"/>
          <w:lang w:val="sk-SK"/>
        </w:rPr>
      </w:pPr>
      <w:r w:rsidRPr="00CC26EA">
        <w:rPr>
          <w:noProof/>
          <w:spacing w:val="-6"/>
          <w:lang w:val="sk-SK"/>
        </w:rPr>
        <w:t>Investícia 1: Ekologické poľnohospodárstvo</w:t>
      </w:r>
    </w:p>
    <w:p w14:paraId="325C8E63" w14:textId="76BCA9C8" w:rsidR="00CC26EA" w:rsidRPr="00CC26EA" w:rsidRDefault="0041081E">
      <w:pPr>
        <w:pStyle w:val="Text1"/>
        <w:ind w:left="0"/>
        <w:rPr>
          <w:noProof/>
          <w:spacing w:val="-6"/>
          <w:lang w:val="sk-SK"/>
        </w:rPr>
      </w:pPr>
      <w:r w:rsidRPr="00CC26EA">
        <w:rPr>
          <w:noProof/>
          <w:spacing w:val="-6"/>
          <w:lang w:val="sk-SK"/>
        </w:rPr>
        <w:t>Cieľom opatrenia je motivovať viac poľnohospodárov, aby prešli</w:t>
      </w:r>
      <w:r w:rsidR="00CC26EA" w:rsidRPr="00CC26EA">
        <w:rPr>
          <w:noProof/>
          <w:spacing w:val="-6"/>
          <w:lang w:val="sk-SK"/>
        </w:rPr>
        <w:t xml:space="preserve"> z </w:t>
      </w:r>
      <w:r w:rsidRPr="00CC26EA">
        <w:rPr>
          <w:noProof/>
          <w:spacing w:val="-6"/>
          <w:lang w:val="sk-SK"/>
        </w:rPr>
        <w:t>konvenčného na ekologické poľnohospodárstvo. Okrem toho toto opatrenie prispeje</w:t>
      </w:r>
      <w:r w:rsidR="00CC26EA" w:rsidRPr="00CC26EA">
        <w:rPr>
          <w:noProof/>
          <w:spacing w:val="-6"/>
          <w:lang w:val="sk-SK"/>
        </w:rPr>
        <w:t xml:space="preserve"> k </w:t>
      </w:r>
      <w:r w:rsidRPr="00CC26EA">
        <w:rPr>
          <w:noProof/>
          <w:spacing w:val="-6"/>
          <w:lang w:val="sk-SK"/>
        </w:rPr>
        <w:t>zvýšeniu dánskeho obchodu</w:t>
      </w:r>
      <w:r w:rsidR="00CC26EA" w:rsidRPr="00CC26EA">
        <w:rPr>
          <w:noProof/>
          <w:spacing w:val="-6"/>
          <w:lang w:val="sk-SK"/>
        </w:rPr>
        <w:t xml:space="preserve"> s </w:t>
      </w:r>
      <w:r w:rsidRPr="00CC26EA">
        <w:rPr>
          <w:noProof/>
          <w:spacing w:val="-6"/>
          <w:lang w:val="sk-SK"/>
        </w:rPr>
        <w:t>ekologickým poľnohospodárskymi výrobkami</w:t>
      </w:r>
      <w:r w:rsidR="00CC26EA" w:rsidRPr="00CC26EA">
        <w:rPr>
          <w:noProof/>
          <w:spacing w:val="-6"/>
          <w:lang w:val="sk-SK"/>
        </w:rPr>
        <w:t>.</w:t>
      </w:r>
    </w:p>
    <w:p w14:paraId="4644514E" w14:textId="3C94C529" w:rsidR="00F65654" w:rsidRPr="00CC26EA" w:rsidRDefault="0041081E">
      <w:pPr>
        <w:pStyle w:val="P68B1DB1-Text13"/>
        <w:ind w:left="0"/>
        <w:rPr>
          <w:noProof/>
          <w:spacing w:val="-6"/>
          <w:lang w:val="sk-SK"/>
        </w:rPr>
      </w:pPr>
      <w:r w:rsidRPr="00CC26EA">
        <w:rPr>
          <w:noProof/>
          <w:spacing w:val="-6"/>
          <w:lang w:val="sk-SK"/>
        </w:rPr>
        <w:t>Investícia 2: Ekologická transformácia verejných kuchýň</w:t>
      </w:r>
    </w:p>
    <w:p w14:paraId="5EEFC173" w14:textId="58B0E075" w:rsidR="00CC26EA" w:rsidRPr="00CC26EA" w:rsidRDefault="0041081E">
      <w:pPr>
        <w:pStyle w:val="Text1"/>
        <w:ind w:left="0"/>
        <w:rPr>
          <w:noProof/>
          <w:spacing w:val="-6"/>
          <w:lang w:val="sk-SK"/>
        </w:rPr>
      </w:pPr>
      <w:r w:rsidRPr="00CC26EA">
        <w:rPr>
          <w:noProof/>
          <w:spacing w:val="-6"/>
          <w:lang w:val="sk-SK"/>
        </w:rPr>
        <w:t>Opatrenie je určené na rozsiahly súbor vzdelávacích programov</w:t>
      </w:r>
      <w:r w:rsidR="00CC26EA" w:rsidRPr="00CC26EA">
        <w:rPr>
          <w:noProof/>
          <w:spacing w:val="-6"/>
          <w:lang w:val="sk-SK"/>
        </w:rPr>
        <w:t xml:space="preserve"> a </w:t>
      </w:r>
      <w:r w:rsidRPr="00CC26EA">
        <w:rPr>
          <w:noProof/>
          <w:spacing w:val="-6"/>
          <w:lang w:val="sk-SK"/>
        </w:rPr>
        <w:t>podporuje učebné osnovy uľahčujúce prechod na ekologickejšie, zdravšie</w:t>
      </w:r>
      <w:r w:rsidR="00CC26EA" w:rsidRPr="00CC26EA">
        <w:rPr>
          <w:noProof/>
          <w:spacing w:val="-6"/>
          <w:lang w:val="sk-SK"/>
        </w:rPr>
        <w:t xml:space="preserve"> a </w:t>
      </w:r>
      <w:r w:rsidRPr="00CC26EA">
        <w:rPr>
          <w:noProof/>
          <w:spacing w:val="-6"/>
          <w:lang w:val="sk-SK"/>
        </w:rPr>
        <w:t>udržateľnejšie potraviny vo verejných kuchyniach</w:t>
      </w:r>
      <w:r w:rsidR="00CC26EA" w:rsidRPr="00CC26EA">
        <w:rPr>
          <w:noProof/>
          <w:spacing w:val="-6"/>
          <w:lang w:val="sk-SK"/>
        </w:rPr>
        <w:t>.</w:t>
      </w:r>
    </w:p>
    <w:p w14:paraId="1FC263DA" w14:textId="23CF334C" w:rsidR="00F65654" w:rsidRPr="00CC26EA" w:rsidRDefault="0041081E">
      <w:pPr>
        <w:pStyle w:val="P68B1DB1-Text13"/>
        <w:ind w:left="0"/>
        <w:rPr>
          <w:noProof/>
          <w:spacing w:val="-6"/>
          <w:lang w:val="sk-SK"/>
        </w:rPr>
      </w:pPr>
      <w:r w:rsidRPr="00CC26EA">
        <w:rPr>
          <w:noProof/>
          <w:spacing w:val="-6"/>
          <w:lang w:val="sk-SK"/>
        </w:rPr>
        <w:t>Investícia 3: Centrum ekologických inovácií</w:t>
      </w:r>
    </w:p>
    <w:p w14:paraId="79EB2689" w14:textId="1FB6B13C" w:rsidR="00CC26EA" w:rsidRPr="00CC26EA" w:rsidRDefault="0041081E">
      <w:pPr>
        <w:pStyle w:val="Text1"/>
        <w:ind w:left="0"/>
        <w:rPr>
          <w:noProof/>
          <w:spacing w:val="-6"/>
          <w:lang w:val="sk-SK"/>
        </w:rPr>
      </w:pPr>
      <w:r w:rsidRPr="00CC26EA">
        <w:rPr>
          <w:noProof/>
          <w:spacing w:val="-6"/>
          <w:lang w:val="sk-SK"/>
        </w:rPr>
        <w:t>Účelom tohto opatrenia je zriadiť inovačné centrum. Centrum vykonáva výskum, experimenty</w:t>
      </w:r>
      <w:r w:rsidR="00CC26EA" w:rsidRPr="00CC26EA">
        <w:rPr>
          <w:noProof/>
          <w:spacing w:val="-6"/>
          <w:lang w:val="sk-SK"/>
        </w:rPr>
        <w:t xml:space="preserve"> a </w:t>
      </w:r>
      <w:r w:rsidRPr="00CC26EA">
        <w:rPr>
          <w:noProof/>
          <w:spacing w:val="-6"/>
          <w:lang w:val="sk-SK"/>
        </w:rPr>
        <w:t>vývoj</w:t>
      </w:r>
      <w:r w:rsidR="00CC26EA" w:rsidRPr="00CC26EA">
        <w:rPr>
          <w:noProof/>
          <w:spacing w:val="-6"/>
          <w:lang w:val="sk-SK"/>
        </w:rPr>
        <w:t xml:space="preserve"> v </w:t>
      </w:r>
      <w:r w:rsidRPr="00CC26EA">
        <w:rPr>
          <w:noProof/>
          <w:spacing w:val="-6"/>
          <w:lang w:val="sk-SK"/>
        </w:rPr>
        <w:t>rámci ekologického poľnohospodárstva</w:t>
      </w:r>
      <w:r w:rsidR="00CC26EA" w:rsidRPr="00CC26EA">
        <w:rPr>
          <w:noProof/>
          <w:spacing w:val="-6"/>
          <w:lang w:val="sk-SK"/>
        </w:rPr>
        <w:t xml:space="preserve"> a </w:t>
      </w:r>
      <w:r w:rsidRPr="00CC26EA">
        <w:rPr>
          <w:noProof/>
          <w:spacing w:val="-6"/>
          <w:lang w:val="sk-SK"/>
        </w:rPr>
        <w:t>potravín</w:t>
      </w:r>
      <w:r w:rsidR="00CC26EA" w:rsidRPr="00CC26EA">
        <w:rPr>
          <w:noProof/>
          <w:spacing w:val="-6"/>
          <w:lang w:val="sk-SK"/>
        </w:rPr>
        <w:t xml:space="preserve"> a </w:t>
      </w:r>
      <w:r w:rsidRPr="00CC26EA">
        <w:rPr>
          <w:noProof/>
          <w:spacing w:val="-6"/>
          <w:lang w:val="sk-SK"/>
        </w:rPr>
        <w:t>zhromažďuje</w:t>
      </w:r>
      <w:r w:rsidR="00CC26EA" w:rsidRPr="00CC26EA">
        <w:rPr>
          <w:noProof/>
          <w:spacing w:val="-6"/>
          <w:lang w:val="sk-SK"/>
        </w:rPr>
        <w:t xml:space="preserve"> a </w:t>
      </w:r>
      <w:r w:rsidRPr="00CC26EA">
        <w:rPr>
          <w:noProof/>
          <w:spacing w:val="-6"/>
          <w:lang w:val="sk-SK"/>
        </w:rPr>
        <w:t>šíri poznatky</w:t>
      </w:r>
      <w:r w:rsidR="00CC26EA" w:rsidRPr="00CC26EA">
        <w:rPr>
          <w:noProof/>
          <w:spacing w:val="-6"/>
          <w:lang w:val="sk-SK"/>
        </w:rPr>
        <w:t xml:space="preserve"> o </w:t>
      </w:r>
      <w:r w:rsidRPr="00CC26EA">
        <w:rPr>
          <w:noProof/>
          <w:spacing w:val="-6"/>
          <w:lang w:val="sk-SK"/>
        </w:rPr>
        <w:t>ekologických produktoch</w:t>
      </w:r>
      <w:r w:rsidR="00CC26EA" w:rsidRPr="00CC26EA">
        <w:rPr>
          <w:noProof/>
          <w:spacing w:val="-6"/>
          <w:lang w:val="sk-SK"/>
        </w:rPr>
        <w:t xml:space="preserve"> s </w:t>
      </w:r>
      <w:r w:rsidRPr="00CC26EA">
        <w:rPr>
          <w:noProof/>
          <w:spacing w:val="-6"/>
          <w:lang w:val="sk-SK"/>
        </w:rPr>
        <w:t>cieľom vytvoriť vývoj</w:t>
      </w:r>
      <w:r w:rsidR="00CC26EA" w:rsidRPr="00CC26EA">
        <w:rPr>
          <w:noProof/>
          <w:spacing w:val="-6"/>
          <w:lang w:val="sk-SK"/>
        </w:rPr>
        <w:t xml:space="preserve"> v </w:t>
      </w:r>
      <w:r w:rsidRPr="00CC26EA">
        <w:rPr>
          <w:noProof/>
          <w:spacing w:val="-6"/>
          <w:lang w:val="sk-SK"/>
        </w:rPr>
        <w:t>prospech odvetvia poľnohospodárstva technicky, ekonomicky</w:t>
      </w:r>
      <w:r w:rsidR="00CC26EA" w:rsidRPr="00CC26EA">
        <w:rPr>
          <w:noProof/>
          <w:spacing w:val="-6"/>
          <w:lang w:val="sk-SK"/>
        </w:rPr>
        <w:t xml:space="preserve"> a </w:t>
      </w:r>
      <w:r w:rsidRPr="00CC26EA">
        <w:rPr>
          <w:noProof/>
          <w:spacing w:val="-6"/>
          <w:lang w:val="sk-SK"/>
        </w:rPr>
        <w:t>environmentálne optimálnym spôsobom</w:t>
      </w:r>
      <w:r w:rsidR="00CC26EA" w:rsidRPr="00CC26EA">
        <w:rPr>
          <w:noProof/>
          <w:spacing w:val="-6"/>
          <w:lang w:val="sk-SK"/>
        </w:rPr>
        <w:t xml:space="preserve"> v </w:t>
      </w:r>
      <w:r w:rsidRPr="00CC26EA">
        <w:rPr>
          <w:noProof/>
          <w:spacing w:val="-6"/>
          <w:lang w:val="sk-SK"/>
        </w:rPr>
        <w:t>súlade so správnou výskumnou praxou</w:t>
      </w:r>
      <w:r w:rsidR="00CC26EA" w:rsidRPr="00CC26EA">
        <w:rPr>
          <w:noProof/>
          <w:spacing w:val="-6"/>
          <w:lang w:val="sk-SK"/>
        </w:rPr>
        <w:t xml:space="preserve"> a </w:t>
      </w:r>
      <w:r w:rsidRPr="00CC26EA">
        <w:rPr>
          <w:noProof/>
          <w:spacing w:val="-6"/>
          <w:lang w:val="sk-SK"/>
        </w:rPr>
        <w:t>nezávisle od iných záujmov</w:t>
      </w:r>
      <w:r w:rsidR="00CC26EA" w:rsidRPr="00CC26EA">
        <w:rPr>
          <w:noProof/>
          <w:spacing w:val="-6"/>
          <w:lang w:val="sk-SK"/>
        </w:rPr>
        <w:t>.</w:t>
      </w:r>
    </w:p>
    <w:p w14:paraId="09D3108D" w14:textId="456731F7" w:rsidR="00F65654" w:rsidRPr="00CC26EA" w:rsidRDefault="0041081E">
      <w:pPr>
        <w:pStyle w:val="P68B1DB1-Text13"/>
        <w:ind w:left="0"/>
        <w:rPr>
          <w:noProof/>
          <w:spacing w:val="-6"/>
          <w:lang w:val="sk-SK"/>
        </w:rPr>
      </w:pPr>
      <w:r w:rsidRPr="00CC26EA">
        <w:rPr>
          <w:noProof/>
          <w:spacing w:val="-6"/>
          <w:lang w:val="sk-SK"/>
        </w:rPr>
        <w:t>Investícia 4: Projekty ekologickej poľnohospodárskej výroby</w:t>
      </w:r>
      <w:r w:rsidR="00CC26EA" w:rsidRPr="00CC26EA">
        <w:rPr>
          <w:noProof/>
          <w:spacing w:val="-6"/>
          <w:lang w:val="sk-SK"/>
        </w:rPr>
        <w:t xml:space="preserve"> v </w:t>
      </w:r>
      <w:r w:rsidRPr="00CC26EA">
        <w:rPr>
          <w:noProof/>
          <w:spacing w:val="-6"/>
          <w:lang w:val="sk-SK"/>
        </w:rPr>
        <w:t>rastlinách</w:t>
      </w:r>
    </w:p>
    <w:p w14:paraId="20DC4ED4" w14:textId="714C5799" w:rsidR="00CC26EA" w:rsidRPr="00CC26EA" w:rsidRDefault="0041081E">
      <w:pPr>
        <w:pStyle w:val="Text1"/>
        <w:ind w:left="0"/>
        <w:rPr>
          <w:noProof/>
          <w:spacing w:val="-6"/>
          <w:lang w:val="sk-SK"/>
        </w:rPr>
      </w:pPr>
      <w:r w:rsidRPr="00CC26EA">
        <w:rPr>
          <w:noProof/>
          <w:spacing w:val="-6"/>
          <w:lang w:val="sk-SK"/>
        </w:rPr>
        <w:t>Vytvorenie ročnej rezervy</w:t>
      </w:r>
      <w:r w:rsidR="00CC26EA" w:rsidRPr="00CC26EA">
        <w:rPr>
          <w:noProof/>
          <w:spacing w:val="-6"/>
          <w:lang w:val="sk-SK"/>
        </w:rPr>
        <w:t xml:space="preserve"> v </w:t>
      </w:r>
      <w:r w:rsidRPr="00CC26EA">
        <w:rPr>
          <w:noProof/>
          <w:spacing w:val="-6"/>
          <w:lang w:val="sk-SK"/>
        </w:rPr>
        <w:t>„nadácii pre ekologické poľnohospodárstvo“ podporí rozvoj ekologickejšieho rastlinného potravinového systému</w:t>
      </w:r>
      <w:r w:rsidR="00CC26EA" w:rsidRPr="00CC26EA">
        <w:rPr>
          <w:noProof/>
          <w:spacing w:val="-6"/>
          <w:lang w:val="sk-SK"/>
        </w:rPr>
        <w:t xml:space="preserve"> z </w:t>
      </w:r>
      <w:r w:rsidRPr="00CC26EA">
        <w:rPr>
          <w:noProof/>
          <w:spacing w:val="-6"/>
          <w:lang w:val="sk-SK"/>
        </w:rPr>
        <w:t>farmy na stôl</w:t>
      </w:r>
      <w:r w:rsidR="00CC26EA" w:rsidRPr="00CC26EA">
        <w:rPr>
          <w:noProof/>
          <w:spacing w:val="-6"/>
          <w:lang w:val="sk-SK"/>
        </w:rPr>
        <w:t>.</w:t>
      </w:r>
    </w:p>
    <w:p w14:paraId="76ECA7A0" w14:textId="11F4000D" w:rsidR="00F65654" w:rsidRPr="00CC26EA" w:rsidRDefault="0041081E">
      <w:pPr>
        <w:pStyle w:val="P68B1DB1-Text13"/>
        <w:ind w:left="0"/>
        <w:rPr>
          <w:noProof/>
          <w:spacing w:val="-6"/>
          <w:lang w:val="sk-SK"/>
        </w:rPr>
      </w:pPr>
      <w:r w:rsidRPr="00CC26EA">
        <w:rPr>
          <w:noProof/>
          <w:spacing w:val="-6"/>
          <w:lang w:val="sk-SK"/>
        </w:rPr>
        <w:t>Investícia 5: Klimatické technológie</w:t>
      </w:r>
      <w:r w:rsidR="00CC26EA" w:rsidRPr="00CC26EA">
        <w:rPr>
          <w:noProof/>
          <w:spacing w:val="-6"/>
          <w:lang w:val="sk-SK"/>
        </w:rPr>
        <w:t xml:space="preserve"> v </w:t>
      </w:r>
      <w:r w:rsidRPr="00CC26EA">
        <w:rPr>
          <w:noProof/>
          <w:spacing w:val="-6"/>
          <w:lang w:val="sk-SK"/>
        </w:rPr>
        <w:t>poľnohospodárstve</w:t>
      </w:r>
    </w:p>
    <w:p w14:paraId="395BA14C" w14:textId="05759A64" w:rsidR="00CC26EA" w:rsidRPr="00CC26EA" w:rsidRDefault="0041081E">
      <w:pPr>
        <w:pStyle w:val="Text1"/>
        <w:ind w:left="0"/>
        <w:rPr>
          <w:noProof/>
          <w:spacing w:val="-6"/>
          <w:lang w:val="sk-SK"/>
        </w:rPr>
      </w:pPr>
      <w:r w:rsidRPr="00CC26EA">
        <w:rPr>
          <w:noProof/>
          <w:spacing w:val="-6"/>
          <w:lang w:val="sk-SK"/>
        </w:rPr>
        <w:t>Týmto opatrením bude Dánsko ďalej investovať do rozširovania najsľubnejších technológií na trhu. Výskum nových technológií je prínosom nielen pre klímu</w:t>
      </w:r>
      <w:r w:rsidR="00CC26EA" w:rsidRPr="00CC26EA">
        <w:rPr>
          <w:noProof/>
          <w:spacing w:val="-6"/>
          <w:lang w:val="sk-SK"/>
        </w:rPr>
        <w:t xml:space="preserve"> a </w:t>
      </w:r>
      <w:r w:rsidRPr="00CC26EA">
        <w:rPr>
          <w:noProof/>
          <w:spacing w:val="-6"/>
          <w:lang w:val="sk-SK"/>
        </w:rPr>
        <w:t>životné prostredie, ale aj pre tvorbu pracovných miest</w:t>
      </w:r>
      <w:r w:rsidR="00CC26EA" w:rsidRPr="00CC26EA">
        <w:rPr>
          <w:noProof/>
          <w:spacing w:val="-6"/>
          <w:lang w:val="sk-SK"/>
        </w:rPr>
        <w:t>.</w:t>
      </w:r>
    </w:p>
    <w:p w14:paraId="23A4B17A" w14:textId="137E1F07" w:rsidR="00F65654" w:rsidRPr="00CC26EA" w:rsidRDefault="0041081E">
      <w:pPr>
        <w:pStyle w:val="P68B1DB1-Text13"/>
        <w:ind w:left="0"/>
        <w:rPr>
          <w:noProof/>
          <w:spacing w:val="-6"/>
          <w:lang w:val="sk-SK"/>
        </w:rPr>
      </w:pPr>
      <w:r w:rsidRPr="00CC26EA">
        <w:rPr>
          <w:noProof/>
          <w:spacing w:val="-6"/>
          <w:lang w:val="sk-SK"/>
        </w:rPr>
        <w:t>Investícia 6: Ozdravovanie priemyselných lokalít</w:t>
      </w:r>
      <w:r w:rsidR="00CC26EA" w:rsidRPr="00CC26EA">
        <w:rPr>
          <w:noProof/>
          <w:spacing w:val="-6"/>
          <w:lang w:val="sk-SK"/>
        </w:rPr>
        <w:t xml:space="preserve"> a </w:t>
      </w:r>
      <w:r w:rsidRPr="00CC26EA">
        <w:rPr>
          <w:noProof/>
          <w:spacing w:val="-6"/>
          <w:lang w:val="sk-SK"/>
        </w:rPr>
        <w:t>kontaminovanej pôdy</w:t>
      </w:r>
    </w:p>
    <w:p w14:paraId="00396293" w14:textId="05366B56" w:rsidR="00F65654" w:rsidRPr="00CC26EA" w:rsidRDefault="0041081E">
      <w:pPr>
        <w:pStyle w:val="Text1"/>
        <w:ind w:left="0"/>
        <w:rPr>
          <w:noProof/>
          <w:spacing w:val="-6"/>
          <w:lang w:val="sk-SK"/>
        </w:rPr>
      </w:pPr>
      <w:r w:rsidRPr="00CC26EA">
        <w:rPr>
          <w:noProof/>
          <w:spacing w:val="-6"/>
          <w:lang w:val="sk-SK"/>
        </w:rPr>
        <w:t>Cieľom opatrenia je rekultivovať desať bývalých priemyselných oblastí kontaminovaných chemickými látkami. Iniciatíva sa realizuje poskytnutím dotácie dánskym regiónom (administratívnemu subjektu na regionálnej úrovni), ktorý nesie administratívnu zodpovednosť za kontaminovanú pôdu. Očakáva sa, že obnova oblastí zabezpečí trvalé zlepšenie miestneho životného prostredia</w:t>
      </w:r>
      <w:r w:rsidR="00CC26EA" w:rsidRPr="00CC26EA">
        <w:rPr>
          <w:noProof/>
          <w:spacing w:val="-6"/>
          <w:lang w:val="sk-SK"/>
        </w:rPr>
        <w:t xml:space="preserve"> a </w:t>
      </w:r>
      <w:r w:rsidRPr="00CC26EA">
        <w:rPr>
          <w:noProof/>
          <w:spacing w:val="-6"/>
          <w:lang w:val="sk-SK"/>
        </w:rPr>
        <w:t>zároveň vytvorí hospodársku činnosť vo vidieckych oblastiach.</w:t>
      </w:r>
    </w:p>
    <w:p w14:paraId="34875F4B" w14:textId="77777777" w:rsidR="00F65654" w:rsidRPr="00CC26EA" w:rsidRDefault="00F65654">
      <w:pPr>
        <w:pStyle w:val="Text1"/>
        <w:ind w:left="0"/>
        <w:rPr>
          <w:noProof/>
          <w:spacing w:val="-6"/>
          <w:lang w:val="sk-SK"/>
        </w:rPr>
      </w:pPr>
    </w:p>
    <w:p w14:paraId="485F9B6F" w14:textId="0D37ACB2" w:rsidR="00F65654" w:rsidRPr="00CC26EA" w:rsidRDefault="0041081E">
      <w:pPr>
        <w:pStyle w:val="Text1"/>
        <w:ind w:left="0"/>
        <w:rPr>
          <w:b/>
          <w:noProof/>
          <w:spacing w:val="-6"/>
          <w:u w:val="single"/>
          <w:lang w:val="sk-SK"/>
        </w:rPr>
      </w:pPr>
      <w:r w:rsidRPr="00CC26EA">
        <w:rPr>
          <w:b/>
          <w:noProof/>
          <w:spacing w:val="-6"/>
          <w:u w:val="single"/>
          <w:lang w:val="sk-SK"/>
        </w:rPr>
        <w:t xml:space="preserve">B.2. </w:t>
      </w:r>
      <w:r w:rsidRPr="00CC26EA">
        <w:rPr>
          <w:noProof/>
          <w:spacing w:val="-6"/>
          <w:lang w:val="sk-SK"/>
        </w:rPr>
        <w:tab/>
      </w:r>
      <w:r w:rsidRPr="00CC26EA">
        <w:rPr>
          <w:b/>
          <w:noProof/>
          <w:spacing w:val="-6"/>
          <w:u w:val="single"/>
          <w:lang w:val="sk-SK"/>
        </w:rPr>
        <w:t>Míľniky, ciele, ukazovatele</w:t>
      </w:r>
      <w:r w:rsidR="00CC26EA" w:rsidRPr="00CC26EA">
        <w:rPr>
          <w:b/>
          <w:noProof/>
          <w:spacing w:val="-6"/>
          <w:u w:val="single"/>
          <w:lang w:val="sk-SK"/>
        </w:rPr>
        <w:t xml:space="preserve"> a </w:t>
      </w:r>
      <w:r w:rsidRPr="00CC26EA">
        <w:rPr>
          <w:b/>
          <w:noProof/>
          <w:spacing w:val="-6"/>
          <w:u w:val="single"/>
          <w:lang w:val="sk-SK"/>
        </w:rPr>
        <w:t>harmonogram monitorovania</w:t>
      </w:r>
      <w:r w:rsidR="00CC26EA" w:rsidRPr="00CC26EA">
        <w:rPr>
          <w:b/>
          <w:noProof/>
          <w:spacing w:val="-6"/>
          <w:u w:val="single"/>
          <w:lang w:val="sk-SK"/>
        </w:rPr>
        <w:t xml:space="preserve"> a </w:t>
      </w:r>
      <w:r w:rsidRPr="00CC26EA">
        <w:rPr>
          <w:b/>
          <w:noProof/>
          <w:spacing w:val="-6"/>
          <w:u w:val="single"/>
          <w:lang w:val="sk-SK"/>
        </w:rPr>
        <w:t>realizácie pre nenávratnú finančnú podporu</w:t>
      </w:r>
    </w:p>
    <w:p w14:paraId="16DADBBA" w14:textId="77777777" w:rsidR="00F65654" w:rsidRPr="00CC26EA" w:rsidRDefault="0041081E">
      <w:pPr>
        <w:pStyle w:val="Text1"/>
        <w:rPr>
          <w:noProof/>
          <w:spacing w:val="-6"/>
          <w:lang w:val="sk-SK"/>
        </w:rPr>
      </w:pPr>
      <w:r w:rsidRPr="00CC26EA">
        <w:rPr>
          <w:rStyle w:val="IntenseEmphasis"/>
          <w:noProof/>
          <w:spacing w:val="-6"/>
          <w:lang w:val="sk-SK"/>
        </w:rPr>
        <w:t>.</w:t>
      </w:r>
    </w:p>
    <w:p w14:paraId="652C1F59" w14:textId="77777777" w:rsidR="00F65654" w:rsidRPr="00CC26EA" w:rsidRDefault="00F65654">
      <w:pPr>
        <w:pStyle w:val="Text1"/>
        <w:ind w:left="709"/>
        <w:rPr>
          <w:noProof/>
          <w:spacing w:val="-6"/>
          <w:lang w:val="sk-SK"/>
        </w:rPr>
        <w:sectPr w:rsidR="00F65654" w:rsidRPr="00CC26EA" w:rsidSect="00A61D33">
          <w:headerReference w:type="even" r:id="rId30"/>
          <w:headerReference w:type="default" r:id="rId31"/>
          <w:footerReference w:type="even" r:id="rId32"/>
          <w:footerReference w:type="default" r:id="rId33"/>
          <w:headerReference w:type="first" r:id="rId34"/>
          <w:footerReference w:type="first" r:id="rId35"/>
          <w:pgSz w:w="11907" w:h="16839"/>
          <w:pgMar w:top="1134" w:right="1134" w:bottom="1134" w:left="1134" w:header="567" w:footer="567" w:gutter="0"/>
          <w:cols w:space="720"/>
          <w:docGrid w:linePitch="360"/>
        </w:sectPr>
      </w:pPr>
    </w:p>
    <w:tbl>
      <w:tblPr>
        <w:tblW w:w="15904" w:type="dxa"/>
        <w:tblInd w:w="-459" w:type="dxa"/>
        <w:tblLayout w:type="fixed"/>
        <w:tblLook w:val="04A0" w:firstRow="1" w:lastRow="0" w:firstColumn="1" w:lastColumn="0" w:noHBand="0" w:noVBand="1"/>
      </w:tblPr>
      <w:tblGrid>
        <w:gridCol w:w="1347"/>
        <w:gridCol w:w="1500"/>
        <w:gridCol w:w="1264"/>
        <w:gridCol w:w="2071"/>
        <w:gridCol w:w="1915"/>
        <w:gridCol w:w="1031"/>
        <w:gridCol w:w="1178"/>
        <w:gridCol w:w="737"/>
        <w:gridCol w:w="1031"/>
        <w:gridCol w:w="1031"/>
        <w:gridCol w:w="2799"/>
      </w:tblGrid>
      <w:tr w:rsidR="00F65654" w:rsidRPr="00CC26EA" w14:paraId="61B0E4E2" w14:textId="77777777">
        <w:trPr>
          <w:trHeight w:val="926"/>
          <w:tblHeader/>
        </w:trPr>
        <w:tc>
          <w:tcPr>
            <w:tcW w:w="134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68BB7CAF" w14:textId="77777777" w:rsidR="00F65654" w:rsidRPr="00CC26EA" w:rsidRDefault="0041081E">
            <w:pPr>
              <w:pStyle w:val="P68B1DB1-Normal1"/>
              <w:spacing w:after="0"/>
              <w:jc w:val="center"/>
              <w:rPr>
                <w:rFonts w:ascii="Times New Roman" w:eastAsia="Times New Roman" w:hAnsi="Times New Roman"/>
                <w:noProof/>
                <w:spacing w:val="-6"/>
                <w:lang w:val="sk-SK"/>
              </w:rPr>
            </w:pPr>
            <w:bookmarkStart w:id="1" w:name="_Hlk147499069"/>
            <w:r w:rsidRPr="00CC26EA">
              <w:rPr>
                <w:rFonts w:ascii="Times New Roman" w:hAnsi="Times New Roman"/>
                <w:noProof/>
                <w:spacing w:val="-6"/>
                <w:lang w:val="sk-SK"/>
              </w:rPr>
              <w:t>Poradové číslo</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BAB403A"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Súvisiace opatrenie (reforma alebo investícia)</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3CBFE88"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Míľnik/cieľ</w:t>
            </w:r>
          </w:p>
        </w:tc>
        <w:tc>
          <w:tcPr>
            <w:tcW w:w="2071" w:type="dxa"/>
            <w:vMerge w:val="restart"/>
            <w:tcBorders>
              <w:top w:val="single" w:sz="4" w:space="0" w:color="auto"/>
              <w:left w:val="nil"/>
              <w:bottom w:val="single" w:sz="4" w:space="0" w:color="000000"/>
              <w:right w:val="single" w:sz="4" w:space="0" w:color="auto"/>
            </w:tcBorders>
            <w:shd w:val="clear" w:color="auto" w:fill="BDD7EE"/>
            <w:vAlign w:val="center"/>
            <w:hideMark/>
          </w:tcPr>
          <w:p w14:paraId="73F0A535"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Názov</w:t>
            </w:r>
          </w:p>
        </w:tc>
        <w:tc>
          <w:tcPr>
            <w:tcW w:w="191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1FEE18E" w14:textId="77777777" w:rsidR="00F65654" w:rsidRPr="00CC26EA" w:rsidRDefault="0041081E">
            <w:pPr>
              <w:spacing w:after="0"/>
              <w:jc w:val="center"/>
              <w:rPr>
                <w:rFonts w:ascii="Times New Roman" w:eastAsia="Times New Roman" w:hAnsi="Times New Roman"/>
                <w:b/>
                <w:noProof/>
                <w:spacing w:val="-6"/>
                <w:lang w:val="sk-SK"/>
              </w:rPr>
            </w:pPr>
            <w:r w:rsidRPr="00CC26EA">
              <w:rPr>
                <w:rFonts w:ascii="Times New Roman" w:hAnsi="Times New Roman"/>
                <w:b/>
                <w:noProof/>
                <w:spacing w:val="-6"/>
                <w:lang w:val="sk-SK"/>
              </w:rPr>
              <w:t xml:space="preserve">Kvalitatívne ukazovatele </w:t>
            </w:r>
            <w:r w:rsidRPr="00CC26EA">
              <w:rPr>
                <w:rFonts w:ascii="Times New Roman" w:hAnsi="Times New Roman"/>
                <w:noProof/>
                <w:spacing w:val="-6"/>
                <w:lang w:val="sk-SK"/>
              </w:rPr>
              <w:t xml:space="preserve"> </w:t>
            </w:r>
            <w:r w:rsidRPr="00CC26EA">
              <w:rPr>
                <w:rFonts w:ascii="Times New Roman" w:hAnsi="Times New Roman"/>
                <w:b/>
                <w:noProof/>
                <w:spacing w:val="-6"/>
                <w:lang w:val="sk-SK"/>
              </w:rPr>
              <w:t>(pre míľniky)</w:t>
            </w:r>
          </w:p>
        </w:tc>
        <w:tc>
          <w:tcPr>
            <w:tcW w:w="2946" w:type="dxa"/>
            <w:gridSpan w:val="3"/>
            <w:tcBorders>
              <w:top w:val="single" w:sz="4" w:space="0" w:color="auto"/>
              <w:left w:val="nil"/>
              <w:bottom w:val="single" w:sz="4" w:space="0" w:color="auto"/>
              <w:right w:val="single" w:sz="4" w:space="0" w:color="auto"/>
            </w:tcBorders>
            <w:shd w:val="clear" w:color="auto" w:fill="BDD7EE"/>
            <w:vAlign w:val="center"/>
            <w:hideMark/>
          </w:tcPr>
          <w:p w14:paraId="5A1FF5CD" w14:textId="77777777" w:rsidR="00F65654" w:rsidRPr="00CC26EA" w:rsidRDefault="0041081E">
            <w:pPr>
              <w:spacing w:after="0"/>
              <w:jc w:val="center"/>
              <w:rPr>
                <w:rFonts w:ascii="Times New Roman" w:eastAsia="Times New Roman" w:hAnsi="Times New Roman"/>
                <w:b/>
                <w:noProof/>
                <w:spacing w:val="-6"/>
                <w:lang w:val="sk-SK"/>
              </w:rPr>
            </w:pPr>
            <w:r w:rsidRPr="00CC26EA">
              <w:rPr>
                <w:rFonts w:ascii="Times New Roman" w:hAnsi="Times New Roman"/>
                <w:b/>
                <w:noProof/>
                <w:spacing w:val="-6"/>
                <w:lang w:val="sk-SK"/>
              </w:rPr>
              <w:t xml:space="preserve">Kvantitatívne ukazovatele </w:t>
            </w:r>
            <w:r w:rsidRPr="00CC26EA">
              <w:rPr>
                <w:rFonts w:ascii="Times New Roman" w:hAnsi="Times New Roman"/>
                <w:noProof/>
                <w:spacing w:val="-6"/>
                <w:lang w:val="sk-SK"/>
              </w:rPr>
              <w:t xml:space="preserve"> </w:t>
            </w:r>
            <w:r w:rsidRPr="00CC26EA">
              <w:rPr>
                <w:rFonts w:ascii="Times New Roman" w:hAnsi="Times New Roman"/>
                <w:b/>
                <w:noProof/>
                <w:spacing w:val="-6"/>
                <w:lang w:val="sk-SK"/>
              </w:rPr>
              <w:t>(pre ciele)</w:t>
            </w:r>
          </w:p>
        </w:tc>
        <w:tc>
          <w:tcPr>
            <w:tcW w:w="2062" w:type="dxa"/>
            <w:gridSpan w:val="2"/>
            <w:tcBorders>
              <w:top w:val="single" w:sz="4" w:space="0" w:color="auto"/>
              <w:left w:val="nil"/>
              <w:bottom w:val="single" w:sz="4" w:space="0" w:color="auto"/>
              <w:right w:val="single" w:sz="4" w:space="0" w:color="auto"/>
            </w:tcBorders>
            <w:shd w:val="clear" w:color="auto" w:fill="BDD7EE"/>
            <w:vAlign w:val="center"/>
            <w:hideMark/>
          </w:tcPr>
          <w:p w14:paraId="1725A4FF"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Orientačný harmonogram splnenia </w:t>
            </w:r>
          </w:p>
        </w:tc>
        <w:tc>
          <w:tcPr>
            <w:tcW w:w="279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A379737" w14:textId="781333A8"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Opis každého míľnika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cieľa</w:t>
            </w:r>
          </w:p>
        </w:tc>
      </w:tr>
      <w:tr w:rsidR="00F65654" w:rsidRPr="00CC26EA" w14:paraId="0C11B7DC" w14:textId="77777777">
        <w:trPr>
          <w:trHeight w:val="1013"/>
          <w:tblHeader/>
        </w:trPr>
        <w:tc>
          <w:tcPr>
            <w:tcW w:w="1347" w:type="dxa"/>
            <w:vMerge/>
            <w:tcBorders>
              <w:top w:val="single" w:sz="4" w:space="0" w:color="auto"/>
              <w:left w:val="single" w:sz="4" w:space="0" w:color="auto"/>
              <w:bottom w:val="single" w:sz="4" w:space="0" w:color="000000"/>
              <w:right w:val="single" w:sz="4" w:space="0" w:color="auto"/>
            </w:tcBorders>
            <w:vAlign w:val="center"/>
            <w:hideMark/>
          </w:tcPr>
          <w:p w14:paraId="5A498C04" w14:textId="77777777" w:rsidR="00F65654" w:rsidRPr="00CC26EA" w:rsidRDefault="00F65654">
            <w:pPr>
              <w:spacing w:after="0"/>
              <w:rPr>
                <w:rFonts w:ascii="Times New Roman" w:eastAsia="Times New Roman" w:hAnsi="Times New Roman"/>
                <w:b/>
                <w:noProof/>
                <w:spacing w:val="-6"/>
                <w:lang w:val="sk-SK"/>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14:paraId="528D4E18" w14:textId="77777777" w:rsidR="00F65654" w:rsidRPr="00CC26EA" w:rsidRDefault="00F65654">
            <w:pPr>
              <w:spacing w:after="0"/>
              <w:rPr>
                <w:rFonts w:ascii="Times New Roman" w:eastAsia="Times New Roman" w:hAnsi="Times New Roman"/>
                <w:b/>
                <w:noProof/>
                <w:spacing w:val="-6"/>
                <w:lang w:val="sk-SK"/>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11F9C3FE" w14:textId="77777777" w:rsidR="00F65654" w:rsidRPr="00CC26EA" w:rsidRDefault="00F65654">
            <w:pPr>
              <w:spacing w:after="0"/>
              <w:rPr>
                <w:rFonts w:ascii="Times New Roman" w:eastAsia="Times New Roman" w:hAnsi="Times New Roman"/>
                <w:b/>
                <w:noProof/>
                <w:spacing w:val="-6"/>
                <w:lang w:val="sk-SK"/>
              </w:rPr>
            </w:pPr>
          </w:p>
        </w:tc>
        <w:tc>
          <w:tcPr>
            <w:tcW w:w="2071" w:type="dxa"/>
            <w:vMerge/>
            <w:tcBorders>
              <w:top w:val="single" w:sz="4" w:space="0" w:color="auto"/>
              <w:left w:val="nil"/>
              <w:bottom w:val="single" w:sz="4" w:space="0" w:color="000000"/>
              <w:right w:val="single" w:sz="4" w:space="0" w:color="auto"/>
            </w:tcBorders>
            <w:vAlign w:val="center"/>
            <w:hideMark/>
          </w:tcPr>
          <w:p w14:paraId="35E08F83" w14:textId="77777777" w:rsidR="00F65654" w:rsidRPr="00CC26EA" w:rsidRDefault="00F65654">
            <w:pPr>
              <w:spacing w:after="0"/>
              <w:rPr>
                <w:rFonts w:ascii="Times New Roman" w:eastAsia="Times New Roman" w:hAnsi="Times New Roman"/>
                <w:b/>
                <w:noProof/>
                <w:spacing w:val="-6"/>
                <w:lang w:val="sk-SK"/>
              </w:rPr>
            </w:pPr>
          </w:p>
        </w:tc>
        <w:tc>
          <w:tcPr>
            <w:tcW w:w="1915" w:type="dxa"/>
            <w:vMerge/>
            <w:tcBorders>
              <w:top w:val="single" w:sz="4" w:space="0" w:color="auto"/>
              <w:left w:val="single" w:sz="4" w:space="0" w:color="auto"/>
              <w:bottom w:val="single" w:sz="4" w:space="0" w:color="000000"/>
              <w:right w:val="single" w:sz="4" w:space="0" w:color="auto"/>
            </w:tcBorders>
            <w:vAlign w:val="center"/>
            <w:hideMark/>
          </w:tcPr>
          <w:p w14:paraId="02EE5CD3" w14:textId="77777777" w:rsidR="00F65654" w:rsidRPr="00CC26EA" w:rsidRDefault="00F65654">
            <w:pPr>
              <w:spacing w:after="0"/>
              <w:rPr>
                <w:rFonts w:ascii="Times New Roman" w:eastAsia="Times New Roman" w:hAnsi="Times New Roman"/>
                <w:b/>
                <w:noProof/>
                <w:spacing w:val="-6"/>
                <w:lang w:val="sk-SK"/>
              </w:rPr>
            </w:pPr>
          </w:p>
        </w:tc>
        <w:tc>
          <w:tcPr>
            <w:tcW w:w="1031" w:type="dxa"/>
            <w:tcBorders>
              <w:top w:val="nil"/>
              <w:left w:val="nil"/>
              <w:bottom w:val="single" w:sz="4" w:space="0" w:color="auto"/>
              <w:right w:val="single" w:sz="4" w:space="0" w:color="auto"/>
            </w:tcBorders>
            <w:shd w:val="clear" w:color="auto" w:fill="BDD7EE"/>
            <w:vAlign w:val="center"/>
            <w:hideMark/>
          </w:tcPr>
          <w:p w14:paraId="0D6BC207"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Merná jednotka</w:t>
            </w:r>
          </w:p>
        </w:tc>
        <w:tc>
          <w:tcPr>
            <w:tcW w:w="1178" w:type="dxa"/>
            <w:tcBorders>
              <w:top w:val="nil"/>
              <w:left w:val="nil"/>
              <w:bottom w:val="single" w:sz="4" w:space="0" w:color="auto"/>
              <w:right w:val="single" w:sz="4" w:space="0" w:color="auto"/>
            </w:tcBorders>
            <w:shd w:val="clear" w:color="auto" w:fill="BDD7EE"/>
            <w:vAlign w:val="center"/>
            <w:hideMark/>
          </w:tcPr>
          <w:p w14:paraId="79FF42EF"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Základná </w:t>
            </w:r>
          </w:p>
        </w:tc>
        <w:tc>
          <w:tcPr>
            <w:tcW w:w="737" w:type="dxa"/>
            <w:tcBorders>
              <w:top w:val="nil"/>
              <w:left w:val="nil"/>
              <w:bottom w:val="single" w:sz="4" w:space="0" w:color="auto"/>
              <w:right w:val="single" w:sz="4" w:space="0" w:color="auto"/>
            </w:tcBorders>
            <w:shd w:val="clear" w:color="auto" w:fill="BDD7EE"/>
            <w:vAlign w:val="center"/>
            <w:hideMark/>
          </w:tcPr>
          <w:p w14:paraId="50B7CB1A"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Cieľ </w:t>
            </w:r>
          </w:p>
        </w:tc>
        <w:tc>
          <w:tcPr>
            <w:tcW w:w="1031" w:type="dxa"/>
            <w:tcBorders>
              <w:top w:val="nil"/>
              <w:left w:val="nil"/>
              <w:bottom w:val="single" w:sz="4" w:space="0" w:color="auto"/>
              <w:right w:val="single" w:sz="4" w:space="0" w:color="auto"/>
            </w:tcBorders>
            <w:shd w:val="clear" w:color="auto" w:fill="BDD7EE"/>
            <w:vAlign w:val="center"/>
            <w:hideMark/>
          </w:tcPr>
          <w:p w14:paraId="35F77D16"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Štvrťrok</w:t>
            </w:r>
          </w:p>
        </w:tc>
        <w:tc>
          <w:tcPr>
            <w:tcW w:w="1031" w:type="dxa"/>
            <w:tcBorders>
              <w:top w:val="nil"/>
              <w:left w:val="nil"/>
              <w:bottom w:val="single" w:sz="4" w:space="0" w:color="auto"/>
              <w:right w:val="single" w:sz="4" w:space="0" w:color="auto"/>
            </w:tcBorders>
            <w:shd w:val="clear" w:color="auto" w:fill="BDD7EE"/>
            <w:vAlign w:val="center"/>
            <w:hideMark/>
          </w:tcPr>
          <w:p w14:paraId="72868A42"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Rok</w:t>
            </w: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2E72FAF1" w14:textId="77777777" w:rsidR="00F65654" w:rsidRPr="00CC26EA" w:rsidRDefault="00F65654">
            <w:pPr>
              <w:spacing w:after="0"/>
              <w:rPr>
                <w:rFonts w:ascii="Times New Roman" w:eastAsia="Times New Roman" w:hAnsi="Times New Roman"/>
                <w:b/>
                <w:noProof/>
                <w:spacing w:val="-6"/>
                <w:lang w:val="sk-SK"/>
              </w:rPr>
            </w:pPr>
          </w:p>
        </w:tc>
      </w:tr>
      <w:tr w:rsidR="00F65654" w:rsidRPr="00CC26EA" w14:paraId="3B6E3160" w14:textId="77777777">
        <w:trPr>
          <w:trHeight w:val="308"/>
        </w:trPr>
        <w:tc>
          <w:tcPr>
            <w:tcW w:w="1347" w:type="dxa"/>
            <w:tcBorders>
              <w:top w:val="nil"/>
              <w:left w:val="single" w:sz="4" w:space="0" w:color="auto"/>
              <w:bottom w:val="single" w:sz="4" w:space="0" w:color="auto"/>
              <w:right w:val="single" w:sz="4" w:space="0" w:color="auto"/>
            </w:tcBorders>
            <w:shd w:val="clear" w:color="auto" w:fill="C6EFCE"/>
            <w:noWrap/>
            <w:hideMark/>
          </w:tcPr>
          <w:p w14:paraId="1EC73144"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7</w:t>
            </w:r>
          </w:p>
        </w:tc>
        <w:tc>
          <w:tcPr>
            <w:tcW w:w="1500" w:type="dxa"/>
            <w:tcBorders>
              <w:top w:val="nil"/>
              <w:left w:val="nil"/>
              <w:bottom w:val="single" w:sz="4" w:space="0" w:color="auto"/>
              <w:right w:val="single" w:sz="4" w:space="0" w:color="auto"/>
            </w:tcBorders>
            <w:shd w:val="clear" w:color="auto" w:fill="C6EFCE"/>
            <w:noWrap/>
            <w:hideMark/>
          </w:tcPr>
          <w:p w14:paraId="5AB9B5F9" w14:textId="2070D52C"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ekologické poľnohospodárstvo</w:t>
            </w:r>
          </w:p>
        </w:tc>
        <w:tc>
          <w:tcPr>
            <w:tcW w:w="1264" w:type="dxa"/>
            <w:tcBorders>
              <w:top w:val="nil"/>
              <w:left w:val="nil"/>
              <w:bottom w:val="single" w:sz="4" w:space="0" w:color="auto"/>
              <w:right w:val="single" w:sz="4" w:space="0" w:color="auto"/>
            </w:tcBorders>
            <w:shd w:val="clear" w:color="auto" w:fill="C6EFCE"/>
            <w:noWrap/>
            <w:hideMark/>
          </w:tcPr>
          <w:p w14:paraId="2186FB1C"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2071" w:type="dxa"/>
            <w:tcBorders>
              <w:top w:val="nil"/>
              <w:left w:val="nil"/>
              <w:bottom w:val="single" w:sz="4" w:space="0" w:color="auto"/>
              <w:right w:val="single" w:sz="4" w:space="0" w:color="auto"/>
            </w:tcBorders>
            <w:shd w:val="clear" w:color="auto" w:fill="C6EFCE"/>
            <w:noWrap/>
            <w:hideMark/>
          </w:tcPr>
          <w:p w14:paraId="525C18FE" w14:textId="4D85DF89"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Bolo dokončených najmenej 40 projektov</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rámci Nadácie pre ekologické poľnohospodárstvo.</w:t>
            </w:r>
          </w:p>
        </w:tc>
        <w:tc>
          <w:tcPr>
            <w:tcW w:w="1915" w:type="dxa"/>
            <w:tcBorders>
              <w:top w:val="nil"/>
              <w:left w:val="nil"/>
              <w:bottom w:val="single" w:sz="4" w:space="0" w:color="auto"/>
              <w:right w:val="single" w:sz="4" w:space="0" w:color="auto"/>
            </w:tcBorders>
            <w:shd w:val="clear" w:color="auto" w:fill="C6EFCE"/>
            <w:noWrap/>
            <w:hideMark/>
          </w:tcPr>
          <w:p w14:paraId="3237AE7A" w14:textId="77777777" w:rsidR="00F65654" w:rsidRPr="00CC26EA" w:rsidRDefault="00F65654">
            <w:pPr>
              <w:rPr>
                <w:rFonts w:ascii="Times New Roman" w:eastAsia="Times New Roman" w:hAnsi="Times New Roman"/>
                <w:noProof/>
                <w:color w:val="006100"/>
                <w:spacing w:val="-6"/>
                <w:lang w:val="sk-SK"/>
              </w:rPr>
            </w:pPr>
          </w:p>
        </w:tc>
        <w:tc>
          <w:tcPr>
            <w:tcW w:w="1031" w:type="dxa"/>
            <w:tcBorders>
              <w:top w:val="nil"/>
              <w:left w:val="nil"/>
              <w:bottom w:val="single" w:sz="4" w:space="0" w:color="auto"/>
              <w:right w:val="single" w:sz="4" w:space="0" w:color="auto"/>
            </w:tcBorders>
            <w:shd w:val="clear" w:color="auto" w:fill="C6EFCE"/>
            <w:noWrap/>
            <w:hideMark/>
          </w:tcPr>
          <w:p w14:paraId="1D2D4EDF"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1178" w:type="dxa"/>
            <w:tcBorders>
              <w:top w:val="nil"/>
              <w:left w:val="nil"/>
              <w:bottom w:val="single" w:sz="4" w:space="0" w:color="auto"/>
              <w:right w:val="single" w:sz="4" w:space="0" w:color="auto"/>
            </w:tcBorders>
            <w:shd w:val="clear" w:color="auto" w:fill="C6EFCE"/>
            <w:noWrap/>
            <w:hideMark/>
          </w:tcPr>
          <w:p w14:paraId="6E377E9A"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737" w:type="dxa"/>
            <w:tcBorders>
              <w:top w:val="nil"/>
              <w:left w:val="nil"/>
              <w:bottom w:val="single" w:sz="4" w:space="0" w:color="auto"/>
              <w:right w:val="single" w:sz="4" w:space="0" w:color="auto"/>
            </w:tcBorders>
            <w:shd w:val="clear" w:color="auto" w:fill="C6EFCE"/>
            <w:noWrap/>
            <w:hideMark/>
          </w:tcPr>
          <w:p w14:paraId="6200BF9F"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40</w:t>
            </w:r>
          </w:p>
        </w:tc>
        <w:tc>
          <w:tcPr>
            <w:tcW w:w="1031" w:type="dxa"/>
            <w:tcBorders>
              <w:top w:val="nil"/>
              <w:left w:val="nil"/>
              <w:bottom w:val="single" w:sz="4" w:space="0" w:color="auto"/>
              <w:right w:val="single" w:sz="4" w:space="0" w:color="auto"/>
            </w:tcBorders>
            <w:shd w:val="clear" w:color="auto" w:fill="C6EFCE"/>
            <w:noWrap/>
            <w:hideMark/>
          </w:tcPr>
          <w:p w14:paraId="51C42355"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1031" w:type="dxa"/>
            <w:tcBorders>
              <w:top w:val="nil"/>
              <w:left w:val="nil"/>
              <w:bottom w:val="single" w:sz="4" w:space="0" w:color="auto"/>
              <w:right w:val="single" w:sz="4" w:space="0" w:color="auto"/>
            </w:tcBorders>
            <w:shd w:val="clear" w:color="auto" w:fill="C6EFCE"/>
            <w:noWrap/>
            <w:hideMark/>
          </w:tcPr>
          <w:p w14:paraId="6C8C5549"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2025</w:t>
            </w:r>
          </w:p>
        </w:tc>
        <w:tc>
          <w:tcPr>
            <w:tcW w:w="2799" w:type="dxa"/>
            <w:tcBorders>
              <w:top w:val="nil"/>
              <w:left w:val="nil"/>
              <w:bottom w:val="single" w:sz="4" w:space="0" w:color="auto"/>
              <w:right w:val="single" w:sz="4" w:space="0" w:color="auto"/>
            </w:tcBorders>
            <w:shd w:val="clear" w:color="auto" w:fill="C6EFCE"/>
            <w:noWrap/>
            <w:hideMark/>
          </w:tcPr>
          <w:p w14:paraId="5EB0B074" w14:textId="7FAD95F1"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Projekty podporujú obchod</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produktmi ekologickej poľnohospodárskej výroby, ich uvádzanie na trh, zvyšujú znalosti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budujú kompetencie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odvetví ekologickej poľnohospodárskej výroby. Tento cieľ sa splní, keď sa dokončí aspoň 40 projektov.</w:t>
            </w:r>
          </w:p>
        </w:tc>
      </w:tr>
      <w:tr w:rsidR="00F65654" w:rsidRPr="00CC26EA" w14:paraId="6ECF7BB1" w14:textId="77777777">
        <w:trPr>
          <w:trHeight w:val="308"/>
        </w:trPr>
        <w:tc>
          <w:tcPr>
            <w:tcW w:w="1347" w:type="dxa"/>
            <w:tcBorders>
              <w:top w:val="nil"/>
              <w:left w:val="single" w:sz="4" w:space="0" w:color="auto"/>
              <w:bottom w:val="single" w:sz="4" w:space="0" w:color="auto"/>
              <w:right w:val="single" w:sz="4" w:space="0" w:color="auto"/>
            </w:tcBorders>
            <w:shd w:val="clear" w:color="auto" w:fill="C6EFCE"/>
            <w:noWrap/>
          </w:tcPr>
          <w:p w14:paraId="0D69048C"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8</w:t>
            </w:r>
          </w:p>
        </w:tc>
        <w:tc>
          <w:tcPr>
            <w:tcW w:w="1500" w:type="dxa"/>
            <w:tcBorders>
              <w:top w:val="nil"/>
              <w:left w:val="nil"/>
              <w:bottom w:val="single" w:sz="4" w:space="0" w:color="auto"/>
              <w:right w:val="single" w:sz="4" w:space="0" w:color="auto"/>
            </w:tcBorders>
            <w:shd w:val="clear" w:color="auto" w:fill="C6EFCE"/>
            <w:noWrap/>
          </w:tcPr>
          <w:p w14:paraId="10E02C14" w14:textId="54C8C43F"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životného prostredia – ekologická transformácia verejných kuchyní </w:t>
            </w:r>
          </w:p>
        </w:tc>
        <w:tc>
          <w:tcPr>
            <w:tcW w:w="1264" w:type="dxa"/>
            <w:tcBorders>
              <w:top w:val="nil"/>
              <w:left w:val="nil"/>
              <w:bottom w:val="single" w:sz="4" w:space="0" w:color="auto"/>
              <w:right w:val="single" w:sz="4" w:space="0" w:color="auto"/>
            </w:tcBorders>
            <w:shd w:val="clear" w:color="auto" w:fill="C6EFCE"/>
            <w:noWrap/>
          </w:tcPr>
          <w:p w14:paraId="0307BE1B"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2071" w:type="dxa"/>
            <w:tcBorders>
              <w:top w:val="nil"/>
              <w:left w:val="nil"/>
              <w:bottom w:val="single" w:sz="4" w:space="0" w:color="auto"/>
              <w:right w:val="single" w:sz="4" w:space="0" w:color="auto"/>
            </w:tcBorders>
            <w:shd w:val="clear" w:color="auto" w:fill="C6EFCE"/>
            <w:noWrap/>
          </w:tcPr>
          <w:p w14:paraId="5B14C62F" w14:textId="48A7B08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Zvýšiť podiel produktov ekologickej poľnohospodárskej výroby používaných vo verejných kuchyniach aspoň na 35</w:t>
            </w:r>
            <w:r w:rsidR="00CC26EA" w:rsidRPr="00CC26EA">
              <w:rPr>
                <w:rFonts w:ascii="Times New Roman" w:hAnsi="Times New Roman"/>
                <w:noProof/>
                <w:spacing w:val="-6"/>
                <w:lang w:val="sk-SK"/>
              </w:rPr>
              <w:t> %</w:t>
            </w:r>
            <w:r w:rsidRPr="00CC26EA">
              <w:rPr>
                <w:rFonts w:ascii="Times New Roman" w:hAnsi="Times New Roman"/>
                <w:noProof/>
                <w:spacing w:val="-6"/>
                <w:lang w:val="sk-SK"/>
              </w:rPr>
              <w:t xml:space="preserve">. </w:t>
            </w:r>
          </w:p>
        </w:tc>
        <w:tc>
          <w:tcPr>
            <w:tcW w:w="1915" w:type="dxa"/>
            <w:tcBorders>
              <w:top w:val="nil"/>
              <w:left w:val="nil"/>
              <w:bottom w:val="single" w:sz="4" w:space="0" w:color="auto"/>
              <w:right w:val="single" w:sz="4" w:space="0" w:color="auto"/>
            </w:tcBorders>
            <w:shd w:val="clear" w:color="auto" w:fill="C6EFCE"/>
            <w:noWrap/>
          </w:tcPr>
          <w:p w14:paraId="4703D1A4" w14:textId="77777777" w:rsidR="00F65654" w:rsidRPr="00CC26EA" w:rsidRDefault="00F65654">
            <w:pPr>
              <w:rPr>
                <w:rFonts w:ascii="Times New Roman" w:eastAsia="Times New Roman" w:hAnsi="Times New Roman"/>
                <w:noProof/>
                <w:color w:val="006100"/>
                <w:spacing w:val="-6"/>
                <w:lang w:val="sk-SK"/>
              </w:rPr>
            </w:pPr>
          </w:p>
        </w:tc>
        <w:tc>
          <w:tcPr>
            <w:tcW w:w="1031" w:type="dxa"/>
            <w:tcBorders>
              <w:top w:val="nil"/>
              <w:left w:val="nil"/>
              <w:bottom w:val="single" w:sz="4" w:space="0" w:color="auto"/>
              <w:right w:val="single" w:sz="4" w:space="0" w:color="auto"/>
            </w:tcBorders>
            <w:shd w:val="clear" w:color="auto" w:fill="C6EFCE"/>
            <w:noWrap/>
          </w:tcPr>
          <w:p w14:paraId="788E65E1"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w:t>
            </w:r>
          </w:p>
        </w:tc>
        <w:tc>
          <w:tcPr>
            <w:tcW w:w="1178" w:type="dxa"/>
            <w:tcBorders>
              <w:top w:val="nil"/>
              <w:left w:val="nil"/>
              <w:bottom w:val="single" w:sz="4" w:space="0" w:color="auto"/>
              <w:right w:val="single" w:sz="4" w:space="0" w:color="auto"/>
            </w:tcBorders>
            <w:shd w:val="clear" w:color="auto" w:fill="C6EFCE"/>
            <w:noWrap/>
          </w:tcPr>
          <w:p w14:paraId="09E758C2"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23</w:t>
            </w:r>
          </w:p>
        </w:tc>
        <w:tc>
          <w:tcPr>
            <w:tcW w:w="737" w:type="dxa"/>
            <w:tcBorders>
              <w:top w:val="nil"/>
              <w:left w:val="nil"/>
              <w:bottom w:val="single" w:sz="4" w:space="0" w:color="auto"/>
              <w:right w:val="single" w:sz="4" w:space="0" w:color="auto"/>
            </w:tcBorders>
            <w:shd w:val="clear" w:color="auto" w:fill="C6EFCE"/>
            <w:noWrap/>
          </w:tcPr>
          <w:p w14:paraId="0B44D33C"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35</w:t>
            </w:r>
          </w:p>
        </w:tc>
        <w:tc>
          <w:tcPr>
            <w:tcW w:w="1031" w:type="dxa"/>
            <w:tcBorders>
              <w:top w:val="nil"/>
              <w:left w:val="nil"/>
              <w:bottom w:val="single" w:sz="4" w:space="0" w:color="auto"/>
              <w:right w:val="single" w:sz="4" w:space="0" w:color="auto"/>
            </w:tcBorders>
            <w:shd w:val="clear" w:color="auto" w:fill="C6EFCE"/>
            <w:noWrap/>
          </w:tcPr>
          <w:p w14:paraId="6A686695"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1031" w:type="dxa"/>
            <w:tcBorders>
              <w:top w:val="nil"/>
              <w:left w:val="nil"/>
              <w:bottom w:val="single" w:sz="4" w:space="0" w:color="auto"/>
              <w:right w:val="single" w:sz="4" w:space="0" w:color="auto"/>
            </w:tcBorders>
            <w:shd w:val="clear" w:color="auto" w:fill="C6EFCE"/>
            <w:noWrap/>
          </w:tcPr>
          <w:p w14:paraId="42344E67"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2025</w:t>
            </w:r>
          </w:p>
        </w:tc>
        <w:tc>
          <w:tcPr>
            <w:tcW w:w="2799" w:type="dxa"/>
            <w:tcBorders>
              <w:top w:val="nil"/>
              <w:left w:val="nil"/>
              <w:bottom w:val="single" w:sz="4" w:space="0" w:color="auto"/>
              <w:right w:val="single" w:sz="4" w:space="0" w:color="auto"/>
            </w:tcBorders>
            <w:shd w:val="clear" w:color="auto" w:fill="C6EFCE"/>
            <w:noWrap/>
          </w:tcPr>
          <w:p w14:paraId="6BB08AF3" w14:textId="05B8FB51"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Iniciatíva sa vykonáva ako samostatné skupiny financovaných projektov</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rámci Nadácie pre ekologické poľnohospodárstvo. Tento cieľ sa splní, keď sa podiel produktov ekologickej poľnohospodárskej výroby vo verejných kuchyniach zvýši aspoň na 35</w:t>
            </w:r>
            <w:r w:rsidR="00CC26EA" w:rsidRPr="00CC26EA">
              <w:rPr>
                <w:rFonts w:ascii="Times New Roman" w:hAnsi="Times New Roman"/>
                <w:noProof/>
                <w:spacing w:val="-6"/>
                <w:lang w:val="sk-SK"/>
              </w:rPr>
              <w:t> %</w:t>
            </w:r>
            <w:r w:rsidRPr="00CC26EA">
              <w:rPr>
                <w:rFonts w:ascii="Times New Roman" w:hAnsi="Times New Roman"/>
                <w:noProof/>
                <w:spacing w:val="-6"/>
                <w:lang w:val="sk-SK"/>
              </w:rPr>
              <w:t>.</w:t>
            </w:r>
          </w:p>
        </w:tc>
      </w:tr>
      <w:tr w:rsidR="00F65654" w:rsidRPr="00CC26EA" w14:paraId="5E16EF7F" w14:textId="77777777">
        <w:trPr>
          <w:trHeight w:val="308"/>
        </w:trPr>
        <w:tc>
          <w:tcPr>
            <w:tcW w:w="1347" w:type="dxa"/>
            <w:tcBorders>
              <w:top w:val="nil"/>
              <w:left w:val="single" w:sz="4" w:space="0" w:color="auto"/>
              <w:bottom w:val="single" w:sz="4" w:space="0" w:color="auto"/>
              <w:right w:val="single" w:sz="4" w:space="0" w:color="auto"/>
            </w:tcBorders>
            <w:shd w:val="clear" w:color="auto" w:fill="C6EFCE"/>
            <w:noWrap/>
          </w:tcPr>
          <w:p w14:paraId="28C93967"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9</w:t>
            </w:r>
          </w:p>
        </w:tc>
        <w:tc>
          <w:tcPr>
            <w:tcW w:w="1500" w:type="dxa"/>
            <w:tcBorders>
              <w:top w:val="nil"/>
              <w:left w:val="nil"/>
              <w:bottom w:val="single" w:sz="4" w:space="0" w:color="auto"/>
              <w:right w:val="single" w:sz="4" w:space="0" w:color="auto"/>
            </w:tcBorders>
            <w:shd w:val="clear" w:color="auto" w:fill="C6EFCE"/>
            <w:noWrap/>
          </w:tcPr>
          <w:p w14:paraId="4AABE0E3" w14:textId="474B9A7A"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Centrum pre ekologické inovácie</w:t>
            </w:r>
          </w:p>
        </w:tc>
        <w:tc>
          <w:tcPr>
            <w:tcW w:w="1264" w:type="dxa"/>
            <w:tcBorders>
              <w:top w:val="nil"/>
              <w:left w:val="nil"/>
              <w:bottom w:val="single" w:sz="4" w:space="0" w:color="auto"/>
              <w:right w:val="single" w:sz="4" w:space="0" w:color="auto"/>
            </w:tcBorders>
            <w:shd w:val="clear" w:color="auto" w:fill="C6EFCE"/>
            <w:noWrap/>
          </w:tcPr>
          <w:p w14:paraId="3EDF2E58"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2071" w:type="dxa"/>
            <w:tcBorders>
              <w:top w:val="nil"/>
              <w:left w:val="nil"/>
              <w:bottom w:val="single" w:sz="4" w:space="0" w:color="auto"/>
              <w:right w:val="single" w:sz="4" w:space="0" w:color="auto"/>
            </w:tcBorders>
            <w:shd w:val="clear" w:color="auto" w:fill="C6EFCE"/>
            <w:noWrap/>
          </w:tcPr>
          <w:p w14:paraId="1301C38F"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Bolo dokončených aspoň 6 projektov na podporu ekologických inovácií</w:t>
            </w:r>
          </w:p>
        </w:tc>
        <w:tc>
          <w:tcPr>
            <w:tcW w:w="1915" w:type="dxa"/>
            <w:tcBorders>
              <w:top w:val="nil"/>
              <w:left w:val="nil"/>
              <w:bottom w:val="single" w:sz="4" w:space="0" w:color="auto"/>
              <w:right w:val="single" w:sz="4" w:space="0" w:color="auto"/>
            </w:tcBorders>
            <w:shd w:val="clear" w:color="auto" w:fill="C6EFCE"/>
            <w:noWrap/>
          </w:tcPr>
          <w:p w14:paraId="45B7F368" w14:textId="77777777" w:rsidR="00F65654" w:rsidRPr="00CC26EA" w:rsidRDefault="00F65654">
            <w:pPr>
              <w:rPr>
                <w:rFonts w:ascii="Times New Roman" w:eastAsia="Times New Roman" w:hAnsi="Times New Roman"/>
                <w:noProof/>
                <w:color w:val="006100"/>
                <w:spacing w:val="-6"/>
                <w:lang w:val="sk-SK"/>
              </w:rPr>
            </w:pPr>
          </w:p>
        </w:tc>
        <w:tc>
          <w:tcPr>
            <w:tcW w:w="1031" w:type="dxa"/>
            <w:tcBorders>
              <w:top w:val="nil"/>
              <w:left w:val="nil"/>
              <w:bottom w:val="single" w:sz="4" w:space="0" w:color="auto"/>
              <w:right w:val="single" w:sz="4" w:space="0" w:color="auto"/>
            </w:tcBorders>
            <w:shd w:val="clear" w:color="auto" w:fill="C6EFCE"/>
            <w:noWrap/>
          </w:tcPr>
          <w:p w14:paraId="3D01A7EF"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1178" w:type="dxa"/>
            <w:tcBorders>
              <w:top w:val="nil"/>
              <w:left w:val="nil"/>
              <w:bottom w:val="single" w:sz="4" w:space="0" w:color="auto"/>
              <w:right w:val="single" w:sz="4" w:space="0" w:color="auto"/>
            </w:tcBorders>
            <w:shd w:val="clear" w:color="auto" w:fill="C6EFCE"/>
            <w:noWrap/>
          </w:tcPr>
          <w:p w14:paraId="03945CC9"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737" w:type="dxa"/>
            <w:tcBorders>
              <w:top w:val="nil"/>
              <w:left w:val="nil"/>
              <w:bottom w:val="single" w:sz="4" w:space="0" w:color="auto"/>
              <w:right w:val="single" w:sz="4" w:space="0" w:color="auto"/>
            </w:tcBorders>
            <w:shd w:val="clear" w:color="auto" w:fill="C6EFCE"/>
            <w:noWrap/>
          </w:tcPr>
          <w:p w14:paraId="6DB84024"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6</w:t>
            </w:r>
          </w:p>
        </w:tc>
        <w:tc>
          <w:tcPr>
            <w:tcW w:w="1031" w:type="dxa"/>
            <w:tcBorders>
              <w:top w:val="nil"/>
              <w:left w:val="nil"/>
              <w:bottom w:val="single" w:sz="4" w:space="0" w:color="auto"/>
              <w:right w:val="single" w:sz="4" w:space="0" w:color="auto"/>
            </w:tcBorders>
            <w:shd w:val="clear" w:color="auto" w:fill="C6EFCE"/>
            <w:noWrap/>
          </w:tcPr>
          <w:p w14:paraId="50819CF6"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1031" w:type="dxa"/>
            <w:tcBorders>
              <w:top w:val="nil"/>
              <w:left w:val="nil"/>
              <w:bottom w:val="single" w:sz="4" w:space="0" w:color="auto"/>
              <w:right w:val="single" w:sz="4" w:space="0" w:color="auto"/>
            </w:tcBorders>
            <w:shd w:val="clear" w:color="auto" w:fill="C6EFCE"/>
            <w:noWrap/>
          </w:tcPr>
          <w:p w14:paraId="176F7B30"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2025</w:t>
            </w:r>
          </w:p>
        </w:tc>
        <w:tc>
          <w:tcPr>
            <w:tcW w:w="2799" w:type="dxa"/>
            <w:tcBorders>
              <w:top w:val="nil"/>
              <w:left w:val="nil"/>
              <w:bottom w:val="single" w:sz="4" w:space="0" w:color="auto"/>
              <w:right w:val="single" w:sz="4" w:space="0" w:color="auto"/>
            </w:tcBorders>
            <w:shd w:val="clear" w:color="auto" w:fill="C6EFCE"/>
            <w:noWrap/>
          </w:tcPr>
          <w:p w14:paraId="2AD5908B" w14:textId="21EF159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V projektoch ekologickej inovácie sa zhromažďujú</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odovzdávajú poznatky na podporu ekologického poľnohospodárstva</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cieľom vytvoriť hospodársky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environmentálne udržateľné poľnohospodárske podniky. Okrem toho projekty ekologickej inovácie pozostávajú</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výskumu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experimentov</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rámci ekologického poľnohospodárstva. Tento cieľ sa splní, keď sa dokončí aspoň 6 projektov.</w:t>
            </w:r>
          </w:p>
        </w:tc>
      </w:tr>
      <w:bookmarkEnd w:id="1"/>
      <w:tr w:rsidR="00F65654" w:rsidRPr="00CC26EA" w14:paraId="084DE435" w14:textId="77777777">
        <w:trPr>
          <w:trHeight w:val="308"/>
        </w:trPr>
        <w:tc>
          <w:tcPr>
            <w:tcW w:w="1347" w:type="dxa"/>
            <w:tcBorders>
              <w:top w:val="nil"/>
              <w:left w:val="single" w:sz="4" w:space="0" w:color="auto"/>
              <w:bottom w:val="single" w:sz="4" w:space="0" w:color="auto"/>
              <w:right w:val="single" w:sz="4" w:space="0" w:color="auto"/>
            </w:tcBorders>
            <w:shd w:val="clear" w:color="auto" w:fill="C6EFCE"/>
            <w:noWrap/>
          </w:tcPr>
          <w:p w14:paraId="30EED486"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10</w:t>
            </w:r>
          </w:p>
        </w:tc>
        <w:tc>
          <w:tcPr>
            <w:tcW w:w="1500" w:type="dxa"/>
            <w:tcBorders>
              <w:top w:val="nil"/>
              <w:left w:val="nil"/>
              <w:bottom w:val="single" w:sz="4" w:space="0" w:color="auto"/>
              <w:right w:val="single" w:sz="4" w:space="0" w:color="auto"/>
            </w:tcBorders>
            <w:shd w:val="clear" w:color="auto" w:fill="C6EFCE"/>
            <w:noWrap/>
          </w:tcPr>
          <w:p w14:paraId="555BD60C" w14:textId="7B56A37B"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ekologické projekty založené na rastlinách</w:t>
            </w:r>
          </w:p>
        </w:tc>
        <w:tc>
          <w:tcPr>
            <w:tcW w:w="1264" w:type="dxa"/>
            <w:tcBorders>
              <w:top w:val="nil"/>
              <w:left w:val="nil"/>
              <w:bottom w:val="single" w:sz="4" w:space="0" w:color="auto"/>
              <w:right w:val="single" w:sz="4" w:space="0" w:color="auto"/>
            </w:tcBorders>
            <w:shd w:val="clear" w:color="auto" w:fill="C6EFCE"/>
            <w:noWrap/>
          </w:tcPr>
          <w:p w14:paraId="3F2F5B22"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2071" w:type="dxa"/>
            <w:tcBorders>
              <w:top w:val="nil"/>
              <w:left w:val="nil"/>
              <w:bottom w:val="single" w:sz="4" w:space="0" w:color="auto"/>
              <w:right w:val="single" w:sz="4" w:space="0" w:color="auto"/>
            </w:tcBorders>
            <w:shd w:val="clear" w:color="auto" w:fill="C6EFCE"/>
            <w:noWrap/>
          </w:tcPr>
          <w:p w14:paraId="16C7F9DA"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Dokončilo sa aspoň 10 projektov, ktorých cieľom je podporiť vývoj ekologickejších potravín rastlinného pôvodu.</w:t>
            </w:r>
          </w:p>
        </w:tc>
        <w:tc>
          <w:tcPr>
            <w:tcW w:w="1915" w:type="dxa"/>
            <w:tcBorders>
              <w:top w:val="nil"/>
              <w:left w:val="nil"/>
              <w:bottom w:val="single" w:sz="4" w:space="0" w:color="auto"/>
              <w:right w:val="single" w:sz="4" w:space="0" w:color="auto"/>
            </w:tcBorders>
            <w:shd w:val="clear" w:color="auto" w:fill="C6EFCE"/>
            <w:noWrap/>
          </w:tcPr>
          <w:p w14:paraId="10C8D326" w14:textId="77777777" w:rsidR="00F65654" w:rsidRPr="00CC26EA" w:rsidRDefault="00F65654">
            <w:pPr>
              <w:rPr>
                <w:rFonts w:ascii="Times New Roman" w:eastAsia="Times New Roman" w:hAnsi="Times New Roman"/>
                <w:noProof/>
                <w:color w:val="006100"/>
                <w:spacing w:val="-6"/>
                <w:lang w:val="sk-SK"/>
              </w:rPr>
            </w:pPr>
          </w:p>
        </w:tc>
        <w:tc>
          <w:tcPr>
            <w:tcW w:w="1031" w:type="dxa"/>
            <w:tcBorders>
              <w:top w:val="nil"/>
              <w:left w:val="nil"/>
              <w:bottom w:val="single" w:sz="4" w:space="0" w:color="auto"/>
              <w:right w:val="single" w:sz="4" w:space="0" w:color="auto"/>
            </w:tcBorders>
            <w:shd w:val="clear" w:color="auto" w:fill="C6EFCE"/>
            <w:noWrap/>
          </w:tcPr>
          <w:p w14:paraId="03592011"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1178" w:type="dxa"/>
            <w:tcBorders>
              <w:top w:val="nil"/>
              <w:left w:val="nil"/>
              <w:bottom w:val="single" w:sz="4" w:space="0" w:color="auto"/>
              <w:right w:val="single" w:sz="4" w:space="0" w:color="auto"/>
            </w:tcBorders>
            <w:shd w:val="clear" w:color="auto" w:fill="C6EFCE"/>
            <w:noWrap/>
          </w:tcPr>
          <w:p w14:paraId="0D2FD5B1"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737" w:type="dxa"/>
            <w:tcBorders>
              <w:top w:val="nil"/>
              <w:left w:val="nil"/>
              <w:bottom w:val="single" w:sz="4" w:space="0" w:color="auto"/>
              <w:right w:val="single" w:sz="4" w:space="0" w:color="auto"/>
            </w:tcBorders>
            <w:shd w:val="clear" w:color="auto" w:fill="C6EFCE"/>
            <w:noWrap/>
          </w:tcPr>
          <w:p w14:paraId="7F258C89"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10</w:t>
            </w:r>
          </w:p>
        </w:tc>
        <w:tc>
          <w:tcPr>
            <w:tcW w:w="1031" w:type="dxa"/>
            <w:tcBorders>
              <w:top w:val="nil"/>
              <w:left w:val="nil"/>
              <w:bottom w:val="single" w:sz="4" w:space="0" w:color="auto"/>
              <w:right w:val="single" w:sz="4" w:space="0" w:color="auto"/>
            </w:tcBorders>
            <w:shd w:val="clear" w:color="auto" w:fill="C6EFCE"/>
            <w:noWrap/>
          </w:tcPr>
          <w:p w14:paraId="5E8D6E89"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1031" w:type="dxa"/>
            <w:tcBorders>
              <w:top w:val="nil"/>
              <w:left w:val="nil"/>
              <w:bottom w:val="single" w:sz="4" w:space="0" w:color="auto"/>
              <w:right w:val="single" w:sz="4" w:space="0" w:color="auto"/>
            </w:tcBorders>
            <w:shd w:val="clear" w:color="auto" w:fill="C6EFCE"/>
            <w:noWrap/>
          </w:tcPr>
          <w:p w14:paraId="72D666E4"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2025</w:t>
            </w:r>
          </w:p>
        </w:tc>
        <w:tc>
          <w:tcPr>
            <w:tcW w:w="2799" w:type="dxa"/>
            <w:tcBorders>
              <w:top w:val="nil"/>
              <w:left w:val="nil"/>
              <w:bottom w:val="single" w:sz="4" w:space="0" w:color="auto"/>
              <w:right w:val="single" w:sz="4" w:space="0" w:color="auto"/>
            </w:tcBorders>
            <w:shd w:val="clear" w:color="auto" w:fill="C6EFCE"/>
            <w:noWrap/>
          </w:tcPr>
          <w:p w14:paraId="263632F7" w14:textId="08C3367C"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Z fondov sa podporujú projekty pozostávajúce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praktických iniciatív založených na poznatkoch, ktoré posilňujú budovanie kompetencií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synergie pri propagácii ekologických rastlinných potravín. Patrí sem pestovanie, posilnenie hodnotového reťazca, podpora predaja, výživa, obchod</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medzinárodná propagácia ekologických rastlinných potravín</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všeobecné posilnenie vedomostnej základne pre takéto iniciatívy.  Tento cieľ sa splní, keď sa dokončí aspoň 10 projektov.</w:t>
            </w:r>
          </w:p>
        </w:tc>
      </w:tr>
      <w:tr w:rsidR="00F65654" w:rsidRPr="00CC26EA" w14:paraId="58102FC9" w14:textId="77777777">
        <w:trPr>
          <w:trHeight w:val="308"/>
        </w:trPr>
        <w:tc>
          <w:tcPr>
            <w:tcW w:w="1347" w:type="dxa"/>
            <w:tcBorders>
              <w:top w:val="nil"/>
              <w:left w:val="single" w:sz="4" w:space="0" w:color="auto"/>
              <w:bottom w:val="single" w:sz="4" w:space="0" w:color="auto"/>
              <w:right w:val="single" w:sz="4" w:space="0" w:color="auto"/>
            </w:tcBorders>
            <w:shd w:val="clear" w:color="auto" w:fill="C6EFCE"/>
            <w:noWrap/>
            <w:hideMark/>
          </w:tcPr>
          <w:p w14:paraId="2F387AC1"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11</w:t>
            </w:r>
          </w:p>
        </w:tc>
        <w:tc>
          <w:tcPr>
            <w:tcW w:w="1500" w:type="dxa"/>
            <w:tcBorders>
              <w:top w:val="nil"/>
              <w:left w:val="nil"/>
              <w:bottom w:val="single" w:sz="4" w:space="0" w:color="auto"/>
              <w:right w:val="single" w:sz="4" w:space="0" w:color="auto"/>
            </w:tcBorders>
            <w:shd w:val="clear" w:color="auto" w:fill="C6EFCE"/>
            <w:noWrap/>
            <w:hideMark/>
          </w:tcPr>
          <w:p w14:paraId="24CA0C1E" w14:textId="61F00FC4"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klimatické technológie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poľnohospodárstve</w:t>
            </w:r>
          </w:p>
        </w:tc>
        <w:tc>
          <w:tcPr>
            <w:tcW w:w="1264" w:type="dxa"/>
            <w:tcBorders>
              <w:top w:val="nil"/>
              <w:left w:val="nil"/>
              <w:bottom w:val="single" w:sz="4" w:space="0" w:color="auto"/>
              <w:right w:val="single" w:sz="4" w:space="0" w:color="auto"/>
            </w:tcBorders>
            <w:shd w:val="clear" w:color="auto" w:fill="C6EFCE"/>
            <w:noWrap/>
            <w:hideMark/>
          </w:tcPr>
          <w:p w14:paraId="763F91BE"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2071" w:type="dxa"/>
            <w:tcBorders>
              <w:top w:val="nil"/>
              <w:left w:val="nil"/>
              <w:bottom w:val="single" w:sz="4" w:space="0" w:color="auto"/>
              <w:right w:val="single" w:sz="4" w:space="0" w:color="auto"/>
            </w:tcBorders>
            <w:shd w:val="clear" w:color="auto" w:fill="C6EFCE"/>
            <w:noWrap/>
            <w:hideMark/>
          </w:tcPr>
          <w:p w14:paraId="7FC724B9" w14:textId="519C3E3B"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Výzva na predkladanie žiadostí</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grantové schémy pre klimatické technológie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poľnohospodárstve (hnedé biorafinérie) je dokončená.</w:t>
            </w:r>
          </w:p>
        </w:tc>
        <w:tc>
          <w:tcPr>
            <w:tcW w:w="1915" w:type="dxa"/>
            <w:tcBorders>
              <w:top w:val="nil"/>
              <w:left w:val="nil"/>
              <w:bottom w:val="single" w:sz="4" w:space="0" w:color="auto"/>
              <w:right w:val="single" w:sz="4" w:space="0" w:color="auto"/>
            </w:tcBorders>
            <w:shd w:val="clear" w:color="auto" w:fill="C6EFCE"/>
            <w:noWrap/>
          </w:tcPr>
          <w:p w14:paraId="15D8D368"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Výzva na predkladanie ponúk bola ukončená. </w:t>
            </w:r>
          </w:p>
        </w:tc>
        <w:tc>
          <w:tcPr>
            <w:tcW w:w="1031" w:type="dxa"/>
            <w:tcBorders>
              <w:top w:val="nil"/>
              <w:left w:val="nil"/>
              <w:bottom w:val="single" w:sz="4" w:space="0" w:color="auto"/>
              <w:right w:val="single" w:sz="4" w:space="0" w:color="auto"/>
            </w:tcBorders>
            <w:shd w:val="clear" w:color="auto" w:fill="C6EFCE"/>
            <w:noWrap/>
            <w:hideMark/>
          </w:tcPr>
          <w:p w14:paraId="3A32FC8C" w14:textId="77777777" w:rsidR="00F65654" w:rsidRPr="00CC26EA" w:rsidRDefault="00F65654">
            <w:pPr>
              <w:rPr>
                <w:rFonts w:ascii="Times New Roman" w:eastAsia="Times New Roman" w:hAnsi="Times New Roman"/>
                <w:noProof/>
                <w:color w:val="006100"/>
                <w:spacing w:val="-6"/>
                <w:lang w:val="sk-SK"/>
              </w:rPr>
            </w:pPr>
          </w:p>
        </w:tc>
        <w:tc>
          <w:tcPr>
            <w:tcW w:w="1178" w:type="dxa"/>
            <w:tcBorders>
              <w:top w:val="nil"/>
              <w:left w:val="nil"/>
              <w:bottom w:val="single" w:sz="4" w:space="0" w:color="auto"/>
              <w:right w:val="single" w:sz="4" w:space="0" w:color="auto"/>
            </w:tcBorders>
            <w:shd w:val="clear" w:color="auto" w:fill="C6EFCE"/>
            <w:noWrap/>
            <w:hideMark/>
          </w:tcPr>
          <w:p w14:paraId="510F5070" w14:textId="77777777" w:rsidR="00F65654" w:rsidRPr="00CC26EA" w:rsidRDefault="00F65654">
            <w:pPr>
              <w:rPr>
                <w:rFonts w:ascii="Times New Roman" w:eastAsia="Times New Roman" w:hAnsi="Times New Roman"/>
                <w:noProof/>
                <w:color w:val="006100"/>
                <w:spacing w:val="-6"/>
                <w:lang w:val="sk-SK"/>
              </w:rPr>
            </w:pPr>
          </w:p>
        </w:tc>
        <w:tc>
          <w:tcPr>
            <w:tcW w:w="737" w:type="dxa"/>
            <w:tcBorders>
              <w:top w:val="nil"/>
              <w:left w:val="nil"/>
              <w:bottom w:val="single" w:sz="4" w:space="0" w:color="auto"/>
              <w:right w:val="single" w:sz="4" w:space="0" w:color="auto"/>
            </w:tcBorders>
            <w:shd w:val="clear" w:color="auto" w:fill="C6EFCE"/>
            <w:noWrap/>
            <w:hideMark/>
          </w:tcPr>
          <w:p w14:paraId="538DC0C3" w14:textId="77777777" w:rsidR="00F65654" w:rsidRPr="00CC26EA" w:rsidRDefault="00F65654">
            <w:pPr>
              <w:rPr>
                <w:rFonts w:ascii="Times New Roman" w:eastAsia="Times New Roman" w:hAnsi="Times New Roman"/>
                <w:noProof/>
                <w:color w:val="006100"/>
                <w:spacing w:val="-6"/>
                <w:lang w:val="sk-SK"/>
              </w:rPr>
            </w:pPr>
          </w:p>
        </w:tc>
        <w:tc>
          <w:tcPr>
            <w:tcW w:w="1031" w:type="dxa"/>
            <w:tcBorders>
              <w:top w:val="nil"/>
              <w:left w:val="nil"/>
              <w:bottom w:val="single" w:sz="4" w:space="0" w:color="auto"/>
              <w:right w:val="single" w:sz="4" w:space="0" w:color="auto"/>
            </w:tcBorders>
            <w:shd w:val="clear" w:color="auto" w:fill="C6EFCE"/>
            <w:noWrap/>
            <w:hideMark/>
          </w:tcPr>
          <w:p w14:paraId="0028DE26"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1031" w:type="dxa"/>
            <w:tcBorders>
              <w:top w:val="nil"/>
              <w:left w:val="nil"/>
              <w:bottom w:val="single" w:sz="4" w:space="0" w:color="auto"/>
              <w:right w:val="single" w:sz="4" w:space="0" w:color="auto"/>
            </w:tcBorders>
            <w:shd w:val="clear" w:color="auto" w:fill="C6EFCE"/>
            <w:noWrap/>
            <w:hideMark/>
          </w:tcPr>
          <w:p w14:paraId="3ADEFB19"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2799" w:type="dxa"/>
            <w:tcBorders>
              <w:top w:val="nil"/>
              <w:left w:val="nil"/>
              <w:bottom w:val="single" w:sz="4" w:space="0" w:color="auto"/>
              <w:right w:val="single" w:sz="4" w:space="0" w:color="auto"/>
            </w:tcBorders>
            <w:shd w:val="clear" w:color="auto" w:fill="C6EFCE"/>
            <w:noWrap/>
          </w:tcPr>
          <w:p w14:paraId="1753B6C4" w14:textId="13CB013C"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 sa dokončí po ukončení kola podávania žiadostí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keď dánska poľnohospodárska agentúra na svojej domovskej stránke oznámi, že kolo podávania žiadostí je ukončené.</w:t>
            </w:r>
          </w:p>
          <w:p w14:paraId="0197466A" w14:textId="77777777" w:rsidR="00F65654" w:rsidRPr="00CC26EA" w:rsidRDefault="00F65654">
            <w:pPr>
              <w:rPr>
                <w:rFonts w:ascii="Times New Roman" w:eastAsia="Times New Roman" w:hAnsi="Times New Roman"/>
                <w:noProof/>
                <w:color w:val="006100"/>
                <w:spacing w:val="-6"/>
                <w:lang w:val="sk-SK"/>
              </w:rPr>
            </w:pPr>
          </w:p>
          <w:p w14:paraId="2374EF61" w14:textId="5BF0303C"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Cieľom schémy je preukázať využívanie hnedých biorafinérií, ktoré majú veľký potenciál znížiť emisie skleníkových plynov</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poľnohospodárstve.</w:t>
            </w:r>
          </w:p>
        </w:tc>
      </w:tr>
      <w:tr w:rsidR="00F65654" w:rsidRPr="00CC26EA" w14:paraId="0D7FF3CF" w14:textId="77777777">
        <w:trPr>
          <w:trHeight w:val="308"/>
        </w:trPr>
        <w:tc>
          <w:tcPr>
            <w:tcW w:w="1347" w:type="dxa"/>
            <w:tcBorders>
              <w:top w:val="nil"/>
              <w:left w:val="single" w:sz="4" w:space="0" w:color="auto"/>
              <w:bottom w:val="single" w:sz="4" w:space="0" w:color="auto"/>
              <w:right w:val="single" w:sz="4" w:space="0" w:color="auto"/>
            </w:tcBorders>
            <w:shd w:val="clear" w:color="auto" w:fill="C6EFCE"/>
            <w:noWrap/>
          </w:tcPr>
          <w:p w14:paraId="0006054E"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12</w:t>
            </w:r>
          </w:p>
        </w:tc>
        <w:tc>
          <w:tcPr>
            <w:tcW w:w="1500" w:type="dxa"/>
            <w:tcBorders>
              <w:top w:val="nil"/>
              <w:left w:val="nil"/>
              <w:bottom w:val="single" w:sz="4" w:space="0" w:color="auto"/>
              <w:right w:val="single" w:sz="4" w:space="0" w:color="auto"/>
            </w:tcBorders>
            <w:shd w:val="clear" w:color="auto" w:fill="C6EFCE"/>
            <w:noWrap/>
          </w:tcPr>
          <w:p w14:paraId="020643E0" w14:textId="53E95EE5"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klimatické technológie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poľnohospodárstve</w:t>
            </w:r>
          </w:p>
        </w:tc>
        <w:tc>
          <w:tcPr>
            <w:tcW w:w="1264" w:type="dxa"/>
            <w:tcBorders>
              <w:top w:val="nil"/>
              <w:left w:val="nil"/>
              <w:bottom w:val="single" w:sz="4" w:space="0" w:color="auto"/>
              <w:right w:val="single" w:sz="4" w:space="0" w:color="auto"/>
            </w:tcBorders>
            <w:shd w:val="clear" w:color="auto" w:fill="C6EFCE"/>
            <w:noWrap/>
          </w:tcPr>
          <w:p w14:paraId="4566A73E"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2071" w:type="dxa"/>
            <w:tcBorders>
              <w:top w:val="nil"/>
              <w:left w:val="nil"/>
              <w:bottom w:val="single" w:sz="4" w:space="0" w:color="auto"/>
              <w:right w:val="single" w:sz="4" w:space="0" w:color="auto"/>
            </w:tcBorders>
            <w:shd w:val="clear" w:color="auto" w:fill="C6EFCE"/>
            <w:noWrap/>
          </w:tcPr>
          <w:p w14:paraId="0E2AC5DE"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Zriadenie 1 celoplošnej biorafinérie.</w:t>
            </w:r>
          </w:p>
        </w:tc>
        <w:tc>
          <w:tcPr>
            <w:tcW w:w="1915" w:type="dxa"/>
            <w:tcBorders>
              <w:top w:val="nil"/>
              <w:left w:val="nil"/>
              <w:bottom w:val="single" w:sz="4" w:space="0" w:color="auto"/>
              <w:right w:val="single" w:sz="4" w:space="0" w:color="auto"/>
            </w:tcBorders>
            <w:shd w:val="clear" w:color="auto" w:fill="C6EFCE"/>
            <w:noWrap/>
          </w:tcPr>
          <w:p w14:paraId="19F59CD5" w14:textId="77777777" w:rsidR="00F65654" w:rsidRPr="00CC26EA" w:rsidRDefault="00F65654">
            <w:pPr>
              <w:rPr>
                <w:rFonts w:ascii="Times New Roman" w:eastAsia="Times New Roman" w:hAnsi="Times New Roman"/>
                <w:noProof/>
                <w:color w:val="006100"/>
                <w:spacing w:val="-6"/>
                <w:lang w:val="sk-SK"/>
              </w:rPr>
            </w:pPr>
          </w:p>
        </w:tc>
        <w:tc>
          <w:tcPr>
            <w:tcW w:w="1031" w:type="dxa"/>
            <w:tcBorders>
              <w:top w:val="nil"/>
              <w:left w:val="nil"/>
              <w:bottom w:val="single" w:sz="4" w:space="0" w:color="auto"/>
              <w:right w:val="single" w:sz="4" w:space="0" w:color="auto"/>
            </w:tcBorders>
            <w:shd w:val="clear" w:color="auto" w:fill="C6EFCE"/>
            <w:noWrap/>
          </w:tcPr>
          <w:p w14:paraId="7E8E6048"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1178" w:type="dxa"/>
            <w:tcBorders>
              <w:top w:val="nil"/>
              <w:left w:val="nil"/>
              <w:bottom w:val="single" w:sz="4" w:space="0" w:color="auto"/>
              <w:right w:val="single" w:sz="4" w:space="0" w:color="auto"/>
            </w:tcBorders>
            <w:shd w:val="clear" w:color="auto" w:fill="C6EFCE"/>
            <w:noWrap/>
          </w:tcPr>
          <w:p w14:paraId="3710A03E"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737" w:type="dxa"/>
            <w:tcBorders>
              <w:top w:val="nil"/>
              <w:left w:val="nil"/>
              <w:bottom w:val="single" w:sz="4" w:space="0" w:color="auto"/>
              <w:right w:val="single" w:sz="4" w:space="0" w:color="auto"/>
            </w:tcBorders>
            <w:shd w:val="clear" w:color="auto" w:fill="C6EFCE"/>
            <w:noWrap/>
          </w:tcPr>
          <w:p w14:paraId="13E04E8E"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w:t>
            </w:r>
          </w:p>
        </w:tc>
        <w:tc>
          <w:tcPr>
            <w:tcW w:w="1031" w:type="dxa"/>
            <w:tcBorders>
              <w:top w:val="nil"/>
              <w:left w:val="nil"/>
              <w:bottom w:val="single" w:sz="4" w:space="0" w:color="auto"/>
              <w:right w:val="single" w:sz="4" w:space="0" w:color="auto"/>
            </w:tcBorders>
            <w:shd w:val="clear" w:color="auto" w:fill="C6EFCE"/>
            <w:noWrap/>
          </w:tcPr>
          <w:p w14:paraId="1F3263DF"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1031" w:type="dxa"/>
            <w:tcBorders>
              <w:top w:val="nil"/>
              <w:left w:val="nil"/>
              <w:bottom w:val="single" w:sz="4" w:space="0" w:color="auto"/>
              <w:right w:val="single" w:sz="4" w:space="0" w:color="auto"/>
            </w:tcBorders>
            <w:shd w:val="clear" w:color="auto" w:fill="C6EFCE"/>
            <w:noWrap/>
          </w:tcPr>
          <w:p w14:paraId="6B2E2405"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2025</w:t>
            </w:r>
          </w:p>
        </w:tc>
        <w:tc>
          <w:tcPr>
            <w:tcW w:w="2799" w:type="dxa"/>
            <w:tcBorders>
              <w:top w:val="nil"/>
              <w:left w:val="nil"/>
              <w:bottom w:val="single" w:sz="4" w:space="0" w:color="auto"/>
              <w:right w:val="single" w:sz="4" w:space="0" w:color="auto"/>
            </w:tcBorders>
            <w:shd w:val="clear" w:color="auto" w:fill="C6EFCE"/>
            <w:noWrap/>
          </w:tcPr>
          <w:p w14:paraId="6428D4FE" w14:textId="0920A78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Realizácia hnedej biorafinérie do 31</w:t>
            </w:r>
            <w:r w:rsidR="00CC26EA" w:rsidRPr="00CC26EA">
              <w:rPr>
                <w:rFonts w:ascii="Times New Roman" w:hAnsi="Times New Roman"/>
                <w:noProof/>
                <w:spacing w:val="-6"/>
                <w:lang w:val="sk-SK"/>
              </w:rPr>
              <w:t>. decembra</w:t>
            </w:r>
            <w:r w:rsidRPr="00CC26EA">
              <w:rPr>
                <w:rFonts w:ascii="Times New Roman" w:hAnsi="Times New Roman"/>
                <w:noProof/>
                <w:spacing w:val="-6"/>
                <w:lang w:val="sk-SK"/>
              </w:rPr>
              <w:t xml:space="preserve"> 2025,</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ktorej možno túto technológiu testovať</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plnom rozsahu. Dokumentácia klimatických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environmentálnych účinkov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vplyvov pridávania biouhlia do pôdy. Správy</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výskume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vývoji vrátane dokumentácie</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klimatických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environmentálnych účinkoch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vplyve.</w:t>
            </w:r>
          </w:p>
        </w:tc>
      </w:tr>
      <w:tr w:rsidR="00F65654" w:rsidRPr="00CC26EA" w14:paraId="76E4C87D" w14:textId="77777777">
        <w:trPr>
          <w:trHeight w:val="308"/>
        </w:trPr>
        <w:tc>
          <w:tcPr>
            <w:tcW w:w="1347" w:type="dxa"/>
            <w:tcBorders>
              <w:top w:val="nil"/>
              <w:left w:val="single" w:sz="4" w:space="0" w:color="auto"/>
              <w:bottom w:val="single" w:sz="4" w:space="0" w:color="auto"/>
              <w:right w:val="single" w:sz="4" w:space="0" w:color="auto"/>
            </w:tcBorders>
            <w:shd w:val="clear" w:color="auto" w:fill="C6EFCE"/>
            <w:noWrap/>
            <w:hideMark/>
          </w:tcPr>
          <w:p w14:paraId="00B91662"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13</w:t>
            </w:r>
          </w:p>
        </w:tc>
        <w:tc>
          <w:tcPr>
            <w:tcW w:w="1500" w:type="dxa"/>
            <w:tcBorders>
              <w:top w:val="nil"/>
              <w:left w:val="nil"/>
              <w:bottom w:val="single" w:sz="4" w:space="0" w:color="auto"/>
              <w:right w:val="single" w:sz="4" w:space="0" w:color="auto"/>
            </w:tcBorders>
            <w:shd w:val="clear" w:color="auto" w:fill="C6EFCE"/>
            <w:noWrap/>
            <w:hideMark/>
          </w:tcPr>
          <w:p w14:paraId="579C5A55" w14:textId="5127F2DB"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Pôda bohatá na uhlík</w:t>
            </w:r>
          </w:p>
        </w:tc>
        <w:tc>
          <w:tcPr>
            <w:tcW w:w="1264" w:type="dxa"/>
            <w:tcBorders>
              <w:top w:val="nil"/>
              <w:left w:val="nil"/>
              <w:bottom w:val="single" w:sz="4" w:space="0" w:color="auto"/>
              <w:right w:val="single" w:sz="4" w:space="0" w:color="auto"/>
            </w:tcBorders>
            <w:shd w:val="clear" w:color="auto" w:fill="C6EFCE"/>
            <w:noWrap/>
            <w:hideMark/>
          </w:tcPr>
          <w:p w14:paraId="24425994"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2071" w:type="dxa"/>
            <w:tcBorders>
              <w:top w:val="nil"/>
              <w:left w:val="nil"/>
              <w:bottom w:val="single" w:sz="4" w:space="0" w:color="auto"/>
              <w:right w:val="single" w:sz="4" w:space="0" w:color="auto"/>
            </w:tcBorders>
            <w:shd w:val="clear" w:color="auto" w:fill="C6EFCE"/>
            <w:noWrap/>
            <w:hideMark/>
          </w:tcPr>
          <w:p w14:paraId="20735AE2" w14:textId="07752C36"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Výzva na predkladanie žiadostí</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subvenčnú schému na opätovné zavlažovanie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odstránenie pôdy bohatej na uhlík</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produkcie je dokončená</w:t>
            </w:r>
          </w:p>
        </w:tc>
        <w:tc>
          <w:tcPr>
            <w:tcW w:w="1915" w:type="dxa"/>
            <w:tcBorders>
              <w:top w:val="nil"/>
              <w:left w:val="nil"/>
              <w:bottom w:val="single" w:sz="4" w:space="0" w:color="auto"/>
              <w:right w:val="single" w:sz="4" w:space="0" w:color="auto"/>
            </w:tcBorders>
            <w:shd w:val="clear" w:color="auto" w:fill="C6EFCE"/>
            <w:noWrap/>
            <w:hideMark/>
          </w:tcPr>
          <w:p w14:paraId="04725AF5" w14:textId="3B0330F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Výzva na predkladanie žiadostí</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subvenčnú schému na odstránenie pôdy bohatej na uhlík</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produkcie je dokončená.</w:t>
            </w:r>
          </w:p>
        </w:tc>
        <w:tc>
          <w:tcPr>
            <w:tcW w:w="1031" w:type="dxa"/>
            <w:tcBorders>
              <w:top w:val="nil"/>
              <w:left w:val="nil"/>
              <w:bottom w:val="single" w:sz="4" w:space="0" w:color="auto"/>
              <w:right w:val="single" w:sz="4" w:space="0" w:color="auto"/>
            </w:tcBorders>
            <w:shd w:val="clear" w:color="auto" w:fill="C6EFCE"/>
            <w:noWrap/>
            <w:hideMark/>
          </w:tcPr>
          <w:p w14:paraId="32182E17" w14:textId="77777777" w:rsidR="00F65654" w:rsidRPr="00CC26EA" w:rsidRDefault="00F65654">
            <w:pPr>
              <w:rPr>
                <w:rFonts w:ascii="Times New Roman" w:eastAsia="Times New Roman" w:hAnsi="Times New Roman"/>
                <w:noProof/>
                <w:color w:val="006100"/>
                <w:spacing w:val="-6"/>
                <w:lang w:val="sk-SK"/>
              </w:rPr>
            </w:pPr>
          </w:p>
        </w:tc>
        <w:tc>
          <w:tcPr>
            <w:tcW w:w="1178" w:type="dxa"/>
            <w:tcBorders>
              <w:top w:val="nil"/>
              <w:left w:val="nil"/>
              <w:bottom w:val="single" w:sz="4" w:space="0" w:color="auto"/>
              <w:right w:val="single" w:sz="4" w:space="0" w:color="auto"/>
            </w:tcBorders>
            <w:shd w:val="clear" w:color="auto" w:fill="C6EFCE"/>
            <w:noWrap/>
            <w:hideMark/>
          </w:tcPr>
          <w:p w14:paraId="64ACEDF6" w14:textId="77777777" w:rsidR="00F65654" w:rsidRPr="00CC26EA" w:rsidRDefault="00F65654">
            <w:pPr>
              <w:rPr>
                <w:rFonts w:ascii="Times New Roman" w:eastAsia="Times New Roman" w:hAnsi="Times New Roman"/>
                <w:noProof/>
                <w:color w:val="006100"/>
                <w:spacing w:val="-6"/>
                <w:lang w:val="sk-SK"/>
              </w:rPr>
            </w:pPr>
          </w:p>
        </w:tc>
        <w:tc>
          <w:tcPr>
            <w:tcW w:w="737" w:type="dxa"/>
            <w:tcBorders>
              <w:top w:val="nil"/>
              <w:left w:val="nil"/>
              <w:bottom w:val="single" w:sz="4" w:space="0" w:color="auto"/>
              <w:right w:val="single" w:sz="4" w:space="0" w:color="auto"/>
            </w:tcBorders>
            <w:shd w:val="clear" w:color="auto" w:fill="C6EFCE"/>
            <w:noWrap/>
            <w:hideMark/>
          </w:tcPr>
          <w:p w14:paraId="5931ECC1" w14:textId="77777777" w:rsidR="00F65654" w:rsidRPr="00CC26EA" w:rsidRDefault="00F65654">
            <w:pPr>
              <w:rPr>
                <w:rFonts w:ascii="Times New Roman" w:eastAsia="Times New Roman" w:hAnsi="Times New Roman"/>
                <w:noProof/>
                <w:color w:val="006100"/>
                <w:spacing w:val="-6"/>
                <w:lang w:val="sk-SK"/>
              </w:rPr>
            </w:pPr>
          </w:p>
        </w:tc>
        <w:tc>
          <w:tcPr>
            <w:tcW w:w="1031" w:type="dxa"/>
            <w:tcBorders>
              <w:top w:val="nil"/>
              <w:left w:val="nil"/>
              <w:bottom w:val="single" w:sz="4" w:space="0" w:color="auto"/>
              <w:right w:val="single" w:sz="4" w:space="0" w:color="auto"/>
            </w:tcBorders>
            <w:shd w:val="clear" w:color="auto" w:fill="C6EFCE"/>
            <w:noWrap/>
            <w:hideMark/>
          </w:tcPr>
          <w:p w14:paraId="6B5481A6"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1031" w:type="dxa"/>
            <w:tcBorders>
              <w:top w:val="nil"/>
              <w:left w:val="nil"/>
              <w:bottom w:val="single" w:sz="4" w:space="0" w:color="auto"/>
              <w:right w:val="single" w:sz="4" w:space="0" w:color="auto"/>
            </w:tcBorders>
            <w:shd w:val="clear" w:color="auto" w:fill="C6EFCE"/>
            <w:noWrap/>
            <w:hideMark/>
          </w:tcPr>
          <w:p w14:paraId="23FEBFD5"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2799" w:type="dxa"/>
            <w:tcBorders>
              <w:top w:val="nil"/>
              <w:left w:val="nil"/>
              <w:bottom w:val="single" w:sz="4" w:space="0" w:color="auto"/>
              <w:right w:val="single" w:sz="4" w:space="0" w:color="auto"/>
            </w:tcBorders>
            <w:shd w:val="clear" w:color="auto" w:fill="C6EFCE"/>
            <w:noWrap/>
            <w:hideMark/>
          </w:tcPr>
          <w:p w14:paraId="7F121209" w14:textId="38CB6EED"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Účelom systému je vytvoriť finančné stimuly pre poľnohospodárov, aby svoju pôdu bohatú na uhlík vyňali</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produkcie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opätovne ju zavlažovali, aby sa zabránilo uvoľňovaniu uhlíka do atmosféry.</w:t>
            </w:r>
          </w:p>
          <w:p w14:paraId="734AE44B" w14:textId="77777777" w:rsidR="00F65654" w:rsidRPr="00CC26EA" w:rsidRDefault="00F65654">
            <w:pPr>
              <w:rPr>
                <w:rFonts w:ascii="Times New Roman" w:eastAsia="Times New Roman" w:hAnsi="Times New Roman"/>
                <w:noProof/>
                <w:color w:val="006100"/>
                <w:spacing w:val="-6"/>
                <w:lang w:val="sk-SK"/>
              </w:rPr>
            </w:pPr>
          </w:p>
          <w:p w14:paraId="1B25095C" w14:textId="014C8936"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 sa dokončí po ukončení kola podávania žiadostí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keď dánska environmentálna agentúra na svojej domovskej stránke oznámi, že kolo podávania žiadostí je ukončené. </w:t>
            </w:r>
          </w:p>
        </w:tc>
      </w:tr>
      <w:tr w:rsidR="00F65654" w:rsidRPr="00CC26EA" w14:paraId="7A2037E0" w14:textId="77777777">
        <w:trPr>
          <w:trHeight w:val="308"/>
        </w:trPr>
        <w:tc>
          <w:tcPr>
            <w:tcW w:w="1347" w:type="dxa"/>
            <w:tcBorders>
              <w:top w:val="nil"/>
              <w:left w:val="single" w:sz="4" w:space="0" w:color="auto"/>
              <w:bottom w:val="single" w:sz="4" w:space="0" w:color="auto"/>
              <w:right w:val="single" w:sz="4" w:space="0" w:color="auto"/>
            </w:tcBorders>
            <w:shd w:val="clear" w:color="auto" w:fill="C6EFCE"/>
            <w:noWrap/>
          </w:tcPr>
          <w:p w14:paraId="41EC5AD9"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14</w:t>
            </w:r>
          </w:p>
        </w:tc>
        <w:tc>
          <w:tcPr>
            <w:tcW w:w="1500" w:type="dxa"/>
            <w:tcBorders>
              <w:top w:val="nil"/>
              <w:left w:val="nil"/>
              <w:bottom w:val="single" w:sz="4" w:space="0" w:color="auto"/>
              <w:right w:val="single" w:sz="4" w:space="0" w:color="auto"/>
            </w:tcBorders>
            <w:shd w:val="clear" w:color="auto" w:fill="C6EFCE"/>
            <w:noWrap/>
          </w:tcPr>
          <w:p w14:paraId="2365FEFD" w14:textId="4541B74A"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Pôda bohatá na uhlík</w:t>
            </w:r>
          </w:p>
        </w:tc>
        <w:tc>
          <w:tcPr>
            <w:tcW w:w="1264" w:type="dxa"/>
            <w:tcBorders>
              <w:top w:val="nil"/>
              <w:left w:val="nil"/>
              <w:bottom w:val="single" w:sz="4" w:space="0" w:color="auto"/>
              <w:right w:val="single" w:sz="4" w:space="0" w:color="auto"/>
            </w:tcBorders>
            <w:shd w:val="clear" w:color="auto" w:fill="C6EFCE"/>
            <w:noWrap/>
          </w:tcPr>
          <w:p w14:paraId="1AF406AE"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2071" w:type="dxa"/>
            <w:tcBorders>
              <w:top w:val="nil"/>
              <w:left w:val="nil"/>
              <w:bottom w:val="single" w:sz="4" w:space="0" w:color="auto"/>
              <w:right w:val="single" w:sz="4" w:space="0" w:color="auto"/>
            </w:tcBorders>
            <w:shd w:val="clear" w:color="auto" w:fill="C6EFCE"/>
            <w:noWrap/>
          </w:tcPr>
          <w:p w14:paraId="1EB101BA" w14:textId="4BEFF675"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Projekty, ktoré predstavujú vyčerpanie 2350 hektárov pôdy bohatej na uhlík</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produkcie, mali podniky</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polovičným odstupom pri odstraňovaní.</w:t>
            </w:r>
          </w:p>
        </w:tc>
        <w:tc>
          <w:tcPr>
            <w:tcW w:w="1915" w:type="dxa"/>
            <w:tcBorders>
              <w:top w:val="nil"/>
              <w:left w:val="nil"/>
              <w:bottom w:val="single" w:sz="4" w:space="0" w:color="auto"/>
              <w:right w:val="single" w:sz="4" w:space="0" w:color="auto"/>
            </w:tcBorders>
            <w:shd w:val="clear" w:color="auto" w:fill="C6EFCE"/>
            <w:noWrap/>
          </w:tcPr>
          <w:p w14:paraId="079BFF1C" w14:textId="77777777" w:rsidR="00F65654" w:rsidRPr="00CC26EA" w:rsidRDefault="00F65654">
            <w:pPr>
              <w:rPr>
                <w:rFonts w:ascii="Times New Roman" w:eastAsia="Times New Roman" w:hAnsi="Times New Roman"/>
                <w:noProof/>
                <w:color w:val="006100"/>
                <w:spacing w:val="-6"/>
                <w:lang w:val="sk-SK"/>
              </w:rPr>
            </w:pPr>
          </w:p>
        </w:tc>
        <w:tc>
          <w:tcPr>
            <w:tcW w:w="1031" w:type="dxa"/>
            <w:tcBorders>
              <w:top w:val="nil"/>
              <w:left w:val="nil"/>
              <w:bottom w:val="single" w:sz="4" w:space="0" w:color="auto"/>
              <w:right w:val="single" w:sz="4" w:space="0" w:color="auto"/>
            </w:tcBorders>
            <w:shd w:val="clear" w:color="auto" w:fill="C6EFCE"/>
            <w:noWrap/>
          </w:tcPr>
          <w:p w14:paraId="0696940A"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1178" w:type="dxa"/>
            <w:tcBorders>
              <w:top w:val="nil"/>
              <w:left w:val="nil"/>
              <w:bottom w:val="single" w:sz="4" w:space="0" w:color="auto"/>
              <w:right w:val="single" w:sz="4" w:space="0" w:color="auto"/>
            </w:tcBorders>
            <w:shd w:val="clear" w:color="auto" w:fill="C6EFCE"/>
            <w:noWrap/>
          </w:tcPr>
          <w:p w14:paraId="59BA0651"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737" w:type="dxa"/>
            <w:tcBorders>
              <w:top w:val="nil"/>
              <w:left w:val="nil"/>
              <w:bottom w:val="single" w:sz="4" w:space="0" w:color="auto"/>
              <w:right w:val="single" w:sz="4" w:space="0" w:color="auto"/>
            </w:tcBorders>
            <w:shd w:val="clear" w:color="auto" w:fill="C6EFCE"/>
            <w:noWrap/>
          </w:tcPr>
          <w:p w14:paraId="50914497"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2350</w:t>
            </w:r>
          </w:p>
        </w:tc>
        <w:tc>
          <w:tcPr>
            <w:tcW w:w="1031" w:type="dxa"/>
            <w:tcBorders>
              <w:top w:val="nil"/>
              <w:left w:val="nil"/>
              <w:bottom w:val="single" w:sz="4" w:space="0" w:color="auto"/>
              <w:right w:val="single" w:sz="4" w:space="0" w:color="auto"/>
            </w:tcBorders>
            <w:shd w:val="clear" w:color="auto" w:fill="C6EFCE"/>
            <w:noWrap/>
          </w:tcPr>
          <w:p w14:paraId="700135A9"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1031" w:type="dxa"/>
            <w:tcBorders>
              <w:top w:val="nil"/>
              <w:left w:val="nil"/>
              <w:bottom w:val="single" w:sz="4" w:space="0" w:color="auto"/>
              <w:right w:val="single" w:sz="4" w:space="0" w:color="auto"/>
            </w:tcBorders>
            <w:shd w:val="clear" w:color="auto" w:fill="C6EFCE"/>
            <w:noWrap/>
          </w:tcPr>
          <w:p w14:paraId="7974884E"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2024</w:t>
            </w:r>
          </w:p>
        </w:tc>
        <w:tc>
          <w:tcPr>
            <w:tcW w:w="2799" w:type="dxa"/>
            <w:tcBorders>
              <w:top w:val="nil"/>
              <w:left w:val="nil"/>
              <w:bottom w:val="single" w:sz="4" w:space="0" w:color="auto"/>
              <w:right w:val="single" w:sz="4" w:space="0" w:color="auto"/>
            </w:tcBorders>
            <w:shd w:val="clear" w:color="auto" w:fill="C6EFCE"/>
            <w:noWrap/>
          </w:tcPr>
          <w:p w14:paraId="069E188B" w14:textId="6C84FD04"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Účelom systému je vytvoriť finančné stimuly pre poľnohospodárov, aby svoju pôdu bohatú na uhlík vyňali</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produkcie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opätovne ju zavlažovali, aby sa zabránilo uvoľňovaniu uhlíka do atmosféry. Cieľ sa splní, keď sa</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produkcie vyníma 2350 hektárov pôdy bohatej na uhlík.</w:t>
            </w:r>
          </w:p>
        </w:tc>
      </w:tr>
      <w:tr w:rsidR="00F65654" w:rsidRPr="00CC26EA" w14:paraId="6B9BA25A" w14:textId="77777777">
        <w:trPr>
          <w:trHeight w:val="308"/>
        </w:trPr>
        <w:tc>
          <w:tcPr>
            <w:tcW w:w="1347" w:type="dxa"/>
            <w:tcBorders>
              <w:top w:val="nil"/>
              <w:left w:val="single" w:sz="4" w:space="0" w:color="auto"/>
              <w:bottom w:val="single" w:sz="4" w:space="0" w:color="auto"/>
              <w:right w:val="single" w:sz="4" w:space="0" w:color="auto"/>
            </w:tcBorders>
            <w:shd w:val="clear" w:color="auto" w:fill="C6EFCE"/>
            <w:noWrap/>
            <w:hideMark/>
          </w:tcPr>
          <w:p w14:paraId="410C9319"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15</w:t>
            </w:r>
          </w:p>
        </w:tc>
        <w:tc>
          <w:tcPr>
            <w:tcW w:w="1500" w:type="dxa"/>
            <w:tcBorders>
              <w:top w:val="nil"/>
              <w:left w:val="nil"/>
              <w:bottom w:val="single" w:sz="4" w:space="0" w:color="auto"/>
              <w:right w:val="single" w:sz="4" w:space="0" w:color="auto"/>
            </w:tcBorders>
            <w:shd w:val="clear" w:color="auto" w:fill="C6EFCE"/>
            <w:noWrap/>
            <w:hideMark/>
          </w:tcPr>
          <w:p w14:paraId="1A73F057" w14:textId="1959804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Pôda bohatá na uhlík</w:t>
            </w:r>
          </w:p>
        </w:tc>
        <w:tc>
          <w:tcPr>
            <w:tcW w:w="1264" w:type="dxa"/>
            <w:tcBorders>
              <w:top w:val="nil"/>
              <w:left w:val="nil"/>
              <w:bottom w:val="single" w:sz="4" w:space="0" w:color="auto"/>
              <w:right w:val="single" w:sz="4" w:space="0" w:color="auto"/>
            </w:tcBorders>
            <w:shd w:val="clear" w:color="auto" w:fill="C6EFCE"/>
            <w:noWrap/>
            <w:hideMark/>
          </w:tcPr>
          <w:p w14:paraId="6CD7ED4E"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2071" w:type="dxa"/>
            <w:tcBorders>
              <w:top w:val="nil"/>
              <w:left w:val="nil"/>
              <w:bottom w:val="single" w:sz="4" w:space="0" w:color="auto"/>
              <w:right w:val="single" w:sz="4" w:space="0" w:color="auto"/>
            </w:tcBorders>
            <w:shd w:val="clear" w:color="auto" w:fill="C6EFCE"/>
            <w:noWrap/>
            <w:hideMark/>
          </w:tcPr>
          <w:p w14:paraId="32B7AFEA" w14:textId="28D4A67A"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Získali sa projekty, ktoré predstavujú vyčerpanie 4700 hektárov pôdy bohatej na uhlík</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produkcie.</w:t>
            </w:r>
          </w:p>
        </w:tc>
        <w:tc>
          <w:tcPr>
            <w:tcW w:w="1915" w:type="dxa"/>
            <w:tcBorders>
              <w:top w:val="nil"/>
              <w:left w:val="nil"/>
              <w:bottom w:val="single" w:sz="4" w:space="0" w:color="auto"/>
              <w:right w:val="single" w:sz="4" w:space="0" w:color="auto"/>
            </w:tcBorders>
            <w:shd w:val="clear" w:color="auto" w:fill="C6EFCE"/>
            <w:noWrap/>
            <w:hideMark/>
          </w:tcPr>
          <w:p w14:paraId="4BE4711C" w14:textId="77777777" w:rsidR="00F65654" w:rsidRPr="00CC26EA" w:rsidRDefault="00F65654">
            <w:pPr>
              <w:rPr>
                <w:rFonts w:ascii="Times New Roman" w:eastAsia="Times New Roman" w:hAnsi="Times New Roman"/>
                <w:noProof/>
                <w:color w:val="006100"/>
                <w:spacing w:val="-6"/>
                <w:lang w:val="sk-SK"/>
              </w:rPr>
            </w:pPr>
          </w:p>
        </w:tc>
        <w:tc>
          <w:tcPr>
            <w:tcW w:w="1031" w:type="dxa"/>
            <w:tcBorders>
              <w:top w:val="nil"/>
              <w:left w:val="nil"/>
              <w:bottom w:val="single" w:sz="4" w:space="0" w:color="auto"/>
              <w:right w:val="single" w:sz="4" w:space="0" w:color="auto"/>
            </w:tcBorders>
            <w:shd w:val="clear" w:color="auto" w:fill="C6EFCE"/>
            <w:noWrap/>
            <w:hideMark/>
          </w:tcPr>
          <w:p w14:paraId="15D4157E"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1178" w:type="dxa"/>
            <w:tcBorders>
              <w:top w:val="nil"/>
              <w:left w:val="nil"/>
              <w:bottom w:val="single" w:sz="4" w:space="0" w:color="auto"/>
              <w:right w:val="single" w:sz="4" w:space="0" w:color="auto"/>
            </w:tcBorders>
            <w:shd w:val="clear" w:color="auto" w:fill="C6EFCE"/>
            <w:noWrap/>
            <w:hideMark/>
          </w:tcPr>
          <w:p w14:paraId="04493FD8"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2350</w:t>
            </w:r>
          </w:p>
        </w:tc>
        <w:tc>
          <w:tcPr>
            <w:tcW w:w="737" w:type="dxa"/>
            <w:tcBorders>
              <w:top w:val="nil"/>
              <w:left w:val="nil"/>
              <w:bottom w:val="single" w:sz="4" w:space="0" w:color="auto"/>
              <w:right w:val="single" w:sz="4" w:space="0" w:color="auto"/>
            </w:tcBorders>
            <w:shd w:val="clear" w:color="auto" w:fill="C6EFCE"/>
            <w:noWrap/>
            <w:hideMark/>
          </w:tcPr>
          <w:p w14:paraId="0922F65F"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4700</w:t>
            </w:r>
          </w:p>
        </w:tc>
        <w:tc>
          <w:tcPr>
            <w:tcW w:w="1031" w:type="dxa"/>
            <w:tcBorders>
              <w:top w:val="nil"/>
              <w:left w:val="nil"/>
              <w:bottom w:val="single" w:sz="4" w:space="0" w:color="auto"/>
              <w:right w:val="single" w:sz="4" w:space="0" w:color="auto"/>
            </w:tcBorders>
            <w:shd w:val="clear" w:color="auto" w:fill="C6EFCE"/>
            <w:noWrap/>
            <w:hideMark/>
          </w:tcPr>
          <w:p w14:paraId="1D525722"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OTÁZKA 2</w:t>
            </w:r>
          </w:p>
        </w:tc>
        <w:tc>
          <w:tcPr>
            <w:tcW w:w="1031" w:type="dxa"/>
            <w:tcBorders>
              <w:top w:val="nil"/>
              <w:left w:val="nil"/>
              <w:bottom w:val="single" w:sz="4" w:space="0" w:color="auto"/>
              <w:right w:val="single" w:sz="4" w:space="0" w:color="auto"/>
            </w:tcBorders>
            <w:shd w:val="clear" w:color="auto" w:fill="C6EFCE"/>
            <w:noWrap/>
            <w:hideMark/>
          </w:tcPr>
          <w:p w14:paraId="7AE564CD"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2026</w:t>
            </w:r>
          </w:p>
        </w:tc>
        <w:tc>
          <w:tcPr>
            <w:tcW w:w="2799" w:type="dxa"/>
            <w:tcBorders>
              <w:top w:val="nil"/>
              <w:left w:val="nil"/>
              <w:bottom w:val="single" w:sz="4" w:space="0" w:color="auto"/>
              <w:right w:val="single" w:sz="4" w:space="0" w:color="auto"/>
            </w:tcBorders>
            <w:shd w:val="clear" w:color="auto" w:fill="C6EFCE"/>
            <w:noWrap/>
            <w:hideMark/>
          </w:tcPr>
          <w:p w14:paraId="4D59082E" w14:textId="6C4E4702"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Účelom systému je vytvoriť finančné stimuly pre poľnohospodárov, aby svoju pôdu bohatú na uhlík vyňali</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produkcie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opätovne ju zavlažovali, aby sa zabránilo uvoľňovaniu uhlíka do atmosféry. Cieľ sa splní, keď sa</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produkcie vyníma 4700 hektárov pôdy bohatej na uhlík.</w:t>
            </w:r>
          </w:p>
        </w:tc>
      </w:tr>
      <w:tr w:rsidR="00F65654" w:rsidRPr="00CC26EA" w14:paraId="56343602" w14:textId="77777777">
        <w:trPr>
          <w:trHeight w:val="308"/>
        </w:trPr>
        <w:tc>
          <w:tcPr>
            <w:tcW w:w="1347" w:type="dxa"/>
            <w:tcBorders>
              <w:top w:val="nil"/>
              <w:left w:val="single" w:sz="4" w:space="0" w:color="auto"/>
              <w:bottom w:val="single" w:sz="4" w:space="0" w:color="auto"/>
              <w:right w:val="single" w:sz="4" w:space="0" w:color="auto"/>
            </w:tcBorders>
            <w:shd w:val="clear" w:color="auto" w:fill="C6EFCE"/>
            <w:noWrap/>
          </w:tcPr>
          <w:p w14:paraId="4CB04823"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16</w:t>
            </w:r>
          </w:p>
        </w:tc>
        <w:tc>
          <w:tcPr>
            <w:tcW w:w="1500" w:type="dxa"/>
            <w:tcBorders>
              <w:top w:val="nil"/>
              <w:left w:val="nil"/>
              <w:bottom w:val="single" w:sz="4" w:space="0" w:color="auto"/>
              <w:right w:val="single" w:sz="4" w:space="0" w:color="auto"/>
            </w:tcBorders>
            <w:shd w:val="clear" w:color="auto" w:fill="C6EFCE"/>
            <w:noWrap/>
          </w:tcPr>
          <w:p w14:paraId="21CC40DB" w14:textId="40A82395"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Obnova priemyselných lokalít</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kontaminovanej pôdy</w:t>
            </w:r>
          </w:p>
        </w:tc>
        <w:tc>
          <w:tcPr>
            <w:tcW w:w="1264" w:type="dxa"/>
            <w:tcBorders>
              <w:top w:val="nil"/>
              <w:left w:val="nil"/>
              <w:bottom w:val="single" w:sz="4" w:space="0" w:color="auto"/>
              <w:right w:val="single" w:sz="4" w:space="0" w:color="auto"/>
            </w:tcBorders>
            <w:shd w:val="clear" w:color="auto" w:fill="C6EFCE"/>
            <w:noWrap/>
          </w:tcPr>
          <w:p w14:paraId="33E0D8BE"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2071" w:type="dxa"/>
            <w:tcBorders>
              <w:top w:val="nil"/>
              <w:left w:val="nil"/>
              <w:bottom w:val="single" w:sz="4" w:space="0" w:color="auto"/>
              <w:right w:val="single" w:sz="4" w:space="0" w:color="auto"/>
            </w:tcBorders>
            <w:shd w:val="clear" w:color="auto" w:fill="C6EFCE"/>
            <w:noWrap/>
          </w:tcPr>
          <w:p w14:paraId="53E7B9EE"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Boli schválené minimálne 4 projektové žiadosti na rekultiváciu priemyselného areálu alebo kontaminovanej pôdy</w:t>
            </w:r>
          </w:p>
        </w:tc>
        <w:tc>
          <w:tcPr>
            <w:tcW w:w="1915" w:type="dxa"/>
            <w:tcBorders>
              <w:top w:val="nil"/>
              <w:left w:val="nil"/>
              <w:bottom w:val="single" w:sz="4" w:space="0" w:color="auto"/>
              <w:right w:val="single" w:sz="4" w:space="0" w:color="auto"/>
            </w:tcBorders>
            <w:shd w:val="clear" w:color="auto" w:fill="C6EFCE"/>
            <w:noWrap/>
          </w:tcPr>
          <w:p w14:paraId="7BD4AF2E" w14:textId="77777777" w:rsidR="00F65654" w:rsidRPr="00CC26EA" w:rsidRDefault="00F65654">
            <w:pPr>
              <w:rPr>
                <w:rFonts w:ascii="Times New Roman" w:eastAsia="Times New Roman" w:hAnsi="Times New Roman"/>
                <w:noProof/>
                <w:color w:val="006100"/>
                <w:spacing w:val="-6"/>
                <w:lang w:val="sk-SK"/>
              </w:rPr>
            </w:pPr>
          </w:p>
        </w:tc>
        <w:tc>
          <w:tcPr>
            <w:tcW w:w="1031" w:type="dxa"/>
            <w:tcBorders>
              <w:top w:val="nil"/>
              <w:left w:val="nil"/>
              <w:bottom w:val="single" w:sz="4" w:space="0" w:color="auto"/>
              <w:right w:val="single" w:sz="4" w:space="0" w:color="auto"/>
            </w:tcBorders>
            <w:shd w:val="clear" w:color="auto" w:fill="C6EFCE"/>
            <w:noWrap/>
          </w:tcPr>
          <w:p w14:paraId="2951821B"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1178" w:type="dxa"/>
            <w:tcBorders>
              <w:top w:val="nil"/>
              <w:left w:val="nil"/>
              <w:bottom w:val="single" w:sz="4" w:space="0" w:color="auto"/>
              <w:right w:val="single" w:sz="4" w:space="0" w:color="auto"/>
            </w:tcBorders>
            <w:shd w:val="clear" w:color="auto" w:fill="C6EFCE"/>
            <w:noWrap/>
          </w:tcPr>
          <w:p w14:paraId="36F90C2B"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737" w:type="dxa"/>
            <w:tcBorders>
              <w:top w:val="nil"/>
              <w:left w:val="nil"/>
              <w:bottom w:val="single" w:sz="4" w:space="0" w:color="auto"/>
              <w:right w:val="single" w:sz="4" w:space="0" w:color="auto"/>
            </w:tcBorders>
            <w:shd w:val="clear" w:color="auto" w:fill="C6EFCE"/>
            <w:noWrap/>
          </w:tcPr>
          <w:p w14:paraId="0B54969B"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4</w:t>
            </w:r>
          </w:p>
        </w:tc>
        <w:tc>
          <w:tcPr>
            <w:tcW w:w="1031" w:type="dxa"/>
            <w:tcBorders>
              <w:top w:val="nil"/>
              <w:left w:val="nil"/>
              <w:bottom w:val="single" w:sz="4" w:space="0" w:color="auto"/>
              <w:right w:val="single" w:sz="4" w:space="0" w:color="auto"/>
            </w:tcBorders>
            <w:shd w:val="clear" w:color="auto" w:fill="C6EFCE"/>
            <w:noWrap/>
          </w:tcPr>
          <w:p w14:paraId="472268A3"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OTÁZKA Č. 1</w:t>
            </w:r>
          </w:p>
        </w:tc>
        <w:tc>
          <w:tcPr>
            <w:tcW w:w="1031" w:type="dxa"/>
            <w:tcBorders>
              <w:top w:val="nil"/>
              <w:left w:val="nil"/>
              <w:bottom w:val="single" w:sz="4" w:space="0" w:color="auto"/>
              <w:right w:val="single" w:sz="4" w:space="0" w:color="auto"/>
            </w:tcBorders>
            <w:shd w:val="clear" w:color="auto" w:fill="C6EFCE"/>
            <w:noWrap/>
          </w:tcPr>
          <w:p w14:paraId="0E151520"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2022</w:t>
            </w:r>
          </w:p>
        </w:tc>
        <w:tc>
          <w:tcPr>
            <w:tcW w:w="2799" w:type="dxa"/>
            <w:tcBorders>
              <w:top w:val="nil"/>
              <w:left w:val="nil"/>
              <w:bottom w:val="single" w:sz="4" w:space="0" w:color="auto"/>
              <w:right w:val="single" w:sz="4" w:space="0" w:color="auto"/>
            </w:tcBorders>
            <w:shd w:val="clear" w:color="auto" w:fill="C6EFCE"/>
            <w:noWrap/>
          </w:tcPr>
          <w:p w14:paraId="59D83348" w14:textId="78A58B66"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Dánska agentúra na ochranu životného prostredia prijme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schváli aspoň štyri žiadosti týkajúce sa konkrétnych lokalít. Konkrétne projekty sú nákladovo efektívne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lokality sa vyberajú aspoň na základe politických priorít, závažnosti kontaminácie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rizika pre okolité oblasti.</w:t>
            </w:r>
          </w:p>
        </w:tc>
      </w:tr>
      <w:tr w:rsidR="00F65654" w:rsidRPr="00CC26EA" w14:paraId="089748F6" w14:textId="77777777">
        <w:trPr>
          <w:trHeight w:val="308"/>
        </w:trPr>
        <w:tc>
          <w:tcPr>
            <w:tcW w:w="1347" w:type="dxa"/>
            <w:tcBorders>
              <w:top w:val="nil"/>
              <w:left w:val="single" w:sz="4" w:space="0" w:color="auto"/>
              <w:bottom w:val="single" w:sz="4" w:space="0" w:color="auto"/>
              <w:right w:val="single" w:sz="4" w:space="0" w:color="auto"/>
            </w:tcBorders>
            <w:shd w:val="clear" w:color="auto" w:fill="C6EFCE"/>
            <w:noWrap/>
          </w:tcPr>
          <w:p w14:paraId="2C08D74D"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17</w:t>
            </w:r>
          </w:p>
        </w:tc>
        <w:tc>
          <w:tcPr>
            <w:tcW w:w="1500" w:type="dxa"/>
            <w:tcBorders>
              <w:top w:val="nil"/>
              <w:left w:val="nil"/>
              <w:bottom w:val="single" w:sz="4" w:space="0" w:color="auto"/>
              <w:right w:val="single" w:sz="4" w:space="0" w:color="auto"/>
            </w:tcBorders>
            <w:shd w:val="clear" w:color="auto" w:fill="C6EFCE"/>
            <w:noWrap/>
          </w:tcPr>
          <w:p w14:paraId="6A386004" w14:textId="04915C61"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Obnova priemyselných lokalít</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kontaminovanej pôdy</w:t>
            </w:r>
          </w:p>
        </w:tc>
        <w:tc>
          <w:tcPr>
            <w:tcW w:w="1264" w:type="dxa"/>
            <w:tcBorders>
              <w:top w:val="nil"/>
              <w:left w:val="nil"/>
              <w:bottom w:val="single" w:sz="4" w:space="0" w:color="auto"/>
              <w:right w:val="single" w:sz="4" w:space="0" w:color="auto"/>
            </w:tcBorders>
            <w:shd w:val="clear" w:color="auto" w:fill="C6EFCE"/>
            <w:noWrap/>
          </w:tcPr>
          <w:p w14:paraId="0FC85864"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p w14:paraId="13F3AD20" w14:textId="77777777" w:rsidR="00F65654" w:rsidRPr="00CC26EA" w:rsidRDefault="00F65654">
            <w:pPr>
              <w:rPr>
                <w:rFonts w:ascii="Times New Roman" w:eastAsia="Times New Roman" w:hAnsi="Times New Roman"/>
                <w:noProof/>
                <w:color w:val="006100"/>
                <w:spacing w:val="-6"/>
                <w:lang w:val="sk-SK"/>
              </w:rPr>
            </w:pPr>
          </w:p>
        </w:tc>
        <w:tc>
          <w:tcPr>
            <w:tcW w:w="2071" w:type="dxa"/>
            <w:tcBorders>
              <w:top w:val="nil"/>
              <w:left w:val="nil"/>
              <w:bottom w:val="single" w:sz="4" w:space="0" w:color="auto"/>
              <w:right w:val="single" w:sz="4" w:space="0" w:color="auto"/>
            </w:tcBorders>
            <w:shd w:val="clear" w:color="auto" w:fill="C6EFCE"/>
            <w:noWrap/>
          </w:tcPr>
          <w:p w14:paraId="06457254" w14:textId="07F15DF4"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Správa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stave prác vykonaných na schválených projektoch</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polovici obdobia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prijatých nápravných opatreniach</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prípade potreby.</w:t>
            </w:r>
          </w:p>
        </w:tc>
        <w:tc>
          <w:tcPr>
            <w:tcW w:w="1915" w:type="dxa"/>
            <w:tcBorders>
              <w:top w:val="nil"/>
              <w:left w:val="nil"/>
              <w:bottom w:val="single" w:sz="4" w:space="0" w:color="auto"/>
              <w:right w:val="single" w:sz="4" w:space="0" w:color="auto"/>
            </w:tcBorders>
            <w:shd w:val="clear" w:color="auto" w:fill="C6EFCE"/>
            <w:noWrap/>
          </w:tcPr>
          <w:p w14:paraId="313FC1DB" w14:textId="1BCFD9DE"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Správu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stave predkladajú regionálne rady za každý projekt na účely hodnotenia využívania finančných prostriedkov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pokroku</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projektoch sanácie.</w:t>
            </w:r>
          </w:p>
        </w:tc>
        <w:tc>
          <w:tcPr>
            <w:tcW w:w="1031" w:type="dxa"/>
            <w:tcBorders>
              <w:top w:val="nil"/>
              <w:left w:val="nil"/>
              <w:bottom w:val="single" w:sz="4" w:space="0" w:color="auto"/>
              <w:right w:val="single" w:sz="4" w:space="0" w:color="auto"/>
            </w:tcBorders>
            <w:shd w:val="clear" w:color="auto" w:fill="C6EFCE"/>
            <w:noWrap/>
          </w:tcPr>
          <w:p w14:paraId="75FCB104" w14:textId="77777777" w:rsidR="00F65654" w:rsidRPr="00CC26EA" w:rsidRDefault="00F65654">
            <w:pPr>
              <w:rPr>
                <w:rFonts w:ascii="Times New Roman" w:eastAsia="Times New Roman" w:hAnsi="Times New Roman"/>
                <w:noProof/>
                <w:color w:val="006100"/>
                <w:spacing w:val="-6"/>
                <w:lang w:val="sk-SK"/>
              </w:rPr>
            </w:pPr>
          </w:p>
        </w:tc>
        <w:tc>
          <w:tcPr>
            <w:tcW w:w="1178" w:type="dxa"/>
            <w:tcBorders>
              <w:top w:val="nil"/>
              <w:left w:val="nil"/>
              <w:bottom w:val="single" w:sz="4" w:space="0" w:color="auto"/>
              <w:right w:val="single" w:sz="4" w:space="0" w:color="auto"/>
            </w:tcBorders>
            <w:shd w:val="clear" w:color="auto" w:fill="C6EFCE"/>
            <w:noWrap/>
          </w:tcPr>
          <w:p w14:paraId="7A1FEB13" w14:textId="77777777" w:rsidR="00F65654" w:rsidRPr="00CC26EA" w:rsidRDefault="00F65654">
            <w:pPr>
              <w:rPr>
                <w:rFonts w:ascii="Times New Roman" w:eastAsia="Times New Roman" w:hAnsi="Times New Roman"/>
                <w:noProof/>
                <w:color w:val="006100"/>
                <w:spacing w:val="-6"/>
                <w:lang w:val="sk-SK"/>
              </w:rPr>
            </w:pPr>
          </w:p>
        </w:tc>
        <w:tc>
          <w:tcPr>
            <w:tcW w:w="737" w:type="dxa"/>
            <w:tcBorders>
              <w:top w:val="nil"/>
              <w:left w:val="nil"/>
              <w:bottom w:val="single" w:sz="4" w:space="0" w:color="auto"/>
              <w:right w:val="single" w:sz="4" w:space="0" w:color="auto"/>
            </w:tcBorders>
            <w:shd w:val="clear" w:color="auto" w:fill="C6EFCE"/>
            <w:noWrap/>
          </w:tcPr>
          <w:p w14:paraId="358A2539" w14:textId="77777777" w:rsidR="00F65654" w:rsidRPr="00CC26EA" w:rsidRDefault="00F65654">
            <w:pPr>
              <w:rPr>
                <w:rFonts w:ascii="Times New Roman" w:eastAsia="Times New Roman" w:hAnsi="Times New Roman"/>
                <w:noProof/>
                <w:color w:val="006100"/>
                <w:spacing w:val="-6"/>
                <w:lang w:val="sk-SK"/>
              </w:rPr>
            </w:pPr>
          </w:p>
        </w:tc>
        <w:tc>
          <w:tcPr>
            <w:tcW w:w="1031" w:type="dxa"/>
            <w:tcBorders>
              <w:top w:val="nil"/>
              <w:left w:val="nil"/>
              <w:bottom w:val="single" w:sz="4" w:space="0" w:color="auto"/>
              <w:right w:val="single" w:sz="4" w:space="0" w:color="auto"/>
            </w:tcBorders>
            <w:shd w:val="clear" w:color="auto" w:fill="C6EFCE"/>
            <w:noWrap/>
          </w:tcPr>
          <w:p w14:paraId="0FC2D626"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1031" w:type="dxa"/>
            <w:tcBorders>
              <w:top w:val="nil"/>
              <w:left w:val="nil"/>
              <w:bottom w:val="single" w:sz="4" w:space="0" w:color="auto"/>
              <w:right w:val="single" w:sz="4" w:space="0" w:color="auto"/>
            </w:tcBorders>
            <w:shd w:val="clear" w:color="auto" w:fill="C6EFCE"/>
            <w:noWrap/>
          </w:tcPr>
          <w:p w14:paraId="409E2C7F"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2023</w:t>
            </w:r>
          </w:p>
        </w:tc>
        <w:tc>
          <w:tcPr>
            <w:tcW w:w="2799" w:type="dxa"/>
            <w:tcBorders>
              <w:top w:val="nil"/>
              <w:left w:val="nil"/>
              <w:bottom w:val="single" w:sz="4" w:space="0" w:color="auto"/>
              <w:right w:val="single" w:sz="4" w:space="0" w:color="auto"/>
            </w:tcBorders>
            <w:shd w:val="clear" w:color="auto" w:fill="C6EFCE"/>
            <w:noWrap/>
          </w:tcPr>
          <w:p w14:paraId="0F1DE2ED" w14:textId="10C1FF8D"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Správy</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stave predkladajú regionálne rady</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opisom technického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hospodárskeho pokroku</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oznámením</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odchýlkach od pôvodnej žiadosti, so správou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stave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predchádzajúcich rokov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so schémami dotácií.  Vzhľadom na rozdiely</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miestnych pôdnych podmienkach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charaktere kontaminácie sa sanačné opatrenia môžu</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jednotlivých lokalitách líšiť. Stav sa predkladá pre každý sanačný projekt</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cieľom sledovať technický</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finančný vývoj projektu. Správa je dôležitá, pretože môže poskytnúť spätnú väzbu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možných prekážkach realizácie projektov.</w:t>
            </w:r>
          </w:p>
        </w:tc>
      </w:tr>
      <w:tr w:rsidR="00F65654" w:rsidRPr="00CC26EA" w14:paraId="1A3973DF" w14:textId="77777777">
        <w:trPr>
          <w:trHeight w:val="308"/>
        </w:trPr>
        <w:tc>
          <w:tcPr>
            <w:tcW w:w="1347" w:type="dxa"/>
            <w:tcBorders>
              <w:top w:val="nil"/>
              <w:left w:val="single" w:sz="4" w:space="0" w:color="auto"/>
              <w:bottom w:val="single" w:sz="4" w:space="0" w:color="auto"/>
              <w:right w:val="single" w:sz="4" w:space="0" w:color="auto"/>
            </w:tcBorders>
            <w:shd w:val="clear" w:color="auto" w:fill="C6EFCE"/>
            <w:noWrap/>
          </w:tcPr>
          <w:p w14:paraId="2ED6B4F3"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18</w:t>
            </w:r>
          </w:p>
        </w:tc>
        <w:tc>
          <w:tcPr>
            <w:tcW w:w="1500" w:type="dxa"/>
            <w:tcBorders>
              <w:top w:val="nil"/>
              <w:left w:val="nil"/>
              <w:bottom w:val="single" w:sz="4" w:space="0" w:color="auto"/>
              <w:right w:val="single" w:sz="4" w:space="0" w:color="auto"/>
            </w:tcBorders>
            <w:shd w:val="clear" w:color="auto" w:fill="C6EFCE"/>
            <w:noWrap/>
          </w:tcPr>
          <w:p w14:paraId="7DE88EDD" w14:textId="18D951CE"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Obnova priemyselných lokalít</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kontaminovanej pôdy</w:t>
            </w:r>
          </w:p>
        </w:tc>
        <w:tc>
          <w:tcPr>
            <w:tcW w:w="1264" w:type="dxa"/>
            <w:tcBorders>
              <w:top w:val="nil"/>
              <w:left w:val="nil"/>
              <w:bottom w:val="single" w:sz="4" w:space="0" w:color="auto"/>
              <w:right w:val="single" w:sz="4" w:space="0" w:color="auto"/>
            </w:tcBorders>
            <w:shd w:val="clear" w:color="auto" w:fill="C6EFCE"/>
            <w:noWrap/>
          </w:tcPr>
          <w:p w14:paraId="5DBDA427"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2071" w:type="dxa"/>
            <w:tcBorders>
              <w:top w:val="nil"/>
              <w:left w:val="nil"/>
              <w:bottom w:val="single" w:sz="4" w:space="0" w:color="auto"/>
              <w:right w:val="single" w:sz="4" w:space="0" w:color="auto"/>
            </w:tcBorders>
            <w:shd w:val="clear" w:color="auto" w:fill="C6EFCE"/>
            <w:noWrap/>
          </w:tcPr>
          <w:p w14:paraId="4F4F4D59"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Začne sa rekultivácia najmenej štyroch rôznych kontaminovaných miest.</w:t>
            </w:r>
          </w:p>
        </w:tc>
        <w:tc>
          <w:tcPr>
            <w:tcW w:w="1915" w:type="dxa"/>
            <w:tcBorders>
              <w:top w:val="nil"/>
              <w:left w:val="nil"/>
              <w:bottom w:val="single" w:sz="4" w:space="0" w:color="auto"/>
              <w:right w:val="single" w:sz="4" w:space="0" w:color="auto"/>
            </w:tcBorders>
            <w:shd w:val="clear" w:color="auto" w:fill="C6EFCE"/>
            <w:noWrap/>
          </w:tcPr>
          <w:p w14:paraId="30573FBA"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Začne sa rekultivácia najmenej štyroch rôznych kontaminovaných miest.</w:t>
            </w:r>
          </w:p>
        </w:tc>
        <w:tc>
          <w:tcPr>
            <w:tcW w:w="1031" w:type="dxa"/>
            <w:tcBorders>
              <w:top w:val="nil"/>
              <w:left w:val="nil"/>
              <w:bottom w:val="single" w:sz="4" w:space="0" w:color="auto"/>
              <w:right w:val="single" w:sz="4" w:space="0" w:color="auto"/>
            </w:tcBorders>
            <w:shd w:val="clear" w:color="auto" w:fill="C6EFCE"/>
            <w:noWrap/>
          </w:tcPr>
          <w:p w14:paraId="1E3487BB"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1178" w:type="dxa"/>
            <w:tcBorders>
              <w:top w:val="nil"/>
              <w:left w:val="nil"/>
              <w:bottom w:val="single" w:sz="4" w:space="0" w:color="auto"/>
              <w:right w:val="single" w:sz="4" w:space="0" w:color="auto"/>
            </w:tcBorders>
            <w:shd w:val="clear" w:color="auto" w:fill="C6EFCE"/>
            <w:noWrap/>
          </w:tcPr>
          <w:p w14:paraId="6047DD82"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737" w:type="dxa"/>
            <w:tcBorders>
              <w:top w:val="nil"/>
              <w:left w:val="nil"/>
              <w:bottom w:val="single" w:sz="4" w:space="0" w:color="auto"/>
              <w:right w:val="single" w:sz="4" w:space="0" w:color="auto"/>
            </w:tcBorders>
            <w:shd w:val="clear" w:color="auto" w:fill="C6EFCE"/>
            <w:noWrap/>
          </w:tcPr>
          <w:p w14:paraId="4009B67E"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4</w:t>
            </w:r>
          </w:p>
        </w:tc>
        <w:tc>
          <w:tcPr>
            <w:tcW w:w="1031" w:type="dxa"/>
            <w:tcBorders>
              <w:top w:val="nil"/>
              <w:left w:val="nil"/>
              <w:bottom w:val="single" w:sz="4" w:space="0" w:color="auto"/>
              <w:right w:val="single" w:sz="4" w:space="0" w:color="auto"/>
            </w:tcBorders>
            <w:shd w:val="clear" w:color="auto" w:fill="C6EFCE"/>
            <w:noWrap/>
          </w:tcPr>
          <w:p w14:paraId="4FAAD9B0"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OTÁZKA 2</w:t>
            </w:r>
          </w:p>
        </w:tc>
        <w:tc>
          <w:tcPr>
            <w:tcW w:w="1031" w:type="dxa"/>
            <w:tcBorders>
              <w:top w:val="nil"/>
              <w:left w:val="nil"/>
              <w:bottom w:val="single" w:sz="4" w:space="0" w:color="auto"/>
              <w:right w:val="single" w:sz="4" w:space="0" w:color="auto"/>
            </w:tcBorders>
            <w:shd w:val="clear" w:color="auto" w:fill="C6EFCE"/>
            <w:noWrap/>
          </w:tcPr>
          <w:p w14:paraId="686E0D93"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2026</w:t>
            </w:r>
          </w:p>
        </w:tc>
        <w:tc>
          <w:tcPr>
            <w:tcW w:w="2799" w:type="dxa"/>
            <w:tcBorders>
              <w:top w:val="nil"/>
              <w:left w:val="nil"/>
              <w:bottom w:val="single" w:sz="4" w:space="0" w:color="auto"/>
              <w:right w:val="single" w:sz="4" w:space="0" w:color="auto"/>
            </w:tcBorders>
            <w:shd w:val="clear" w:color="auto" w:fill="C6EFCE"/>
            <w:noWrap/>
          </w:tcPr>
          <w:p w14:paraId="610BBC08" w14:textId="6B0B5F2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Regionálne rady zrealizujú verejné súťaže na rekultiváciu najmenej štyroch lokalít</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plnom rozsahu. Cieľ sa musí splniť, keď sa začne rekultivácia najmenej štyroch rôznych kontaminovaných miest.</w:t>
            </w:r>
          </w:p>
        </w:tc>
      </w:tr>
    </w:tbl>
    <w:p w14:paraId="291EFA3F" w14:textId="77777777" w:rsidR="00F65654" w:rsidRPr="00CC26EA" w:rsidRDefault="00F65654">
      <w:pPr>
        <w:rPr>
          <w:rFonts w:ascii="Times New Roman" w:hAnsi="Times New Roman"/>
          <w:noProof/>
          <w:spacing w:val="-6"/>
          <w:lang w:val="sk-SK"/>
        </w:rPr>
        <w:sectPr w:rsidR="00F65654" w:rsidRPr="00CC26EA" w:rsidSect="00A61D33">
          <w:headerReference w:type="even" r:id="rId36"/>
          <w:headerReference w:type="default" r:id="rId37"/>
          <w:footerReference w:type="even" r:id="rId38"/>
          <w:footerReference w:type="default" r:id="rId39"/>
          <w:headerReference w:type="first" r:id="rId40"/>
          <w:footerReference w:type="first" r:id="rId41"/>
          <w:pgSz w:w="16839" w:h="11907" w:orient="landscape"/>
          <w:pgMar w:top="1134" w:right="1134" w:bottom="1134" w:left="1134" w:header="567" w:footer="567" w:gutter="0"/>
          <w:cols w:space="720"/>
          <w:docGrid w:linePitch="360"/>
        </w:sectPr>
      </w:pPr>
    </w:p>
    <w:p w14:paraId="3B2C1C32" w14:textId="77777777" w:rsidR="00CC26EA" w:rsidRPr="00CC26EA" w:rsidRDefault="0041081E">
      <w:pPr>
        <w:pStyle w:val="ManualHeading1"/>
        <w:spacing w:before="120"/>
        <w:ind w:left="0" w:firstLine="0"/>
        <w:rPr>
          <w:noProof/>
          <w:spacing w:val="-6"/>
          <w:lang w:val="sk-SK"/>
        </w:rPr>
      </w:pPr>
      <w:r w:rsidRPr="00CC26EA">
        <w:rPr>
          <w:noProof/>
          <w:spacing w:val="-6"/>
          <w:lang w:val="sk-SK"/>
        </w:rPr>
        <w:t>C. ZLOŽKA 3: Energetická účinnosť, ekologické vykurovanie</w:t>
      </w:r>
      <w:r w:rsidR="00CC26EA" w:rsidRPr="00CC26EA">
        <w:rPr>
          <w:noProof/>
          <w:spacing w:val="-6"/>
          <w:lang w:val="sk-SK"/>
        </w:rPr>
        <w:t xml:space="preserve"> a </w:t>
      </w:r>
      <w:r w:rsidRPr="00CC26EA">
        <w:rPr>
          <w:noProof/>
          <w:spacing w:val="-6"/>
          <w:lang w:val="sk-SK"/>
        </w:rPr>
        <w:t>zachytávanie</w:t>
      </w:r>
      <w:r w:rsidR="00CC26EA" w:rsidRPr="00CC26EA">
        <w:rPr>
          <w:noProof/>
          <w:spacing w:val="-6"/>
          <w:lang w:val="sk-SK"/>
        </w:rPr>
        <w:t xml:space="preserve"> a </w:t>
      </w:r>
      <w:r w:rsidRPr="00CC26EA">
        <w:rPr>
          <w:noProof/>
          <w:spacing w:val="-6"/>
          <w:lang w:val="sk-SK"/>
        </w:rPr>
        <w:t>ukladanie uhlíka</w:t>
      </w:r>
    </w:p>
    <w:p w14:paraId="5DFD8DE5" w14:textId="64999E6D" w:rsidR="00CC26EA" w:rsidRPr="00CC26EA" w:rsidRDefault="0041081E">
      <w:pPr>
        <w:pStyle w:val="Text1"/>
        <w:ind w:left="0"/>
        <w:rPr>
          <w:noProof/>
          <w:spacing w:val="-6"/>
          <w:lang w:val="sk-SK"/>
        </w:rPr>
      </w:pPr>
      <w:r w:rsidRPr="00CC26EA">
        <w:rPr>
          <w:noProof/>
          <w:spacing w:val="-6"/>
          <w:lang w:val="sk-SK"/>
        </w:rPr>
        <w:t>Táto zložka dánskeho plánu obnovy</w:t>
      </w:r>
      <w:r w:rsidR="00CC26EA" w:rsidRPr="00CC26EA">
        <w:rPr>
          <w:noProof/>
          <w:spacing w:val="-6"/>
          <w:lang w:val="sk-SK"/>
        </w:rPr>
        <w:t xml:space="preserve"> a </w:t>
      </w:r>
      <w:r w:rsidRPr="00CC26EA">
        <w:rPr>
          <w:noProof/>
          <w:spacing w:val="-6"/>
          <w:lang w:val="sk-SK"/>
        </w:rPr>
        <w:t>odolnosti je dôležitým prvkom na dosiahnutie ambicióznych cieľov Európskej zelenej dohody, ako aj národného cieľa Dánska znížiť emisie skleníkových plynov</w:t>
      </w:r>
      <w:r w:rsidR="00CC26EA" w:rsidRPr="00CC26EA">
        <w:rPr>
          <w:noProof/>
          <w:spacing w:val="-6"/>
          <w:lang w:val="sk-SK"/>
        </w:rPr>
        <w:t xml:space="preserve"> o </w:t>
      </w:r>
      <w:r w:rsidRPr="00CC26EA">
        <w:rPr>
          <w:noProof/>
          <w:spacing w:val="-6"/>
          <w:lang w:val="sk-SK"/>
        </w:rPr>
        <w:t>70</w:t>
      </w:r>
      <w:r w:rsidR="00CC26EA" w:rsidRPr="00CC26EA">
        <w:rPr>
          <w:noProof/>
          <w:spacing w:val="-6"/>
          <w:lang w:val="sk-SK"/>
        </w:rPr>
        <w:t> %</w:t>
      </w:r>
      <w:r w:rsidRPr="00CC26EA">
        <w:rPr>
          <w:noProof/>
          <w:spacing w:val="-6"/>
          <w:lang w:val="sk-SK"/>
        </w:rPr>
        <w:t xml:space="preserve"> do roku 2030 (v porovnaní</w:t>
      </w:r>
      <w:r w:rsidR="00CC26EA" w:rsidRPr="00CC26EA">
        <w:rPr>
          <w:noProof/>
          <w:spacing w:val="-6"/>
          <w:lang w:val="sk-SK"/>
        </w:rPr>
        <w:t xml:space="preserve"> s </w:t>
      </w:r>
      <w:r w:rsidRPr="00CC26EA">
        <w:rPr>
          <w:noProof/>
          <w:spacing w:val="-6"/>
          <w:lang w:val="sk-SK"/>
        </w:rPr>
        <w:t>úrovňou</w:t>
      </w:r>
      <w:r w:rsidR="00CC26EA" w:rsidRPr="00CC26EA">
        <w:rPr>
          <w:noProof/>
          <w:spacing w:val="-6"/>
          <w:lang w:val="sk-SK"/>
        </w:rPr>
        <w:t xml:space="preserve"> z </w:t>
      </w:r>
      <w:r w:rsidRPr="00CC26EA">
        <w:rPr>
          <w:noProof/>
          <w:spacing w:val="-6"/>
          <w:lang w:val="sk-SK"/>
        </w:rPr>
        <w:t>roku 1990)</w:t>
      </w:r>
      <w:r w:rsidR="00CC26EA" w:rsidRPr="00CC26EA">
        <w:rPr>
          <w:noProof/>
          <w:spacing w:val="-6"/>
          <w:lang w:val="sk-SK"/>
        </w:rPr>
        <w:t xml:space="preserve"> a </w:t>
      </w:r>
      <w:r w:rsidRPr="00CC26EA">
        <w:rPr>
          <w:noProof/>
          <w:spacing w:val="-6"/>
          <w:lang w:val="sk-SK"/>
        </w:rPr>
        <w:t>dosiahnuť klimatickú neutralitu do roku 2050</w:t>
      </w:r>
      <w:r w:rsidR="00CC26EA" w:rsidRPr="00CC26EA">
        <w:rPr>
          <w:noProof/>
          <w:spacing w:val="-6"/>
          <w:lang w:val="sk-SK"/>
        </w:rPr>
        <w:t>.</w:t>
      </w:r>
    </w:p>
    <w:p w14:paraId="5AAB2735" w14:textId="114BD0C1" w:rsidR="00F65654" w:rsidRPr="00CC26EA" w:rsidRDefault="0041081E">
      <w:pPr>
        <w:pStyle w:val="Text1"/>
        <w:ind w:left="0"/>
        <w:rPr>
          <w:noProof/>
          <w:spacing w:val="-6"/>
          <w:lang w:val="sk-SK"/>
        </w:rPr>
      </w:pPr>
      <w:r w:rsidRPr="00CC26EA">
        <w:rPr>
          <w:noProof/>
          <w:spacing w:val="-6"/>
          <w:lang w:val="sk-SK"/>
        </w:rPr>
        <w:t>Cieľom tejto zložky je zvýšiť energetickú účinnosť</w:t>
      </w:r>
      <w:r w:rsidR="00CC26EA" w:rsidRPr="00CC26EA">
        <w:rPr>
          <w:noProof/>
          <w:spacing w:val="-6"/>
          <w:lang w:val="sk-SK"/>
        </w:rPr>
        <w:t xml:space="preserve"> a </w:t>
      </w:r>
      <w:r w:rsidRPr="00CC26EA">
        <w:rPr>
          <w:noProof/>
          <w:spacing w:val="-6"/>
          <w:lang w:val="sk-SK"/>
        </w:rPr>
        <w:t>ekologické vykurovanie vo verejných</w:t>
      </w:r>
      <w:r w:rsidR="00CC26EA" w:rsidRPr="00CC26EA">
        <w:rPr>
          <w:noProof/>
          <w:spacing w:val="-6"/>
          <w:lang w:val="sk-SK"/>
        </w:rPr>
        <w:t xml:space="preserve"> a </w:t>
      </w:r>
      <w:r w:rsidRPr="00CC26EA">
        <w:rPr>
          <w:noProof/>
          <w:spacing w:val="-6"/>
          <w:lang w:val="sk-SK"/>
        </w:rPr>
        <w:t>súkromných budovách,</w:t>
      </w:r>
      <w:r w:rsidR="00CC26EA" w:rsidRPr="00CC26EA">
        <w:rPr>
          <w:noProof/>
          <w:spacing w:val="-6"/>
          <w:lang w:val="sk-SK"/>
        </w:rPr>
        <w:t xml:space="preserve"> v </w:t>
      </w:r>
      <w:r w:rsidRPr="00CC26EA">
        <w:rPr>
          <w:noProof/>
          <w:spacing w:val="-6"/>
          <w:lang w:val="sk-SK"/>
        </w:rPr>
        <w:t>priemysle, ako aj preskúmať potenciál zachytávania</w:t>
      </w:r>
      <w:r w:rsidR="00CC26EA" w:rsidRPr="00CC26EA">
        <w:rPr>
          <w:noProof/>
          <w:spacing w:val="-6"/>
          <w:lang w:val="sk-SK"/>
        </w:rPr>
        <w:t xml:space="preserve"> a </w:t>
      </w:r>
      <w:r w:rsidRPr="00CC26EA">
        <w:rPr>
          <w:noProof/>
          <w:spacing w:val="-6"/>
          <w:lang w:val="sk-SK"/>
        </w:rPr>
        <w:t>ukladania oxidu uhličitého na vyčerpaných ropných</w:t>
      </w:r>
      <w:r w:rsidR="00CC26EA" w:rsidRPr="00CC26EA">
        <w:rPr>
          <w:noProof/>
          <w:spacing w:val="-6"/>
          <w:lang w:val="sk-SK"/>
        </w:rPr>
        <w:t xml:space="preserve"> a </w:t>
      </w:r>
      <w:r w:rsidRPr="00CC26EA">
        <w:rPr>
          <w:noProof/>
          <w:spacing w:val="-6"/>
          <w:lang w:val="sk-SK"/>
        </w:rPr>
        <w:t>plynových poliach</w:t>
      </w:r>
      <w:r w:rsidR="00CC26EA" w:rsidRPr="00CC26EA">
        <w:rPr>
          <w:noProof/>
          <w:spacing w:val="-6"/>
          <w:lang w:val="sk-SK"/>
        </w:rPr>
        <w:t xml:space="preserve"> v </w:t>
      </w:r>
      <w:r w:rsidRPr="00CC26EA">
        <w:rPr>
          <w:noProof/>
          <w:spacing w:val="-6"/>
          <w:lang w:val="sk-SK"/>
        </w:rPr>
        <w:t>Severnom mori, čo si vyžaduje ďalšie analýzy, testovanie vrtov</w:t>
      </w:r>
      <w:r w:rsidR="00CC26EA" w:rsidRPr="00CC26EA">
        <w:rPr>
          <w:noProof/>
          <w:spacing w:val="-6"/>
          <w:lang w:val="sk-SK"/>
        </w:rPr>
        <w:t xml:space="preserve"> a </w:t>
      </w:r>
      <w:r w:rsidRPr="00CC26EA">
        <w:rPr>
          <w:noProof/>
          <w:spacing w:val="-6"/>
          <w:lang w:val="sk-SK"/>
        </w:rPr>
        <w:t>demonštráciu možností skladovania.</w:t>
      </w:r>
    </w:p>
    <w:p w14:paraId="2FCA2A06" w14:textId="2CCABB8A" w:rsidR="00CC26EA" w:rsidRPr="00CC26EA" w:rsidRDefault="0041081E">
      <w:pPr>
        <w:pStyle w:val="Text1"/>
        <w:ind w:left="0"/>
        <w:rPr>
          <w:noProof/>
          <w:spacing w:val="-6"/>
          <w:lang w:val="sk-SK"/>
        </w:rPr>
      </w:pPr>
      <w:r w:rsidRPr="00CC26EA">
        <w:rPr>
          <w:noProof/>
          <w:spacing w:val="-6"/>
          <w:lang w:val="sk-SK"/>
        </w:rPr>
        <w:t>Cieľom tejto zložky je poskytnúť stimuly</w:t>
      </w:r>
      <w:r w:rsidR="00CC26EA" w:rsidRPr="00CC26EA">
        <w:rPr>
          <w:noProof/>
          <w:spacing w:val="-6"/>
          <w:lang w:val="sk-SK"/>
        </w:rPr>
        <w:t xml:space="preserve"> a </w:t>
      </w:r>
      <w:r w:rsidRPr="00CC26EA">
        <w:rPr>
          <w:noProof/>
          <w:spacing w:val="-6"/>
          <w:lang w:val="sk-SK"/>
        </w:rPr>
        <w:t>investície do opatrení</w:t>
      </w:r>
      <w:r w:rsidR="00CC26EA" w:rsidRPr="00CC26EA">
        <w:rPr>
          <w:noProof/>
          <w:spacing w:val="-6"/>
          <w:lang w:val="sk-SK"/>
        </w:rPr>
        <w:t xml:space="preserve"> v </w:t>
      </w:r>
      <w:r w:rsidRPr="00CC26EA">
        <w:rPr>
          <w:noProof/>
          <w:spacing w:val="-6"/>
          <w:lang w:val="sk-SK"/>
        </w:rPr>
        <w:t>oblasti energetickej efektívnosti na podporu zelenej transformácie, posilniť vytváranie pracovných miest na miestnej úrovni</w:t>
      </w:r>
      <w:r w:rsidR="00CC26EA" w:rsidRPr="00CC26EA">
        <w:rPr>
          <w:noProof/>
          <w:spacing w:val="-6"/>
          <w:lang w:val="sk-SK"/>
        </w:rPr>
        <w:t xml:space="preserve"> a </w:t>
      </w:r>
      <w:r w:rsidRPr="00CC26EA">
        <w:rPr>
          <w:noProof/>
          <w:spacing w:val="-6"/>
          <w:lang w:val="sk-SK"/>
        </w:rPr>
        <w:t>zabezpečiť súdržnosť</w:t>
      </w:r>
      <w:r w:rsidR="00CC26EA" w:rsidRPr="00CC26EA">
        <w:rPr>
          <w:noProof/>
          <w:spacing w:val="-6"/>
          <w:lang w:val="sk-SK"/>
        </w:rPr>
        <w:t xml:space="preserve"> a </w:t>
      </w:r>
      <w:r w:rsidRPr="00CC26EA">
        <w:rPr>
          <w:noProof/>
          <w:spacing w:val="-6"/>
          <w:lang w:val="sk-SK"/>
        </w:rPr>
        <w:t>odolnosť obnovou existujúceho fondu budov. Investície</w:t>
      </w:r>
      <w:r w:rsidR="00CC26EA" w:rsidRPr="00CC26EA">
        <w:rPr>
          <w:noProof/>
          <w:spacing w:val="-6"/>
          <w:lang w:val="sk-SK"/>
        </w:rPr>
        <w:t xml:space="preserve"> a </w:t>
      </w:r>
      <w:r w:rsidRPr="00CC26EA">
        <w:rPr>
          <w:noProof/>
          <w:spacing w:val="-6"/>
          <w:lang w:val="sk-SK"/>
        </w:rPr>
        <w:t>systémy dotácií</w:t>
      </w:r>
      <w:r w:rsidR="00CC26EA" w:rsidRPr="00CC26EA">
        <w:rPr>
          <w:noProof/>
          <w:spacing w:val="-6"/>
          <w:lang w:val="sk-SK"/>
        </w:rPr>
        <w:t xml:space="preserve"> v </w:t>
      </w:r>
      <w:r w:rsidRPr="00CC26EA">
        <w:rPr>
          <w:noProof/>
          <w:spacing w:val="-6"/>
          <w:lang w:val="sk-SK"/>
        </w:rPr>
        <w:t>tejto zložke zahŕňajú opatrenia</w:t>
      </w:r>
      <w:r w:rsidR="00CC26EA" w:rsidRPr="00CC26EA">
        <w:rPr>
          <w:noProof/>
          <w:spacing w:val="-6"/>
          <w:lang w:val="sk-SK"/>
        </w:rPr>
        <w:t xml:space="preserve"> v </w:t>
      </w:r>
      <w:r w:rsidRPr="00CC26EA">
        <w:rPr>
          <w:noProof/>
          <w:spacing w:val="-6"/>
          <w:lang w:val="sk-SK"/>
        </w:rPr>
        <w:t>oblasti energetickej efektívnosti, premenu ropných</w:t>
      </w:r>
      <w:r w:rsidR="00CC26EA" w:rsidRPr="00CC26EA">
        <w:rPr>
          <w:noProof/>
          <w:spacing w:val="-6"/>
          <w:lang w:val="sk-SK"/>
        </w:rPr>
        <w:t xml:space="preserve"> a </w:t>
      </w:r>
      <w:r w:rsidRPr="00CC26EA">
        <w:rPr>
          <w:noProof/>
          <w:spacing w:val="-6"/>
          <w:lang w:val="sk-SK"/>
        </w:rPr>
        <w:t>plynových horákov na udržateľné zdroje vykurovania</w:t>
      </w:r>
      <w:r w:rsidR="00CC26EA" w:rsidRPr="00CC26EA">
        <w:rPr>
          <w:noProof/>
          <w:spacing w:val="-6"/>
          <w:lang w:val="sk-SK"/>
        </w:rPr>
        <w:t xml:space="preserve"> a </w:t>
      </w:r>
      <w:r w:rsidRPr="00CC26EA">
        <w:rPr>
          <w:noProof/>
          <w:spacing w:val="-6"/>
          <w:lang w:val="sk-SK"/>
        </w:rPr>
        <w:t>obnovu domácností, priemyselných odvetví</w:t>
      </w:r>
      <w:r w:rsidR="00CC26EA" w:rsidRPr="00CC26EA">
        <w:rPr>
          <w:noProof/>
          <w:spacing w:val="-6"/>
          <w:lang w:val="sk-SK"/>
        </w:rPr>
        <w:t xml:space="preserve"> a </w:t>
      </w:r>
      <w:r w:rsidRPr="00CC26EA">
        <w:rPr>
          <w:noProof/>
          <w:spacing w:val="-6"/>
          <w:lang w:val="sk-SK"/>
        </w:rPr>
        <w:t>verejných budov. Tým sa zníži spotreba energie</w:t>
      </w:r>
      <w:r w:rsidR="00CC26EA" w:rsidRPr="00CC26EA">
        <w:rPr>
          <w:noProof/>
          <w:spacing w:val="-6"/>
          <w:lang w:val="sk-SK"/>
        </w:rPr>
        <w:t xml:space="preserve"> a </w:t>
      </w:r>
      <w:r w:rsidRPr="00CC26EA">
        <w:rPr>
          <w:noProof/>
          <w:spacing w:val="-6"/>
          <w:lang w:val="sk-SK"/>
        </w:rPr>
        <w:t>emisie skleníkových plynov</w:t>
      </w:r>
      <w:r w:rsidR="00CC26EA" w:rsidRPr="00CC26EA">
        <w:rPr>
          <w:noProof/>
          <w:spacing w:val="-6"/>
          <w:lang w:val="sk-SK"/>
        </w:rPr>
        <w:t>.</w:t>
      </w:r>
    </w:p>
    <w:p w14:paraId="125B38C1" w14:textId="2E5C653F" w:rsidR="00CC26EA" w:rsidRPr="00CC26EA" w:rsidRDefault="0041081E">
      <w:pPr>
        <w:pStyle w:val="Text1"/>
        <w:ind w:left="0"/>
        <w:rPr>
          <w:noProof/>
          <w:spacing w:val="-6"/>
          <w:lang w:val="sk-SK"/>
        </w:rPr>
      </w:pPr>
      <w:r w:rsidRPr="00CC26EA">
        <w:rPr>
          <w:noProof/>
          <w:spacing w:val="-6"/>
          <w:lang w:val="sk-SK"/>
        </w:rPr>
        <w:t>Investície do opatrení</w:t>
      </w:r>
      <w:r w:rsidR="00CC26EA" w:rsidRPr="00CC26EA">
        <w:rPr>
          <w:noProof/>
          <w:spacing w:val="-6"/>
          <w:lang w:val="sk-SK"/>
        </w:rPr>
        <w:t xml:space="preserve"> v </w:t>
      </w:r>
      <w:r w:rsidRPr="00CC26EA">
        <w:rPr>
          <w:noProof/>
          <w:spacing w:val="-6"/>
          <w:lang w:val="sk-SK"/>
        </w:rPr>
        <w:t>oblasti energetickej efektívnosti</w:t>
      </w:r>
      <w:r w:rsidR="00CC26EA" w:rsidRPr="00CC26EA">
        <w:rPr>
          <w:noProof/>
          <w:spacing w:val="-6"/>
          <w:lang w:val="sk-SK"/>
        </w:rPr>
        <w:t xml:space="preserve"> a </w:t>
      </w:r>
      <w:r w:rsidRPr="00CC26EA">
        <w:rPr>
          <w:noProof/>
          <w:spacing w:val="-6"/>
          <w:lang w:val="sk-SK"/>
        </w:rPr>
        <w:t>obnovy budov podporujú sektor stavebníctva</w:t>
      </w:r>
      <w:r w:rsidR="00CC26EA" w:rsidRPr="00CC26EA">
        <w:rPr>
          <w:noProof/>
          <w:spacing w:val="-6"/>
          <w:lang w:val="sk-SK"/>
        </w:rPr>
        <w:t xml:space="preserve"> a </w:t>
      </w:r>
      <w:r w:rsidRPr="00CC26EA">
        <w:rPr>
          <w:noProof/>
          <w:spacing w:val="-6"/>
          <w:lang w:val="sk-SK"/>
        </w:rPr>
        <w:t>subdodávateľov, ktorí vytvárajú pracovné miesta</w:t>
      </w:r>
      <w:r w:rsidR="00CC26EA" w:rsidRPr="00CC26EA">
        <w:rPr>
          <w:noProof/>
          <w:spacing w:val="-6"/>
          <w:lang w:val="sk-SK"/>
        </w:rPr>
        <w:t xml:space="preserve"> v </w:t>
      </w:r>
      <w:r w:rsidRPr="00CC26EA">
        <w:rPr>
          <w:noProof/>
          <w:spacing w:val="-6"/>
          <w:lang w:val="sk-SK"/>
        </w:rPr>
        <w:t>podporovaných podnikoch</w:t>
      </w:r>
      <w:r w:rsidR="00CC26EA" w:rsidRPr="00CC26EA">
        <w:rPr>
          <w:noProof/>
          <w:spacing w:val="-6"/>
          <w:lang w:val="sk-SK"/>
        </w:rPr>
        <w:t>.</w:t>
      </w:r>
    </w:p>
    <w:p w14:paraId="4DB1EC50" w14:textId="302C356C" w:rsidR="00F65654" w:rsidRPr="00CC26EA" w:rsidRDefault="0041081E">
      <w:pPr>
        <w:pStyle w:val="Text1"/>
        <w:ind w:left="0"/>
        <w:rPr>
          <w:noProof/>
          <w:spacing w:val="-6"/>
          <w:lang w:val="sk-SK"/>
        </w:rPr>
      </w:pPr>
      <w:r w:rsidRPr="00CC26EA">
        <w:rPr>
          <w:noProof/>
          <w:spacing w:val="-6"/>
          <w:lang w:val="sk-SK"/>
        </w:rPr>
        <w:t>Zložka obsahuje subvenčné schémy zamerané na budovy verejného sektora</w:t>
      </w:r>
      <w:r w:rsidR="00CC26EA" w:rsidRPr="00CC26EA">
        <w:rPr>
          <w:noProof/>
          <w:spacing w:val="-6"/>
          <w:lang w:val="sk-SK"/>
        </w:rPr>
        <w:t xml:space="preserve"> s </w:t>
      </w:r>
      <w:r w:rsidRPr="00CC26EA">
        <w:rPr>
          <w:noProof/>
          <w:spacing w:val="-6"/>
          <w:lang w:val="sk-SK"/>
        </w:rPr>
        <w:t>nedostatočnými energetickými štítkami, ako aj opatrenia</w:t>
      </w:r>
      <w:r w:rsidR="00CC26EA" w:rsidRPr="00CC26EA">
        <w:rPr>
          <w:noProof/>
          <w:spacing w:val="-6"/>
          <w:lang w:val="sk-SK"/>
        </w:rPr>
        <w:t xml:space="preserve"> v </w:t>
      </w:r>
      <w:r w:rsidRPr="00CC26EA">
        <w:rPr>
          <w:noProof/>
          <w:spacing w:val="-6"/>
          <w:lang w:val="sk-SK"/>
        </w:rPr>
        <w:t>oblasti energetickej efektívnosti</w:t>
      </w:r>
      <w:r w:rsidR="00CC26EA" w:rsidRPr="00CC26EA">
        <w:rPr>
          <w:noProof/>
          <w:spacing w:val="-6"/>
          <w:lang w:val="sk-SK"/>
        </w:rPr>
        <w:t xml:space="preserve"> v </w:t>
      </w:r>
      <w:r w:rsidRPr="00CC26EA">
        <w:rPr>
          <w:noProof/>
          <w:spacing w:val="-6"/>
          <w:lang w:val="sk-SK"/>
        </w:rPr>
        <w:t>priemyselnom sektore, podľa očakávaní podporia oživenie hospodárstva</w:t>
      </w:r>
      <w:r w:rsidR="00CC26EA" w:rsidRPr="00CC26EA">
        <w:rPr>
          <w:noProof/>
          <w:spacing w:val="-6"/>
          <w:lang w:val="sk-SK"/>
        </w:rPr>
        <w:t xml:space="preserve"> v </w:t>
      </w:r>
      <w:r w:rsidRPr="00CC26EA">
        <w:rPr>
          <w:noProof/>
          <w:spacing w:val="-6"/>
          <w:lang w:val="sk-SK"/>
        </w:rPr>
        <w:t>celom Dánsku. Táto zložka podporuje aj zlepšenie verejných budov, ako sú zariadenia dennej starostlivosti</w:t>
      </w:r>
      <w:r w:rsidR="00CC26EA" w:rsidRPr="00CC26EA">
        <w:rPr>
          <w:noProof/>
          <w:spacing w:val="-6"/>
          <w:lang w:val="sk-SK"/>
        </w:rPr>
        <w:t xml:space="preserve"> a </w:t>
      </w:r>
      <w:r w:rsidRPr="00CC26EA">
        <w:rPr>
          <w:noProof/>
          <w:spacing w:val="-6"/>
          <w:lang w:val="sk-SK"/>
        </w:rPr>
        <w:t>školy. Čiastkové opatrenie je okrem iného obzvlášť dôležité pre domácnosti</w:t>
      </w:r>
      <w:r w:rsidR="00CC26EA" w:rsidRPr="00CC26EA">
        <w:rPr>
          <w:noProof/>
          <w:spacing w:val="-6"/>
          <w:lang w:val="sk-SK"/>
        </w:rPr>
        <w:t xml:space="preserve"> s </w:t>
      </w:r>
      <w:r w:rsidRPr="00CC26EA">
        <w:rPr>
          <w:noProof/>
          <w:spacing w:val="-6"/>
          <w:lang w:val="sk-SK"/>
        </w:rPr>
        <w:t>obmedzenými možnosťami financovania. Tieto opatrenia podporujú sociálnu súdržnosť</w:t>
      </w:r>
      <w:r w:rsidR="00CC26EA" w:rsidRPr="00CC26EA">
        <w:rPr>
          <w:noProof/>
          <w:spacing w:val="-6"/>
          <w:lang w:val="sk-SK"/>
        </w:rPr>
        <w:t xml:space="preserve"> a </w:t>
      </w:r>
      <w:r w:rsidRPr="00CC26EA">
        <w:rPr>
          <w:noProof/>
          <w:spacing w:val="-6"/>
          <w:lang w:val="sk-SK"/>
        </w:rPr>
        <w:t>odolnosť zabezpečením zariadení na poskytovanie vysokokvalitných verejných služieb.</w:t>
      </w:r>
    </w:p>
    <w:p w14:paraId="3DC38F3B" w14:textId="70327C98" w:rsidR="00F65654" w:rsidRPr="00CC26EA" w:rsidRDefault="0041081E">
      <w:pPr>
        <w:pStyle w:val="Text1"/>
        <w:ind w:left="0"/>
        <w:rPr>
          <w:noProof/>
          <w:spacing w:val="-6"/>
          <w:lang w:val="sk-SK"/>
        </w:rPr>
      </w:pPr>
      <w:r w:rsidRPr="00CC26EA">
        <w:rPr>
          <w:noProof/>
          <w:spacing w:val="-6"/>
          <w:lang w:val="sk-SK"/>
        </w:rPr>
        <w:t>Tieto investície</w:t>
      </w:r>
      <w:r w:rsidR="00CC26EA" w:rsidRPr="00CC26EA">
        <w:rPr>
          <w:noProof/>
          <w:spacing w:val="-6"/>
          <w:lang w:val="sk-SK"/>
        </w:rPr>
        <w:t xml:space="preserve"> a </w:t>
      </w:r>
      <w:r w:rsidRPr="00CC26EA">
        <w:rPr>
          <w:noProof/>
          <w:spacing w:val="-6"/>
          <w:lang w:val="sk-SK"/>
        </w:rPr>
        <w:t>reformy podporujú plnenie odporúčaní pre jednotlivé krajiny adresovaných Dánsku minulý rok, pokiaľ ide</w:t>
      </w:r>
      <w:r w:rsidR="00CC26EA" w:rsidRPr="00CC26EA">
        <w:rPr>
          <w:noProof/>
          <w:spacing w:val="-6"/>
          <w:lang w:val="sk-SK"/>
        </w:rPr>
        <w:t xml:space="preserve"> o </w:t>
      </w:r>
      <w:r w:rsidRPr="00CC26EA">
        <w:rPr>
          <w:noProof/>
          <w:spacing w:val="-6"/>
          <w:lang w:val="sk-SK"/>
        </w:rPr>
        <w:t>potrebu</w:t>
      </w:r>
      <w:r w:rsidRPr="00CC26EA">
        <w:rPr>
          <w:i/>
          <w:noProof/>
          <w:spacing w:val="-6"/>
          <w:lang w:val="sk-SK"/>
        </w:rPr>
        <w:t>„zamerať investície na zelenú [...] transformáciu, najmä na [...] čistú</w:t>
      </w:r>
      <w:r w:rsidR="00CC26EA" w:rsidRPr="00CC26EA">
        <w:rPr>
          <w:i/>
          <w:noProof/>
          <w:spacing w:val="-6"/>
          <w:lang w:val="sk-SK"/>
        </w:rPr>
        <w:t xml:space="preserve"> a </w:t>
      </w:r>
      <w:r w:rsidRPr="00CC26EA">
        <w:rPr>
          <w:i/>
          <w:noProof/>
          <w:spacing w:val="-6"/>
          <w:lang w:val="sk-SK"/>
        </w:rPr>
        <w:t>efektívnu výrobu</w:t>
      </w:r>
      <w:r w:rsidR="00CC26EA" w:rsidRPr="00CC26EA">
        <w:rPr>
          <w:i/>
          <w:noProof/>
          <w:spacing w:val="-6"/>
          <w:lang w:val="sk-SK"/>
        </w:rPr>
        <w:t xml:space="preserve"> a </w:t>
      </w:r>
      <w:r w:rsidRPr="00CC26EA">
        <w:rPr>
          <w:i/>
          <w:noProof/>
          <w:spacing w:val="-6"/>
          <w:lang w:val="sk-SK"/>
        </w:rPr>
        <w:t>využívanie energie“</w:t>
      </w:r>
      <w:r w:rsidRPr="00CC26EA">
        <w:rPr>
          <w:noProof/>
          <w:spacing w:val="-6"/>
          <w:lang w:val="sk-SK"/>
        </w:rPr>
        <w:t>(odporúčanie pre jednotlivé krajiny 2, 2020).</w:t>
      </w:r>
    </w:p>
    <w:p w14:paraId="125A9FEE" w14:textId="77777777" w:rsidR="00F65654" w:rsidRPr="00CC26EA" w:rsidRDefault="00F65654">
      <w:pPr>
        <w:pStyle w:val="Text1"/>
        <w:ind w:left="0"/>
        <w:rPr>
          <w:noProof/>
          <w:spacing w:val="-6"/>
          <w:lang w:val="sk-SK"/>
        </w:rPr>
      </w:pPr>
    </w:p>
    <w:p w14:paraId="39B62A9A" w14:textId="2329DDC8" w:rsidR="00F65654" w:rsidRPr="00CC26EA" w:rsidRDefault="0041081E">
      <w:pPr>
        <w:pStyle w:val="Text1"/>
        <w:ind w:left="0"/>
        <w:rPr>
          <w:b/>
          <w:i/>
          <w:noProof/>
          <w:color w:val="4F81BD"/>
          <w:spacing w:val="-6"/>
          <w:lang w:val="sk-SK"/>
        </w:rPr>
      </w:pPr>
      <w:r w:rsidRPr="00CC26EA">
        <w:rPr>
          <w:b/>
          <w:noProof/>
          <w:spacing w:val="-6"/>
          <w:u w:val="single"/>
          <w:lang w:val="sk-SK"/>
        </w:rPr>
        <w:t xml:space="preserve">C.1. </w:t>
      </w:r>
      <w:r w:rsidRPr="00CC26EA">
        <w:rPr>
          <w:noProof/>
          <w:spacing w:val="-6"/>
          <w:lang w:val="sk-SK"/>
        </w:rPr>
        <w:tab/>
      </w:r>
      <w:r w:rsidRPr="00CC26EA">
        <w:rPr>
          <w:b/>
          <w:noProof/>
          <w:spacing w:val="-6"/>
          <w:u w:val="single"/>
          <w:lang w:val="sk-SK"/>
        </w:rPr>
        <w:t>Opis reforiem</w:t>
      </w:r>
      <w:r w:rsidR="00CC26EA" w:rsidRPr="00CC26EA">
        <w:rPr>
          <w:b/>
          <w:noProof/>
          <w:spacing w:val="-6"/>
          <w:u w:val="single"/>
          <w:lang w:val="sk-SK"/>
        </w:rPr>
        <w:t xml:space="preserve"> a </w:t>
      </w:r>
      <w:r w:rsidRPr="00CC26EA">
        <w:rPr>
          <w:b/>
          <w:noProof/>
          <w:spacing w:val="-6"/>
          <w:u w:val="single"/>
          <w:lang w:val="sk-SK"/>
        </w:rPr>
        <w:t>investícií</w:t>
      </w:r>
      <w:r w:rsidR="00CC26EA" w:rsidRPr="00CC26EA">
        <w:rPr>
          <w:b/>
          <w:noProof/>
          <w:spacing w:val="-6"/>
          <w:u w:val="single"/>
          <w:lang w:val="sk-SK"/>
        </w:rPr>
        <w:t xml:space="preserve"> v </w:t>
      </w:r>
      <w:r w:rsidRPr="00CC26EA">
        <w:rPr>
          <w:b/>
          <w:noProof/>
          <w:spacing w:val="-6"/>
          <w:u w:val="single"/>
          <w:lang w:val="sk-SK"/>
        </w:rPr>
        <w:t>rámci nenávratnej finančnej podpory</w:t>
      </w:r>
    </w:p>
    <w:p w14:paraId="1C8D382E" w14:textId="3B0FD240" w:rsidR="00F65654" w:rsidRPr="00CC26EA" w:rsidRDefault="0041081E">
      <w:pPr>
        <w:pStyle w:val="P68B1DB1-Text13"/>
        <w:ind w:left="0"/>
        <w:rPr>
          <w:noProof/>
          <w:spacing w:val="-6"/>
          <w:lang w:val="sk-SK"/>
        </w:rPr>
      </w:pPr>
      <w:r w:rsidRPr="00CC26EA">
        <w:rPr>
          <w:noProof/>
          <w:spacing w:val="-6"/>
          <w:lang w:val="sk-SK"/>
        </w:rPr>
        <w:t>Investícia 1: Nahrádza ropné burnery</w:t>
      </w:r>
      <w:r w:rsidR="00CC26EA" w:rsidRPr="00CC26EA">
        <w:rPr>
          <w:noProof/>
          <w:spacing w:val="-6"/>
          <w:lang w:val="sk-SK"/>
        </w:rPr>
        <w:t xml:space="preserve"> a </w:t>
      </w:r>
      <w:r w:rsidRPr="00CC26EA">
        <w:rPr>
          <w:noProof/>
          <w:spacing w:val="-6"/>
          <w:lang w:val="sk-SK"/>
        </w:rPr>
        <w:t>plynové pece</w:t>
      </w:r>
    </w:p>
    <w:p w14:paraId="70B0F534" w14:textId="1A8BD919" w:rsidR="00F65654" w:rsidRPr="00CC26EA" w:rsidRDefault="0041081E">
      <w:pPr>
        <w:pStyle w:val="Text1"/>
        <w:ind w:left="0"/>
        <w:rPr>
          <w:noProof/>
          <w:spacing w:val="-6"/>
          <w:lang w:val="sk-SK"/>
        </w:rPr>
      </w:pPr>
      <w:r w:rsidRPr="00CC26EA">
        <w:rPr>
          <w:noProof/>
          <w:spacing w:val="-6"/>
          <w:lang w:val="sk-SK"/>
        </w:rPr>
        <w:t>Cieľom opatrenia je postupne vyradiť ropu</w:t>
      </w:r>
      <w:r w:rsidR="00CC26EA" w:rsidRPr="00CC26EA">
        <w:rPr>
          <w:noProof/>
          <w:spacing w:val="-6"/>
          <w:lang w:val="sk-SK"/>
        </w:rPr>
        <w:t xml:space="preserve"> a </w:t>
      </w:r>
      <w:r w:rsidRPr="00CC26EA">
        <w:rPr>
          <w:noProof/>
          <w:spacing w:val="-6"/>
          <w:lang w:val="sk-SK"/>
        </w:rPr>
        <w:t>zemný plyn</w:t>
      </w:r>
      <w:r w:rsidR="00CC26EA" w:rsidRPr="00CC26EA">
        <w:rPr>
          <w:noProof/>
          <w:spacing w:val="-6"/>
          <w:lang w:val="sk-SK"/>
        </w:rPr>
        <w:t xml:space="preserve"> z </w:t>
      </w:r>
      <w:r w:rsidRPr="00CC26EA">
        <w:rPr>
          <w:noProof/>
          <w:spacing w:val="-6"/>
          <w:lang w:val="sk-SK"/>
        </w:rPr>
        <w:t>vykurovacieho systému</w:t>
      </w:r>
      <w:r w:rsidR="00CC26EA" w:rsidRPr="00CC26EA">
        <w:rPr>
          <w:noProof/>
          <w:spacing w:val="-6"/>
          <w:lang w:val="sk-SK"/>
        </w:rPr>
        <w:t xml:space="preserve"> a </w:t>
      </w:r>
      <w:r w:rsidRPr="00CC26EA">
        <w:rPr>
          <w:noProof/>
          <w:spacing w:val="-6"/>
          <w:lang w:val="sk-SK"/>
        </w:rPr>
        <w:t>nahradiť ich elektrickými tepelnými čerpadlami</w:t>
      </w:r>
      <w:r w:rsidR="00CC26EA" w:rsidRPr="00CC26EA">
        <w:rPr>
          <w:noProof/>
          <w:spacing w:val="-6"/>
          <w:lang w:val="sk-SK"/>
        </w:rPr>
        <w:t xml:space="preserve"> a </w:t>
      </w:r>
      <w:r w:rsidRPr="00CC26EA">
        <w:rPr>
          <w:noProof/>
          <w:spacing w:val="-6"/>
          <w:lang w:val="sk-SK"/>
        </w:rPr>
        <w:t>diaľkovým vykurovaním</w:t>
      </w:r>
      <w:r w:rsidR="00CC26EA" w:rsidRPr="00CC26EA">
        <w:rPr>
          <w:noProof/>
          <w:spacing w:val="-6"/>
          <w:lang w:val="sk-SK"/>
        </w:rPr>
        <w:t xml:space="preserve"> z </w:t>
      </w:r>
      <w:r w:rsidRPr="00CC26EA">
        <w:rPr>
          <w:noProof/>
          <w:spacing w:val="-6"/>
          <w:lang w:val="sk-SK"/>
        </w:rPr>
        <w:t>obnoviteľných zdrojov. Opatrenie pozostáva</w:t>
      </w:r>
      <w:r w:rsidR="00CC26EA" w:rsidRPr="00CC26EA">
        <w:rPr>
          <w:noProof/>
          <w:spacing w:val="-6"/>
          <w:lang w:val="sk-SK"/>
        </w:rPr>
        <w:t xml:space="preserve"> z </w:t>
      </w:r>
      <w:r w:rsidRPr="00CC26EA">
        <w:rPr>
          <w:noProof/>
          <w:spacing w:val="-6"/>
          <w:lang w:val="sk-SK"/>
        </w:rPr>
        <w:t>poskytovania dotácií na urýchlenie postupného vyraďovania ropných horákov</w:t>
      </w:r>
      <w:r w:rsidR="00CC26EA" w:rsidRPr="00CC26EA">
        <w:rPr>
          <w:noProof/>
          <w:spacing w:val="-6"/>
          <w:lang w:val="sk-SK"/>
        </w:rPr>
        <w:t xml:space="preserve"> a </w:t>
      </w:r>
      <w:r w:rsidRPr="00CC26EA">
        <w:rPr>
          <w:noProof/>
          <w:spacing w:val="-6"/>
          <w:lang w:val="sk-SK"/>
        </w:rPr>
        <w:t>plynových pecí</w:t>
      </w:r>
      <w:r w:rsidR="00CC26EA" w:rsidRPr="00CC26EA">
        <w:rPr>
          <w:noProof/>
          <w:spacing w:val="-6"/>
          <w:lang w:val="sk-SK"/>
        </w:rPr>
        <w:t xml:space="preserve"> a </w:t>
      </w:r>
      <w:r w:rsidRPr="00CC26EA">
        <w:rPr>
          <w:noProof/>
          <w:spacing w:val="-6"/>
          <w:lang w:val="sk-SK"/>
        </w:rPr>
        <w:t>na zníženie nákladov spotrebiteľov na prechod na ekologické vykurovanie. Podporou, ktorú poskytuje dánsky plán obnovy</w:t>
      </w:r>
      <w:r w:rsidR="00CC26EA" w:rsidRPr="00CC26EA">
        <w:rPr>
          <w:noProof/>
          <w:spacing w:val="-6"/>
          <w:lang w:val="sk-SK"/>
        </w:rPr>
        <w:t xml:space="preserve"> a </w:t>
      </w:r>
      <w:r w:rsidRPr="00CC26EA">
        <w:rPr>
          <w:noProof/>
          <w:spacing w:val="-6"/>
          <w:lang w:val="sk-SK"/>
        </w:rPr>
        <w:t>odolnosti, sa rozšíri existujúce opatrenie. Systém podpory na výmenu olejových horákov</w:t>
      </w:r>
      <w:r w:rsidR="00CC26EA" w:rsidRPr="00CC26EA">
        <w:rPr>
          <w:noProof/>
          <w:spacing w:val="-6"/>
          <w:lang w:val="sk-SK"/>
        </w:rPr>
        <w:t xml:space="preserve"> a </w:t>
      </w:r>
      <w:r w:rsidRPr="00CC26EA">
        <w:rPr>
          <w:noProof/>
          <w:spacing w:val="-6"/>
          <w:lang w:val="sk-SK"/>
        </w:rPr>
        <w:t>plynových pecí sa rozdelí do týchto troch podsystémov: (1) Podsystém diaľkového vykurovania („Fjernvarmepuljen</w:t>
      </w:r>
      <w:r w:rsidRPr="00CC26EA">
        <w:rPr>
          <w:i/>
          <w:noProof/>
          <w:spacing w:val="-6"/>
          <w:lang w:val="sk-SK"/>
        </w:rPr>
        <w:t>“</w:t>
      </w:r>
      <w:r w:rsidRPr="00CC26EA">
        <w:rPr>
          <w:noProof/>
          <w:spacing w:val="-6"/>
          <w:lang w:val="sk-SK"/>
        </w:rPr>
        <w:t>): poskytuje dotáciu na rozšírenie sietí diaľkového vykurovania do nových oblastí; (2) Podsystém oddelenia („Afkoblingsordningen</w:t>
      </w:r>
      <w:r w:rsidRPr="00CC26EA">
        <w:rPr>
          <w:i/>
          <w:noProof/>
          <w:spacing w:val="-6"/>
          <w:lang w:val="sk-SK"/>
        </w:rPr>
        <w:t>“</w:t>
      </w:r>
      <w:r w:rsidRPr="00CC26EA">
        <w:rPr>
          <w:noProof/>
          <w:spacing w:val="-6"/>
          <w:lang w:val="sk-SK"/>
        </w:rPr>
        <w:t>): Dánska štátna plynárenská distribučná spoločnosť účtuje poplatok na pokrytie nákladov na oddelenie. Touto subvenčnou schémou môžu byť domácnosti oslobodené od tohto poplatku. (3) Podsystém pre zošrotovanie („</w:t>
      </w:r>
      <w:r w:rsidRPr="00CC26EA">
        <w:rPr>
          <w:i/>
          <w:noProof/>
          <w:spacing w:val="-6"/>
          <w:lang w:val="sk-SK"/>
        </w:rPr>
        <w:t>Skrotningsordningen</w:t>
      </w:r>
      <w:r w:rsidRPr="00CC26EA">
        <w:rPr>
          <w:noProof/>
          <w:spacing w:val="-6"/>
          <w:lang w:val="sk-SK"/>
        </w:rPr>
        <w:t>“): poskytne dotáciu spoločnostiam, ktoré ponúkajú tepelné čerpadlá pri predplatení súkromného celoročného bývania. Schéma je obzvlášť dôležitá pre občanov, ktorí chcú prejsť na tepelné čerpadlo, ale majú obmedzené možnosti financovania.</w:t>
      </w:r>
    </w:p>
    <w:p w14:paraId="4FBBCA72" w14:textId="1A2A9715" w:rsidR="00F65654" w:rsidRPr="00CC26EA" w:rsidRDefault="0041081E">
      <w:pPr>
        <w:pStyle w:val="P68B1DB1-Text13"/>
        <w:ind w:left="0"/>
        <w:rPr>
          <w:noProof/>
          <w:spacing w:val="-6"/>
          <w:lang w:val="sk-SK"/>
        </w:rPr>
      </w:pPr>
      <w:r w:rsidRPr="00CC26EA">
        <w:rPr>
          <w:noProof/>
          <w:spacing w:val="-6"/>
          <w:lang w:val="sk-SK"/>
        </w:rPr>
        <w:t>Investícia 2: Energetická efektívnosť</w:t>
      </w:r>
      <w:r w:rsidR="00CC26EA" w:rsidRPr="00CC26EA">
        <w:rPr>
          <w:noProof/>
          <w:spacing w:val="-6"/>
          <w:lang w:val="sk-SK"/>
        </w:rPr>
        <w:t xml:space="preserve"> v </w:t>
      </w:r>
      <w:r w:rsidRPr="00CC26EA">
        <w:rPr>
          <w:noProof/>
          <w:spacing w:val="-6"/>
          <w:lang w:val="sk-SK"/>
        </w:rPr>
        <w:t>priemysle</w:t>
      </w:r>
    </w:p>
    <w:p w14:paraId="343186BB" w14:textId="68166906" w:rsidR="00CC26EA" w:rsidRPr="00CC26EA" w:rsidRDefault="0041081E">
      <w:pPr>
        <w:pStyle w:val="Text1"/>
        <w:ind w:left="0"/>
        <w:rPr>
          <w:noProof/>
          <w:spacing w:val="-6"/>
          <w:lang w:val="sk-SK"/>
        </w:rPr>
      </w:pPr>
      <w:r w:rsidRPr="00CC26EA">
        <w:rPr>
          <w:noProof/>
          <w:spacing w:val="-6"/>
          <w:lang w:val="sk-SK"/>
        </w:rPr>
        <w:t>Cieľom iniciatívy je urýchliť opatrenia</w:t>
      </w:r>
      <w:r w:rsidR="00CC26EA" w:rsidRPr="00CC26EA">
        <w:rPr>
          <w:noProof/>
          <w:spacing w:val="-6"/>
          <w:lang w:val="sk-SK"/>
        </w:rPr>
        <w:t xml:space="preserve"> v </w:t>
      </w:r>
      <w:r w:rsidRPr="00CC26EA">
        <w:rPr>
          <w:noProof/>
          <w:spacing w:val="-6"/>
          <w:lang w:val="sk-SK"/>
        </w:rPr>
        <w:t>oblasti energetickej efektívnosti</w:t>
      </w:r>
      <w:r w:rsidR="00CC26EA" w:rsidRPr="00CC26EA">
        <w:rPr>
          <w:noProof/>
          <w:spacing w:val="-6"/>
          <w:lang w:val="sk-SK"/>
        </w:rPr>
        <w:t xml:space="preserve"> a </w:t>
      </w:r>
      <w:r w:rsidRPr="00CC26EA">
        <w:rPr>
          <w:noProof/>
          <w:spacing w:val="-6"/>
          <w:lang w:val="sk-SK"/>
        </w:rPr>
        <w:t>prechod na zelenú energiu</w:t>
      </w:r>
      <w:r w:rsidR="00CC26EA" w:rsidRPr="00CC26EA">
        <w:rPr>
          <w:noProof/>
          <w:spacing w:val="-6"/>
          <w:lang w:val="sk-SK"/>
        </w:rPr>
        <w:t xml:space="preserve"> v </w:t>
      </w:r>
      <w:r w:rsidRPr="00CC26EA">
        <w:rPr>
          <w:noProof/>
          <w:spacing w:val="-6"/>
          <w:lang w:val="sk-SK"/>
        </w:rPr>
        <w:t>priemysle</w:t>
      </w:r>
      <w:r w:rsidR="00CC26EA" w:rsidRPr="00CC26EA">
        <w:rPr>
          <w:noProof/>
          <w:spacing w:val="-6"/>
          <w:lang w:val="sk-SK"/>
        </w:rPr>
        <w:t xml:space="preserve"> a </w:t>
      </w:r>
      <w:r w:rsidRPr="00CC26EA">
        <w:rPr>
          <w:noProof/>
          <w:spacing w:val="-6"/>
          <w:lang w:val="sk-SK"/>
        </w:rPr>
        <w:t>očakáva sa, že povedie</w:t>
      </w:r>
      <w:r w:rsidR="00CC26EA" w:rsidRPr="00CC26EA">
        <w:rPr>
          <w:noProof/>
          <w:spacing w:val="-6"/>
          <w:lang w:val="sk-SK"/>
        </w:rPr>
        <w:t xml:space="preserve"> k </w:t>
      </w:r>
      <w:r w:rsidRPr="00CC26EA">
        <w:rPr>
          <w:noProof/>
          <w:spacing w:val="-6"/>
          <w:lang w:val="sk-SK"/>
        </w:rPr>
        <w:t>zníženiu emisií skleníkových plynov. Rozšíri existujúci vnútroštátny systém. Systém sa zameriava na úspory energie vo všetkých súkromných podnikoch</w:t>
      </w:r>
      <w:r w:rsidR="00CC26EA" w:rsidRPr="00CC26EA">
        <w:rPr>
          <w:noProof/>
          <w:spacing w:val="-6"/>
          <w:lang w:val="sk-SK"/>
        </w:rPr>
        <w:t xml:space="preserve"> a </w:t>
      </w:r>
      <w:r w:rsidRPr="00CC26EA">
        <w:rPr>
          <w:noProof/>
          <w:spacing w:val="-6"/>
          <w:lang w:val="sk-SK"/>
        </w:rPr>
        <w:t>finančné prostriedky sa pridelia žiadateľom po súťažnom výberovom konaní založenom na kritériu najvyšších úspor energie na každú prijatú dotáciu</w:t>
      </w:r>
      <w:r w:rsidR="00CC26EA" w:rsidRPr="00CC26EA">
        <w:rPr>
          <w:noProof/>
          <w:spacing w:val="-6"/>
          <w:lang w:val="sk-SK"/>
        </w:rPr>
        <w:t>.</w:t>
      </w:r>
    </w:p>
    <w:p w14:paraId="59D349FE" w14:textId="509D0E11" w:rsidR="00F65654" w:rsidRPr="00CC26EA" w:rsidRDefault="0041081E">
      <w:pPr>
        <w:pStyle w:val="P68B1DB1-Text13"/>
        <w:ind w:left="0"/>
        <w:rPr>
          <w:noProof/>
          <w:spacing w:val="-6"/>
          <w:lang w:val="sk-SK"/>
        </w:rPr>
      </w:pPr>
      <w:r w:rsidRPr="00CC26EA">
        <w:rPr>
          <w:noProof/>
          <w:spacing w:val="-6"/>
          <w:lang w:val="sk-SK"/>
        </w:rPr>
        <w:t>Investícia 3: Energetická obnova verejných budov</w:t>
      </w:r>
    </w:p>
    <w:p w14:paraId="19CA7D80" w14:textId="1B052265" w:rsidR="00F65654" w:rsidRPr="00CC26EA" w:rsidRDefault="0041081E">
      <w:pPr>
        <w:pStyle w:val="Text1"/>
        <w:ind w:left="0"/>
        <w:rPr>
          <w:noProof/>
          <w:spacing w:val="-6"/>
          <w:lang w:val="sk-SK"/>
        </w:rPr>
      </w:pPr>
      <w:r w:rsidRPr="00CC26EA">
        <w:rPr>
          <w:noProof/>
          <w:spacing w:val="-6"/>
          <w:lang w:val="sk-SK"/>
        </w:rPr>
        <w:t>Opatrením sa podporuje schéma dotácií, ktorá sa zameriava na opatrenia na úsporu energie vo verejných budovách. Dotácia sa zameriava na energetickú obnovu</w:t>
      </w:r>
      <w:r w:rsidR="00CC26EA" w:rsidRPr="00CC26EA">
        <w:rPr>
          <w:noProof/>
          <w:spacing w:val="-6"/>
          <w:lang w:val="sk-SK"/>
        </w:rPr>
        <w:t xml:space="preserve"> v </w:t>
      </w:r>
      <w:r w:rsidRPr="00CC26EA">
        <w:rPr>
          <w:noProof/>
          <w:spacing w:val="-6"/>
          <w:lang w:val="sk-SK"/>
        </w:rPr>
        <w:t>regionálnych</w:t>
      </w:r>
      <w:r w:rsidR="00CC26EA" w:rsidRPr="00CC26EA">
        <w:rPr>
          <w:noProof/>
          <w:spacing w:val="-6"/>
          <w:lang w:val="sk-SK"/>
        </w:rPr>
        <w:t xml:space="preserve"> a </w:t>
      </w:r>
      <w:r w:rsidRPr="00CC26EA">
        <w:rPr>
          <w:noProof/>
          <w:spacing w:val="-6"/>
          <w:lang w:val="sk-SK"/>
        </w:rPr>
        <w:t>obecných budovách</w:t>
      </w:r>
      <w:r w:rsidR="00CC26EA" w:rsidRPr="00CC26EA">
        <w:rPr>
          <w:noProof/>
          <w:spacing w:val="-6"/>
          <w:lang w:val="sk-SK"/>
        </w:rPr>
        <w:t xml:space="preserve"> s </w:t>
      </w:r>
      <w:r w:rsidRPr="00CC26EA">
        <w:rPr>
          <w:noProof/>
          <w:spacing w:val="-6"/>
          <w:lang w:val="sk-SK"/>
        </w:rPr>
        <w:t>najnižšími normami energetického certifikátu, ako aj na budovy, ktoré sú vykurované ropnými horákmi</w:t>
      </w:r>
      <w:r w:rsidR="00CC26EA" w:rsidRPr="00CC26EA">
        <w:rPr>
          <w:noProof/>
          <w:spacing w:val="-6"/>
          <w:lang w:val="sk-SK"/>
        </w:rPr>
        <w:t xml:space="preserve"> a </w:t>
      </w:r>
      <w:r w:rsidRPr="00CC26EA">
        <w:rPr>
          <w:noProof/>
          <w:spacing w:val="-6"/>
          <w:lang w:val="sk-SK"/>
        </w:rPr>
        <w:t>plynovými pecami.</w:t>
      </w:r>
    </w:p>
    <w:p w14:paraId="083D6461" w14:textId="647FB17A" w:rsidR="00F65654" w:rsidRPr="00CC26EA" w:rsidRDefault="0041081E">
      <w:pPr>
        <w:pStyle w:val="P68B1DB1-Text13"/>
        <w:ind w:left="0"/>
        <w:rPr>
          <w:noProof/>
          <w:spacing w:val="-6"/>
          <w:lang w:val="sk-SK"/>
        </w:rPr>
      </w:pPr>
      <w:r w:rsidRPr="00CC26EA">
        <w:rPr>
          <w:noProof/>
          <w:spacing w:val="-6"/>
          <w:lang w:val="sk-SK"/>
        </w:rPr>
        <w:t>Investícia 4: Energetická efektívnosť</w:t>
      </w:r>
      <w:r w:rsidR="00CC26EA" w:rsidRPr="00CC26EA">
        <w:rPr>
          <w:noProof/>
          <w:spacing w:val="-6"/>
          <w:lang w:val="sk-SK"/>
        </w:rPr>
        <w:t xml:space="preserve"> v </w:t>
      </w:r>
      <w:r w:rsidRPr="00CC26EA">
        <w:rPr>
          <w:noProof/>
          <w:spacing w:val="-6"/>
          <w:lang w:val="sk-SK"/>
        </w:rPr>
        <w:t>domácnostiach</w:t>
      </w:r>
    </w:p>
    <w:p w14:paraId="0D8F0662" w14:textId="762698E4" w:rsidR="00CC26EA" w:rsidRPr="00CC26EA" w:rsidRDefault="0041081E">
      <w:pPr>
        <w:pStyle w:val="Text1"/>
        <w:ind w:left="0"/>
        <w:rPr>
          <w:noProof/>
          <w:spacing w:val="-6"/>
          <w:lang w:val="sk-SK"/>
        </w:rPr>
      </w:pPr>
      <w:r w:rsidRPr="00CC26EA">
        <w:rPr>
          <w:noProof/>
          <w:spacing w:val="-6"/>
          <w:lang w:val="sk-SK"/>
        </w:rPr>
        <w:t>Cieľom tohto opatrenia je zabezpečiť, aby boli obytné budovy renovované</w:t>
      </w:r>
      <w:r w:rsidR="00CC26EA" w:rsidRPr="00CC26EA">
        <w:rPr>
          <w:noProof/>
          <w:spacing w:val="-6"/>
          <w:lang w:val="sk-SK"/>
        </w:rPr>
        <w:t xml:space="preserve"> a </w:t>
      </w:r>
      <w:r w:rsidRPr="00CC26EA">
        <w:rPr>
          <w:noProof/>
          <w:spacing w:val="-6"/>
          <w:lang w:val="sk-SK"/>
        </w:rPr>
        <w:t>energeticky účinné,</w:t>
      </w:r>
      <w:r w:rsidR="00CC26EA" w:rsidRPr="00CC26EA">
        <w:rPr>
          <w:noProof/>
          <w:spacing w:val="-6"/>
          <w:lang w:val="sk-SK"/>
        </w:rPr>
        <w:t xml:space="preserve"> a </w:t>
      </w:r>
      <w:r w:rsidRPr="00CC26EA">
        <w:rPr>
          <w:noProof/>
          <w:spacing w:val="-6"/>
          <w:lang w:val="sk-SK"/>
        </w:rPr>
        <w:t>urýchliť prechod</w:t>
      </w:r>
      <w:r w:rsidR="00CC26EA" w:rsidRPr="00CC26EA">
        <w:rPr>
          <w:noProof/>
          <w:spacing w:val="-6"/>
          <w:lang w:val="sk-SK"/>
        </w:rPr>
        <w:t xml:space="preserve"> z </w:t>
      </w:r>
      <w:r w:rsidRPr="00CC26EA">
        <w:rPr>
          <w:noProof/>
          <w:spacing w:val="-6"/>
          <w:lang w:val="sk-SK"/>
        </w:rPr>
        <w:t>ropných horákov</w:t>
      </w:r>
      <w:r w:rsidR="00CC26EA" w:rsidRPr="00CC26EA">
        <w:rPr>
          <w:noProof/>
          <w:spacing w:val="-6"/>
          <w:lang w:val="sk-SK"/>
        </w:rPr>
        <w:t xml:space="preserve"> a </w:t>
      </w:r>
      <w:r w:rsidRPr="00CC26EA">
        <w:rPr>
          <w:noProof/>
          <w:spacing w:val="-6"/>
          <w:lang w:val="sk-SK"/>
        </w:rPr>
        <w:t>plynových pecí na tepelné čerpadlá. Opatrenie sa zameriava na úspory energie</w:t>
      </w:r>
      <w:r w:rsidR="00CC26EA" w:rsidRPr="00CC26EA">
        <w:rPr>
          <w:noProof/>
          <w:spacing w:val="-6"/>
          <w:lang w:val="sk-SK"/>
        </w:rPr>
        <w:t xml:space="preserve"> v </w:t>
      </w:r>
      <w:r w:rsidRPr="00CC26EA">
        <w:rPr>
          <w:noProof/>
          <w:spacing w:val="-6"/>
          <w:lang w:val="sk-SK"/>
        </w:rPr>
        <w:t>súkromnom obydlí podporou izolácie, optimalizáciou prevádzky budovy alebo výmenou tepla za olejové horáky</w:t>
      </w:r>
      <w:r w:rsidR="00CC26EA" w:rsidRPr="00CC26EA">
        <w:rPr>
          <w:noProof/>
          <w:spacing w:val="-6"/>
          <w:lang w:val="sk-SK"/>
        </w:rPr>
        <w:t xml:space="preserve"> a </w:t>
      </w:r>
      <w:r w:rsidRPr="00CC26EA">
        <w:rPr>
          <w:noProof/>
          <w:spacing w:val="-6"/>
          <w:lang w:val="sk-SK"/>
        </w:rPr>
        <w:t>plynové pece tepelnými čerpadlami</w:t>
      </w:r>
      <w:r w:rsidR="00CC26EA" w:rsidRPr="00CC26EA">
        <w:rPr>
          <w:noProof/>
          <w:spacing w:val="-6"/>
          <w:lang w:val="sk-SK"/>
        </w:rPr>
        <w:t>.</w:t>
      </w:r>
    </w:p>
    <w:p w14:paraId="68133618" w14:textId="21F62B3F" w:rsidR="00F65654" w:rsidRPr="00CC26EA" w:rsidRDefault="0041081E">
      <w:pPr>
        <w:pStyle w:val="P68B1DB1-Text13"/>
        <w:ind w:left="0"/>
        <w:rPr>
          <w:noProof/>
          <w:spacing w:val="-6"/>
          <w:lang w:val="sk-SK"/>
        </w:rPr>
      </w:pPr>
      <w:r w:rsidRPr="00CC26EA">
        <w:rPr>
          <w:noProof/>
          <w:spacing w:val="-6"/>
          <w:lang w:val="sk-SK"/>
        </w:rPr>
        <w:t>Investícia 5: Potenciál zachytávania</w:t>
      </w:r>
      <w:r w:rsidR="00CC26EA" w:rsidRPr="00CC26EA">
        <w:rPr>
          <w:noProof/>
          <w:spacing w:val="-6"/>
          <w:lang w:val="sk-SK"/>
        </w:rPr>
        <w:t xml:space="preserve"> a </w:t>
      </w:r>
      <w:r w:rsidRPr="00CC26EA">
        <w:rPr>
          <w:noProof/>
          <w:spacing w:val="-6"/>
          <w:lang w:val="sk-SK"/>
        </w:rPr>
        <w:t>ukladania oxidu uhličitého (CCS)</w:t>
      </w:r>
    </w:p>
    <w:p w14:paraId="3BF877BB" w14:textId="5C36BC2A" w:rsidR="00CC26EA" w:rsidRPr="00CC26EA" w:rsidRDefault="0041081E">
      <w:pPr>
        <w:pStyle w:val="Text1"/>
        <w:ind w:left="0"/>
        <w:rPr>
          <w:noProof/>
          <w:spacing w:val="-6"/>
          <w:lang w:val="sk-SK"/>
        </w:rPr>
      </w:pPr>
      <w:r w:rsidRPr="00CC26EA">
        <w:rPr>
          <w:noProof/>
          <w:spacing w:val="-6"/>
          <w:lang w:val="sk-SK"/>
        </w:rPr>
        <w:t>Toto opatrenie sa zameria na vývoj</w:t>
      </w:r>
      <w:r w:rsidR="00CC26EA" w:rsidRPr="00CC26EA">
        <w:rPr>
          <w:noProof/>
          <w:spacing w:val="-6"/>
          <w:lang w:val="sk-SK"/>
        </w:rPr>
        <w:t xml:space="preserve"> a </w:t>
      </w:r>
      <w:r w:rsidRPr="00CC26EA">
        <w:rPr>
          <w:noProof/>
          <w:spacing w:val="-6"/>
          <w:lang w:val="sk-SK"/>
        </w:rPr>
        <w:t>demonštráciu technickej</w:t>
      </w:r>
      <w:r w:rsidR="00CC26EA" w:rsidRPr="00CC26EA">
        <w:rPr>
          <w:noProof/>
          <w:spacing w:val="-6"/>
          <w:lang w:val="sk-SK"/>
        </w:rPr>
        <w:t xml:space="preserve"> a </w:t>
      </w:r>
      <w:r w:rsidRPr="00CC26EA">
        <w:rPr>
          <w:noProof/>
          <w:spacing w:val="-6"/>
          <w:lang w:val="sk-SK"/>
        </w:rPr>
        <w:t>ekonomickej uskutočniteľnosti ukladania CO2 na vyčerpaných ropných</w:t>
      </w:r>
      <w:r w:rsidR="00CC26EA" w:rsidRPr="00CC26EA">
        <w:rPr>
          <w:noProof/>
          <w:spacing w:val="-6"/>
          <w:lang w:val="sk-SK"/>
        </w:rPr>
        <w:t xml:space="preserve"> a </w:t>
      </w:r>
      <w:r w:rsidRPr="00CC26EA">
        <w:rPr>
          <w:noProof/>
          <w:spacing w:val="-6"/>
          <w:lang w:val="sk-SK"/>
        </w:rPr>
        <w:t>plynových poliach</w:t>
      </w:r>
      <w:r w:rsidR="00CC26EA" w:rsidRPr="00CC26EA">
        <w:rPr>
          <w:noProof/>
          <w:spacing w:val="-6"/>
          <w:lang w:val="sk-SK"/>
        </w:rPr>
        <w:t xml:space="preserve"> v </w:t>
      </w:r>
      <w:r w:rsidRPr="00CC26EA">
        <w:rPr>
          <w:noProof/>
          <w:spacing w:val="-6"/>
          <w:lang w:val="sk-SK"/>
        </w:rPr>
        <w:t>dánskej časti Severného mora. Ďalší vývoj, testovanie</w:t>
      </w:r>
      <w:r w:rsidR="00CC26EA" w:rsidRPr="00CC26EA">
        <w:rPr>
          <w:noProof/>
          <w:spacing w:val="-6"/>
          <w:lang w:val="sk-SK"/>
        </w:rPr>
        <w:t xml:space="preserve"> a </w:t>
      </w:r>
      <w:r w:rsidRPr="00CC26EA">
        <w:rPr>
          <w:noProof/>
          <w:spacing w:val="-6"/>
          <w:lang w:val="sk-SK"/>
        </w:rPr>
        <w:t>demonštrácia ukladania CO2 sa vykonajú</w:t>
      </w:r>
      <w:r w:rsidR="00CC26EA" w:rsidRPr="00CC26EA">
        <w:rPr>
          <w:noProof/>
          <w:spacing w:val="-6"/>
          <w:lang w:val="sk-SK"/>
        </w:rPr>
        <w:t xml:space="preserve"> s </w:t>
      </w:r>
      <w:r w:rsidRPr="00CC26EA">
        <w:rPr>
          <w:noProof/>
          <w:spacing w:val="-6"/>
          <w:lang w:val="sk-SK"/>
        </w:rPr>
        <w:t>cieľom určiť technickú</w:t>
      </w:r>
      <w:r w:rsidR="00CC26EA" w:rsidRPr="00CC26EA">
        <w:rPr>
          <w:noProof/>
          <w:spacing w:val="-6"/>
          <w:lang w:val="sk-SK"/>
        </w:rPr>
        <w:t xml:space="preserve"> a </w:t>
      </w:r>
      <w:r w:rsidRPr="00CC26EA">
        <w:rPr>
          <w:noProof/>
          <w:spacing w:val="-6"/>
          <w:lang w:val="sk-SK"/>
        </w:rPr>
        <w:t>finančnú uskutočniteľnosť predtým, ako sa všetky vyčerpané plynové</w:t>
      </w:r>
      <w:r w:rsidR="00CC26EA" w:rsidRPr="00CC26EA">
        <w:rPr>
          <w:noProof/>
          <w:spacing w:val="-6"/>
          <w:lang w:val="sk-SK"/>
        </w:rPr>
        <w:t xml:space="preserve"> a </w:t>
      </w:r>
      <w:r w:rsidRPr="00CC26EA">
        <w:rPr>
          <w:noProof/>
          <w:spacing w:val="-6"/>
          <w:lang w:val="sk-SK"/>
        </w:rPr>
        <w:t>ropné polia uvedú do prevádzky. Podpora sa nevzťahuje na investície potrebné na realizáciu prevádzkových zásobníkov CO2, ale len na uvedenú štúdiu uskutočniteľnosti</w:t>
      </w:r>
      <w:r w:rsidR="00CC26EA" w:rsidRPr="00CC26EA">
        <w:rPr>
          <w:noProof/>
          <w:spacing w:val="-6"/>
          <w:lang w:val="sk-SK"/>
        </w:rPr>
        <w:t>.</w:t>
      </w:r>
    </w:p>
    <w:p w14:paraId="16C64CE4" w14:textId="42F494AD" w:rsidR="00F65654" w:rsidRPr="00CC26EA" w:rsidRDefault="00F65654">
      <w:pPr>
        <w:pStyle w:val="Text1"/>
        <w:ind w:left="0"/>
        <w:rPr>
          <w:noProof/>
          <w:spacing w:val="-6"/>
          <w:u w:val="single"/>
          <w:lang w:val="sk-SK"/>
        </w:rPr>
      </w:pPr>
    </w:p>
    <w:p w14:paraId="50808FBC" w14:textId="10F902E6" w:rsidR="00F65654" w:rsidRPr="00CC26EA" w:rsidRDefault="0041081E">
      <w:pPr>
        <w:pStyle w:val="Text1"/>
        <w:ind w:left="0"/>
        <w:rPr>
          <w:b/>
          <w:noProof/>
          <w:spacing w:val="-6"/>
          <w:u w:val="single"/>
          <w:lang w:val="sk-SK"/>
        </w:rPr>
      </w:pPr>
      <w:r w:rsidRPr="00CC26EA">
        <w:rPr>
          <w:b/>
          <w:noProof/>
          <w:spacing w:val="-6"/>
          <w:u w:val="single"/>
          <w:lang w:val="sk-SK"/>
        </w:rPr>
        <w:t xml:space="preserve">C.2. </w:t>
      </w:r>
      <w:r w:rsidRPr="00CC26EA">
        <w:rPr>
          <w:noProof/>
          <w:spacing w:val="-6"/>
          <w:lang w:val="sk-SK"/>
        </w:rPr>
        <w:tab/>
      </w:r>
      <w:r w:rsidRPr="00CC26EA">
        <w:rPr>
          <w:b/>
          <w:noProof/>
          <w:spacing w:val="-6"/>
          <w:u w:val="single"/>
          <w:lang w:val="sk-SK"/>
        </w:rPr>
        <w:t>Míľniky, ciele, ukazovatele</w:t>
      </w:r>
      <w:r w:rsidR="00CC26EA" w:rsidRPr="00CC26EA">
        <w:rPr>
          <w:b/>
          <w:noProof/>
          <w:spacing w:val="-6"/>
          <w:u w:val="single"/>
          <w:lang w:val="sk-SK"/>
        </w:rPr>
        <w:t xml:space="preserve"> a </w:t>
      </w:r>
      <w:r w:rsidRPr="00CC26EA">
        <w:rPr>
          <w:b/>
          <w:noProof/>
          <w:spacing w:val="-6"/>
          <w:u w:val="single"/>
          <w:lang w:val="sk-SK"/>
        </w:rPr>
        <w:t>harmonogram monitorovania</w:t>
      </w:r>
      <w:r w:rsidR="00CC26EA" w:rsidRPr="00CC26EA">
        <w:rPr>
          <w:b/>
          <w:noProof/>
          <w:spacing w:val="-6"/>
          <w:u w:val="single"/>
          <w:lang w:val="sk-SK"/>
        </w:rPr>
        <w:t xml:space="preserve"> a </w:t>
      </w:r>
      <w:r w:rsidRPr="00CC26EA">
        <w:rPr>
          <w:b/>
          <w:noProof/>
          <w:spacing w:val="-6"/>
          <w:u w:val="single"/>
          <w:lang w:val="sk-SK"/>
        </w:rPr>
        <w:t>realizácie pre nenávratnú finančnú podporu</w:t>
      </w:r>
    </w:p>
    <w:p w14:paraId="6F16EF05" w14:textId="77777777" w:rsidR="00F65654" w:rsidRPr="00CC26EA" w:rsidRDefault="00F65654">
      <w:pPr>
        <w:pStyle w:val="Text1"/>
        <w:ind w:left="709"/>
        <w:rPr>
          <w:noProof/>
          <w:spacing w:val="-6"/>
          <w:lang w:val="sk-SK"/>
        </w:rPr>
        <w:sectPr w:rsidR="00F65654" w:rsidRPr="00CC26EA" w:rsidSect="00A61D33">
          <w:headerReference w:type="even" r:id="rId42"/>
          <w:headerReference w:type="default" r:id="rId43"/>
          <w:footerReference w:type="even" r:id="rId44"/>
          <w:footerReference w:type="default" r:id="rId45"/>
          <w:headerReference w:type="first" r:id="rId46"/>
          <w:footerReference w:type="first" r:id="rId47"/>
          <w:pgSz w:w="11907" w:h="16839"/>
          <w:pgMar w:top="1134" w:right="1134" w:bottom="1134" w:left="1134" w:header="567" w:footer="567" w:gutter="0"/>
          <w:cols w:space="720"/>
          <w:docGrid w:linePitch="360"/>
        </w:sectPr>
      </w:pPr>
    </w:p>
    <w:tbl>
      <w:tblPr>
        <w:tblW w:w="15904" w:type="dxa"/>
        <w:jc w:val="center"/>
        <w:tblLayout w:type="fixed"/>
        <w:tblLook w:val="04A0" w:firstRow="1" w:lastRow="0" w:firstColumn="1" w:lastColumn="0" w:noHBand="0" w:noVBand="1"/>
      </w:tblPr>
      <w:tblGrid>
        <w:gridCol w:w="1347"/>
        <w:gridCol w:w="1500"/>
        <w:gridCol w:w="1264"/>
        <w:gridCol w:w="2071"/>
        <w:gridCol w:w="1915"/>
        <w:gridCol w:w="1031"/>
        <w:gridCol w:w="1073"/>
        <w:gridCol w:w="842"/>
        <w:gridCol w:w="1031"/>
        <w:gridCol w:w="1031"/>
        <w:gridCol w:w="2799"/>
      </w:tblGrid>
      <w:tr w:rsidR="00F65654" w:rsidRPr="00CC26EA" w14:paraId="18256D14" w14:textId="77777777">
        <w:trPr>
          <w:trHeight w:val="926"/>
          <w:tblHeader/>
          <w:jc w:val="center"/>
        </w:trPr>
        <w:tc>
          <w:tcPr>
            <w:tcW w:w="134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C1771A3"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Poradové číslo</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2A6F7240"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Súvisiace opatrenie (reforma alebo investícia)</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07EDACB"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Míľnik/cieľ</w:t>
            </w:r>
          </w:p>
        </w:tc>
        <w:tc>
          <w:tcPr>
            <w:tcW w:w="2071" w:type="dxa"/>
            <w:vMerge w:val="restart"/>
            <w:tcBorders>
              <w:top w:val="single" w:sz="4" w:space="0" w:color="auto"/>
              <w:left w:val="nil"/>
              <w:bottom w:val="single" w:sz="4" w:space="0" w:color="000000"/>
              <w:right w:val="single" w:sz="4" w:space="0" w:color="auto"/>
            </w:tcBorders>
            <w:shd w:val="clear" w:color="auto" w:fill="BDD7EE"/>
            <w:vAlign w:val="center"/>
            <w:hideMark/>
          </w:tcPr>
          <w:p w14:paraId="6D9C538B"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Názov</w:t>
            </w:r>
          </w:p>
        </w:tc>
        <w:tc>
          <w:tcPr>
            <w:tcW w:w="191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213DE55F" w14:textId="77777777" w:rsidR="00F65654" w:rsidRPr="00CC26EA" w:rsidRDefault="0041081E">
            <w:pPr>
              <w:spacing w:after="0"/>
              <w:jc w:val="center"/>
              <w:rPr>
                <w:rFonts w:ascii="Times New Roman" w:eastAsia="Times New Roman" w:hAnsi="Times New Roman"/>
                <w:b/>
                <w:noProof/>
                <w:spacing w:val="-6"/>
                <w:lang w:val="sk-SK"/>
              </w:rPr>
            </w:pPr>
            <w:r w:rsidRPr="00CC26EA">
              <w:rPr>
                <w:rFonts w:ascii="Times New Roman" w:hAnsi="Times New Roman"/>
                <w:b/>
                <w:noProof/>
                <w:spacing w:val="-6"/>
                <w:lang w:val="sk-SK"/>
              </w:rPr>
              <w:t xml:space="preserve">Kvalitatívne ukazovatele </w:t>
            </w:r>
            <w:r w:rsidRPr="00CC26EA">
              <w:rPr>
                <w:rFonts w:ascii="Times New Roman" w:hAnsi="Times New Roman"/>
                <w:noProof/>
                <w:spacing w:val="-6"/>
                <w:lang w:val="sk-SK"/>
              </w:rPr>
              <w:t xml:space="preserve"> </w:t>
            </w:r>
            <w:r w:rsidRPr="00CC26EA">
              <w:rPr>
                <w:rFonts w:ascii="Times New Roman" w:hAnsi="Times New Roman"/>
                <w:b/>
                <w:noProof/>
                <w:spacing w:val="-6"/>
                <w:lang w:val="sk-SK"/>
              </w:rPr>
              <w:t>(pre míľniky)</w:t>
            </w:r>
          </w:p>
        </w:tc>
        <w:tc>
          <w:tcPr>
            <w:tcW w:w="2946" w:type="dxa"/>
            <w:gridSpan w:val="3"/>
            <w:tcBorders>
              <w:top w:val="single" w:sz="4" w:space="0" w:color="auto"/>
              <w:left w:val="nil"/>
              <w:bottom w:val="single" w:sz="4" w:space="0" w:color="auto"/>
              <w:right w:val="single" w:sz="4" w:space="0" w:color="auto"/>
            </w:tcBorders>
            <w:shd w:val="clear" w:color="auto" w:fill="BDD7EE"/>
            <w:vAlign w:val="center"/>
            <w:hideMark/>
          </w:tcPr>
          <w:p w14:paraId="5E953A50" w14:textId="77777777" w:rsidR="00F65654" w:rsidRPr="00CC26EA" w:rsidRDefault="0041081E">
            <w:pPr>
              <w:spacing w:after="0"/>
              <w:jc w:val="center"/>
              <w:rPr>
                <w:rFonts w:ascii="Times New Roman" w:eastAsia="Times New Roman" w:hAnsi="Times New Roman"/>
                <w:b/>
                <w:noProof/>
                <w:spacing w:val="-6"/>
                <w:lang w:val="sk-SK"/>
              </w:rPr>
            </w:pPr>
            <w:r w:rsidRPr="00CC26EA">
              <w:rPr>
                <w:rFonts w:ascii="Times New Roman" w:hAnsi="Times New Roman"/>
                <w:b/>
                <w:noProof/>
                <w:spacing w:val="-6"/>
                <w:lang w:val="sk-SK"/>
              </w:rPr>
              <w:t xml:space="preserve">Kvantitatívne ukazovatele </w:t>
            </w:r>
            <w:r w:rsidRPr="00CC26EA">
              <w:rPr>
                <w:rFonts w:ascii="Times New Roman" w:hAnsi="Times New Roman"/>
                <w:noProof/>
                <w:spacing w:val="-6"/>
                <w:lang w:val="sk-SK"/>
              </w:rPr>
              <w:t xml:space="preserve"> </w:t>
            </w:r>
            <w:r w:rsidRPr="00CC26EA">
              <w:rPr>
                <w:rFonts w:ascii="Times New Roman" w:hAnsi="Times New Roman"/>
                <w:b/>
                <w:noProof/>
                <w:spacing w:val="-6"/>
                <w:lang w:val="sk-SK"/>
              </w:rPr>
              <w:t>(pre ciele)</w:t>
            </w:r>
          </w:p>
        </w:tc>
        <w:tc>
          <w:tcPr>
            <w:tcW w:w="2062" w:type="dxa"/>
            <w:gridSpan w:val="2"/>
            <w:tcBorders>
              <w:top w:val="single" w:sz="4" w:space="0" w:color="auto"/>
              <w:left w:val="nil"/>
              <w:bottom w:val="single" w:sz="4" w:space="0" w:color="auto"/>
              <w:right w:val="single" w:sz="4" w:space="0" w:color="auto"/>
            </w:tcBorders>
            <w:shd w:val="clear" w:color="auto" w:fill="BDD7EE"/>
            <w:vAlign w:val="center"/>
            <w:hideMark/>
          </w:tcPr>
          <w:p w14:paraId="1DEAEFDF"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Orientačný harmonogram splnenia </w:t>
            </w:r>
          </w:p>
        </w:tc>
        <w:tc>
          <w:tcPr>
            <w:tcW w:w="279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9010B90" w14:textId="4BCB0B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Opis každého míľnika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cieľa</w:t>
            </w:r>
          </w:p>
        </w:tc>
      </w:tr>
      <w:tr w:rsidR="00F65654" w:rsidRPr="00CC26EA" w14:paraId="4CA33E72" w14:textId="77777777">
        <w:trPr>
          <w:trHeight w:val="1013"/>
          <w:tblHeader/>
          <w:jc w:val="center"/>
        </w:trPr>
        <w:tc>
          <w:tcPr>
            <w:tcW w:w="1347" w:type="dxa"/>
            <w:vMerge/>
            <w:tcBorders>
              <w:top w:val="single" w:sz="4" w:space="0" w:color="auto"/>
              <w:left w:val="single" w:sz="4" w:space="0" w:color="auto"/>
              <w:bottom w:val="single" w:sz="4" w:space="0" w:color="000000"/>
              <w:right w:val="single" w:sz="4" w:space="0" w:color="auto"/>
            </w:tcBorders>
            <w:vAlign w:val="center"/>
            <w:hideMark/>
          </w:tcPr>
          <w:p w14:paraId="6ED662F7" w14:textId="77777777" w:rsidR="00F65654" w:rsidRPr="00CC26EA" w:rsidRDefault="00F65654">
            <w:pPr>
              <w:spacing w:after="0"/>
              <w:rPr>
                <w:rFonts w:ascii="Times New Roman" w:eastAsia="Times New Roman" w:hAnsi="Times New Roman"/>
                <w:b/>
                <w:noProof/>
                <w:spacing w:val="-6"/>
                <w:lang w:val="sk-SK"/>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14:paraId="319FA19B" w14:textId="77777777" w:rsidR="00F65654" w:rsidRPr="00CC26EA" w:rsidRDefault="00F65654">
            <w:pPr>
              <w:spacing w:after="0"/>
              <w:rPr>
                <w:rFonts w:ascii="Times New Roman" w:eastAsia="Times New Roman" w:hAnsi="Times New Roman"/>
                <w:b/>
                <w:noProof/>
                <w:spacing w:val="-6"/>
                <w:lang w:val="sk-SK"/>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54078528" w14:textId="77777777" w:rsidR="00F65654" w:rsidRPr="00CC26EA" w:rsidRDefault="00F65654">
            <w:pPr>
              <w:spacing w:after="0"/>
              <w:rPr>
                <w:rFonts w:ascii="Times New Roman" w:eastAsia="Times New Roman" w:hAnsi="Times New Roman"/>
                <w:b/>
                <w:noProof/>
                <w:spacing w:val="-6"/>
                <w:lang w:val="sk-SK"/>
              </w:rPr>
            </w:pPr>
          </w:p>
        </w:tc>
        <w:tc>
          <w:tcPr>
            <w:tcW w:w="2071" w:type="dxa"/>
            <w:vMerge/>
            <w:tcBorders>
              <w:top w:val="single" w:sz="4" w:space="0" w:color="auto"/>
              <w:left w:val="nil"/>
              <w:bottom w:val="single" w:sz="4" w:space="0" w:color="000000"/>
              <w:right w:val="single" w:sz="4" w:space="0" w:color="auto"/>
            </w:tcBorders>
            <w:vAlign w:val="center"/>
            <w:hideMark/>
          </w:tcPr>
          <w:p w14:paraId="3F8C452B" w14:textId="77777777" w:rsidR="00F65654" w:rsidRPr="00CC26EA" w:rsidRDefault="00F65654">
            <w:pPr>
              <w:spacing w:after="0"/>
              <w:rPr>
                <w:rFonts w:ascii="Times New Roman" w:eastAsia="Times New Roman" w:hAnsi="Times New Roman"/>
                <w:b/>
                <w:noProof/>
                <w:spacing w:val="-6"/>
                <w:lang w:val="sk-SK"/>
              </w:rPr>
            </w:pPr>
          </w:p>
        </w:tc>
        <w:tc>
          <w:tcPr>
            <w:tcW w:w="1915" w:type="dxa"/>
            <w:vMerge/>
            <w:tcBorders>
              <w:top w:val="single" w:sz="4" w:space="0" w:color="auto"/>
              <w:left w:val="single" w:sz="4" w:space="0" w:color="auto"/>
              <w:bottom w:val="single" w:sz="4" w:space="0" w:color="000000"/>
              <w:right w:val="single" w:sz="4" w:space="0" w:color="auto"/>
            </w:tcBorders>
            <w:vAlign w:val="center"/>
            <w:hideMark/>
          </w:tcPr>
          <w:p w14:paraId="03466335" w14:textId="77777777" w:rsidR="00F65654" w:rsidRPr="00CC26EA" w:rsidRDefault="00F65654">
            <w:pPr>
              <w:spacing w:after="0"/>
              <w:rPr>
                <w:rFonts w:ascii="Times New Roman" w:eastAsia="Times New Roman" w:hAnsi="Times New Roman"/>
                <w:b/>
                <w:noProof/>
                <w:spacing w:val="-6"/>
                <w:lang w:val="sk-SK"/>
              </w:rPr>
            </w:pPr>
          </w:p>
        </w:tc>
        <w:tc>
          <w:tcPr>
            <w:tcW w:w="1031" w:type="dxa"/>
            <w:tcBorders>
              <w:top w:val="nil"/>
              <w:left w:val="nil"/>
              <w:bottom w:val="single" w:sz="4" w:space="0" w:color="auto"/>
              <w:right w:val="single" w:sz="4" w:space="0" w:color="auto"/>
            </w:tcBorders>
            <w:shd w:val="clear" w:color="auto" w:fill="BDD7EE"/>
            <w:vAlign w:val="center"/>
            <w:hideMark/>
          </w:tcPr>
          <w:p w14:paraId="3E58A0E6"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Merná jednotka</w:t>
            </w:r>
          </w:p>
        </w:tc>
        <w:tc>
          <w:tcPr>
            <w:tcW w:w="1073" w:type="dxa"/>
            <w:tcBorders>
              <w:top w:val="nil"/>
              <w:left w:val="nil"/>
              <w:bottom w:val="single" w:sz="4" w:space="0" w:color="auto"/>
              <w:right w:val="single" w:sz="4" w:space="0" w:color="auto"/>
            </w:tcBorders>
            <w:shd w:val="clear" w:color="auto" w:fill="BDD7EE"/>
            <w:vAlign w:val="center"/>
            <w:hideMark/>
          </w:tcPr>
          <w:p w14:paraId="69217DAF"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Základná </w:t>
            </w:r>
          </w:p>
        </w:tc>
        <w:tc>
          <w:tcPr>
            <w:tcW w:w="842" w:type="dxa"/>
            <w:tcBorders>
              <w:top w:val="nil"/>
              <w:left w:val="nil"/>
              <w:bottom w:val="single" w:sz="4" w:space="0" w:color="auto"/>
              <w:right w:val="single" w:sz="4" w:space="0" w:color="auto"/>
            </w:tcBorders>
            <w:shd w:val="clear" w:color="auto" w:fill="BDD7EE"/>
            <w:vAlign w:val="center"/>
            <w:hideMark/>
          </w:tcPr>
          <w:p w14:paraId="44DF8328"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Cieľ </w:t>
            </w:r>
          </w:p>
        </w:tc>
        <w:tc>
          <w:tcPr>
            <w:tcW w:w="1031" w:type="dxa"/>
            <w:tcBorders>
              <w:top w:val="nil"/>
              <w:left w:val="nil"/>
              <w:bottom w:val="single" w:sz="4" w:space="0" w:color="auto"/>
              <w:right w:val="single" w:sz="4" w:space="0" w:color="auto"/>
            </w:tcBorders>
            <w:shd w:val="clear" w:color="auto" w:fill="BDD7EE"/>
            <w:vAlign w:val="center"/>
            <w:hideMark/>
          </w:tcPr>
          <w:p w14:paraId="4DB7748A"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Štvrťrok</w:t>
            </w:r>
          </w:p>
        </w:tc>
        <w:tc>
          <w:tcPr>
            <w:tcW w:w="1031" w:type="dxa"/>
            <w:tcBorders>
              <w:top w:val="nil"/>
              <w:left w:val="nil"/>
              <w:bottom w:val="single" w:sz="4" w:space="0" w:color="auto"/>
              <w:right w:val="single" w:sz="4" w:space="0" w:color="auto"/>
            </w:tcBorders>
            <w:shd w:val="clear" w:color="auto" w:fill="BDD7EE"/>
            <w:vAlign w:val="center"/>
            <w:hideMark/>
          </w:tcPr>
          <w:p w14:paraId="11FEB843"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Rok</w:t>
            </w: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73EFABEB" w14:textId="77777777" w:rsidR="00F65654" w:rsidRPr="00CC26EA" w:rsidRDefault="00F65654">
            <w:pPr>
              <w:spacing w:after="0"/>
              <w:rPr>
                <w:rFonts w:ascii="Times New Roman" w:eastAsia="Times New Roman" w:hAnsi="Times New Roman"/>
                <w:b/>
                <w:noProof/>
                <w:spacing w:val="-6"/>
                <w:lang w:val="sk-SK"/>
              </w:rPr>
            </w:pPr>
          </w:p>
        </w:tc>
      </w:tr>
      <w:tr w:rsidR="00F65654" w:rsidRPr="00CC26EA" w14:paraId="3B649020" w14:textId="77777777">
        <w:trPr>
          <w:trHeight w:val="308"/>
          <w:jc w:val="center"/>
        </w:trPr>
        <w:tc>
          <w:tcPr>
            <w:tcW w:w="1347" w:type="dxa"/>
            <w:tcBorders>
              <w:top w:val="nil"/>
              <w:left w:val="single" w:sz="4" w:space="0" w:color="auto"/>
              <w:bottom w:val="single" w:sz="4" w:space="0" w:color="auto"/>
              <w:right w:val="single" w:sz="4" w:space="0" w:color="auto"/>
            </w:tcBorders>
            <w:shd w:val="clear" w:color="auto" w:fill="C6EFCE"/>
            <w:noWrap/>
            <w:hideMark/>
          </w:tcPr>
          <w:p w14:paraId="2D9F80CB" w14:textId="2D5EDED6" w:rsidR="00F65654" w:rsidRPr="00CC26EA" w:rsidRDefault="0041081E">
            <w:pPr>
              <w:pStyle w:val="P68B1DB1-Normal4"/>
              <w:jc w:val="center"/>
              <w:rPr>
                <w:rFonts w:ascii="Times New Roman" w:eastAsia="Times New Roman" w:hAnsi="Times New Roman"/>
                <w:noProof/>
                <w:spacing w:val="-6"/>
                <w:lang w:val="sk-SK"/>
              </w:rPr>
            </w:pPr>
            <w:r w:rsidRPr="00CC26EA">
              <w:rPr>
                <w:rFonts w:ascii="Times New Roman" w:hAnsi="Times New Roman"/>
                <w:noProof/>
                <w:spacing w:val="-6"/>
                <w:lang w:val="sk-SK"/>
              </w:rPr>
              <w:t>19</w:t>
            </w:r>
          </w:p>
        </w:tc>
        <w:tc>
          <w:tcPr>
            <w:tcW w:w="1500" w:type="dxa"/>
            <w:tcBorders>
              <w:top w:val="nil"/>
              <w:left w:val="nil"/>
              <w:bottom w:val="single" w:sz="4" w:space="0" w:color="auto"/>
              <w:right w:val="single" w:sz="4" w:space="0" w:color="auto"/>
            </w:tcBorders>
            <w:shd w:val="clear" w:color="auto" w:fill="C6EFCE"/>
            <w:noWrap/>
            <w:hideMark/>
          </w:tcPr>
          <w:p w14:paraId="5B1CBC5E" w14:textId="103C5ED5"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 – Energetická účinnosť,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Náhrada ropných horákov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plynových pecí</w:t>
            </w:r>
          </w:p>
        </w:tc>
        <w:tc>
          <w:tcPr>
            <w:tcW w:w="1264" w:type="dxa"/>
            <w:tcBorders>
              <w:top w:val="nil"/>
              <w:left w:val="nil"/>
              <w:bottom w:val="single" w:sz="4" w:space="0" w:color="auto"/>
              <w:right w:val="single" w:sz="4" w:space="0" w:color="auto"/>
            </w:tcBorders>
            <w:shd w:val="clear" w:color="auto" w:fill="C6EFCE"/>
            <w:noWrap/>
            <w:hideMark/>
          </w:tcPr>
          <w:p w14:paraId="78734D11" w14:textId="290F3DF2"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2071" w:type="dxa"/>
            <w:tcBorders>
              <w:top w:val="nil"/>
              <w:left w:val="nil"/>
              <w:bottom w:val="single" w:sz="4" w:space="0" w:color="auto"/>
              <w:right w:val="single" w:sz="4" w:space="0" w:color="auto"/>
            </w:tcBorders>
            <w:shd w:val="clear" w:color="auto" w:fill="C6EFCE"/>
            <w:noWrap/>
            <w:hideMark/>
          </w:tcPr>
          <w:p w14:paraId="7A608D18" w14:textId="0996C90B"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Bola prijatá politická dohoda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pridelení finančných prostriedkov na systémy nahrádzania ropných horákov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plynových pecí elektrickými tepelnými čerpadlami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diaľkovým vykurovaním.</w:t>
            </w:r>
          </w:p>
        </w:tc>
        <w:tc>
          <w:tcPr>
            <w:tcW w:w="1915" w:type="dxa"/>
            <w:tcBorders>
              <w:top w:val="nil"/>
              <w:left w:val="nil"/>
              <w:bottom w:val="single" w:sz="4" w:space="0" w:color="auto"/>
              <w:right w:val="single" w:sz="4" w:space="0" w:color="auto"/>
            </w:tcBorders>
            <w:shd w:val="clear" w:color="auto" w:fill="C6EFCE"/>
            <w:noWrap/>
            <w:hideMark/>
          </w:tcPr>
          <w:p w14:paraId="6511BEBD" w14:textId="128A7373"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Politická dohoda medzi vládou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väčšinou parlamentu sa uzatvára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uverejňuje na príslušnej webovej stránke ministerstva.</w:t>
            </w:r>
          </w:p>
        </w:tc>
        <w:tc>
          <w:tcPr>
            <w:tcW w:w="1031" w:type="dxa"/>
            <w:tcBorders>
              <w:top w:val="nil"/>
              <w:left w:val="nil"/>
              <w:bottom w:val="single" w:sz="4" w:space="0" w:color="auto"/>
              <w:right w:val="single" w:sz="4" w:space="0" w:color="auto"/>
            </w:tcBorders>
            <w:shd w:val="clear" w:color="auto" w:fill="C6EFCE"/>
            <w:noWrap/>
            <w:hideMark/>
          </w:tcPr>
          <w:p w14:paraId="74CF3D96" w14:textId="3ECF9860" w:rsidR="00F65654" w:rsidRPr="00CC26EA" w:rsidRDefault="00F65654">
            <w:pPr>
              <w:rPr>
                <w:rFonts w:ascii="Times New Roman" w:eastAsia="Times New Roman" w:hAnsi="Times New Roman"/>
                <w:noProof/>
                <w:color w:val="006100"/>
                <w:spacing w:val="-6"/>
                <w:lang w:val="sk-SK"/>
              </w:rPr>
            </w:pPr>
          </w:p>
        </w:tc>
        <w:tc>
          <w:tcPr>
            <w:tcW w:w="1073" w:type="dxa"/>
            <w:tcBorders>
              <w:top w:val="nil"/>
              <w:left w:val="nil"/>
              <w:bottom w:val="single" w:sz="4" w:space="0" w:color="auto"/>
              <w:right w:val="single" w:sz="4" w:space="0" w:color="auto"/>
            </w:tcBorders>
            <w:shd w:val="clear" w:color="auto" w:fill="C6EFCE"/>
            <w:noWrap/>
            <w:hideMark/>
          </w:tcPr>
          <w:p w14:paraId="4D7A9708" w14:textId="3D156B80" w:rsidR="00F65654" w:rsidRPr="00CC26EA" w:rsidRDefault="00F65654">
            <w:pPr>
              <w:rPr>
                <w:rFonts w:ascii="Times New Roman" w:eastAsia="Times New Roman" w:hAnsi="Times New Roman"/>
                <w:noProof/>
                <w:color w:val="006100"/>
                <w:spacing w:val="-6"/>
                <w:lang w:val="sk-SK"/>
              </w:rPr>
            </w:pPr>
          </w:p>
        </w:tc>
        <w:tc>
          <w:tcPr>
            <w:tcW w:w="842" w:type="dxa"/>
            <w:tcBorders>
              <w:top w:val="nil"/>
              <w:left w:val="nil"/>
              <w:bottom w:val="single" w:sz="4" w:space="0" w:color="auto"/>
              <w:right w:val="single" w:sz="4" w:space="0" w:color="auto"/>
            </w:tcBorders>
            <w:shd w:val="clear" w:color="auto" w:fill="C6EFCE"/>
            <w:noWrap/>
            <w:hideMark/>
          </w:tcPr>
          <w:p w14:paraId="7300EB57" w14:textId="79C9D20E" w:rsidR="00F65654" w:rsidRPr="00CC26EA" w:rsidRDefault="00F65654">
            <w:pPr>
              <w:rPr>
                <w:rFonts w:ascii="Times New Roman" w:eastAsia="Times New Roman" w:hAnsi="Times New Roman"/>
                <w:noProof/>
                <w:color w:val="006100"/>
                <w:spacing w:val="-6"/>
                <w:lang w:val="sk-SK"/>
              </w:rPr>
            </w:pPr>
          </w:p>
        </w:tc>
        <w:tc>
          <w:tcPr>
            <w:tcW w:w="1031" w:type="dxa"/>
            <w:tcBorders>
              <w:top w:val="nil"/>
              <w:left w:val="nil"/>
              <w:bottom w:val="single" w:sz="4" w:space="0" w:color="auto"/>
              <w:right w:val="single" w:sz="4" w:space="0" w:color="auto"/>
            </w:tcBorders>
            <w:shd w:val="clear" w:color="auto" w:fill="C6EFCE"/>
            <w:noWrap/>
            <w:hideMark/>
          </w:tcPr>
          <w:p w14:paraId="055155DB" w14:textId="7BF1F261" w:rsidR="00F65654" w:rsidRPr="00CC26EA" w:rsidRDefault="0041081E">
            <w:pPr>
              <w:pStyle w:val="P68B1DB1-Normal4"/>
              <w:jc w:val="center"/>
              <w:rPr>
                <w:rFonts w:ascii="Times New Roman" w:eastAsia="Times New Roman" w:hAnsi="Times New Roman"/>
                <w:noProof/>
                <w:spacing w:val="-6"/>
                <w:lang w:val="sk-SK"/>
              </w:rPr>
            </w:pPr>
            <w:r w:rsidRPr="00CC26EA">
              <w:rPr>
                <w:rFonts w:ascii="Times New Roman" w:hAnsi="Times New Roman"/>
                <w:noProof/>
                <w:spacing w:val="-6"/>
                <w:lang w:val="sk-SK"/>
              </w:rPr>
              <w:t>OTÁZKA 2</w:t>
            </w:r>
          </w:p>
        </w:tc>
        <w:tc>
          <w:tcPr>
            <w:tcW w:w="1031" w:type="dxa"/>
            <w:tcBorders>
              <w:top w:val="nil"/>
              <w:left w:val="nil"/>
              <w:bottom w:val="single" w:sz="4" w:space="0" w:color="auto"/>
              <w:right w:val="single" w:sz="4" w:space="0" w:color="auto"/>
            </w:tcBorders>
            <w:shd w:val="clear" w:color="auto" w:fill="C6EFCE"/>
            <w:noWrap/>
            <w:hideMark/>
          </w:tcPr>
          <w:p w14:paraId="1C575FBE" w14:textId="0ABC14DD" w:rsidR="00F65654" w:rsidRPr="00CC26EA" w:rsidRDefault="0041081E">
            <w:pPr>
              <w:pStyle w:val="P68B1DB1-Normal4"/>
              <w:jc w:val="center"/>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2799" w:type="dxa"/>
            <w:tcBorders>
              <w:top w:val="nil"/>
              <w:left w:val="nil"/>
              <w:bottom w:val="single" w:sz="4" w:space="0" w:color="auto"/>
              <w:right w:val="single" w:sz="4" w:space="0" w:color="auto"/>
            </w:tcBorders>
            <w:shd w:val="clear" w:color="auto" w:fill="C6EFCE"/>
            <w:noWrap/>
            <w:vAlign w:val="center"/>
            <w:hideMark/>
          </w:tcPr>
          <w:p w14:paraId="7F7DA664" w14:textId="2DC3E83F"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 sa dosiahne, keď väčšina dánskeho parlamentu dosiahne dohodu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pridelení finančných prostriedkov na systémy podpory na výmenu ropných horákov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plynových pecí elektrickými tepelnými čerpadlami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diaľkovým vykurovaním. Príslušné postupy</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 xml:space="preserve">Parlamente boli ukončené. </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dánskom kontexte politické dohody zvyčajne odrážajú kľúčové kroky pri tvorbe politiky aj</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prípade rozsiahlych opatrení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zvyčajne poskytujú dostatočnú záruku, že sa opatrenia vykonajú. Zabezpečujú predvídateľnosť, stabilitu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efektívnosť pri tvorbe politík</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zaväzujú strany počas niekoľkých volebných období.</w:t>
            </w:r>
          </w:p>
          <w:p w14:paraId="37158008" w14:textId="6EC86392" w:rsidR="00CC26EA" w:rsidRPr="00CC26EA" w:rsidRDefault="0041081E">
            <w:pPr>
              <w:pStyle w:val="P68B1DB1-Normal4"/>
              <w:rPr>
                <w:rFonts w:ascii="Times New Roman" w:hAnsi="Times New Roman"/>
                <w:noProof/>
                <w:spacing w:val="-6"/>
                <w:lang w:val="sk-SK"/>
              </w:rPr>
            </w:pPr>
            <w:r w:rsidRPr="00CC26EA">
              <w:rPr>
                <w:rFonts w:ascii="Times New Roman" w:hAnsi="Times New Roman"/>
                <w:noProof/>
                <w:spacing w:val="-6"/>
                <w:lang w:val="sk-SK"/>
              </w:rPr>
              <w:t>Politická dohoda sa bude týkať spôsobu rozdelenia 645 000 000 DKK medzi schémy podpory na postupné vyradenie ropných horákov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plynových pecí, ktoré pochádzajú</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„Energiaftale 2018“</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„Klimaaftale for energi og industri mv. 2020“</w:t>
            </w:r>
            <w:r w:rsidR="00CC26EA" w:rsidRPr="00CC26EA">
              <w:rPr>
                <w:rFonts w:ascii="Times New Roman" w:hAnsi="Times New Roman"/>
                <w:noProof/>
                <w:spacing w:val="-6"/>
                <w:lang w:val="sk-SK"/>
              </w:rPr>
              <w:t>.</w:t>
            </w:r>
          </w:p>
          <w:p w14:paraId="5F00C3CE" w14:textId="2B7905DE"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Opatrením sa dosiahne aspoň 30</w:t>
            </w:r>
            <w:r w:rsidR="00CC26EA" w:rsidRPr="00CC26EA">
              <w:rPr>
                <w:rFonts w:ascii="Times New Roman" w:hAnsi="Times New Roman"/>
                <w:noProof/>
                <w:spacing w:val="-6"/>
                <w:lang w:val="sk-SK"/>
              </w:rPr>
              <w:t> %</w:t>
            </w:r>
            <w:r w:rsidRPr="00CC26EA">
              <w:rPr>
                <w:rFonts w:ascii="Times New Roman" w:hAnsi="Times New Roman"/>
                <w:noProof/>
                <w:spacing w:val="-6"/>
                <w:lang w:val="sk-SK"/>
              </w:rPr>
              <w:t xml:space="preserve"> zníženie spotreby primárnej energie na úrovni budovy. </w:t>
            </w:r>
          </w:p>
        </w:tc>
      </w:tr>
      <w:tr w:rsidR="00F65654" w:rsidRPr="00CC26EA" w14:paraId="7D193277" w14:textId="77777777">
        <w:trPr>
          <w:trHeight w:val="308"/>
          <w:jc w:val="center"/>
        </w:trPr>
        <w:tc>
          <w:tcPr>
            <w:tcW w:w="1347" w:type="dxa"/>
            <w:tcBorders>
              <w:top w:val="single" w:sz="4" w:space="0" w:color="auto"/>
              <w:left w:val="single" w:sz="4" w:space="0" w:color="auto"/>
              <w:bottom w:val="single" w:sz="4" w:space="0" w:color="auto"/>
              <w:right w:val="single" w:sz="4" w:space="0" w:color="auto"/>
            </w:tcBorders>
            <w:shd w:val="clear" w:color="auto" w:fill="C6EFCE"/>
            <w:noWrap/>
          </w:tcPr>
          <w:p w14:paraId="1BF9F0BF" w14:textId="5C0A7B92"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w:t>
            </w:r>
          </w:p>
        </w:tc>
        <w:tc>
          <w:tcPr>
            <w:tcW w:w="1500" w:type="dxa"/>
            <w:tcBorders>
              <w:top w:val="single" w:sz="4" w:space="0" w:color="auto"/>
              <w:left w:val="nil"/>
              <w:bottom w:val="single" w:sz="4" w:space="0" w:color="auto"/>
              <w:right w:val="single" w:sz="4" w:space="0" w:color="auto"/>
            </w:tcBorders>
            <w:shd w:val="clear" w:color="auto" w:fill="C6EFCE"/>
            <w:noWrap/>
          </w:tcPr>
          <w:p w14:paraId="5E95900C" w14:textId="5907A843"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 – Energetická účinnosť,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Náhrada ropných horákov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plynových pecí</w:t>
            </w:r>
          </w:p>
        </w:tc>
        <w:tc>
          <w:tcPr>
            <w:tcW w:w="1264" w:type="dxa"/>
            <w:tcBorders>
              <w:top w:val="single" w:sz="4" w:space="0" w:color="auto"/>
              <w:left w:val="nil"/>
              <w:bottom w:val="single" w:sz="4" w:space="0" w:color="auto"/>
              <w:right w:val="single" w:sz="4" w:space="0" w:color="auto"/>
            </w:tcBorders>
            <w:shd w:val="clear" w:color="auto" w:fill="C6EFCE"/>
            <w:noWrap/>
          </w:tcPr>
          <w:p w14:paraId="2AC41332" w14:textId="2CC711D3"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2071" w:type="dxa"/>
            <w:tcBorders>
              <w:top w:val="single" w:sz="4" w:space="0" w:color="auto"/>
              <w:left w:val="nil"/>
              <w:bottom w:val="single" w:sz="4" w:space="0" w:color="auto"/>
              <w:right w:val="single" w:sz="4" w:space="0" w:color="auto"/>
            </w:tcBorders>
            <w:shd w:val="clear" w:color="auto" w:fill="C6EFCE"/>
            <w:noWrap/>
          </w:tcPr>
          <w:p w14:paraId="3F214227" w14:textId="3DC05876"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Výber príjemcov finančných prostriedkov na výmenu ropných horákov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plynových pecí.</w:t>
            </w:r>
          </w:p>
        </w:tc>
        <w:tc>
          <w:tcPr>
            <w:tcW w:w="1915" w:type="dxa"/>
            <w:tcBorders>
              <w:top w:val="single" w:sz="4" w:space="0" w:color="auto"/>
              <w:left w:val="nil"/>
              <w:bottom w:val="single" w:sz="4" w:space="0" w:color="auto"/>
              <w:right w:val="single" w:sz="4" w:space="0" w:color="auto"/>
            </w:tcBorders>
            <w:shd w:val="clear" w:color="auto" w:fill="C6EFCE"/>
            <w:noWrap/>
          </w:tcPr>
          <w:p w14:paraId="79F3959A" w14:textId="72155DB4"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Dokončený výber príjemcov finančných prostriedkov.</w:t>
            </w:r>
          </w:p>
        </w:tc>
        <w:tc>
          <w:tcPr>
            <w:tcW w:w="1031" w:type="dxa"/>
            <w:tcBorders>
              <w:top w:val="single" w:sz="4" w:space="0" w:color="auto"/>
              <w:left w:val="nil"/>
              <w:bottom w:val="single" w:sz="4" w:space="0" w:color="auto"/>
              <w:right w:val="single" w:sz="4" w:space="0" w:color="auto"/>
            </w:tcBorders>
            <w:shd w:val="clear" w:color="auto" w:fill="C6EFCE"/>
            <w:noWrap/>
          </w:tcPr>
          <w:p w14:paraId="10BF2112" w14:textId="050326F9" w:rsidR="00F65654" w:rsidRPr="00CC26EA" w:rsidRDefault="00F65654">
            <w:pPr>
              <w:rPr>
                <w:rFonts w:ascii="Times New Roman" w:eastAsia="Times New Roman" w:hAnsi="Times New Roman"/>
                <w:noProof/>
                <w:color w:val="006100"/>
                <w:spacing w:val="-6"/>
                <w:lang w:val="sk-SK"/>
              </w:rPr>
            </w:pPr>
          </w:p>
        </w:tc>
        <w:tc>
          <w:tcPr>
            <w:tcW w:w="1073" w:type="dxa"/>
            <w:tcBorders>
              <w:top w:val="single" w:sz="4" w:space="0" w:color="auto"/>
              <w:left w:val="nil"/>
              <w:bottom w:val="single" w:sz="4" w:space="0" w:color="auto"/>
              <w:right w:val="single" w:sz="4" w:space="0" w:color="auto"/>
            </w:tcBorders>
            <w:shd w:val="clear" w:color="auto" w:fill="C6EFCE"/>
            <w:noWrap/>
          </w:tcPr>
          <w:p w14:paraId="0F646737" w14:textId="64FAE1E4" w:rsidR="00F65654" w:rsidRPr="00CC26EA" w:rsidRDefault="00F65654">
            <w:pPr>
              <w:rPr>
                <w:rFonts w:ascii="Times New Roman" w:eastAsia="Times New Roman" w:hAnsi="Times New Roman"/>
                <w:noProof/>
                <w:color w:val="006100"/>
                <w:spacing w:val="-6"/>
                <w:lang w:val="sk-SK"/>
              </w:rPr>
            </w:pPr>
          </w:p>
        </w:tc>
        <w:tc>
          <w:tcPr>
            <w:tcW w:w="842" w:type="dxa"/>
            <w:tcBorders>
              <w:top w:val="single" w:sz="4" w:space="0" w:color="auto"/>
              <w:left w:val="nil"/>
              <w:bottom w:val="single" w:sz="4" w:space="0" w:color="auto"/>
              <w:right w:val="single" w:sz="4" w:space="0" w:color="auto"/>
            </w:tcBorders>
            <w:shd w:val="clear" w:color="auto" w:fill="C6EFCE"/>
            <w:noWrap/>
          </w:tcPr>
          <w:p w14:paraId="19D85AE3" w14:textId="07B8D3F4" w:rsidR="00F65654" w:rsidRPr="00CC26EA" w:rsidRDefault="00F65654">
            <w:pPr>
              <w:rPr>
                <w:rFonts w:ascii="Times New Roman" w:eastAsia="Times New Roman" w:hAnsi="Times New Roman"/>
                <w:noProof/>
                <w:color w:val="006100"/>
                <w:spacing w:val="-6"/>
                <w:lang w:val="sk-SK"/>
              </w:rPr>
            </w:pPr>
          </w:p>
        </w:tc>
        <w:tc>
          <w:tcPr>
            <w:tcW w:w="1031" w:type="dxa"/>
            <w:tcBorders>
              <w:top w:val="single" w:sz="4" w:space="0" w:color="auto"/>
              <w:left w:val="nil"/>
              <w:bottom w:val="single" w:sz="4" w:space="0" w:color="auto"/>
              <w:right w:val="single" w:sz="4" w:space="0" w:color="auto"/>
            </w:tcBorders>
            <w:shd w:val="clear" w:color="auto" w:fill="C6EFCE"/>
            <w:noWrap/>
          </w:tcPr>
          <w:p w14:paraId="1C2368E5" w14:textId="758FA195"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OTÁZKA Č. 1</w:t>
            </w:r>
          </w:p>
        </w:tc>
        <w:tc>
          <w:tcPr>
            <w:tcW w:w="1031" w:type="dxa"/>
            <w:tcBorders>
              <w:top w:val="single" w:sz="4" w:space="0" w:color="auto"/>
              <w:left w:val="nil"/>
              <w:bottom w:val="single" w:sz="4" w:space="0" w:color="auto"/>
              <w:right w:val="single" w:sz="4" w:space="0" w:color="auto"/>
            </w:tcBorders>
            <w:shd w:val="clear" w:color="auto" w:fill="C6EFCE"/>
            <w:noWrap/>
          </w:tcPr>
          <w:p w14:paraId="157BD609" w14:textId="2C823632"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2025</w:t>
            </w:r>
          </w:p>
        </w:tc>
        <w:tc>
          <w:tcPr>
            <w:tcW w:w="2799" w:type="dxa"/>
            <w:tcBorders>
              <w:top w:val="single" w:sz="4" w:space="0" w:color="auto"/>
              <w:left w:val="nil"/>
              <w:bottom w:val="single" w:sz="4" w:space="0" w:color="auto"/>
              <w:right w:val="single" w:sz="4" w:space="0" w:color="auto"/>
            </w:tcBorders>
            <w:shd w:val="clear" w:color="auto" w:fill="C6EFCE"/>
            <w:noWrap/>
            <w:vAlign w:val="center"/>
          </w:tcPr>
          <w:p w14:paraId="4ACEDDA0" w14:textId="22A30EF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 sa dosiahne po dokončení výberu žiadostí</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výmenu ropných horákov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plynových pecí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súlade</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cieľmi míľnika 19.</w:t>
            </w:r>
          </w:p>
        </w:tc>
      </w:tr>
      <w:tr w:rsidR="00F65654" w:rsidRPr="00CC26EA" w14:paraId="17640D63" w14:textId="77777777">
        <w:trPr>
          <w:trHeight w:val="308"/>
          <w:jc w:val="center"/>
        </w:trPr>
        <w:tc>
          <w:tcPr>
            <w:tcW w:w="1347" w:type="dxa"/>
            <w:tcBorders>
              <w:top w:val="single" w:sz="4" w:space="0" w:color="auto"/>
              <w:left w:val="single" w:sz="4" w:space="0" w:color="auto"/>
              <w:bottom w:val="single" w:sz="4" w:space="0" w:color="auto"/>
              <w:right w:val="single" w:sz="4" w:space="0" w:color="auto"/>
            </w:tcBorders>
            <w:shd w:val="clear" w:color="auto" w:fill="C6EFCE"/>
            <w:noWrap/>
          </w:tcPr>
          <w:p w14:paraId="4AB1FC49" w14:textId="7E29CEF4"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21</w:t>
            </w:r>
          </w:p>
        </w:tc>
        <w:tc>
          <w:tcPr>
            <w:tcW w:w="1500" w:type="dxa"/>
            <w:tcBorders>
              <w:top w:val="single" w:sz="4" w:space="0" w:color="auto"/>
              <w:left w:val="nil"/>
              <w:bottom w:val="single" w:sz="4" w:space="0" w:color="auto"/>
              <w:right w:val="single" w:sz="4" w:space="0" w:color="auto"/>
            </w:tcBorders>
            <w:shd w:val="clear" w:color="auto" w:fill="C6EFCE"/>
            <w:noWrap/>
          </w:tcPr>
          <w:p w14:paraId="29285C81" w14:textId="7E0F4092"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 – Energetická účinnosť,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Náhrada ropných horákov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plynových pecí</w:t>
            </w:r>
          </w:p>
        </w:tc>
        <w:tc>
          <w:tcPr>
            <w:tcW w:w="1264" w:type="dxa"/>
            <w:tcBorders>
              <w:top w:val="single" w:sz="4" w:space="0" w:color="auto"/>
              <w:left w:val="nil"/>
              <w:bottom w:val="single" w:sz="4" w:space="0" w:color="auto"/>
              <w:right w:val="single" w:sz="4" w:space="0" w:color="auto"/>
            </w:tcBorders>
            <w:shd w:val="clear" w:color="auto" w:fill="C6EFCE"/>
            <w:noWrap/>
          </w:tcPr>
          <w:p w14:paraId="0C718E7E" w14:textId="7E27AF15"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2071" w:type="dxa"/>
            <w:tcBorders>
              <w:top w:val="single" w:sz="4" w:space="0" w:color="auto"/>
              <w:left w:val="nil"/>
              <w:bottom w:val="single" w:sz="4" w:space="0" w:color="auto"/>
              <w:right w:val="single" w:sz="4" w:space="0" w:color="auto"/>
            </w:tcBorders>
            <w:shd w:val="clear" w:color="auto" w:fill="C6EFCE"/>
            <w:noWrap/>
          </w:tcPr>
          <w:p w14:paraId="7B743224" w14:textId="3E37487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Najmenej 10100 individuálnych olejových horákov alebo plynových pecí bolo nahradených diaľkovým vykurovaním alebo tepelnými čerpadlami </w:t>
            </w:r>
          </w:p>
        </w:tc>
        <w:tc>
          <w:tcPr>
            <w:tcW w:w="1915" w:type="dxa"/>
            <w:tcBorders>
              <w:top w:val="single" w:sz="4" w:space="0" w:color="auto"/>
              <w:left w:val="nil"/>
              <w:bottom w:val="single" w:sz="4" w:space="0" w:color="auto"/>
              <w:right w:val="single" w:sz="4" w:space="0" w:color="auto"/>
            </w:tcBorders>
            <w:shd w:val="clear" w:color="auto" w:fill="C6EFCE"/>
            <w:noWrap/>
          </w:tcPr>
          <w:p w14:paraId="33B47C06" w14:textId="77777777" w:rsidR="00F65654" w:rsidRPr="00CC26EA" w:rsidRDefault="00F65654">
            <w:pPr>
              <w:rPr>
                <w:rFonts w:ascii="Times New Roman" w:eastAsia="Times New Roman" w:hAnsi="Times New Roman"/>
                <w:noProof/>
                <w:color w:val="006100"/>
                <w:spacing w:val="-6"/>
                <w:lang w:val="sk-SK"/>
              </w:rPr>
            </w:pPr>
          </w:p>
        </w:tc>
        <w:tc>
          <w:tcPr>
            <w:tcW w:w="1031" w:type="dxa"/>
            <w:tcBorders>
              <w:top w:val="single" w:sz="4" w:space="0" w:color="auto"/>
              <w:left w:val="nil"/>
              <w:bottom w:val="single" w:sz="4" w:space="0" w:color="auto"/>
              <w:right w:val="single" w:sz="4" w:space="0" w:color="auto"/>
            </w:tcBorders>
            <w:shd w:val="clear" w:color="auto" w:fill="C6EFCE"/>
            <w:noWrap/>
          </w:tcPr>
          <w:p w14:paraId="2E06D037" w14:textId="6C8C6554"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1073" w:type="dxa"/>
            <w:tcBorders>
              <w:top w:val="single" w:sz="4" w:space="0" w:color="auto"/>
              <w:left w:val="nil"/>
              <w:bottom w:val="single" w:sz="4" w:space="0" w:color="auto"/>
              <w:right w:val="single" w:sz="4" w:space="0" w:color="auto"/>
            </w:tcBorders>
            <w:shd w:val="clear" w:color="auto" w:fill="C6EFCE"/>
            <w:noWrap/>
          </w:tcPr>
          <w:p w14:paraId="566EA63F" w14:textId="77AA3BDF"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842" w:type="dxa"/>
            <w:tcBorders>
              <w:top w:val="single" w:sz="4" w:space="0" w:color="auto"/>
              <w:left w:val="nil"/>
              <w:bottom w:val="single" w:sz="4" w:space="0" w:color="auto"/>
              <w:right w:val="single" w:sz="4" w:space="0" w:color="auto"/>
            </w:tcBorders>
            <w:shd w:val="clear" w:color="auto" w:fill="C6EFCE"/>
            <w:noWrap/>
          </w:tcPr>
          <w:p w14:paraId="6DEC97AD" w14:textId="0516ECCC"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10 100</w:t>
            </w:r>
          </w:p>
        </w:tc>
        <w:tc>
          <w:tcPr>
            <w:tcW w:w="1031" w:type="dxa"/>
            <w:tcBorders>
              <w:top w:val="single" w:sz="4" w:space="0" w:color="auto"/>
              <w:left w:val="nil"/>
              <w:bottom w:val="single" w:sz="4" w:space="0" w:color="auto"/>
              <w:right w:val="single" w:sz="4" w:space="0" w:color="auto"/>
            </w:tcBorders>
            <w:shd w:val="clear" w:color="auto" w:fill="C6EFCE"/>
            <w:noWrap/>
          </w:tcPr>
          <w:p w14:paraId="2883AB0E" w14:textId="681AA93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OTÁZKA 2</w:t>
            </w:r>
          </w:p>
        </w:tc>
        <w:tc>
          <w:tcPr>
            <w:tcW w:w="1031" w:type="dxa"/>
            <w:tcBorders>
              <w:top w:val="single" w:sz="4" w:space="0" w:color="auto"/>
              <w:left w:val="nil"/>
              <w:bottom w:val="single" w:sz="4" w:space="0" w:color="auto"/>
              <w:right w:val="single" w:sz="4" w:space="0" w:color="auto"/>
            </w:tcBorders>
            <w:shd w:val="clear" w:color="auto" w:fill="C6EFCE"/>
            <w:noWrap/>
          </w:tcPr>
          <w:p w14:paraId="5E45FE71" w14:textId="1E50D59E"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2026</w:t>
            </w:r>
          </w:p>
        </w:tc>
        <w:tc>
          <w:tcPr>
            <w:tcW w:w="2799" w:type="dxa"/>
            <w:tcBorders>
              <w:top w:val="single" w:sz="4" w:space="0" w:color="auto"/>
              <w:left w:val="nil"/>
              <w:bottom w:val="single" w:sz="4" w:space="0" w:color="auto"/>
              <w:right w:val="single" w:sz="4" w:space="0" w:color="auto"/>
            </w:tcBorders>
            <w:shd w:val="clear" w:color="auto" w:fill="C6EFCE"/>
            <w:noWrap/>
            <w:vAlign w:val="center"/>
          </w:tcPr>
          <w:p w14:paraId="3E3F2465" w14:textId="1FBA60C6"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 sa dosiahne, ak sa najmenej 10100 olejových horákov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plynových pecí nahradí tepelnými čerpadlami alebo diaľkovým vykurovaním</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súlade</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cieľmi míľnika 19.</w:t>
            </w:r>
          </w:p>
        </w:tc>
      </w:tr>
      <w:tr w:rsidR="00F65654" w:rsidRPr="00CC26EA" w14:paraId="17440857" w14:textId="77777777">
        <w:trPr>
          <w:trHeight w:val="308"/>
          <w:jc w:val="center"/>
        </w:trPr>
        <w:tc>
          <w:tcPr>
            <w:tcW w:w="1347" w:type="dxa"/>
            <w:tcBorders>
              <w:top w:val="single" w:sz="4" w:space="0" w:color="auto"/>
              <w:left w:val="single" w:sz="4" w:space="0" w:color="auto"/>
              <w:bottom w:val="single" w:sz="4" w:space="0" w:color="auto"/>
              <w:right w:val="single" w:sz="4" w:space="0" w:color="auto"/>
            </w:tcBorders>
            <w:shd w:val="clear" w:color="auto" w:fill="C6EFCE"/>
            <w:noWrap/>
          </w:tcPr>
          <w:p w14:paraId="30CDE245" w14:textId="19D9FC50"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22</w:t>
            </w:r>
          </w:p>
        </w:tc>
        <w:tc>
          <w:tcPr>
            <w:tcW w:w="1500" w:type="dxa"/>
            <w:tcBorders>
              <w:top w:val="single" w:sz="4" w:space="0" w:color="auto"/>
              <w:left w:val="nil"/>
              <w:bottom w:val="single" w:sz="4" w:space="0" w:color="auto"/>
              <w:right w:val="single" w:sz="4" w:space="0" w:color="auto"/>
            </w:tcBorders>
            <w:shd w:val="clear" w:color="auto" w:fill="C6EFCE"/>
            <w:noWrap/>
          </w:tcPr>
          <w:p w14:paraId="656E42E3" w14:textId="0326F234"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 – Energetická účinnosť,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Energetická účinnosť</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w:t>
            </w:r>
          </w:p>
        </w:tc>
        <w:tc>
          <w:tcPr>
            <w:tcW w:w="1264" w:type="dxa"/>
            <w:tcBorders>
              <w:top w:val="single" w:sz="4" w:space="0" w:color="auto"/>
              <w:left w:val="nil"/>
              <w:bottom w:val="single" w:sz="4" w:space="0" w:color="auto"/>
              <w:right w:val="single" w:sz="4" w:space="0" w:color="auto"/>
            </w:tcBorders>
            <w:shd w:val="clear" w:color="auto" w:fill="C6EFCE"/>
            <w:noWrap/>
          </w:tcPr>
          <w:p w14:paraId="5208E5CA" w14:textId="5CEAC61D"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2071" w:type="dxa"/>
            <w:tcBorders>
              <w:top w:val="single" w:sz="4" w:space="0" w:color="auto"/>
              <w:left w:val="nil"/>
              <w:bottom w:val="single" w:sz="4" w:space="0" w:color="auto"/>
              <w:right w:val="single" w:sz="4" w:space="0" w:color="auto"/>
            </w:tcBorders>
            <w:shd w:val="clear" w:color="auto" w:fill="C6EFCE"/>
            <w:noWrap/>
          </w:tcPr>
          <w:p w14:paraId="3A6462BB" w14:textId="68B5002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Nadobudnutie účinnosti právneho rámca pre subvenčnú schému energetickej účinnosti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w:t>
            </w:r>
          </w:p>
        </w:tc>
        <w:tc>
          <w:tcPr>
            <w:tcW w:w="1915" w:type="dxa"/>
            <w:tcBorders>
              <w:top w:val="single" w:sz="4" w:space="0" w:color="auto"/>
              <w:left w:val="nil"/>
              <w:bottom w:val="single" w:sz="4" w:space="0" w:color="auto"/>
              <w:right w:val="single" w:sz="4" w:space="0" w:color="auto"/>
            </w:tcBorders>
            <w:shd w:val="clear" w:color="auto" w:fill="C6EFCE"/>
            <w:noWrap/>
          </w:tcPr>
          <w:p w14:paraId="382C6C70" w14:textId="436D9C1C"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Parlament prijal právny akt, ktorým sa zriaďuje subvenčný systém, uverejnený</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nadobudol účinnosť.</w:t>
            </w:r>
          </w:p>
        </w:tc>
        <w:tc>
          <w:tcPr>
            <w:tcW w:w="1031" w:type="dxa"/>
            <w:tcBorders>
              <w:top w:val="single" w:sz="4" w:space="0" w:color="auto"/>
              <w:left w:val="nil"/>
              <w:bottom w:val="single" w:sz="4" w:space="0" w:color="auto"/>
              <w:right w:val="single" w:sz="4" w:space="0" w:color="auto"/>
            </w:tcBorders>
            <w:shd w:val="clear" w:color="auto" w:fill="C6EFCE"/>
            <w:noWrap/>
          </w:tcPr>
          <w:p w14:paraId="1B48C9A0" w14:textId="77777777" w:rsidR="00F65654" w:rsidRPr="00CC26EA" w:rsidRDefault="00F65654">
            <w:pPr>
              <w:rPr>
                <w:rFonts w:ascii="Times New Roman" w:eastAsia="Times New Roman" w:hAnsi="Times New Roman"/>
                <w:noProof/>
                <w:color w:val="006100"/>
                <w:spacing w:val="-6"/>
                <w:lang w:val="sk-SK"/>
              </w:rPr>
            </w:pPr>
          </w:p>
        </w:tc>
        <w:tc>
          <w:tcPr>
            <w:tcW w:w="1073" w:type="dxa"/>
            <w:tcBorders>
              <w:top w:val="single" w:sz="4" w:space="0" w:color="auto"/>
              <w:left w:val="nil"/>
              <w:bottom w:val="single" w:sz="4" w:space="0" w:color="auto"/>
              <w:right w:val="single" w:sz="4" w:space="0" w:color="auto"/>
            </w:tcBorders>
            <w:shd w:val="clear" w:color="auto" w:fill="C6EFCE"/>
            <w:noWrap/>
          </w:tcPr>
          <w:p w14:paraId="526BB6CC" w14:textId="77777777" w:rsidR="00F65654" w:rsidRPr="00CC26EA" w:rsidRDefault="00F65654">
            <w:pPr>
              <w:rPr>
                <w:rFonts w:ascii="Times New Roman" w:eastAsia="Times New Roman" w:hAnsi="Times New Roman"/>
                <w:noProof/>
                <w:color w:val="006100"/>
                <w:spacing w:val="-6"/>
                <w:lang w:val="sk-SK"/>
              </w:rPr>
            </w:pPr>
          </w:p>
        </w:tc>
        <w:tc>
          <w:tcPr>
            <w:tcW w:w="842" w:type="dxa"/>
            <w:tcBorders>
              <w:top w:val="single" w:sz="4" w:space="0" w:color="auto"/>
              <w:left w:val="nil"/>
              <w:bottom w:val="single" w:sz="4" w:space="0" w:color="auto"/>
              <w:right w:val="single" w:sz="4" w:space="0" w:color="auto"/>
            </w:tcBorders>
            <w:shd w:val="clear" w:color="auto" w:fill="C6EFCE"/>
            <w:noWrap/>
          </w:tcPr>
          <w:p w14:paraId="09508861" w14:textId="77777777" w:rsidR="00F65654" w:rsidRPr="00CC26EA" w:rsidRDefault="00F65654">
            <w:pPr>
              <w:rPr>
                <w:rFonts w:ascii="Times New Roman" w:eastAsia="Times New Roman" w:hAnsi="Times New Roman"/>
                <w:noProof/>
                <w:color w:val="006100"/>
                <w:spacing w:val="-6"/>
                <w:lang w:val="sk-SK"/>
              </w:rPr>
            </w:pPr>
          </w:p>
        </w:tc>
        <w:tc>
          <w:tcPr>
            <w:tcW w:w="1031" w:type="dxa"/>
            <w:tcBorders>
              <w:top w:val="single" w:sz="4" w:space="0" w:color="auto"/>
              <w:left w:val="nil"/>
              <w:bottom w:val="single" w:sz="4" w:space="0" w:color="auto"/>
              <w:right w:val="single" w:sz="4" w:space="0" w:color="auto"/>
            </w:tcBorders>
            <w:shd w:val="clear" w:color="auto" w:fill="C6EFCE"/>
            <w:noWrap/>
          </w:tcPr>
          <w:p w14:paraId="718CA3AA" w14:textId="64474599"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OTÁZKA Č. 3</w:t>
            </w:r>
          </w:p>
        </w:tc>
        <w:tc>
          <w:tcPr>
            <w:tcW w:w="1031" w:type="dxa"/>
            <w:tcBorders>
              <w:top w:val="single" w:sz="4" w:space="0" w:color="auto"/>
              <w:left w:val="nil"/>
              <w:bottom w:val="single" w:sz="4" w:space="0" w:color="auto"/>
              <w:right w:val="single" w:sz="4" w:space="0" w:color="auto"/>
            </w:tcBorders>
            <w:shd w:val="clear" w:color="auto" w:fill="C6EFCE"/>
            <w:noWrap/>
          </w:tcPr>
          <w:p w14:paraId="3B6F93F7" w14:textId="1D45D8A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2799" w:type="dxa"/>
            <w:tcBorders>
              <w:top w:val="single" w:sz="4" w:space="0" w:color="auto"/>
              <w:left w:val="nil"/>
              <w:bottom w:val="single" w:sz="4" w:space="0" w:color="auto"/>
              <w:right w:val="single" w:sz="4" w:space="0" w:color="auto"/>
            </w:tcBorders>
            <w:shd w:val="clear" w:color="auto" w:fill="C6EFCE"/>
            <w:noWrap/>
            <w:vAlign w:val="center"/>
          </w:tcPr>
          <w:p w14:paraId="21BB6C19" w14:textId="38110E76" w:rsidR="00CC26EA" w:rsidRPr="00CC26EA" w:rsidRDefault="0041081E">
            <w:pPr>
              <w:pStyle w:val="P68B1DB1-Normal4"/>
              <w:rPr>
                <w:rFonts w:ascii="Times New Roman" w:hAnsi="Times New Roman"/>
                <w:noProof/>
                <w:spacing w:val="-6"/>
                <w:lang w:val="sk-SK"/>
              </w:rPr>
            </w:pPr>
            <w:r w:rsidRPr="00CC26EA">
              <w:rPr>
                <w:rFonts w:ascii="Times New Roman" w:hAnsi="Times New Roman"/>
                <w:noProof/>
                <w:spacing w:val="-6"/>
                <w:lang w:val="sk-SK"/>
              </w:rPr>
              <w:t>Míľnik sa dosiahne, keď parlament prijme právny rámec pre systém dotácií pre energetickú účinnosť</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 uverejní ho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nadobudne účinnosť</w:t>
            </w:r>
            <w:r w:rsidR="00CC26EA" w:rsidRPr="00CC26EA">
              <w:rPr>
                <w:rFonts w:ascii="Times New Roman" w:hAnsi="Times New Roman"/>
                <w:noProof/>
                <w:spacing w:val="-6"/>
                <w:lang w:val="sk-SK"/>
              </w:rPr>
              <w:t>.</w:t>
            </w:r>
          </w:p>
          <w:p w14:paraId="428C3117" w14:textId="4EDD7AC3"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Finančné prostriedky sa prideľujú na základe súťažného výberového konania.</w:t>
            </w:r>
          </w:p>
        </w:tc>
      </w:tr>
      <w:tr w:rsidR="00F65654" w:rsidRPr="00CC26EA" w14:paraId="67A9FA11" w14:textId="77777777">
        <w:trPr>
          <w:trHeight w:val="308"/>
          <w:jc w:val="center"/>
        </w:trPr>
        <w:tc>
          <w:tcPr>
            <w:tcW w:w="1347" w:type="dxa"/>
            <w:tcBorders>
              <w:top w:val="single" w:sz="4" w:space="0" w:color="auto"/>
              <w:left w:val="single" w:sz="4" w:space="0" w:color="auto"/>
              <w:bottom w:val="single" w:sz="4" w:space="0" w:color="auto"/>
              <w:right w:val="single" w:sz="4" w:space="0" w:color="auto"/>
            </w:tcBorders>
            <w:shd w:val="clear" w:color="auto" w:fill="C6EFCE"/>
            <w:noWrap/>
          </w:tcPr>
          <w:p w14:paraId="31178729" w14:textId="0BB551A3"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23</w:t>
            </w:r>
          </w:p>
        </w:tc>
        <w:tc>
          <w:tcPr>
            <w:tcW w:w="1500" w:type="dxa"/>
            <w:tcBorders>
              <w:top w:val="single" w:sz="4" w:space="0" w:color="auto"/>
              <w:left w:val="nil"/>
              <w:bottom w:val="single" w:sz="4" w:space="0" w:color="auto"/>
              <w:right w:val="single" w:sz="4" w:space="0" w:color="auto"/>
            </w:tcBorders>
            <w:shd w:val="clear" w:color="auto" w:fill="C6EFCE"/>
            <w:noWrap/>
          </w:tcPr>
          <w:p w14:paraId="6EA8F13B" w14:textId="4893C213"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 – Energetická účinnosť,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Energetická účinnosť</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w:t>
            </w:r>
          </w:p>
        </w:tc>
        <w:tc>
          <w:tcPr>
            <w:tcW w:w="1264" w:type="dxa"/>
            <w:tcBorders>
              <w:top w:val="single" w:sz="4" w:space="0" w:color="auto"/>
              <w:left w:val="nil"/>
              <w:bottom w:val="single" w:sz="4" w:space="0" w:color="auto"/>
              <w:right w:val="single" w:sz="4" w:space="0" w:color="auto"/>
            </w:tcBorders>
            <w:shd w:val="clear" w:color="auto" w:fill="C6EFCE"/>
            <w:noWrap/>
          </w:tcPr>
          <w:p w14:paraId="623B4D42" w14:textId="7612220A"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2071" w:type="dxa"/>
            <w:tcBorders>
              <w:top w:val="single" w:sz="4" w:space="0" w:color="auto"/>
              <w:left w:val="nil"/>
              <w:bottom w:val="single" w:sz="4" w:space="0" w:color="auto"/>
              <w:right w:val="single" w:sz="4" w:space="0" w:color="auto"/>
            </w:tcBorders>
            <w:shd w:val="clear" w:color="auto" w:fill="C6EFCE"/>
            <w:noWrap/>
          </w:tcPr>
          <w:p w14:paraId="180FBB50" w14:textId="0238AF3F"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Dokončili sa ročné kolá žiadostí</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subvenčnú schému na dosiahnutie úspor energie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w:t>
            </w:r>
          </w:p>
        </w:tc>
        <w:tc>
          <w:tcPr>
            <w:tcW w:w="1915" w:type="dxa"/>
            <w:tcBorders>
              <w:top w:val="single" w:sz="4" w:space="0" w:color="auto"/>
              <w:left w:val="nil"/>
              <w:bottom w:val="single" w:sz="4" w:space="0" w:color="auto"/>
              <w:right w:val="single" w:sz="4" w:space="0" w:color="auto"/>
            </w:tcBorders>
            <w:shd w:val="clear" w:color="auto" w:fill="C6EFCE"/>
            <w:noWrap/>
          </w:tcPr>
          <w:p w14:paraId="2E91B9D7" w14:textId="0A26F70E"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Finančné prostriedky sa prideľujú súkromným produkčným, obchodným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servisným spoločnostiam vrátane poľnohospodárstva, záhradníctva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rybolovu. Dotácie sa rozdeľujú na projekty, ktoré znižujú celkovú konečnú spotrebu energie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dánskom priemysle.</w:t>
            </w:r>
          </w:p>
        </w:tc>
        <w:tc>
          <w:tcPr>
            <w:tcW w:w="1031" w:type="dxa"/>
            <w:tcBorders>
              <w:top w:val="single" w:sz="4" w:space="0" w:color="auto"/>
              <w:left w:val="nil"/>
              <w:bottom w:val="single" w:sz="4" w:space="0" w:color="auto"/>
              <w:right w:val="single" w:sz="4" w:space="0" w:color="auto"/>
            </w:tcBorders>
            <w:shd w:val="clear" w:color="auto" w:fill="C6EFCE"/>
            <w:noWrap/>
          </w:tcPr>
          <w:p w14:paraId="2793356A" w14:textId="61D7065D"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73" w:type="dxa"/>
            <w:tcBorders>
              <w:top w:val="single" w:sz="4" w:space="0" w:color="auto"/>
              <w:left w:val="nil"/>
              <w:bottom w:val="single" w:sz="4" w:space="0" w:color="auto"/>
              <w:right w:val="single" w:sz="4" w:space="0" w:color="auto"/>
            </w:tcBorders>
            <w:shd w:val="clear" w:color="auto" w:fill="C6EFCE"/>
            <w:noWrap/>
          </w:tcPr>
          <w:p w14:paraId="5574E1D9" w14:textId="111C081D"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842" w:type="dxa"/>
            <w:tcBorders>
              <w:top w:val="single" w:sz="4" w:space="0" w:color="auto"/>
              <w:left w:val="nil"/>
              <w:bottom w:val="single" w:sz="4" w:space="0" w:color="auto"/>
              <w:right w:val="single" w:sz="4" w:space="0" w:color="auto"/>
            </w:tcBorders>
            <w:shd w:val="clear" w:color="auto" w:fill="C6EFCE"/>
            <w:noWrap/>
          </w:tcPr>
          <w:p w14:paraId="00092078" w14:textId="7B6FEA5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31" w:type="dxa"/>
            <w:tcBorders>
              <w:top w:val="single" w:sz="4" w:space="0" w:color="auto"/>
              <w:left w:val="nil"/>
              <w:bottom w:val="single" w:sz="4" w:space="0" w:color="auto"/>
              <w:right w:val="single" w:sz="4" w:space="0" w:color="auto"/>
            </w:tcBorders>
            <w:shd w:val="clear" w:color="auto" w:fill="C6EFCE"/>
            <w:noWrap/>
          </w:tcPr>
          <w:p w14:paraId="792F5EE0" w14:textId="0F7E1973"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1031" w:type="dxa"/>
            <w:tcBorders>
              <w:top w:val="single" w:sz="4" w:space="0" w:color="auto"/>
              <w:left w:val="nil"/>
              <w:bottom w:val="single" w:sz="4" w:space="0" w:color="auto"/>
              <w:right w:val="single" w:sz="4" w:space="0" w:color="auto"/>
            </w:tcBorders>
            <w:shd w:val="clear" w:color="auto" w:fill="C6EFCE"/>
            <w:noWrap/>
          </w:tcPr>
          <w:p w14:paraId="2957BBED" w14:textId="73A2FE6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2022</w:t>
            </w:r>
          </w:p>
        </w:tc>
        <w:tc>
          <w:tcPr>
            <w:tcW w:w="2799" w:type="dxa"/>
            <w:tcBorders>
              <w:top w:val="single" w:sz="4" w:space="0" w:color="auto"/>
              <w:left w:val="nil"/>
              <w:bottom w:val="single" w:sz="4" w:space="0" w:color="auto"/>
              <w:right w:val="single" w:sz="4" w:space="0" w:color="auto"/>
            </w:tcBorders>
            <w:shd w:val="clear" w:color="auto" w:fill="C6EFCE"/>
            <w:noWrap/>
            <w:vAlign w:val="center"/>
          </w:tcPr>
          <w:p w14:paraId="25D140A6" w14:textId="2AF94BBD"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 sa dosiahne po dokončení všetkých kôl podávania žiadostí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pridelení finančných prostriedkov na dosiahnutie úspor energie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 xml:space="preserve">priemysle. </w:t>
            </w:r>
          </w:p>
        </w:tc>
      </w:tr>
      <w:tr w:rsidR="00F65654" w:rsidRPr="00CC26EA" w14:paraId="216B56A0" w14:textId="77777777">
        <w:trPr>
          <w:trHeight w:val="308"/>
          <w:jc w:val="center"/>
        </w:trPr>
        <w:tc>
          <w:tcPr>
            <w:tcW w:w="1347" w:type="dxa"/>
            <w:tcBorders>
              <w:top w:val="single" w:sz="4" w:space="0" w:color="auto"/>
              <w:left w:val="single" w:sz="4" w:space="0" w:color="auto"/>
              <w:bottom w:val="single" w:sz="4" w:space="0" w:color="auto"/>
              <w:right w:val="single" w:sz="4" w:space="0" w:color="auto"/>
            </w:tcBorders>
            <w:shd w:val="clear" w:color="auto" w:fill="C6EFCE"/>
            <w:noWrap/>
          </w:tcPr>
          <w:p w14:paraId="284ACA66" w14:textId="1BFF23E1"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24</w:t>
            </w:r>
          </w:p>
        </w:tc>
        <w:tc>
          <w:tcPr>
            <w:tcW w:w="1500" w:type="dxa"/>
            <w:tcBorders>
              <w:top w:val="single" w:sz="4" w:space="0" w:color="auto"/>
              <w:left w:val="nil"/>
              <w:bottom w:val="single" w:sz="4" w:space="0" w:color="auto"/>
              <w:right w:val="single" w:sz="4" w:space="0" w:color="auto"/>
            </w:tcBorders>
            <w:shd w:val="clear" w:color="auto" w:fill="C6EFCE"/>
            <w:noWrap/>
          </w:tcPr>
          <w:p w14:paraId="58437409" w14:textId="4EB27A5F"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 – Energetická účinnosť,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Energetická účinnosť</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w:t>
            </w:r>
          </w:p>
        </w:tc>
        <w:tc>
          <w:tcPr>
            <w:tcW w:w="1264" w:type="dxa"/>
            <w:tcBorders>
              <w:top w:val="single" w:sz="4" w:space="0" w:color="auto"/>
              <w:left w:val="nil"/>
              <w:bottom w:val="single" w:sz="4" w:space="0" w:color="auto"/>
              <w:right w:val="single" w:sz="4" w:space="0" w:color="auto"/>
            </w:tcBorders>
            <w:shd w:val="clear" w:color="auto" w:fill="C6EFCE"/>
            <w:noWrap/>
          </w:tcPr>
          <w:p w14:paraId="2EC75F77" w14:textId="56E8C80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2071" w:type="dxa"/>
            <w:tcBorders>
              <w:top w:val="single" w:sz="4" w:space="0" w:color="auto"/>
              <w:left w:val="nil"/>
              <w:bottom w:val="single" w:sz="4" w:space="0" w:color="auto"/>
              <w:right w:val="single" w:sz="4" w:space="0" w:color="auto"/>
            </w:tcBorders>
            <w:shd w:val="clear" w:color="auto" w:fill="C6EFCE"/>
            <w:noWrap/>
          </w:tcPr>
          <w:p w14:paraId="31A62076" w14:textId="11F37FBA"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Vďaka systému energetickej účinnosti sa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 ušetrilo aspoň 16 PJ (Peta Joule) energie.</w:t>
            </w:r>
          </w:p>
        </w:tc>
        <w:tc>
          <w:tcPr>
            <w:tcW w:w="1915" w:type="dxa"/>
            <w:tcBorders>
              <w:top w:val="single" w:sz="4" w:space="0" w:color="auto"/>
              <w:left w:val="nil"/>
              <w:bottom w:val="single" w:sz="4" w:space="0" w:color="auto"/>
              <w:right w:val="single" w:sz="4" w:space="0" w:color="auto"/>
            </w:tcBorders>
            <w:shd w:val="clear" w:color="auto" w:fill="C6EFCE"/>
            <w:noWrap/>
          </w:tcPr>
          <w:p w14:paraId="4D382C9A" w14:textId="77777777" w:rsidR="00F65654" w:rsidRPr="00CC26EA" w:rsidRDefault="00F65654">
            <w:pPr>
              <w:rPr>
                <w:rFonts w:ascii="Times New Roman" w:eastAsia="Times New Roman" w:hAnsi="Times New Roman"/>
                <w:noProof/>
                <w:color w:val="006100"/>
                <w:spacing w:val="-6"/>
                <w:lang w:val="sk-SK"/>
              </w:rPr>
            </w:pPr>
          </w:p>
        </w:tc>
        <w:tc>
          <w:tcPr>
            <w:tcW w:w="1031" w:type="dxa"/>
            <w:tcBorders>
              <w:top w:val="single" w:sz="4" w:space="0" w:color="auto"/>
              <w:left w:val="nil"/>
              <w:bottom w:val="single" w:sz="4" w:space="0" w:color="auto"/>
              <w:right w:val="single" w:sz="4" w:space="0" w:color="auto"/>
            </w:tcBorders>
            <w:shd w:val="clear" w:color="auto" w:fill="C6EFCE"/>
            <w:noWrap/>
          </w:tcPr>
          <w:p w14:paraId="7F13F2B3" w14:textId="500F5365"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PETA Joule (PJ)</w:t>
            </w:r>
          </w:p>
        </w:tc>
        <w:tc>
          <w:tcPr>
            <w:tcW w:w="1073" w:type="dxa"/>
            <w:tcBorders>
              <w:top w:val="single" w:sz="4" w:space="0" w:color="auto"/>
              <w:left w:val="nil"/>
              <w:bottom w:val="single" w:sz="4" w:space="0" w:color="auto"/>
              <w:right w:val="single" w:sz="4" w:space="0" w:color="auto"/>
            </w:tcBorders>
            <w:shd w:val="clear" w:color="auto" w:fill="C6EFCE"/>
            <w:noWrap/>
          </w:tcPr>
          <w:p w14:paraId="3B52A64D" w14:textId="76FF1A89"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842" w:type="dxa"/>
            <w:tcBorders>
              <w:top w:val="single" w:sz="4" w:space="0" w:color="auto"/>
              <w:left w:val="nil"/>
              <w:bottom w:val="single" w:sz="4" w:space="0" w:color="auto"/>
              <w:right w:val="single" w:sz="4" w:space="0" w:color="auto"/>
            </w:tcBorders>
            <w:shd w:val="clear" w:color="auto" w:fill="C6EFCE"/>
            <w:noWrap/>
          </w:tcPr>
          <w:p w14:paraId="6CC2B9C0" w14:textId="33A9F999"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16</w:t>
            </w:r>
          </w:p>
        </w:tc>
        <w:tc>
          <w:tcPr>
            <w:tcW w:w="1031" w:type="dxa"/>
            <w:tcBorders>
              <w:top w:val="single" w:sz="4" w:space="0" w:color="auto"/>
              <w:left w:val="nil"/>
              <w:bottom w:val="single" w:sz="4" w:space="0" w:color="auto"/>
              <w:right w:val="single" w:sz="4" w:space="0" w:color="auto"/>
            </w:tcBorders>
            <w:shd w:val="clear" w:color="auto" w:fill="C6EFCE"/>
            <w:noWrap/>
          </w:tcPr>
          <w:p w14:paraId="055CFC88" w14:textId="1AD937EE"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1031" w:type="dxa"/>
            <w:tcBorders>
              <w:top w:val="single" w:sz="4" w:space="0" w:color="auto"/>
              <w:left w:val="nil"/>
              <w:bottom w:val="single" w:sz="4" w:space="0" w:color="auto"/>
              <w:right w:val="single" w:sz="4" w:space="0" w:color="auto"/>
            </w:tcBorders>
            <w:shd w:val="clear" w:color="auto" w:fill="C6EFCE"/>
            <w:noWrap/>
          </w:tcPr>
          <w:p w14:paraId="5B509198" w14:textId="1A4354AB"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2024</w:t>
            </w:r>
          </w:p>
        </w:tc>
        <w:tc>
          <w:tcPr>
            <w:tcW w:w="2799" w:type="dxa"/>
            <w:tcBorders>
              <w:top w:val="single" w:sz="4" w:space="0" w:color="auto"/>
              <w:left w:val="nil"/>
              <w:bottom w:val="single" w:sz="4" w:space="0" w:color="auto"/>
              <w:right w:val="single" w:sz="4" w:space="0" w:color="auto"/>
            </w:tcBorders>
            <w:shd w:val="clear" w:color="auto" w:fill="C6EFCE"/>
            <w:noWrap/>
          </w:tcPr>
          <w:p w14:paraId="545802AA" w14:textId="085A70F9" w:rsidR="00CC26EA" w:rsidRPr="00CC26EA" w:rsidRDefault="0041081E">
            <w:pPr>
              <w:pStyle w:val="P68B1DB1-Normal4"/>
              <w:rPr>
                <w:rFonts w:ascii="Times New Roman" w:hAnsi="Times New Roman"/>
                <w:noProof/>
                <w:spacing w:val="-6"/>
                <w:lang w:val="sk-SK"/>
              </w:rPr>
            </w:pPr>
            <w:r w:rsidRPr="00CC26EA">
              <w:rPr>
                <w:rFonts w:ascii="Times New Roman" w:hAnsi="Times New Roman"/>
                <w:noProof/>
                <w:spacing w:val="-6"/>
                <w:lang w:val="sk-SK"/>
              </w:rPr>
              <w:t>Cieľ je splnený, keď sa dosiahne aspoň 16 PJ (Peta Joule) úspor energie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období od 1</w:t>
            </w:r>
            <w:r w:rsidR="00CC26EA" w:rsidRPr="00CC26EA">
              <w:rPr>
                <w:rFonts w:ascii="Times New Roman" w:hAnsi="Times New Roman"/>
                <w:noProof/>
                <w:spacing w:val="-6"/>
                <w:lang w:val="sk-SK"/>
              </w:rPr>
              <w:t>. januára</w:t>
            </w:r>
            <w:r w:rsidRPr="00CC26EA">
              <w:rPr>
                <w:rFonts w:ascii="Times New Roman" w:hAnsi="Times New Roman"/>
                <w:noProof/>
                <w:spacing w:val="-6"/>
                <w:lang w:val="sk-SK"/>
              </w:rPr>
              <w:t xml:space="preserve"> 2022 do 31</w:t>
            </w:r>
            <w:r w:rsidR="00CC26EA" w:rsidRPr="00CC26EA">
              <w:rPr>
                <w:rFonts w:ascii="Times New Roman" w:hAnsi="Times New Roman"/>
                <w:noProof/>
                <w:spacing w:val="-6"/>
                <w:lang w:val="sk-SK"/>
              </w:rPr>
              <w:t>. decembra</w:t>
            </w:r>
            <w:r w:rsidRPr="00CC26EA">
              <w:rPr>
                <w:rFonts w:ascii="Times New Roman" w:hAnsi="Times New Roman"/>
                <w:noProof/>
                <w:spacing w:val="-6"/>
                <w:lang w:val="sk-SK"/>
              </w:rPr>
              <w:t xml:space="preserve"> 2024, čím sa prispeje</w:t>
            </w:r>
            <w:r w:rsidR="00CC26EA" w:rsidRPr="00CC26EA">
              <w:rPr>
                <w:rFonts w:ascii="Times New Roman" w:hAnsi="Times New Roman"/>
                <w:noProof/>
                <w:spacing w:val="-6"/>
                <w:lang w:val="sk-SK"/>
              </w:rPr>
              <w:t xml:space="preserve"> k </w:t>
            </w:r>
            <w:r w:rsidRPr="00CC26EA">
              <w:rPr>
                <w:rFonts w:ascii="Times New Roman" w:hAnsi="Times New Roman"/>
                <w:noProof/>
                <w:spacing w:val="-6"/>
                <w:lang w:val="sk-SK"/>
              </w:rPr>
              <w:t>splneniu povinnosti spotreby energie podľa rámca energetickej efektívnosti (článok 7)</w:t>
            </w:r>
            <w:r w:rsidR="00CC26EA" w:rsidRPr="00CC26EA">
              <w:rPr>
                <w:rFonts w:ascii="Times New Roman" w:hAnsi="Times New Roman"/>
                <w:noProof/>
                <w:spacing w:val="-6"/>
                <w:lang w:val="sk-SK"/>
              </w:rPr>
              <w:t>.</w:t>
            </w:r>
          </w:p>
          <w:p w14:paraId="3CEE6A28" w14:textId="0ED34613"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Dodatočné prostriedky sa doplnia do existujúcej schémy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budú fungovať podľa rovnakého právneho rámca, ktorý bol vytvorený</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cieľom splniť povinnosť týkajúcu sa spotreby energie podľa rámca energetickej efektívnosti (článok 7).</w:t>
            </w:r>
          </w:p>
        </w:tc>
      </w:tr>
      <w:tr w:rsidR="00F65654" w:rsidRPr="00CC26EA" w14:paraId="67E94FD6" w14:textId="77777777">
        <w:trPr>
          <w:trHeight w:val="308"/>
          <w:jc w:val="center"/>
        </w:trPr>
        <w:tc>
          <w:tcPr>
            <w:tcW w:w="1347" w:type="dxa"/>
            <w:tcBorders>
              <w:top w:val="single" w:sz="4" w:space="0" w:color="auto"/>
              <w:left w:val="single" w:sz="4" w:space="0" w:color="auto"/>
              <w:bottom w:val="single" w:sz="4" w:space="0" w:color="auto"/>
              <w:right w:val="single" w:sz="4" w:space="0" w:color="auto"/>
            </w:tcBorders>
            <w:shd w:val="clear" w:color="auto" w:fill="C6EFCE"/>
            <w:noWrap/>
          </w:tcPr>
          <w:p w14:paraId="373FAA35" w14:textId="68FF3FF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25</w:t>
            </w:r>
          </w:p>
        </w:tc>
        <w:tc>
          <w:tcPr>
            <w:tcW w:w="1500" w:type="dxa"/>
            <w:tcBorders>
              <w:top w:val="single" w:sz="4" w:space="0" w:color="auto"/>
              <w:left w:val="nil"/>
              <w:bottom w:val="single" w:sz="4" w:space="0" w:color="auto"/>
              <w:right w:val="single" w:sz="4" w:space="0" w:color="auto"/>
            </w:tcBorders>
            <w:shd w:val="clear" w:color="auto" w:fill="C6EFCE"/>
            <w:noWrap/>
          </w:tcPr>
          <w:p w14:paraId="207182D4" w14:textId="1BE8968A"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 – Energetická efektívnosť,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Energetická obnova verejných budov</w:t>
            </w:r>
          </w:p>
        </w:tc>
        <w:tc>
          <w:tcPr>
            <w:tcW w:w="1264" w:type="dxa"/>
            <w:tcBorders>
              <w:top w:val="single" w:sz="4" w:space="0" w:color="auto"/>
              <w:left w:val="nil"/>
              <w:bottom w:val="single" w:sz="4" w:space="0" w:color="auto"/>
              <w:right w:val="single" w:sz="4" w:space="0" w:color="auto"/>
            </w:tcBorders>
            <w:shd w:val="clear" w:color="auto" w:fill="C6EFCE"/>
            <w:noWrap/>
          </w:tcPr>
          <w:p w14:paraId="3DB4D51C" w14:textId="4D1220FA"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2071" w:type="dxa"/>
            <w:tcBorders>
              <w:top w:val="single" w:sz="4" w:space="0" w:color="auto"/>
              <w:left w:val="nil"/>
              <w:bottom w:val="single" w:sz="4" w:space="0" w:color="auto"/>
              <w:right w:val="single" w:sz="4" w:space="0" w:color="auto"/>
            </w:tcBorders>
            <w:shd w:val="clear" w:color="auto" w:fill="C6EFCE"/>
            <w:noWrap/>
          </w:tcPr>
          <w:p w14:paraId="5D6061B2" w14:textId="4B87F46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Vláda vydáva zákonnú vyhlášku, ktorou sa zavádza systém dotácií na energetickú obnovu verejných budov. </w:t>
            </w:r>
          </w:p>
        </w:tc>
        <w:tc>
          <w:tcPr>
            <w:tcW w:w="1915" w:type="dxa"/>
            <w:tcBorders>
              <w:top w:val="single" w:sz="4" w:space="0" w:color="auto"/>
              <w:left w:val="nil"/>
              <w:bottom w:val="single" w:sz="4" w:space="0" w:color="auto"/>
              <w:right w:val="single" w:sz="4" w:space="0" w:color="auto"/>
            </w:tcBorders>
            <w:shd w:val="clear" w:color="auto" w:fill="C6EFCE"/>
            <w:noWrap/>
          </w:tcPr>
          <w:p w14:paraId="5590D14A" w14:textId="76F49F19"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Zákonná vyhláška sa uverejňuje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obsahuje právny rámec pre model/vytvorenie systému dotácií na energetickú obnovu verejných budov.</w:t>
            </w:r>
          </w:p>
        </w:tc>
        <w:tc>
          <w:tcPr>
            <w:tcW w:w="1031" w:type="dxa"/>
            <w:tcBorders>
              <w:top w:val="single" w:sz="4" w:space="0" w:color="auto"/>
              <w:left w:val="nil"/>
              <w:bottom w:val="single" w:sz="4" w:space="0" w:color="auto"/>
              <w:right w:val="single" w:sz="4" w:space="0" w:color="auto"/>
            </w:tcBorders>
            <w:shd w:val="clear" w:color="auto" w:fill="C6EFCE"/>
            <w:noWrap/>
          </w:tcPr>
          <w:p w14:paraId="2FB9E5BE" w14:textId="77777777" w:rsidR="00F65654" w:rsidRPr="00CC26EA" w:rsidRDefault="00F65654">
            <w:pPr>
              <w:rPr>
                <w:rFonts w:ascii="Times New Roman" w:eastAsia="Times New Roman" w:hAnsi="Times New Roman"/>
                <w:noProof/>
                <w:color w:val="006100"/>
                <w:spacing w:val="-6"/>
                <w:lang w:val="sk-SK"/>
              </w:rPr>
            </w:pPr>
          </w:p>
        </w:tc>
        <w:tc>
          <w:tcPr>
            <w:tcW w:w="1073" w:type="dxa"/>
            <w:tcBorders>
              <w:top w:val="single" w:sz="4" w:space="0" w:color="auto"/>
              <w:left w:val="nil"/>
              <w:bottom w:val="single" w:sz="4" w:space="0" w:color="auto"/>
              <w:right w:val="single" w:sz="4" w:space="0" w:color="auto"/>
            </w:tcBorders>
            <w:shd w:val="clear" w:color="auto" w:fill="C6EFCE"/>
            <w:noWrap/>
          </w:tcPr>
          <w:p w14:paraId="09AF660B" w14:textId="77777777" w:rsidR="00F65654" w:rsidRPr="00CC26EA" w:rsidRDefault="00F65654">
            <w:pPr>
              <w:rPr>
                <w:rFonts w:ascii="Times New Roman" w:eastAsia="Times New Roman" w:hAnsi="Times New Roman"/>
                <w:noProof/>
                <w:color w:val="006100"/>
                <w:spacing w:val="-6"/>
                <w:lang w:val="sk-SK"/>
              </w:rPr>
            </w:pPr>
          </w:p>
        </w:tc>
        <w:tc>
          <w:tcPr>
            <w:tcW w:w="842" w:type="dxa"/>
            <w:tcBorders>
              <w:top w:val="single" w:sz="4" w:space="0" w:color="auto"/>
              <w:left w:val="nil"/>
              <w:bottom w:val="single" w:sz="4" w:space="0" w:color="auto"/>
              <w:right w:val="single" w:sz="4" w:space="0" w:color="auto"/>
            </w:tcBorders>
            <w:shd w:val="clear" w:color="auto" w:fill="C6EFCE"/>
            <w:noWrap/>
          </w:tcPr>
          <w:p w14:paraId="28EA7A6E" w14:textId="77777777" w:rsidR="00F65654" w:rsidRPr="00CC26EA" w:rsidRDefault="00F65654">
            <w:pPr>
              <w:rPr>
                <w:rFonts w:ascii="Times New Roman" w:eastAsia="Times New Roman" w:hAnsi="Times New Roman"/>
                <w:noProof/>
                <w:color w:val="006100"/>
                <w:spacing w:val="-6"/>
                <w:lang w:val="sk-SK"/>
              </w:rPr>
            </w:pPr>
          </w:p>
        </w:tc>
        <w:tc>
          <w:tcPr>
            <w:tcW w:w="1031" w:type="dxa"/>
            <w:tcBorders>
              <w:top w:val="single" w:sz="4" w:space="0" w:color="auto"/>
              <w:left w:val="nil"/>
              <w:bottom w:val="single" w:sz="4" w:space="0" w:color="auto"/>
              <w:right w:val="single" w:sz="4" w:space="0" w:color="auto"/>
            </w:tcBorders>
            <w:shd w:val="clear" w:color="auto" w:fill="C6EFCE"/>
            <w:noWrap/>
          </w:tcPr>
          <w:p w14:paraId="46679DE9" w14:textId="6514F519"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1031" w:type="dxa"/>
            <w:tcBorders>
              <w:top w:val="single" w:sz="4" w:space="0" w:color="auto"/>
              <w:left w:val="nil"/>
              <w:bottom w:val="single" w:sz="4" w:space="0" w:color="auto"/>
              <w:right w:val="single" w:sz="4" w:space="0" w:color="auto"/>
            </w:tcBorders>
            <w:shd w:val="clear" w:color="auto" w:fill="C6EFCE"/>
            <w:noWrap/>
          </w:tcPr>
          <w:p w14:paraId="1021C638" w14:textId="700BA109"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2799" w:type="dxa"/>
            <w:tcBorders>
              <w:top w:val="single" w:sz="4" w:space="0" w:color="auto"/>
              <w:left w:val="nil"/>
              <w:bottom w:val="single" w:sz="4" w:space="0" w:color="auto"/>
              <w:right w:val="single" w:sz="4" w:space="0" w:color="auto"/>
            </w:tcBorders>
            <w:shd w:val="clear" w:color="auto" w:fill="C6EFCE"/>
            <w:noWrap/>
          </w:tcPr>
          <w:p w14:paraId="092DD820" w14:textId="6634EFD6"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 sa dosiahne, keď vláda uverejní zákonný výnos.</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tomto právnom rámci sa vymedzia podmienky na získanie finančných prostriedkov</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rámci systému dotácií na energetickú obnovu verejných budov, ako je maximálna veľkosť grantu alebo cieľová skupina.</w:t>
            </w:r>
          </w:p>
          <w:p w14:paraId="7ABE0C43" w14:textId="77777777" w:rsidR="00F65654" w:rsidRPr="00CC26EA" w:rsidRDefault="00F65654">
            <w:pPr>
              <w:rPr>
                <w:rFonts w:ascii="Times New Roman" w:eastAsia="Times New Roman" w:hAnsi="Times New Roman"/>
                <w:noProof/>
                <w:color w:val="006100"/>
                <w:spacing w:val="-6"/>
                <w:lang w:val="sk-SK"/>
              </w:rPr>
            </w:pPr>
          </w:p>
        </w:tc>
      </w:tr>
      <w:tr w:rsidR="00F65654" w:rsidRPr="00CC26EA" w14:paraId="3092B1EE" w14:textId="77777777">
        <w:trPr>
          <w:trHeight w:val="308"/>
          <w:jc w:val="center"/>
        </w:trPr>
        <w:tc>
          <w:tcPr>
            <w:tcW w:w="1347" w:type="dxa"/>
            <w:tcBorders>
              <w:top w:val="single" w:sz="4" w:space="0" w:color="auto"/>
              <w:left w:val="single" w:sz="4" w:space="0" w:color="auto"/>
              <w:bottom w:val="single" w:sz="4" w:space="0" w:color="auto"/>
              <w:right w:val="single" w:sz="4" w:space="0" w:color="auto"/>
            </w:tcBorders>
            <w:shd w:val="clear" w:color="auto" w:fill="C6EFCE"/>
            <w:noWrap/>
          </w:tcPr>
          <w:p w14:paraId="1ED312CF" w14:textId="74CBD8B9"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26</w:t>
            </w:r>
          </w:p>
        </w:tc>
        <w:tc>
          <w:tcPr>
            <w:tcW w:w="1500" w:type="dxa"/>
            <w:tcBorders>
              <w:top w:val="single" w:sz="4" w:space="0" w:color="auto"/>
              <w:left w:val="nil"/>
              <w:bottom w:val="single" w:sz="4" w:space="0" w:color="auto"/>
              <w:right w:val="single" w:sz="4" w:space="0" w:color="auto"/>
            </w:tcBorders>
            <w:shd w:val="clear" w:color="auto" w:fill="C6EFCE"/>
            <w:noWrap/>
          </w:tcPr>
          <w:p w14:paraId="22855DA7" w14:textId="278BE63A"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 – Energetická efektívnosť,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Energetická obnova verejných budov</w:t>
            </w:r>
          </w:p>
        </w:tc>
        <w:tc>
          <w:tcPr>
            <w:tcW w:w="1264" w:type="dxa"/>
            <w:tcBorders>
              <w:top w:val="single" w:sz="4" w:space="0" w:color="auto"/>
              <w:left w:val="nil"/>
              <w:bottom w:val="single" w:sz="4" w:space="0" w:color="auto"/>
              <w:right w:val="single" w:sz="4" w:space="0" w:color="auto"/>
            </w:tcBorders>
            <w:shd w:val="clear" w:color="auto" w:fill="C6EFCE"/>
            <w:noWrap/>
          </w:tcPr>
          <w:p w14:paraId="716689F6" w14:textId="5CF3F122"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2071" w:type="dxa"/>
            <w:tcBorders>
              <w:top w:val="single" w:sz="4" w:space="0" w:color="auto"/>
              <w:left w:val="nil"/>
              <w:bottom w:val="single" w:sz="4" w:space="0" w:color="auto"/>
              <w:right w:val="single" w:sz="4" w:space="0" w:color="auto"/>
            </w:tcBorders>
            <w:shd w:val="clear" w:color="auto" w:fill="C6EFCE"/>
            <w:noWrap/>
          </w:tcPr>
          <w:p w14:paraId="05C78859" w14:textId="06F977E2"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Zlepšenie energetického hodnotenia 40</w:t>
            </w:r>
            <w:r w:rsidR="00CC26EA" w:rsidRPr="00CC26EA">
              <w:rPr>
                <w:rFonts w:ascii="Times New Roman" w:hAnsi="Times New Roman"/>
                <w:noProof/>
                <w:spacing w:val="-6"/>
                <w:lang w:val="sk-SK"/>
              </w:rPr>
              <w:t> %</w:t>
            </w:r>
            <w:r w:rsidRPr="00CC26EA">
              <w:rPr>
                <w:rFonts w:ascii="Times New Roman" w:hAnsi="Times New Roman"/>
                <w:noProof/>
                <w:spacing w:val="-6"/>
                <w:lang w:val="sk-SK"/>
              </w:rPr>
              <w:t xml:space="preserve"> podporovaných mestských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regionálnych budov</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 xml:space="preserve">ratingom D-G </w:t>
            </w:r>
          </w:p>
        </w:tc>
        <w:tc>
          <w:tcPr>
            <w:tcW w:w="1915" w:type="dxa"/>
            <w:tcBorders>
              <w:top w:val="single" w:sz="4" w:space="0" w:color="auto"/>
              <w:left w:val="nil"/>
              <w:bottom w:val="single" w:sz="4" w:space="0" w:color="auto"/>
              <w:right w:val="single" w:sz="4" w:space="0" w:color="auto"/>
            </w:tcBorders>
            <w:shd w:val="clear" w:color="auto" w:fill="C6EFCE"/>
            <w:noWrap/>
          </w:tcPr>
          <w:p w14:paraId="52C67A0D" w14:textId="77777777" w:rsidR="00F65654" w:rsidRPr="00CC26EA" w:rsidRDefault="00F65654">
            <w:pPr>
              <w:rPr>
                <w:rFonts w:ascii="Times New Roman" w:eastAsia="Times New Roman" w:hAnsi="Times New Roman"/>
                <w:noProof/>
                <w:color w:val="006100"/>
                <w:spacing w:val="-6"/>
                <w:lang w:val="sk-SK"/>
              </w:rPr>
            </w:pPr>
          </w:p>
        </w:tc>
        <w:tc>
          <w:tcPr>
            <w:tcW w:w="1031" w:type="dxa"/>
            <w:tcBorders>
              <w:top w:val="single" w:sz="4" w:space="0" w:color="auto"/>
              <w:left w:val="nil"/>
              <w:bottom w:val="single" w:sz="4" w:space="0" w:color="auto"/>
              <w:right w:val="single" w:sz="4" w:space="0" w:color="auto"/>
            </w:tcBorders>
            <w:shd w:val="clear" w:color="auto" w:fill="C6EFCE"/>
            <w:noWrap/>
          </w:tcPr>
          <w:p w14:paraId="234515A6" w14:textId="01B1C1AB"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w:t>
            </w:r>
          </w:p>
        </w:tc>
        <w:tc>
          <w:tcPr>
            <w:tcW w:w="1073" w:type="dxa"/>
            <w:tcBorders>
              <w:top w:val="single" w:sz="4" w:space="0" w:color="auto"/>
              <w:left w:val="nil"/>
              <w:bottom w:val="single" w:sz="4" w:space="0" w:color="auto"/>
              <w:right w:val="single" w:sz="4" w:space="0" w:color="auto"/>
            </w:tcBorders>
            <w:shd w:val="clear" w:color="auto" w:fill="C6EFCE"/>
            <w:noWrap/>
          </w:tcPr>
          <w:p w14:paraId="2C5C3B60" w14:textId="1B5F8129"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0    </w:t>
            </w:r>
          </w:p>
        </w:tc>
        <w:tc>
          <w:tcPr>
            <w:tcW w:w="842" w:type="dxa"/>
            <w:tcBorders>
              <w:top w:val="single" w:sz="4" w:space="0" w:color="auto"/>
              <w:left w:val="nil"/>
              <w:bottom w:val="single" w:sz="4" w:space="0" w:color="auto"/>
              <w:right w:val="single" w:sz="4" w:space="0" w:color="auto"/>
            </w:tcBorders>
            <w:shd w:val="clear" w:color="auto" w:fill="C6EFCE"/>
            <w:noWrap/>
          </w:tcPr>
          <w:p w14:paraId="695EA2F2" w14:textId="39EAB2AD"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40 </w:t>
            </w:r>
          </w:p>
        </w:tc>
        <w:tc>
          <w:tcPr>
            <w:tcW w:w="1031" w:type="dxa"/>
            <w:tcBorders>
              <w:top w:val="single" w:sz="4" w:space="0" w:color="auto"/>
              <w:left w:val="nil"/>
              <w:bottom w:val="single" w:sz="4" w:space="0" w:color="auto"/>
              <w:right w:val="single" w:sz="4" w:space="0" w:color="auto"/>
            </w:tcBorders>
            <w:shd w:val="clear" w:color="auto" w:fill="C6EFCE"/>
            <w:noWrap/>
          </w:tcPr>
          <w:p w14:paraId="6E9E0C48" w14:textId="7BD56AD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1031" w:type="dxa"/>
            <w:tcBorders>
              <w:top w:val="single" w:sz="4" w:space="0" w:color="auto"/>
              <w:left w:val="nil"/>
              <w:bottom w:val="single" w:sz="4" w:space="0" w:color="auto"/>
              <w:right w:val="single" w:sz="4" w:space="0" w:color="auto"/>
            </w:tcBorders>
            <w:shd w:val="clear" w:color="auto" w:fill="C6EFCE"/>
            <w:noWrap/>
          </w:tcPr>
          <w:p w14:paraId="404A155A" w14:textId="4570ABB2"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2025</w:t>
            </w:r>
          </w:p>
        </w:tc>
        <w:tc>
          <w:tcPr>
            <w:tcW w:w="2799" w:type="dxa"/>
            <w:tcBorders>
              <w:top w:val="single" w:sz="4" w:space="0" w:color="auto"/>
              <w:left w:val="nil"/>
              <w:bottom w:val="single" w:sz="4" w:space="0" w:color="auto"/>
              <w:right w:val="single" w:sz="4" w:space="0" w:color="auto"/>
            </w:tcBorders>
            <w:shd w:val="clear" w:color="auto" w:fill="C6EFCE"/>
            <w:noWrap/>
          </w:tcPr>
          <w:p w14:paraId="7521E673" w14:textId="52E2EBBB"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Energetický certifikát budov sa zlepší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prípade 40</w:t>
            </w:r>
            <w:r w:rsidR="00CC26EA" w:rsidRPr="00CC26EA">
              <w:rPr>
                <w:rFonts w:ascii="Times New Roman" w:hAnsi="Times New Roman"/>
                <w:noProof/>
                <w:spacing w:val="-6"/>
                <w:lang w:val="sk-SK"/>
              </w:rPr>
              <w:t> %</w:t>
            </w:r>
            <w:r w:rsidRPr="00CC26EA">
              <w:rPr>
                <w:rFonts w:ascii="Times New Roman" w:hAnsi="Times New Roman"/>
                <w:noProof/>
                <w:spacing w:val="-6"/>
                <w:lang w:val="sk-SK"/>
              </w:rPr>
              <w:t xml:space="preserve"> budov na najmenej efektívnom konci (D-G), ktoré dostávajú granty zo systému. Za predpokladu, že ostatné sú rovnaké, zodpovedá to 10 percentuálnym bodom obecných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regionálnych budov, ktorých energetický rating sa zlepšil, ak sa schéma vyplatí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 xml:space="preserve">plnej výške.    </w:t>
            </w:r>
          </w:p>
        </w:tc>
      </w:tr>
      <w:tr w:rsidR="00F65654" w:rsidRPr="00CC26EA" w14:paraId="31204B1C" w14:textId="77777777">
        <w:trPr>
          <w:trHeight w:val="308"/>
          <w:jc w:val="center"/>
        </w:trPr>
        <w:tc>
          <w:tcPr>
            <w:tcW w:w="1347" w:type="dxa"/>
            <w:tcBorders>
              <w:top w:val="single" w:sz="4" w:space="0" w:color="auto"/>
              <w:left w:val="single" w:sz="4" w:space="0" w:color="auto"/>
              <w:bottom w:val="single" w:sz="4" w:space="0" w:color="auto"/>
              <w:right w:val="single" w:sz="4" w:space="0" w:color="auto"/>
            </w:tcBorders>
            <w:shd w:val="clear" w:color="auto" w:fill="C6EFCE"/>
            <w:noWrap/>
          </w:tcPr>
          <w:p w14:paraId="4A23FD34" w14:textId="6CC3165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27</w:t>
            </w:r>
          </w:p>
        </w:tc>
        <w:tc>
          <w:tcPr>
            <w:tcW w:w="1500" w:type="dxa"/>
            <w:tcBorders>
              <w:top w:val="single" w:sz="4" w:space="0" w:color="auto"/>
              <w:left w:val="nil"/>
              <w:bottom w:val="single" w:sz="4" w:space="0" w:color="auto"/>
              <w:right w:val="single" w:sz="4" w:space="0" w:color="auto"/>
            </w:tcBorders>
            <w:shd w:val="clear" w:color="auto" w:fill="C6EFCE"/>
            <w:noWrap/>
          </w:tcPr>
          <w:p w14:paraId="61B592E6" w14:textId="0721E71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 – Energetická účinnosť,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potenciál zachytávania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ukladania CO2</w:t>
            </w:r>
          </w:p>
        </w:tc>
        <w:tc>
          <w:tcPr>
            <w:tcW w:w="1264" w:type="dxa"/>
            <w:tcBorders>
              <w:top w:val="single" w:sz="4" w:space="0" w:color="auto"/>
              <w:left w:val="nil"/>
              <w:bottom w:val="single" w:sz="4" w:space="0" w:color="auto"/>
              <w:right w:val="single" w:sz="4" w:space="0" w:color="auto"/>
            </w:tcBorders>
            <w:shd w:val="clear" w:color="auto" w:fill="C6EFCE"/>
            <w:noWrap/>
          </w:tcPr>
          <w:p w14:paraId="0DD167AF" w14:textId="2A1342E9"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2071" w:type="dxa"/>
            <w:tcBorders>
              <w:top w:val="single" w:sz="4" w:space="0" w:color="auto"/>
              <w:left w:val="nil"/>
              <w:bottom w:val="single" w:sz="4" w:space="0" w:color="auto"/>
              <w:right w:val="single" w:sz="4" w:space="0" w:color="auto"/>
            </w:tcBorders>
            <w:shd w:val="clear" w:color="auto" w:fill="C6EFCE"/>
            <w:noWrap/>
          </w:tcPr>
          <w:p w14:paraId="35836E28" w14:textId="3FFAA70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Zadávanie zákaziek vybraným uchádzačom na štúdiu uskutočniteľnosti CCS</w:t>
            </w:r>
          </w:p>
        </w:tc>
        <w:tc>
          <w:tcPr>
            <w:tcW w:w="1915" w:type="dxa"/>
            <w:tcBorders>
              <w:top w:val="single" w:sz="4" w:space="0" w:color="auto"/>
              <w:left w:val="nil"/>
              <w:bottom w:val="single" w:sz="4" w:space="0" w:color="auto"/>
              <w:right w:val="single" w:sz="4" w:space="0" w:color="auto"/>
            </w:tcBorders>
            <w:shd w:val="clear" w:color="auto" w:fill="C6EFCE"/>
            <w:noWrap/>
          </w:tcPr>
          <w:p w14:paraId="0E25B63F" w14:textId="4DA384B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Dokončila sa výzva pre žiadateľov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výber príjemcov finančných prostriedkov. </w:t>
            </w:r>
          </w:p>
        </w:tc>
        <w:tc>
          <w:tcPr>
            <w:tcW w:w="1031" w:type="dxa"/>
            <w:tcBorders>
              <w:top w:val="single" w:sz="4" w:space="0" w:color="auto"/>
              <w:left w:val="nil"/>
              <w:bottom w:val="single" w:sz="4" w:space="0" w:color="auto"/>
              <w:right w:val="single" w:sz="4" w:space="0" w:color="auto"/>
            </w:tcBorders>
            <w:shd w:val="clear" w:color="auto" w:fill="C6EFCE"/>
            <w:noWrap/>
          </w:tcPr>
          <w:p w14:paraId="57CD4DD3" w14:textId="66C23074"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73" w:type="dxa"/>
            <w:tcBorders>
              <w:top w:val="single" w:sz="4" w:space="0" w:color="auto"/>
              <w:left w:val="nil"/>
              <w:bottom w:val="single" w:sz="4" w:space="0" w:color="auto"/>
              <w:right w:val="single" w:sz="4" w:space="0" w:color="auto"/>
            </w:tcBorders>
            <w:shd w:val="clear" w:color="auto" w:fill="C6EFCE"/>
            <w:noWrap/>
          </w:tcPr>
          <w:p w14:paraId="7A2F87AB" w14:textId="42C9C48E"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842" w:type="dxa"/>
            <w:tcBorders>
              <w:top w:val="single" w:sz="4" w:space="0" w:color="auto"/>
              <w:left w:val="nil"/>
              <w:bottom w:val="single" w:sz="4" w:space="0" w:color="auto"/>
              <w:right w:val="single" w:sz="4" w:space="0" w:color="auto"/>
            </w:tcBorders>
            <w:shd w:val="clear" w:color="auto" w:fill="C6EFCE"/>
            <w:noWrap/>
          </w:tcPr>
          <w:p w14:paraId="0C749A2B" w14:textId="51866370"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31" w:type="dxa"/>
            <w:tcBorders>
              <w:top w:val="single" w:sz="4" w:space="0" w:color="auto"/>
              <w:left w:val="nil"/>
              <w:bottom w:val="single" w:sz="4" w:space="0" w:color="auto"/>
              <w:right w:val="single" w:sz="4" w:space="0" w:color="auto"/>
            </w:tcBorders>
            <w:shd w:val="clear" w:color="auto" w:fill="C6EFCE"/>
            <w:noWrap/>
          </w:tcPr>
          <w:p w14:paraId="704B1E96" w14:textId="2BA19016"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1031" w:type="dxa"/>
            <w:tcBorders>
              <w:top w:val="single" w:sz="4" w:space="0" w:color="auto"/>
              <w:left w:val="nil"/>
              <w:bottom w:val="single" w:sz="4" w:space="0" w:color="auto"/>
              <w:right w:val="single" w:sz="4" w:space="0" w:color="auto"/>
            </w:tcBorders>
            <w:shd w:val="clear" w:color="auto" w:fill="C6EFCE"/>
            <w:noWrap/>
          </w:tcPr>
          <w:p w14:paraId="0CE15ED3" w14:textId="70217202"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2799" w:type="dxa"/>
            <w:tcBorders>
              <w:top w:val="single" w:sz="4" w:space="0" w:color="auto"/>
              <w:left w:val="nil"/>
              <w:bottom w:val="single" w:sz="4" w:space="0" w:color="auto"/>
              <w:right w:val="single" w:sz="4" w:space="0" w:color="auto"/>
            </w:tcBorders>
            <w:shd w:val="clear" w:color="auto" w:fill="C6EFCE"/>
            <w:noWrap/>
          </w:tcPr>
          <w:p w14:paraId="3CFF81B8" w14:textId="569502A2"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 sa dosiahne po ukončení výberu žiadateľov</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 xml:space="preserve">štúdie uskutočniteľnosti CCS po uskutočnení otvoreného výberového konania. </w:t>
            </w:r>
          </w:p>
        </w:tc>
      </w:tr>
      <w:tr w:rsidR="00F65654" w:rsidRPr="00CC26EA" w14:paraId="366DAD1F" w14:textId="77777777">
        <w:trPr>
          <w:trHeight w:val="308"/>
          <w:jc w:val="center"/>
        </w:trPr>
        <w:tc>
          <w:tcPr>
            <w:tcW w:w="1347" w:type="dxa"/>
            <w:tcBorders>
              <w:top w:val="single" w:sz="4" w:space="0" w:color="auto"/>
              <w:left w:val="single" w:sz="4" w:space="0" w:color="auto"/>
              <w:bottom w:val="single" w:sz="4" w:space="0" w:color="auto"/>
              <w:right w:val="single" w:sz="4" w:space="0" w:color="auto"/>
            </w:tcBorders>
            <w:shd w:val="clear" w:color="auto" w:fill="C6EFCE"/>
            <w:noWrap/>
          </w:tcPr>
          <w:p w14:paraId="5CC9E016" w14:textId="5C76D16D"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28</w:t>
            </w:r>
          </w:p>
        </w:tc>
        <w:tc>
          <w:tcPr>
            <w:tcW w:w="1500" w:type="dxa"/>
            <w:tcBorders>
              <w:top w:val="single" w:sz="4" w:space="0" w:color="auto"/>
              <w:left w:val="nil"/>
              <w:bottom w:val="single" w:sz="4" w:space="0" w:color="auto"/>
              <w:right w:val="single" w:sz="4" w:space="0" w:color="auto"/>
            </w:tcBorders>
            <w:shd w:val="clear" w:color="auto" w:fill="C6EFCE"/>
            <w:noWrap/>
          </w:tcPr>
          <w:p w14:paraId="47A683F5" w14:textId="5375ACF3"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 – Energetická účinnosť,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potenciál zachytávania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ukladania CO2</w:t>
            </w:r>
          </w:p>
        </w:tc>
        <w:tc>
          <w:tcPr>
            <w:tcW w:w="1264" w:type="dxa"/>
            <w:tcBorders>
              <w:top w:val="single" w:sz="4" w:space="0" w:color="auto"/>
              <w:left w:val="nil"/>
              <w:bottom w:val="single" w:sz="4" w:space="0" w:color="auto"/>
              <w:right w:val="single" w:sz="4" w:space="0" w:color="auto"/>
            </w:tcBorders>
            <w:shd w:val="clear" w:color="auto" w:fill="C6EFCE"/>
            <w:noWrap/>
          </w:tcPr>
          <w:p w14:paraId="5A213148" w14:textId="0A3D46E1"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2071" w:type="dxa"/>
            <w:tcBorders>
              <w:top w:val="single" w:sz="4" w:space="0" w:color="auto"/>
              <w:left w:val="nil"/>
              <w:bottom w:val="single" w:sz="4" w:space="0" w:color="auto"/>
              <w:right w:val="single" w:sz="4" w:space="0" w:color="auto"/>
            </w:tcBorders>
            <w:shd w:val="clear" w:color="auto" w:fill="C6EFCE"/>
            <w:noWrap/>
          </w:tcPr>
          <w:p w14:paraId="466C8AD8" w14:textId="78776BF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Dokončenie štúdie uskutočniteľnosti CCS-storage. Vláda prijíma rozhodnutie</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následných opatreniach.</w:t>
            </w:r>
          </w:p>
        </w:tc>
        <w:tc>
          <w:tcPr>
            <w:tcW w:w="1915" w:type="dxa"/>
            <w:tcBorders>
              <w:top w:val="single" w:sz="4" w:space="0" w:color="auto"/>
              <w:left w:val="nil"/>
              <w:bottom w:val="single" w:sz="4" w:space="0" w:color="auto"/>
              <w:right w:val="single" w:sz="4" w:space="0" w:color="auto"/>
            </w:tcBorders>
            <w:shd w:val="clear" w:color="auto" w:fill="C6EFCE"/>
            <w:noWrap/>
          </w:tcPr>
          <w:p w14:paraId="4D176BB1" w14:textId="620508FA"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Štúdia uskutočniteľnosti bola dokončená. </w:t>
            </w:r>
          </w:p>
        </w:tc>
        <w:tc>
          <w:tcPr>
            <w:tcW w:w="1031" w:type="dxa"/>
            <w:tcBorders>
              <w:top w:val="single" w:sz="4" w:space="0" w:color="auto"/>
              <w:left w:val="nil"/>
              <w:bottom w:val="single" w:sz="4" w:space="0" w:color="auto"/>
              <w:right w:val="single" w:sz="4" w:space="0" w:color="auto"/>
            </w:tcBorders>
            <w:shd w:val="clear" w:color="auto" w:fill="C6EFCE"/>
            <w:noWrap/>
          </w:tcPr>
          <w:p w14:paraId="168B3C5F" w14:textId="763638A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73" w:type="dxa"/>
            <w:tcBorders>
              <w:top w:val="single" w:sz="4" w:space="0" w:color="auto"/>
              <w:left w:val="nil"/>
              <w:bottom w:val="single" w:sz="4" w:space="0" w:color="auto"/>
              <w:right w:val="single" w:sz="4" w:space="0" w:color="auto"/>
            </w:tcBorders>
            <w:shd w:val="clear" w:color="auto" w:fill="C6EFCE"/>
            <w:noWrap/>
          </w:tcPr>
          <w:p w14:paraId="7697BE88" w14:textId="19287D12"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842" w:type="dxa"/>
            <w:tcBorders>
              <w:top w:val="single" w:sz="4" w:space="0" w:color="auto"/>
              <w:left w:val="nil"/>
              <w:bottom w:val="single" w:sz="4" w:space="0" w:color="auto"/>
              <w:right w:val="single" w:sz="4" w:space="0" w:color="auto"/>
            </w:tcBorders>
            <w:shd w:val="clear" w:color="auto" w:fill="C6EFCE"/>
            <w:noWrap/>
          </w:tcPr>
          <w:p w14:paraId="36756630" w14:textId="4152CEB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31" w:type="dxa"/>
            <w:tcBorders>
              <w:top w:val="single" w:sz="4" w:space="0" w:color="auto"/>
              <w:left w:val="nil"/>
              <w:bottom w:val="single" w:sz="4" w:space="0" w:color="auto"/>
              <w:right w:val="single" w:sz="4" w:space="0" w:color="auto"/>
            </w:tcBorders>
            <w:shd w:val="clear" w:color="auto" w:fill="C6EFCE"/>
            <w:noWrap/>
          </w:tcPr>
          <w:p w14:paraId="50DDFFCD" w14:textId="20D11EA5"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1031" w:type="dxa"/>
            <w:tcBorders>
              <w:top w:val="single" w:sz="4" w:space="0" w:color="auto"/>
              <w:left w:val="nil"/>
              <w:bottom w:val="single" w:sz="4" w:space="0" w:color="auto"/>
              <w:right w:val="single" w:sz="4" w:space="0" w:color="auto"/>
            </w:tcBorders>
            <w:shd w:val="clear" w:color="auto" w:fill="C6EFCE"/>
            <w:noWrap/>
          </w:tcPr>
          <w:p w14:paraId="6FAB366F" w14:textId="11916374"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2023</w:t>
            </w:r>
          </w:p>
        </w:tc>
        <w:tc>
          <w:tcPr>
            <w:tcW w:w="2799" w:type="dxa"/>
            <w:tcBorders>
              <w:top w:val="single" w:sz="4" w:space="0" w:color="auto"/>
              <w:left w:val="nil"/>
              <w:bottom w:val="single" w:sz="4" w:space="0" w:color="auto"/>
              <w:right w:val="single" w:sz="4" w:space="0" w:color="auto"/>
            </w:tcBorders>
            <w:shd w:val="clear" w:color="auto" w:fill="C6EFCE"/>
            <w:noWrap/>
            <w:vAlign w:val="center"/>
          </w:tcPr>
          <w:p w14:paraId="11A125DF" w14:textId="4F541B3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Štúdia uskutočniteľnosti obsahuje výsledky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analýzy založené na podporovaných testovacích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demonštračných projektoch týkajúcich sa ukladania CO2 na vyčerpaných ropných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plynových poliach.</w:t>
            </w:r>
          </w:p>
          <w:p w14:paraId="5CC6CC48" w14:textId="5AAC93B5" w:rsidR="00CC26EA" w:rsidRPr="00CC26EA" w:rsidRDefault="0041081E">
            <w:pPr>
              <w:pStyle w:val="P68B1DB1-Normal4"/>
              <w:rPr>
                <w:rFonts w:ascii="Times New Roman" w:hAnsi="Times New Roman"/>
                <w:noProof/>
                <w:spacing w:val="-6"/>
                <w:lang w:val="sk-SK"/>
              </w:rPr>
            </w:pPr>
            <w:r w:rsidRPr="00CC26EA">
              <w:rPr>
                <w:rFonts w:ascii="Times New Roman" w:hAnsi="Times New Roman"/>
                <w:noProof/>
                <w:spacing w:val="-6"/>
                <w:lang w:val="sk-SK"/>
              </w:rPr>
              <w:t>V správe sa navrhnú opatrenia, ktoré sú</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súlade</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požiadavkou „výrazne nenarušiť“</w:t>
            </w:r>
            <w:r w:rsidR="00CC26EA" w:rsidRPr="00CC26EA">
              <w:rPr>
                <w:rFonts w:ascii="Times New Roman" w:hAnsi="Times New Roman"/>
                <w:noProof/>
                <w:spacing w:val="-6"/>
                <w:lang w:val="sk-SK"/>
              </w:rPr>
              <w:t>.</w:t>
            </w:r>
          </w:p>
          <w:p w14:paraId="16542DCC" w14:textId="4F6B2712" w:rsidR="00F65654" w:rsidRPr="00CC26EA" w:rsidRDefault="00F65654">
            <w:pPr>
              <w:rPr>
                <w:rFonts w:ascii="Times New Roman" w:eastAsia="Times New Roman" w:hAnsi="Times New Roman"/>
                <w:noProof/>
                <w:color w:val="006100"/>
                <w:spacing w:val="-6"/>
                <w:lang w:val="sk-SK"/>
              </w:rPr>
            </w:pPr>
          </w:p>
        </w:tc>
      </w:tr>
      <w:tr w:rsidR="00F65654" w:rsidRPr="00CC26EA" w14:paraId="31B16929" w14:textId="77777777">
        <w:trPr>
          <w:trHeight w:val="308"/>
          <w:jc w:val="center"/>
        </w:trPr>
        <w:tc>
          <w:tcPr>
            <w:tcW w:w="1347" w:type="dxa"/>
            <w:tcBorders>
              <w:top w:val="single" w:sz="4" w:space="0" w:color="auto"/>
              <w:left w:val="single" w:sz="4" w:space="0" w:color="auto"/>
              <w:bottom w:val="single" w:sz="4" w:space="0" w:color="auto"/>
              <w:right w:val="single" w:sz="4" w:space="0" w:color="auto"/>
            </w:tcBorders>
            <w:shd w:val="clear" w:color="auto" w:fill="C6EFCE"/>
            <w:noWrap/>
          </w:tcPr>
          <w:p w14:paraId="6C4A2416" w14:textId="01318E14"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29</w:t>
            </w:r>
          </w:p>
        </w:tc>
        <w:tc>
          <w:tcPr>
            <w:tcW w:w="1500" w:type="dxa"/>
            <w:tcBorders>
              <w:top w:val="single" w:sz="4" w:space="0" w:color="auto"/>
              <w:left w:val="nil"/>
              <w:bottom w:val="single" w:sz="4" w:space="0" w:color="auto"/>
              <w:right w:val="single" w:sz="4" w:space="0" w:color="auto"/>
            </w:tcBorders>
            <w:shd w:val="clear" w:color="auto" w:fill="C6EFCE"/>
            <w:noWrap/>
          </w:tcPr>
          <w:p w14:paraId="73574D76" w14:textId="3FE85379"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 – Energetická efektívnosť,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Energetická efektívnosť</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domácnostiach</w:t>
            </w:r>
          </w:p>
        </w:tc>
        <w:tc>
          <w:tcPr>
            <w:tcW w:w="1264" w:type="dxa"/>
            <w:tcBorders>
              <w:top w:val="single" w:sz="4" w:space="0" w:color="auto"/>
              <w:left w:val="nil"/>
              <w:bottom w:val="single" w:sz="4" w:space="0" w:color="auto"/>
              <w:right w:val="single" w:sz="4" w:space="0" w:color="auto"/>
            </w:tcBorders>
            <w:shd w:val="clear" w:color="auto" w:fill="C6EFCE"/>
            <w:noWrap/>
          </w:tcPr>
          <w:p w14:paraId="7743903D" w14:textId="394A1241"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2071" w:type="dxa"/>
            <w:tcBorders>
              <w:top w:val="single" w:sz="4" w:space="0" w:color="auto"/>
              <w:left w:val="nil"/>
              <w:bottom w:val="single" w:sz="4" w:space="0" w:color="auto"/>
              <w:right w:val="single" w:sz="4" w:space="0" w:color="auto"/>
            </w:tcBorders>
            <w:shd w:val="clear" w:color="auto" w:fill="C6EFCE"/>
            <w:noWrap/>
          </w:tcPr>
          <w:p w14:paraId="76017569" w14:textId="7CAA19B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Výber príjemcov finančných prostriedkov na energetickú obnovu</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súkromných domácnostiach.</w:t>
            </w:r>
          </w:p>
        </w:tc>
        <w:tc>
          <w:tcPr>
            <w:tcW w:w="1915" w:type="dxa"/>
            <w:tcBorders>
              <w:top w:val="single" w:sz="4" w:space="0" w:color="auto"/>
              <w:left w:val="nil"/>
              <w:bottom w:val="single" w:sz="4" w:space="0" w:color="auto"/>
              <w:right w:val="single" w:sz="4" w:space="0" w:color="auto"/>
            </w:tcBorders>
            <w:shd w:val="clear" w:color="auto" w:fill="C6EFCE"/>
            <w:noWrap/>
          </w:tcPr>
          <w:p w14:paraId="310223B9" w14:textId="624C720C"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Dokončil sa výber príjemcov finančných prostriedkov. </w:t>
            </w:r>
          </w:p>
        </w:tc>
        <w:tc>
          <w:tcPr>
            <w:tcW w:w="1031" w:type="dxa"/>
            <w:tcBorders>
              <w:top w:val="single" w:sz="4" w:space="0" w:color="auto"/>
              <w:left w:val="nil"/>
              <w:bottom w:val="single" w:sz="4" w:space="0" w:color="auto"/>
              <w:right w:val="single" w:sz="4" w:space="0" w:color="auto"/>
            </w:tcBorders>
            <w:shd w:val="clear" w:color="auto" w:fill="C6EFCE"/>
            <w:noWrap/>
          </w:tcPr>
          <w:p w14:paraId="3A213D4F" w14:textId="29C0270E"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73" w:type="dxa"/>
            <w:tcBorders>
              <w:top w:val="single" w:sz="4" w:space="0" w:color="auto"/>
              <w:left w:val="nil"/>
              <w:bottom w:val="single" w:sz="4" w:space="0" w:color="auto"/>
              <w:right w:val="single" w:sz="4" w:space="0" w:color="auto"/>
            </w:tcBorders>
            <w:shd w:val="clear" w:color="auto" w:fill="C6EFCE"/>
            <w:noWrap/>
          </w:tcPr>
          <w:p w14:paraId="2839D605" w14:textId="4BA6FEC1"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842" w:type="dxa"/>
            <w:tcBorders>
              <w:top w:val="single" w:sz="4" w:space="0" w:color="auto"/>
              <w:left w:val="nil"/>
              <w:bottom w:val="single" w:sz="4" w:space="0" w:color="auto"/>
              <w:right w:val="single" w:sz="4" w:space="0" w:color="auto"/>
            </w:tcBorders>
            <w:shd w:val="clear" w:color="auto" w:fill="C6EFCE"/>
            <w:noWrap/>
          </w:tcPr>
          <w:p w14:paraId="4DD43AE2" w14:textId="60881491"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31" w:type="dxa"/>
            <w:tcBorders>
              <w:top w:val="single" w:sz="4" w:space="0" w:color="auto"/>
              <w:left w:val="nil"/>
              <w:bottom w:val="single" w:sz="4" w:space="0" w:color="auto"/>
              <w:right w:val="single" w:sz="4" w:space="0" w:color="auto"/>
            </w:tcBorders>
            <w:shd w:val="clear" w:color="auto" w:fill="C6EFCE"/>
            <w:noWrap/>
          </w:tcPr>
          <w:p w14:paraId="61E3CB5D" w14:textId="5F89F270"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OTÁZKA Č. 1</w:t>
            </w:r>
          </w:p>
        </w:tc>
        <w:tc>
          <w:tcPr>
            <w:tcW w:w="1031" w:type="dxa"/>
            <w:tcBorders>
              <w:top w:val="single" w:sz="4" w:space="0" w:color="auto"/>
              <w:left w:val="nil"/>
              <w:bottom w:val="single" w:sz="4" w:space="0" w:color="auto"/>
              <w:right w:val="single" w:sz="4" w:space="0" w:color="auto"/>
            </w:tcBorders>
            <w:shd w:val="clear" w:color="auto" w:fill="C6EFCE"/>
            <w:noWrap/>
          </w:tcPr>
          <w:p w14:paraId="7AFD91C3" w14:textId="4A26A4E1"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2025</w:t>
            </w:r>
          </w:p>
        </w:tc>
        <w:tc>
          <w:tcPr>
            <w:tcW w:w="2799" w:type="dxa"/>
            <w:tcBorders>
              <w:top w:val="single" w:sz="4" w:space="0" w:color="auto"/>
              <w:left w:val="nil"/>
              <w:bottom w:val="single" w:sz="4" w:space="0" w:color="auto"/>
              <w:right w:val="single" w:sz="4" w:space="0" w:color="auto"/>
            </w:tcBorders>
            <w:shd w:val="clear" w:color="auto" w:fill="C6EFCE"/>
            <w:noWrap/>
            <w:vAlign w:val="center"/>
          </w:tcPr>
          <w:p w14:paraId="48598C87" w14:textId="2A440350" w:rsidR="00CC26EA" w:rsidRPr="00CC26EA" w:rsidRDefault="0041081E">
            <w:pPr>
              <w:pStyle w:val="P68B1DB1-Normal4"/>
              <w:rPr>
                <w:rFonts w:ascii="Times New Roman" w:hAnsi="Times New Roman"/>
                <w:noProof/>
                <w:spacing w:val="-6"/>
                <w:lang w:val="sk-SK"/>
              </w:rPr>
            </w:pPr>
            <w:r w:rsidRPr="00CC26EA">
              <w:rPr>
                <w:rFonts w:ascii="Times New Roman" w:hAnsi="Times New Roman"/>
                <w:noProof/>
                <w:spacing w:val="-6"/>
                <w:lang w:val="sk-SK"/>
              </w:rPr>
              <w:t>Čiastkový cieľ sa dosiahne, keď riadiaci subjekt vyberie príjemcov.     Fond budov sa rozdelí do niekoľkých ročných kôl podávania žiadostí</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cieľom podporiť široké rozdelenie finančných prostriedkov medzi majiteľov súkromných domov. Otvorenie kôl podávania prihlášok sa oznámi na webovom sídle dánskej energetickej agentúry. Príjemca dotácie má dva roky na realizáciu projektu energetickej renovácie, po ukončení ktorého sa vypláca dotácia. Cieľom je zabezpečiť, aby sa finančné prostriedky alokovali len na konkrétnu energetickú obnovu</w:t>
            </w:r>
            <w:r w:rsidR="00CC26EA" w:rsidRPr="00CC26EA">
              <w:rPr>
                <w:rFonts w:ascii="Times New Roman" w:hAnsi="Times New Roman"/>
                <w:noProof/>
                <w:spacing w:val="-6"/>
                <w:lang w:val="sk-SK"/>
              </w:rPr>
              <w:t>.</w:t>
            </w:r>
          </w:p>
          <w:p w14:paraId="7EF5FC55" w14:textId="5197D1D4" w:rsidR="00F65654" w:rsidRPr="00CC26EA" w:rsidRDefault="00F65654">
            <w:pPr>
              <w:rPr>
                <w:rFonts w:ascii="Times New Roman" w:eastAsia="Times New Roman" w:hAnsi="Times New Roman"/>
                <w:noProof/>
                <w:color w:val="006100"/>
                <w:spacing w:val="-6"/>
                <w:lang w:val="sk-SK"/>
              </w:rPr>
            </w:pPr>
          </w:p>
          <w:p w14:paraId="0EF1C229" w14:textId="7DC960F0" w:rsidR="00CC26EA" w:rsidRPr="00CC26EA" w:rsidRDefault="0041081E">
            <w:pPr>
              <w:pStyle w:val="P68B1DB1-Normal4"/>
              <w:rPr>
                <w:rFonts w:ascii="Times New Roman" w:hAnsi="Times New Roman"/>
                <w:noProof/>
                <w:spacing w:val="-6"/>
                <w:lang w:val="sk-SK"/>
              </w:rPr>
            </w:pPr>
            <w:r w:rsidRPr="00CC26EA">
              <w:rPr>
                <w:rFonts w:ascii="Times New Roman" w:hAnsi="Times New Roman"/>
                <w:noProof/>
                <w:spacing w:val="-6"/>
                <w:lang w:val="sk-SK"/>
              </w:rPr>
              <w:t>V rezerve budov existuje podmienka 60/40 na pridelenie fondu dotácií,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ktorej sa uvádza, že najmenej 60</w:t>
            </w:r>
            <w:r w:rsidR="00CC26EA" w:rsidRPr="00CC26EA">
              <w:rPr>
                <w:rFonts w:ascii="Times New Roman" w:hAnsi="Times New Roman"/>
                <w:noProof/>
                <w:spacing w:val="-6"/>
                <w:lang w:val="sk-SK"/>
              </w:rPr>
              <w:t> %</w:t>
            </w:r>
            <w:r w:rsidRPr="00CC26EA">
              <w:rPr>
                <w:rFonts w:ascii="Times New Roman" w:hAnsi="Times New Roman"/>
                <w:noProof/>
                <w:spacing w:val="-6"/>
                <w:lang w:val="sk-SK"/>
              </w:rPr>
              <w:t xml:space="preserve"> finančných prostriedkov sa musí prideliť na projekty, ktoré zahŕňajú prechod na elektrické tepelné čerpadlá</w:t>
            </w:r>
            <w:r w:rsidR="00CC26EA" w:rsidRPr="00CC26EA">
              <w:rPr>
                <w:rFonts w:ascii="Times New Roman" w:hAnsi="Times New Roman"/>
                <w:noProof/>
                <w:spacing w:val="-6"/>
                <w:lang w:val="sk-SK"/>
              </w:rPr>
              <w:t>.</w:t>
            </w:r>
          </w:p>
          <w:p w14:paraId="6CCDE404" w14:textId="50B11BE2"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Opatrením sa dosiahne aspoň 30</w:t>
            </w:r>
            <w:r w:rsidR="00CC26EA" w:rsidRPr="00CC26EA">
              <w:rPr>
                <w:rFonts w:ascii="Times New Roman" w:hAnsi="Times New Roman"/>
                <w:noProof/>
                <w:spacing w:val="-6"/>
                <w:lang w:val="sk-SK"/>
              </w:rPr>
              <w:t> %</w:t>
            </w:r>
            <w:r w:rsidRPr="00CC26EA">
              <w:rPr>
                <w:rFonts w:ascii="Times New Roman" w:hAnsi="Times New Roman"/>
                <w:noProof/>
                <w:spacing w:val="-6"/>
                <w:lang w:val="sk-SK"/>
              </w:rPr>
              <w:t xml:space="preserve"> zníženie dopytu po primárnej energii.</w:t>
            </w:r>
          </w:p>
        </w:tc>
      </w:tr>
      <w:tr w:rsidR="00F65654" w:rsidRPr="00CC26EA" w14:paraId="629FCF82" w14:textId="77777777">
        <w:trPr>
          <w:trHeight w:val="308"/>
          <w:jc w:val="center"/>
        </w:trPr>
        <w:tc>
          <w:tcPr>
            <w:tcW w:w="1347" w:type="dxa"/>
            <w:tcBorders>
              <w:top w:val="single" w:sz="4" w:space="0" w:color="auto"/>
              <w:left w:val="single" w:sz="4" w:space="0" w:color="auto"/>
              <w:bottom w:val="single" w:sz="4" w:space="0" w:color="auto"/>
              <w:right w:val="single" w:sz="4" w:space="0" w:color="auto"/>
            </w:tcBorders>
            <w:shd w:val="clear" w:color="auto" w:fill="C6EFCE"/>
            <w:noWrap/>
          </w:tcPr>
          <w:p w14:paraId="440B946D" w14:textId="50F7576D"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30</w:t>
            </w:r>
          </w:p>
        </w:tc>
        <w:tc>
          <w:tcPr>
            <w:tcW w:w="1500" w:type="dxa"/>
            <w:tcBorders>
              <w:top w:val="single" w:sz="4" w:space="0" w:color="auto"/>
              <w:left w:val="nil"/>
              <w:bottom w:val="single" w:sz="4" w:space="0" w:color="auto"/>
              <w:right w:val="single" w:sz="4" w:space="0" w:color="auto"/>
            </w:tcBorders>
            <w:shd w:val="clear" w:color="auto" w:fill="C6EFCE"/>
            <w:noWrap/>
          </w:tcPr>
          <w:p w14:paraId="0B49EE74" w14:textId="6498A51A"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 – Energetická efektívnosť,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Energetická efektívnosť</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domácnostiach</w:t>
            </w:r>
          </w:p>
        </w:tc>
        <w:tc>
          <w:tcPr>
            <w:tcW w:w="1264" w:type="dxa"/>
            <w:tcBorders>
              <w:top w:val="single" w:sz="4" w:space="0" w:color="auto"/>
              <w:left w:val="nil"/>
              <w:bottom w:val="single" w:sz="4" w:space="0" w:color="auto"/>
              <w:right w:val="single" w:sz="4" w:space="0" w:color="auto"/>
            </w:tcBorders>
            <w:shd w:val="clear" w:color="auto" w:fill="C6EFCE"/>
            <w:noWrap/>
          </w:tcPr>
          <w:p w14:paraId="2E4D8BFE" w14:textId="63FCCFDF"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2071" w:type="dxa"/>
            <w:tcBorders>
              <w:top w:val="single" w:sz="4" w:space="0" w:color="auto"/>
              <w:left w:val="nil"/>
              <w:bottom w:val="single" w:sz="4" w:space="0" w:color="auto"/>
              <w:right w:val="single" w:sz="4" w:space="0" w:color="auto"/>
            </w:tcBorders>
            <w:shd w:val="clear" w:color="auto" w:fill="C6EFCE"/>
            <w:noWrap/>
          </w:tcPr>
          <w:p w14:paraId="70005D6C" w14:textId="7A295BC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Bolo dokončených aspoň 6125 projektov energetickej obnovy</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súkromných domácnostiach</w:t>
            </w:r>
          </w:p>
        </w:tc>
        <w:tc>
          <w:tcPr>
            <w:tcW w:w="1915" w:type="dxa"/>
            <w:tcBorders>
              <w:top w:val="single" w:sz="4" w:space="0" w:color="auto"/>
              <w:left w:val="nil"/>
              <w:bottom w:val="single" w:sz="4" w:space="0" w:color="auto"/>
              <w:right w:val="single" w:sz="4" w:space="0" w:color="auto"/>
            </w:tcBorders>
            <w:shd w:val="clear" w:color="auto" w:fill="C6EFCE"/>
            <w:noWrap/>
          </w:tcPr>
          <w:p w14:paraId="590CE361" w14:textId="77777777" w:rsidR="00F65654" w:rsidRPr="00CC26EA" w:rsidRDefault="00F65654">
            <w:pPr>
              <w:rPr>
                <w:rFonts w:ascii="Times New Roman" w:eastAsia="Times New Roman" w:hAnsi="Times New Roman"/>
                <w:noProof/>
                <w:color w:val="006100"/>
                <w:spacing w:val="-6"/>
                <w:lang w:val="sk-SK"/>
              </w:rPr>
            </w:pPr>
          </w:p>
        </w:tc>
        <w:tc>
          <w:tcPr>
            <w:tcW w:w="1031" w:type="dxa"/>
            <w:tcBorders>
              <w:top w:val="single" w:sz="4" w:space="0" w:color="auto"/>
              <w:left w:val="nil"/>
              <w:bottom w:val="single" w:sz="4" w:space="0" w:color="auto"/>
              <w:right w:val="single" w:sz="4" w:space="0" w:color="auto"/>
            </w:tcBorders>
            <w:shd w:val="clear" w:color="auto" w:fill="C6EFCE"/>
            <w:noWrap/>
          </w:tcPr>
          <w:p w14:paraId="5E7BF6D9" w14:textId="70997589"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1073" w:type="dxa"/>
            <w:tcBorders>
              <w:top w:val="single" w:sz="4" w:space="0" w:color="auto"/>
              <w:left w:val="nil"/>
              <w:bottom w:val="single" w:sz="4" w:space="0" w:color="auto"/>
              <w:right w:val="single" w:sz="4" w:space="0" w:color="auto"/>
            </w:tcBorders>
            <w:shd w:val="clear" w:color="auto" w:fill="C6EFCE"/>
            <w:noWrap/>
          </w:tcPr>
          <w:p w14:paraId="54B9D147" w14:textId="4A3F0B12"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842" w:type="dxa"/>
            <w:tcBorders>
              <w:top w:val="single" w:sz="4" w:space="0" w:color="auto"/>
              <w:left w:val="nil"/>
              <w:bottom w:val="single" w:sz="4" w:space="0" w:color="auto"/>
              <w:right w:val="single" w:sz="4" w:space="0" w:color="auto"/>
            </w:tcBorders>
            <w:shd w:val="clear" w:color="auto" w:fill="C6EFCE"/>
            <w:noWrap/>
          </w:tcPr>
          <w:p w14:paraId="779E6097" w14:textId="6F988695"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6125</w:t>
            </w:r>
          </w:p>
        </w:tc>
        <w:tc>
          <w:tcPr>
            <w:tcW w:w="1031" w:type="dxa"/>
            <w:tcBorders>
              <w:top w:val="single" w:sz="4" w:space="0" w:color="auto"/>
              <w:left w:val="nil"/>
              <w:bottom w:val="single" w:sz="4" w:space="0" w:color="auto"/>
              <w:right w:val="single" w:sz="4" w:space="0" w:color="auto"/>
            </w:tcBorders>
            <w:shd w:val="clear" w:color="auto" w:fill="C6EFCE"/>
            <w:noWrap/>
          </w:tcPr>
          <w:p w14:paraId="11EC6BDB" w14:textId="496FE230"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OTÁZKA 2</w:t>
            </w:r>
          </w:p>
        </w:tc>
        <w:tc>
          <w:tcPr>
            <w:tcW w:w="1031" w:type="dxa"/>
            <w:tcBorders>
              <w:top w:val="single" w:sz="4" w:space="0" w:color="auto"/>
              <w:left w:val="nil"/>
              <w:bottom w:val="single" w:sz="4" w:space="0" w:color="auto"/>
              <w:right w:val="single" w:sz="4" w:space="0" w:color="auto"/>
            </w:tcBorders>
            <w:shd w:val="clear" w:color="auto" w:fill="C6EFCE"/>
            <w:noWrap/>
          </w:tcPr>
          <w:p w14:paraId="35F272B9" w14:textId="6445202E"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2026</w:t>
            </w:r>
          </w:p>
        </w:tc>
        <w:tc>
          <w:tcPr>
            <w:tcW w:w="2799" w:type="dxa"/>
            <w:tcBorders>
              <w:top w:val="single" w:sz="4" w:space="0" w:color="auto"/>
              <w:left w:val="nil"/>
              <w:bottom w:val="single" w:sz="4" w:space="0" w:color="auto"/>
              <w:right w:val="single" w:sz="4" w:space="0" w:color="auto"/>
            </w:tcBorders>
            <w:shd w:val="clear" w:color="auto" w:fill="C6EFCE"/>
            <w:noWrap/>
            <w:vAlign w:val="center"/>
          </w:tcPr>
          <w:p w14:paraId="3127E598" w14:textId="0AABE6F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 sa dosiahne, keď sa dokončí aspoň 6125 projektov energetickej obnovy</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súlade</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cieľmi uvedenými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míľniku 29.</w:t>
            </w:r>
          </w:p>
        </w:tc>
      </w:tr>
    </w:tbl>
    <w:p w14:paraId="30C10406" w14:textId="77777777" w:rsidR="00F65654" w:rsidRPr="00CC26EA" w:rsidRDefault="00F65654">
      <w:pPr>
        <w:spacing w:after="0"/>
        <w:rPr>
          <w:rFonts w:ascii="Times New Roman" w:eastAsia="Times New Roman" w:hAnsi="Times New Roman"/>
          <w:b/>
          <w:noProof/>
          <w:spacing w:val="-6"/>
          <w:sz w:val="20"/>
          <w:lang w:val="sk-SK"/>
        </w:rPr>
        <w:sectPr w:rsidR="00F65654" w:rsidRPr="00CC26EA" w:rsidSect="00A61D33">
          <w:headerReference w:type="even" r:id="rId48"/>
          <w:headerReference w:type="default" r:id="rId49"/>
          <w:footerReference w:type="even" r:id="rId50"/>
          <w:footerReference w:type="default" r:id="rId51"/>
          <w:headerReference w:type="first" r:id="rId52"/>
          <w:footerReference w:type="first" r:id="rId53"/>
          <w:pgSz w:w="16839" w:h="11907" w:orient="landscape"/>
          <w:pgMar w:top="1134" w:right="1134" w:bottom="1134" w:left="1134" w:header="567" w:footer="567" w:gutter="0"/>
          <w:cols w:space="720"/>
          <w:docGrid w:linePitch="360"/>
        </w:sectPr>
      </w:pPr>
    </w:p>
    <w:p w14:paraId="1A3A003B" w14:textId="77777777" w:rsidR="00F65654" w:rsidRPr="00CC26EA" w:rsidRDefault="0041081E">
      <w:pPr>
        <w:pStyle w:val="ManualHeading1"/>
        <w:spacing w:before="120"/>
        <w:ind w:left="0" w:firstLine="0"/>
        <w:rPr>
          <w:noProof/>
          <w:spacing w:val="-6"/>
          <w:lang w:val="sk-SK"/>
        </w:rPr>
      </w:pPr>
      <w:r w:rsidRPr="00CC26EA">
        <w:rPr>
          <w:noProof/>
          <w:spacing w:val="-6"/>
          <w:lang w:val="sk-SK"/>
        </w:rPr>
        <w:t>D. ZLOŽKA 4: Reforma ekologických daní</w:t>
      </w:r>
    </w:p>
    <w:p w14:paraId="653C2BCF" w14:textId="12FEB7C3" w:rsidR="00CC26EA" w:rsidRPr="00CC26EA" w:rsidRDefault="0041081E">
      <w:pPr>
        <w:pStyle w:val="Text1"/>
        <w:ind w:left="0"/>
        <w:rPr>
          <w:noProof/>
          <w:spacing w:val="-6"/>
          <w:lang w:val="sk-SK"/>
        </w:rPr>
      </w:pPr>
      <w:r w:rsidRPr="00CC26EA">
        <w:rPr>
          <w:noProof/>
          <w:spacing w:val="-6"/>
          <w:lang w:val="sk-SK"/>
        </w:rPr>
        <w:t>Skleníkové plyny zo služieb</w:t>
      </w:r>
      <w:r w:rsidR="00CC26EA" w:rsidRPr="00CC26EA">
        <w:rPr>
          <w:noProof/>
          <w:spacing w:val="-6"/>
          <w:lang w:val="sk-SK"/>
        </w:rPr>
        <w:t xml:space="preserve"> a </w:t>
      </w:r>
      <w:r w:rsidRPr="00CC26EA">
        <w:rPr>
          <w:noProof/>
          <w:spacing w:val="-6"/>
          <w:lang w:val="sk-SK"/>
        </w:rPr>
        <w:t>priemyslu predstavujú približne jednu pätinu emisií Dánska. Dánsky plán obnovy poskytne finančné prostriedky na investičnú schému, ktorá uľahčí zelené</w:t>
      </w:r>
      <w:r w:rsidR="00CC26EA" w:rsidRPr="00CC26EA">
        <w:rPr>
          <w:noProof/>
          <w:spacing w:val="-6"/>
          <w:lang w:val="sk-SK"/>
        </w:rPr>
        <w:t xml:space="preserve"> a </w:t>
      </w:r>
      <w:r w:rsidRPr="00CC26EA">
        <w:rPr>
          <w:noProof/>
          <w:spacing w:val="-6"/>
          <w:lang w:val="sk-SK"/>
        </w:rPr>
        <w:t>digitálne investície. Očakáva sa, že tento systém vytvorí jasné stimuly</w:t>
      </w:r>
      <w:r w:rsidR="00CC26EA" w:rsidRPr="00CC26EA">
        <w:rPr>
          <w:noProof/>
          <w:spacing w:val="-6"/>
          <w:lang w:val="sk-SK"/>
        </w:rPr>
        <w:t xml:space="preserve"> a </w:t>
      </w:r>
      <w:r w:rsidRPr="00CC26EA">
        <w:rPr>
          <w:noProof/>
          <w:spacing w:val="-6"/>
          <w:lang w:val="sk-SK"/>
        </w:rPr>
        <w:t>umožní spoločnostiam urýchliť zelenú transformáciu výrobných kapacít, znížiť svoje emisie</w:t>
      </w:r>
      <w:r w:rsidR="00CC26EA" w:rsidRPr="00CC26EA">
        <w:rPr>
          <w:noProof/>
          <w:spacing w:val="-6"/>
          <w:lang w:val="sk-SK"/>
        </w:rPr>
        <w:t xml:space="preserve"> a </w:t>
      </w:r>
      <w:r w:rsidRPr="00CC26EA">
        <w:rPr>
          <w:noProof/>
          <w:spacing w:val="-6"/>
          <w:lang w:val="sk-SK"/>
        </w:rPr>
        <w:t>prispôsobiť sa druhej fáze daňovej reformy</w:t>
      </w:r>
      <w:r w:rsidR="00CC26EA" w:rsidRPr="00CC26EA">
        <w:rPr>
          <w:noProof/>
          <w:spacing w:val="-6"/>
          <w:lang w:val="sk-SK"/>
        </w:rPr>
        <w:t xml:space="preserve"> a </w:t>
      </w:r>
      <w:r w:rsidRPr="00CC26EA">
        <w:rPr>
          <w:noProof/>
          <w:spacing w:val="-6"/>
          <w:lang w:val="sk-SK"/>
        </w:rPr>
        <w:t>budúcej dani</w:t>
      </w:r>
      <w:r w:rsidR="00CC26EA" w:rsidRPr="00CC26EA">
        <w:rPr>
          <w:noProof/>
          <w:spacing w:val="-6"/>
          <w:lang w:val="sk-SK"/>
        </w:rPr>
        <w:t xml:space="preserve"> z </w:t>
      </w:r>
      <w:r w:rsidRPr="00CC26EA">
        <w:rPr>
          <w:noProof/>
          <w:spacing w:val="-6"/>
          <w:lang w:val="sk-SK"/>
        </w:rPr>
        <w:t>emisií uhlíka. Po ňom bude nasledovať zvýšenie daní</w:t>
      </w:r>
      <w:r w:rsidR="00CC26EA" w:rsidRPr="00CC26EA">
        <w:rPr>
          <w:noProof/>
          <w:spacing w:val="-6"/>
          <w:lang w:val="sk-SK"/>
        </w:rPr>
        <w:t xml:space="preserve"> z </w:t>
      </w:r>
      <w:r w:rsidRPr="00CC26EA">
        <w:rPr>
          <w:noProof/>
          <w:spacing w:val="-6"/>
          <w:lang w:val="sk-SK"/>
        </w:rPr>
        <w:t>energie od roku 2023, čím sa súčasné dane</w:t>
      </w:r>
      <w:r w:rsidR="00CC26EA" w:rsidRPr="00CC26EA">
        <w:rPr>
          <w:noProof/>
          <w:spacing w:val="-6"/>
          <w:lang w:val="sk-SK"/>
        </w:rPr>
        <w:t xml:space="preserve"> z </w:t>
      </w:r>
      <w:r w:rsidRPr="00CC26EA">
        <w:rPr>
          <w:noProof/>
          <w:spacing w:val="-6"/>
          <w:lang w:val="sk-SK"/>
        </w:rPr>
        <w:t>energie presmerujú na emisie CO2</w:t>
      </w:r>
      <w:r w:rsidR="00CC26EA" w:rsidRPr="00CC26EA">
        <w:rPr>
          <w:noProof/>
          <w:spacing w:val="-6"/>
          <w:lang w:val="sk-SK"/>
        </w:rPr>
        <w:t>.</w:t>
      </w:r>
    </w:p>
    <w:p w14:paraId="12448D90" w14:textId="4C59D198" w:rsidR="00F65654" w:rsidRPr="00CC26EA" w:rsidRDefault="0041081E">
      <w:pPr>
        <w:pStyle w:val="Text1"/>
        <w:ind w:left="0"/>
        <w:rPr>
          <w:noProof/>
          <w:spacing w:val="-6"/>
          <w:lang w:val="sk-SK"/>
        </w:rPr>
      </w:pPr>
      <w:r w:rsidRPr="00CC26EA">
        <w:rPr>
          <w:noProof/>
          <w:spacing w:val="-6"/>
          <w:lang w:val="sk-SK"/>
        </w:rPr>
        <w:t>Očakáva sa, že reforma zelenej dane pomôže Dánsku pri zotavovaní sa</w:t>
      </w:r>
      <w:r w:rsidR="00CC26EA" w:rsidRPr="00CC26EA">
        <w:rPr>
          <w:noProof/>
          <w:spacing w:val="-6"/>
          <w:lang w:val="sk-SK"/>
        </w:rPr>
        <w:t xml:space="preserve"> z </w:t>
      </w:r>
      <w:r w:rsidRPr="00CC26EA">
        <w:rPr>
          <w:noProof/>
          <w:spacing w:val="-6"/>
          <w:lang w:val="sk-SK"/>
        </w:rPr>
        <w:t>recesie spôsobenej ochorením COVID-19</w:t>
      </w:r>
      <w:r w:rsidR="00CC26EA" w:rsidRPr="00CC26EA">
        <w:rPr>
          <w:noProof/>
          <w:spacing w:val="-6"/>
          <w:lang w:val="sk-SK"/>
        </w:rPr>
        <w:t xml:space="preserve"> a </w:t>
      </w:r>
      <w:r w:rsidRPr="00CC26EA">
        <w:rPr>
          <w:noProof/>
          <w:spacing w:val="-6"/>
          <w:lang w:val="sk-SK"/>
        </w:rPr>
        <w:t>vytvoria sa stimuly pre spoločnosti, aby investovali do zelených</w:t>
      </w:r>
      <w:r w:rsidR="00CC26EA" w:rsidRPr="00CC26EA">
        <w:rPr>
          <w:noProof/>
          <w:spacing w:val="-6"/>
          <w:lang w:val="sk-SK"/>
        </w:rPr>
        <w:t xml:space="preserve"> a </w:t>
      </w:r>
      <w:r w:rsidRPr="00CC26EA">
        <w:rPr>
          <w:noProof/>
          <w:spacing w:val="-6"/>
          <w:lang w:val="sk-SK"/>
        </w:rPr>
        <w:t>digitálnych technológií. Očakáva sa, že to povedie</w:t>
      </w:r>
      <w:r w:rsidR="00CC26EA" w:rsidRPr="00CC26EA">
        <w:rPr>
          <w:noProof/>
          <w:spacing w:val="-6"/>
          <w:lang w:val="sk-SK"/>
        </w:rPr>
        <w:t xml:space="preserve"> k </w:t>
      </w:r>
      <w:r w:rsidRPr="00CC26EA">
        <w:rPr>
          <w:noProof/>
          <w:spacing w:val="-6"/>
          <w:lang w:val="sk-SK"/>
        </w:rPr>
        <w:t>zvýšeniu dopytu</w:t>
      </w:r>
      <w:r w:rsidR="00CC26EA" w:rsidRPr="00CC26EA">
        <w:rPr>
          <w:noProof/>
          <w:spacing w:val="-6"/>
          <w:lang w:val="sk-SK"/>
        </w:rPr>
        <w:t xml:space="preserve"> a </w:t>
      </w:r>
      <w:r w:rsidRPr="00CC26EA">
        <w:rPr>
          <w:noProof/>
          <w:spacing w:val="-6"/>
          <w:lang w:val="sk-SK"/>
        </w:rPr>
        <w:t>zvýšeniu zamestnanosti, ako aj</w:t>
      </w:r>
      <w:r w:rsidR="00CC26EA" w:rsidRPr="00CC26EA">
        <w:rPr>
          <w:noProof/>
          <w:spacing w:val="-6"/>
          <w:lang w:val="sk-SK"/>
        </w:rPr>
        <w:t xml:space="preserve"> k </w:t>
      </w:r>
      <w:r w:rsidRPr="00CC26EA">
        <w:rPr>
          <w:noProof/>
          <w:spacing w:val="-6"/>
          <w:lang w:val="sk-SK"/>
        </w:rPr>
        <w:t>zníženiu emisií skleníkových plynov</w:t>
      </w:r>
      <w:r w:rsidR="00CC26EA" w:rsidRPr="00CC26EA">
        <w:rPr>
          <w:noProof/>
          <w:spacing w:val="-6"/>
          <w:lang w:val="sk-SK"/>
        </w:rPr>
        <w:t xml:space="preserve"> a k </w:t>
      </w:r>
      <w:r w:rsidRPr="00CC26EA">
        <w:rPr>
          <w:noProof/>
          <w:spacing w:val="-6"/>
          <w:lang w:val="sk-SK"/>
        </w:rPr>
        <w:t>ďalšej digitalizácii dánskej spoločnosti. Očakáva sa, že táto zložka do roku 2030 zníži emisie skleníkových plynov</w:t>
      </w:r>
      <w:r w:rsidR="00CC26EA" w:rsidRPr="00CC26EA">
        <w:rPr>
          <w:noProof/>
          <w:spacing w:val="-6"/>
          <w:lang w:val="sk-SK"/>
        </w:rPr>
        <w:t xml:space="preserve"> o </w:t>
      </w:r>
      <w:r w:rsidRPr="00CC26EA">
        <w:rPr>
          <w:noProof/>
          <w:spacing w:val="-6"/>
          <w:lang w:val="sk-SK"/>
        </w:rPr>
        <w:t>0,5 megaton. To sa dosiahne zvýšením daní</w:t>
      </w:r>
      <w:r w:rsidR="00CC26EA" w:rsidRPr="00CC26EA">
        <w:rPr>
          <w:noProof/>
          <w:spacing w:val="-6"/>
          <w:lang w:val="sk-SK"/>
        </w:rPr>
        <w:t xml:space="preserve"> z </w:t>
      </w:r>
      <w:r w:rsidRPr="00CC26EA">
        <w:rPr>
          <w:noProof/>
          <w:spacing w:val="-6"/>
          <w:lang w:val="sk-SK"/>
        </w:rPr>
        <w:t>priemyselných procesov fosílnej energie. Počiatočné zvýšenie zdaňovania energie</w:t>
      </w:r>
      <w:r w:rsidR="00CC26EA" w:rsidRPr="00CC26EA">
        <w:rPr>
          <w:noProof/>
          <w:spacing w:val="-6"/>
          <w:lang w:val="sk-SK"/>
        </w:rPr>
        <w:t xml:space="preserve"> z </w:t>
      </w:r>
      <w:r w:rsidRPr="00CC26EA">
        <w:rPr>
          <w:noProof/>
          <w:spacing w:val="-6"/>
          <w:lang w:val="sk-SK"/>
        </w:rPr>
        <w:t>fosílnych palív musí byť priamo zamerané na obsah CO2 rôznych fosílnych palív pred tým, ako sa reforma zelenej dane presunie do druhej fázy.</w:t>
      </w:r>
      <w:r w:rsidR="00CC26EA" w:rsidRPr="00CC26EA">
        <w:rPr>
          <w:noProof/>
          <w:spacing w:val="-6"/>
          <w:lang w:val="sk-SK"/>
        </w:rPr>
        <w:t xml:space="preserve"> S </w:t>
      </w:r>
      <w:r w:rsidRPr="00CC26EA">
        <w:rPr>
          <w:noProof/>
          <w:spacing w:val="-6"/>
          <w:lang w:val="sk-SK"/>
        </w:rPr>
        <w:t>cieľom uľahčiť spoločnostiam prechod na čistú energiu, podporiť potenciál rastu</w:t>
      </w:r>
      <w:r w:rsidR="00CC26EA" w:rsidRPr="00CC26EA">
        <w:rPr>
          <w:noProof/>
          <w:spacing w:val="-6"/>
          <w:lang w:val="sk-SK"/>
        </w:rPr>
        <w:t xml:space="preserve"> a </w:t>
      </w:r>
      <w:r w:rsidRPr="00CC26EA">
        <w:rPr>
          <w:noProof/>
          <w:spacing w:val="-6"/>
          <w:lang w:val="sk-SK"/>
        </w:rPr>
        <w:t>pripraviť sa na vyššiu uhlíkovú daň znamená reforma aj zvýšené daňové odpočty pre spoločnosti, ktoré investujú do nákladov na kapacitu, ako sú technológie. Toto investičné okno nezahŕňa strojové zariadenia poháňané fosílnymi palivami</w:t>
      </w:r>
      <w:r w:rsidR="00CC26EA" w:rsidRPr="00CC26EA">
        <w:rPr>
          <w:noProof/>
          <w:spacing w:val="-6"/>
          <w:lang w:val="sk-SK"/>
        </w:rPr>
        <w:t xml:space="preserve"> s </w:t>
      </w:r>
      <w:r w:rsidRPr="00CC26EA">
        <w:rPr>
          <w:noProof/>
          <w:spacing w:val="-6"/>
          <w:lang w:val="sk-SK"/>
        </w:rPr>
        <w:t>cieľom zabezpečiť zelenú transformáciu priemyslu</w:t>
      </w:r>
      <w:r w:rsidR="00CC26EA" w:rsidRPr="00CC26EA">
        <w:rPr>
          <w:noProof/>
          <w:spacing w:val="-6"/>
          <w:lang w:val="sk-SK"/>
        </w:rPr>
        <w:t xml:space="preserve"> a </w:t>
      </w:r>
      <w:r w:rsidRPr="00CC26EA">
        <w:rPr>
          <w:noProof/>
          <w:spacing w:val="-6"/>
          <w:lang w:val="sk-SK"/>
        </w:rPr>
        <w:t>súlad so zásadou „nespôsobovať významnú škodu“. Investičné okno podporí rastový potenciál spoločností</w:t>
      </w:r>
      <w:r w:rsidR="00CC26EA" w:rsidRPr="00CC26EA">
        <w:rPr>
          <w:noProof/>
          <w:spacing w:val="-6"/>
          <w:lang w:val="sk-SK"/>
        </w:rPr>
        <w:t xml:space="preserve"> a </w:t>
      </w:r>
      <w:r w:rsidRPr="00CC26EA">
        <w:rPr>
          <w:noProof/>
          <w:spacing w:val="-6"/>
          <w:lang w:val="sk-SK"/>
        </w:rPr>
        <w:t>ich tvorbu pracovných miest</w:t>
      </w:r>
      <w:r w:rsidR="00CC26EA" w:rsidRPr="00CC26EA">
        <w:rPr>
          <w:noProof/>
          <w:spacing w:val="-6"/>
          <w:lang w:val="sk-SK"/>
        </w:rPr>
        <w:t xml:space="preserve"> a </w:t>
      </w:r>
      <w:r w:rsidRPr="00CC26EA">
        <w:rPr>
          <w:noProof/>
          <w:spacing w:val="-6"/>
          <w:lang w:val="sk-SK"/>
        </w:rPr>
        <w:t>zároveň povzbudí spoločnosti, aby investovali do nového hardvéru</w:t>
      </w:r>
      <w:r w:rsidR="00CC26EA" w:rsidRPr="00CC26EA">
        <w:rPr>
          <w:noProof/>
          <w:spacing w:val="-6"/>
          <w:lang w:val="sk-SK"/>
        </w:rPr>
        <w:t xml:space="preserve"> a </w:t>
      </w:r>
      <w:r w:rsidRPr="00CC26EA">
        <w:rPr>
          <w:noProof/>
          <w:spacing w:val="-6"/>
          <w:lang w:val="sk-SK"/>
        </w:rPr>
        <w:t>technológií, ktoré môžu znížiť emisie</w:t>
      </w:r>
      <w:r w:rsidR="00CC26EA" w:rsidRPr="00CC26EA">
        <w:rPr>
          <w:noProof/>
          <w:spacing w:val="-6"/>
          <w:lang w:val="sk-SK"/>
        </w:rPr>
        <w:t xml:space="preserve"> v </w:t>
      </w:r>
      <w:r w:rsidRPr="00CC26EA">
        <w:rPr>
          <w:noProof/>
          <w:spacing w:val="-6"/>
          <w:lang w:val="sk-SK"/>
        </w:rPr>
        <w:t>dlhodobom horizonte.</w:t>
      </w:r>
    </w:p>
    <w:p w14:paraId="6AF79398" w14:textId="38834EB7" w:rsidR="00F65654" w:rsidRPr="00CC26EA" w:rsidRDefault="0041081E">
      <w:pPr>
        <w:pStyle w:val="Text1"/>
        <w:ind w:left="0"/>
        <w:rPr>
          <w:noProof/>
          <w:spacing w:val="-6"/>
          <w:lang w:val="sk-SK"/>
        </w:rPr>
      </w:pPr>
      <w:r w:rsidRPr="00CC26EA">
        <w:rPr>
          <w:noProof/>
          <w:spacing w:val="-6"/>
          <w:lang w:val="sk-SK"/>
        </w:rPr>
        <w:t>Tieto investície</w:t>
      </w:r>
      <w:r w:rsidR="00CC26EA" w:rsidRPr="00CC26EA">
        <w:rPr>
          <w:noProof/>
          <w:spacing w:val="-6"/>
          <w:lang w:val="sk-SK"/>
        </w:rPr>
        <w:t xml:space="preserve"> a </w:t>
      </w:r>
      <w:r w:rsidRPr="00CC26EA">
        <w:rPr>
          <w:noProof/>
          <w:spacing w:val="-6"/>
          <w:lang w:val="sk-SK"/>
        </w:rPr>
        <w:t>reformy prispejú</w:t>
      </w:r>
      <w:r w:rsidR="00CC26EA" w:rsidRPr="00CC26EA">
        <w:rPr>
          <w:noProof/>
          <w:spacing w:val="-6"/>
          <w:lang w:val="sk-SK"/>
        </w:rPr>
        <w:t xml:space="preserve"> k </w:t>
      </w:r>
      <w:r w:rsidRPr="00CC26EA">
        <w:rPr>
          <w:noProof/>
          <w:spacing w:val="-6"/>
          <w:lang w:val="sk-SK"/>
        </w:rPr>
        <w:t>odporúčaniam pre jednotlivé krajiny určeným Dánsku</w:t>
      </w:r>
      <w:r w:rsidR="00CC26EA" w:rsidRPr="00CC26EA">
        <w:rPr>
          <w:noProof/>
          <w:spacing w:val="-6"/>
          <w:lang w:val="sk-SK"/>
        </w:rPr>
        <w:t xml:space="preserve"> v </w:t>
      </w:r>
      <w:r w:rsidRPr="00CC26EA">
        <w:rPr>
          <w:noProof/>
          <w:spacing w:val="-6"/>
          <w:lang w:val="sk-SK"/>
        </w:rPr>
        <w:t>roku 2020, ktoré sa týkajú potreby „</w:t>
      </w:r>
      <w:r w:rsidRPr="00CC26EA">
        <w:rPr>
          <w:i/>
          <w:noProof/>
          <w:spacing w:val="-6"/>
          <w:lang w:val="sk-SK"/>
        </w:rPr>
        <w:t>[...]</w:t>
      </w:r>
      <w:r w:rsidRPr="00CC26EA">
        <w:rPr>
          <w:noProof/>
          <w:spacing w:val="-6"/>
          <w:lang w:val="sk-SK"/>
        </w:rPr>
        <w:t xml:space="preserve"> </w:t>
      </w:r>
      <w:r w:rsidRPr="00CC26EA">
        <w:rPr>
          <w:i/>
          <w:noProof/>
          <w:spacing w:val="-6"/>
          <w:lang w:val="sk-SK"/>
        </w:rPr>
        <w:t>podporovať súkromné investície na podporu oživenia hospodárstva</w:t>
      </w:r>
      <w:r w:rsidRPr="00CC26EA">
        <w:rPr>
          <w:noProof/>
          <w:spacing w:val="-6"/>
          <w:lang w:val="sk-SK"/>
        </w:rPr>
        <w:t>“</w:t>
      </w:r>
      <w:r w:rsidR="00CC26EA" w:rsidRPr="00CC26EA">
        <w:rPr>
          <w:noProof/>
          <w:spacing w:val="-6"/>
          <w:lang w:val="sk-SK"/>
        </w:rPr>
        <w:t xml:space="preserve"> a </w:t>
      </w:r>
      <w:r w:rsidRPr="00CC26EA">
        <w:rPr>
          <w:noProof/>
          <w:spacing w:val="-6"/>
          <w:lang w:val="sk-SK"/>
        </w:rPr>
        <w:t>„</w:t>
      </w:r>
      <w:r w:rsidRPr="00CC26EA">
        <w:rPr>
          <w:i/>
          <w:noProof/>
          <w:spacing w:val="-6"/>
          <w:lang w:val="sk-SK"/>
        </w:rPr>
        <w:t>zamerať investície na zelenú</w:t>
      </w:r>
      <w:r w:rsidR="00CC26EA" w:rsidRPr="00CC26EA">
        <w:rPr>
          <w:i/>
          <w:noProof/>
          <w:spacing w:val="-6"/>
          <w:lang w:val="sk-SK"/>
        </w:rPr>
        <w:t xml:space="preserve"> a </w:t>
      </w:r>
      <w:r w:rsidRPr="00CC26EA">
        <w:rPr>
          <w:i/>
          <w:noProof/>
          <w:spacing w:val="-6"/>
          <w:lang w:val="sk-SK"/>
        </w:rPr>
        <w:t>digitálnu transformáciu [...]</w:t>
      </w:r>
      <w:r w:rsidRPr="00CC26EA">
        <w:rPr>
          <w:noProof/>
          <w:spacing w:val="-6"/>
          <w:lang w:val="sk-SK"/>
        </w:rPr>
        <w:t>“ (odporúčanie pre jednotlivé krajiny 2, 2020)</w:t>
      </w:r>
    </w:p>
    <w:p w14:paraId="36E61698" w14:textId="73E3F1EF" w:rsidR="00F65654" w:rsidRPr="00CC26EA" w:rsidRDefault="0041081E">
      <w:pPr>
        <w:pStyle w:val="Text1"/>
        <w:ind w:left="0"/>
        <w:rPr>
          <w:b/>
          <w:i/>
          <w:noProof/>
          <w:color w:val="4F81BD"/>
          <w:spacing w:val="-6"/>
          <w:lang w:val="sk-SK"/>
        </w:rPr>
      </w:pPr>
      <w:r w:rsidRPr="00CC26EA">
        <w:rPr>
          <w:b/>
          <w:noProof/>
          <w:spacing w:val="-6"/>
          <w:u w:val="single"/>
          <w:lang w:val="sk-SK"/>
        </w:rPr>
        <w:t xml:space="preserve">D.1. </w:t>
      </w:r>
      <w:r w:rsidRPr="00CC26EA">
        <w:rPr>
          <w:noProof/>
          <w:spacing w:val="-6"/>
          <w:lang w:val="sk-SK"/>
        </w:rPr>
        <w:tab/>
      </w:r>
      <w:r w:rsidRPr="00CC26EA">
        <w:rPr>
          <w:b/>
          <w:noProof/>
          <w:spacing w:val="-6"/>
          <w:u w:val="single"/>
          <w:lang w:val="sk-SK"/>
        </w:rPr>
        <w:t>Opis reforiem</w:t>
      </w:r>
      <w:r w:rsidR="00CC26EA" w:rsidRPr="00CC26EA">
        <w:rPr>
          <w:b/>
          <w:noProof/>
          <w:spacing w:val="-6"/>
          <w:u w:val="single"/>
          <w:lang w:val="sk-SK"/>
        </w:rPr>
        <w:t xml:space="preserve"> a </w:t>
      </w:r>
      <w:r w:rsidRPr="00CC26EA">
        <w:rPr>
          <w:b/>
          <w:noProof/>
          <w:spacing w:val="-6"/>
          <w:u w:val="single"/>
          <w:lang w:val="sk-SK"/>
        </w:rPr>
        <w:t>investícií</w:t>
      </w:r>
      <w:r w:rsidR="00CC26EA" w:rsidRPr="00CC26EA">
        <w:rPr>
          <w:b/>
          <w:noProof/>
          <w:spacing w:val="-6"/>
          <w:u w:val="single"/>
          <w:lang w:val="sk-SK"/>
        </w:rPr>
        <w:t xml:space="preserve"> v </w:t>
      </w:r>
      <w:r w:rsidRPr="00CC26EA">
        <w:rPr>
          <w:b/>
          <w:noProof/>
          <w:spacing w:val="-6"/>
          <w:u w:val="single"/>
          <w:lang w:val="sk-SK"/>
        </w:rPr>
        <w:t>rámci nenávratnej finančnej podpory</w:t>
      </w:r>
    </w:p>
    <w:p w14:paraId="33FDA01C" w14:textId="77777777" w:rsidR="00F65654" w:rsidRPr="00CC26EA" w:rsidRDefault="0041081E">
      <w:pPr>
        <w:pStyle w:val="P68B1DB1-Text13"/>
        <w:ind w:left="0"/>
        <w:rPr>
          <w:noProof/>
          <w:spacing w:val="-6"/>
          <w:lang w:val="sk-SK"/>
        </w:rPr>
      </w:pPr>
      <w:r w:rsidRPr="00CC26EA">
        <w:rPr>
          <w:noProof/>
          <w:spacing w:val="-6"/>
          <w:lang w:val="sk-SK"/>
        </w:rPr>
        <w:t>Investícia 1: Investičné okno</w:t>
      </w:r>
    </w:p>
    <w:p w14:paraId="20FDE704" w14:textId="689DECA7" w:rsidR="00CC26EA" w:rsidRPr="00CC26EA" w:rsidRDefault="0041081E">
      <w:pPr>
        <w:pStyle w:val="Text1"/>
        <w:ind w:left="0"/>
        <w:rPr>
          <w:noProof/>
          <w:spacing w:val="-6"/>
          <w:lang w:val="sk-SK"/>
        </w:rPr>
      </w:pPr>
      <w:r w:rsidRPr="00CC26EA">
        <w:rPr>
          <w:noProof/>
          <w:spacing w:val="-6"/>
          <w:lang w:val="sk-SK"/>
        </w:rPr>
        <w:t>Očakáva sa, že investičné okno posilní rastový potenciál spoločností</w:t>
      </w:r>
      <w:r w:rsidR="00CC26EA" w:rsidRPr="00CC26EA">
        <w:rPr>
          <w:noProof/>
          <w:spacing w:val="-6"/>
          <w:lang w:val="sk-SK"/>
        </w:rPr>
        <w:t xml:space="preserve"> a </w:t>
      </w:r>
      <w:r w:rsidRPr="00CC26EA">
        <w:rPr>
          <w:noProof/>
          <w:spacing w:val="-6"/>
          <w:lang w:val="sk-SK"/>
        </w:rPr>
        <w:t>ich tvorbu pracovných miest</w:t>
      </w:r>
      <w:r w:rsidR="00CC26EA" w:rsidRPr="00CC26EA">
        <w:rPr>
          <w:noProof/>
          <w:spacing w:val="-6"/>
          <w:lang w:val="sk-SK"/>
        </w:rPr>
        <w:t xml:space="preserve"> a </w:t>
      </w:r>
      <w:r w:rsidRPr="00CC26EA">
        <w:rPr>
          <w:noProof/>
          <w:spacing w:val="-6"/>
          <w:lang w:val="sk-SK"/>
        </w:rPr>
        <w:t>zároveň povzbudí spoločnosti, aby investovali do nového hardvéru</w:t>
      </w:r>
      <w:r w:rsidR="00CC26EA" w:rsidRPr="00CC26EA">
        <w:rPr>
          <w:noProof/>
          <w:spacing w:val="-6"/>
          <w:lang w:val="sk-SK"/>
        </w:rPr>
        <w:t xml:space="preserve"> a </w:t>
      </w:r>
      <w:r w:rsidRPr="00CC26EA">
        <w:rPr>
          <w:noProof/>
          <w:spacing w:val="-6"/>
          <w:lang w:val="sk-SK"/>
        </w:rPr>
        <w:t>technológií, ktoré môžu znížiť emisie</w:t>
      </w:r>
      <w:r w:rsidR="00CC26EA" w:rsidRPr="00CC26EA">
        <w:rPr>
          <w:noProof/>
          <w:spacing w:val="-6"/>
          <w:lang w:val="sk-SK"/>
        </w:rPr>
        <w:t xml:space="preserve"> v </w:t>
      </w:r>
      <w:r w:rsidRPr="00CC26EA">
        <w:rPr>
          <w:noProof/>
          <w:spacing w:val="-6"/>
          <w:lang w:val="sk-SK"/>
        </w:rPr>
        <w:t>dlhodobom horizonte. Daňová reforma spočíva</w:t>
      </w:r>
      <w:r w:rsidR="00CC26EA" w:rsidRPr="00CC26EA">
        <w:rPr>
          <w:noProof/>
          <w:spacing w:val="-6"/>
          <w:lang w:val="sk-SK"/>
        </w:rPr>
        <w:t xml:space="preserve"> v </w:t>
      </w:r>
      <w:r w:rsidRPr="00CC26EA">
        <w:rPr>
          <w:noProof/>
          <w:spacing w:val="-6"/>
          <w:lang w:val="sk-SK"/>
        </w:rPr>
        <w:t>dočasnom zvýšení daňových odpočtov pre spoločnosti, ktoré investujú do nákladov na kapacitu, ako sú technológie</w:t>
      </w:r>
      <w:r w:rsidR="00CC26EA" w:rsidRPr="00CC26EA">
        <w:rPr>
          <w:noProof/>
          <w:spacing w:val="-6"/>
          <w:lang w:val="sk-SK"/>
        </w:rPr>
        <w:t xml:space="preserve"> a </w:t>
      </w:r>
      <w:r w:rsidRPr="00CC26EA">
        <w:rPr>
          <w:noProof/>
          <w:spacing w:val="-6"/>
          <w:lang w:val="sk-SK"/>
        </w:rPr>
        <w:t>softvér, ktoré môžu pomôcť zvýšiť obchodné operácie</w:t>
      </w:r>
      <w:r w:rsidR="00CC26EA" w:rsidRPr="00CC26EA">
        <w:rPr>
          <w:noProof/>
          <w:spacing w:val="-6"/>
          <w:lang w:val="sk-SK"/>
        </w:rPr>
        <w:t xml:space="preserve"> a </w:t>
      </w:r>
      <w:r w:rsidRPr="00CC26EA">
        <w:rPr>
          <w:noProof/>
          <w:spacing w:val="-6"/>
          <w:lang w:val="sk-SK"/>
        </w:rPr>
        <w:t>zároveň znížiť emisie skleníkových plynov. Investičné okno nezahŕňa strojové zariadenia poháňané fosílnymi palivami</w:t>
      </w:r>
      <w:r w:rsidR="00CC26EA" w:rsidRPr="00CC26EA">
        <w:rPr>
          <w:noProof/>
          <w:spacing w:val="-6"/>
          <w:lang w:val="sk-SK"/>
        </w:rPr>
        <w:t xml:space="preserve"> s </w:t>
      </w:r>
      <w:r w:rsidRPr="00CC26EA">
        <w:rPr>
          <w:noProof/>
          <w:spacing w:val="-6"/>
          <w:lang w:val="sk-SK"/>
        </w:rPr>
        <w:t>cieľom zabezpečiť zelenú transformáciu priemyslu</w:t>
      </w:r>
      <w:r w:rsidR="00CC26EA" w:rsidRPr="00CC26EA">
        <w:rPr>
          <w:noProof/>
          <w:spacing w:val="-6"/>
          <w:lang w:val="sk-SK"/>
        </w:rPr>
        <w:t xml:space="preserve"> a </w:t>
      </w:r>
      <w:r w:rsidRPr="00CC26EA">
        <w:rPr>
          <w:noProof/>
          <w:spacing w:val="-6"/>
          <w:lang w:val="sk-SK"/>
        </w:rPr>
        <w:t>zabezpečiť súlad so zásadou „nespôsobovať významnú škodu“</w:t>
      </w:r>
      <w:r w:rsidR="00CC26EA" w:rsidRPr="00CC26EA">
        <w:rPr>
          <w:noProof/>
          <w:spacing w:val="-6"/>
          <w:lang w:val="sk-SK"/>
        </w:rPr>
        <w:t>.</w:t>
      </w:r>
    </w:p>
    <w:p w14:paraId="53E4859C" w14:textId="77777777" w:rsidR="00CC26EA" w:rsidRPr="00CC26EA" w:rsidRDefault="0041081E">
      <w:pPr>
        <w:pStyle w:val="P68B1DB1-Text13"/>
        <w:ind w:left="0"/>
        <w:rPr>
          <w:noProof/>
          <w:spacing w:val="-6"/>
          <w:lang w:val="sk-SK"/>
        </w:rPr>
      </w:pPr>
      <w:r w:rsidRPr="00CC26EA">
        <w:rPr>
          <w:noProof/>
          <w:spacing w:val="-6"/>
          <w:lang w:val="sk-SK"/>
        </w:rPr>
        <w:t>Investícia 2: Zrýchlené odpisovanie</w:t>
      </w:r>
    </w:p>
    <w:p w14:paraId="7EB56205" w14:textId="2F604C69" w:rsidR="00CC26EA" w:rsidRPr="00CC26EA" w:rsidRDefault="0041081E">
      <w:pPr>
        <w:pStyle w:val="Text1"/>
        <w:ind w:left="0"/>
        <w:rPr>
          <w:noProof/>
          <w:spacing w:val="-6"/>
          <w:lang w:val="sk-SK"/>
        </w:rPr>
      </w:pPr>
      <w:r w:rsidRPr="00CC26EA">
        <w:rPr>
          <w:noProof/>
          <w:spacing w:val="-6"/>
          <w:lang w:val="sk-SK"/>
        </w:rPr>
        <w:t>Iniciatíva predloží Dánsku odporúčania uvedené</w:t>
      </w:r>
      <w:r w:rsidR="00CC26EA" w:rsidRPr="00CC26EA">
        <w:rPr>
          <w:noProof/>
          <w:spacing w:val="-6"/>
          <w:lang w:val="sk-SK"/>
        </w:rPr>
        <w:t xml:space="preserve"> v </w:t>
      </w:r>
      <w:r w:rsidRPr="00CC26EA">
        <w:rPr>
          <w:noProof/>
          <w:spacing w:val="-6"/>
          <w:lang w:val="sk-SK"/>
        </w:rPr>
        <w:t>národnom energetickom</w:t>
      </w:r>
      <w:r w:rsidR="00CC26EA" w:rsidRPr="00CC26EA">
        <w:rPr>
          <w:noProof/>
          <w:spacing w:val="-6"/>
          <w:lang w:val="sk-SK"/>
        </w:rPr>
        <w:t xml:space="preserve"> a </w:t>
      </w:r>
      <w:r w:rsidRPr="00CC26EA">
        <w:rPr>
          <w:noProof/>
          <w:spacing w:val="-6"/>
          <w:lang w:val="sk-SK"/>
        </w:rPr>
        <w:t>klimatickom pláne, aby sa investície do zelenej</w:t>
      </w:r>
      <w:r w:rsidR="00CC26EA" w:rsidRPr="00CC26EA">
        <w:rPr>
          <w:noProof/>
          <w:spacing w:val="-6"/>
          <w:lang w:val="sk-SK"/>
        </w:rPr>
        <w:t xml:space="preserve"> a </w:t>
      </w:r>
      <w:r w:rsidRPr="00CC26EA">
        <w:rPr>
          <w:noProof/>
          <w:spacing w:val="-6"/>
          <w:lang w:val="sk-SK"/>
        </w:rPr>
        <w:t>digitálnej transformácie prednostne investovali do zelenej</w:t>
      </w:r>
      <w:r w:rsidR="00CC26EA" w:rsidRPr="00CC26EA">
        <w:rPr>
          <w:noProof/>
          <w:spacing w:val="-6"/>
          <w:lang w:val="sk-SK"/>
        </w:rPr>
        <w:t xml:space="preserve"> a </w:t>
      </w:r>
      <w:r w:rsidRPr="00CC26EA">
        <w:rPr>
          <w:noProof/>
          <w:spacing w:val="-6"/>
          <w:lang w:val="sk-SK"/>
        </w:rPr>
        <w:t>digitálnej transformácie,</w:t>
      </w:r>
      <w:r w:rsidR="00CC26EA" w:rsidRPr="00CC26EA">
        <w:rPr>
          <w:noProof/>
          <w:spacing w:val="-6"/>
          <w:lang w:val="sk-SK"/>
        </w:rPr>
        <w:t xml:space="preserve"> a </w:t>
      </w:r>
      <w:r w:rsidRPr="00CC26EA">
        <w:rPr>
          <w:noProof/>
          <w:spacing w:val="-6"/>
          <w:lang w:val="sk-SK"/>
        </w:rPr>
        <w:t>to zabezpečením spravodlivej transformácie pre najviac postihnuté spoločnosti vykonávaním reformy ekologickej dane. Podľa súčasných pravidiel sa investície spoločností do dlhodobého majetku (napríklad strojov, zariadení</w:t>
      </w:r>
      <w:r w:rsidR="00CC26EA" w:rsidRPr="00CC26EA">
        <w:rPr>
          <w:noProof/>
          <w:spacing w:val="-6"/>
          <w:lang w:val="sk-SK"/>
        </w:rPr>
        <w:t xml:space="preserve"> a </w:t>
      </w:r>
      <w:r w:rsidRPr="00CC26EA">
        <w:rPr>
          <w:noProof/>
          <w:spacing w:val="-6"/>
          <w:lang w:val="sk-SK"/>
        </w:rPr>
        <w:t>počítačového hardvéru)</w:t>
      </w:r>
      <w:r w:rsidR="00CC26EA" w:rsidRPr="00CC26EA">
        <w:rPr>
          <w:noProof/>
          <w:spacing w:val="-6"/>
          <w:lang w:val="sk-SK"/>
        </w:rPr>
        <w:t xml:space="preserve"> s </w:t>
      </w:r>
      <w:r w:rsidRPr="00CC26EA">
        <w:rPr>
          <w:noProof/>
          <w:spacing w:val="-6"/>
          <w:lang w:val="sk-SK"/>
        </w:rPr>
        <w:t>obstarávacou cenou nižšou ako 14,100 DKK môžu okamžite odpísať. Táto dolná hranica sa natrvalo zvýši na 30,000 DKK. Očakáva sa, že zvýšenie prahovej hodnoty bude fungovať ako krátkodobá stimulačná iniciatíva, keďže vytvára dodatočnú likviditu pre podniky</w:t>
      </w:r>
      <w:r w:rsidR="00CC26EA" w:rsidRPr="00CC26EA">
        <w:rPr>
          <w:noProof/>
          <w:spacing w:val="-6"/>
          <w:lang w:val="sk-SK"/>
        </w:rPr>
        <w:t xml:space="preserve"> v </w:t>
      </w:r>
      <w:r w:rsidRPr="00CC26EA">
        <w:rPr>
          <w:noProof/>
          <w:spacing w:val="-6"/>
          <w:lang w:val="sk-SK"/>
        </w:rPr>
        <w:t>prvých rokoch (kde sa všetky malé investície odpisujú</w:t>
      </w:r>
      <w:r w:rsidR="00CC26EA" w:rsidRPr="00CC26EA">
        <w:rPr>
          <w:noProof/>
          <w:spacing w:val="-6"/>
          <w:lang w:val="sk-SK"/>
        </w:rPr>
        <w:t xml:space="preserve"> o </w:t>
      </w:r>
      <w:r w:rsidRPr="00CC26EA">
        <w:rPr>
          <w:noProof/>
          <w:spacing w:val="-6"/>
          <w:lang w:val="sk-SK"/>
        </w:rPr>
        <w:t>100</w:t>
      </w:r>
      <w:r w:rsidR="00CC26EA" w:rsidRPr="00CC26EA">
        <w:rPr>
          <w:noProof/>
          <w:spacing w:val="-6"/>
          <w:lang w:val="sk-SK"/>
        </w:rPr>
        <w:t> %</w:t>
      </w:r>
      <w:r w:rsidRPr="00CC26EA">
        <w:rPr>
          <w:noProof/>
          <w:spacing w:val="-6"/>
          <w:lang w:val="sk-SK"/>
        </w:rPr>
        <w:t>), ale časom sa znižuje, keď sa budúce odpisy znížia (už sa</w:t>
      </w:r>
      <w:r w:rsidR="00CC26EA" w:rsidRPr="00CC26EA">
        <w:rPr>
          <w:noProof/>
          <w:spacing w:val="-6"/>
          <w:lang w:val="sk-SK"/>
        </w:rPr>
        <w:t xml:space="preserve"> v </w:t>
      </w:r>
      <w:r w:rsidRPr="00CC26EA">
        <w:rPr>
          <w:noProof/>
          <w:spacing w:val="-6"/>
          <w:lang w:val="sk-SK"/>
        </w:rPr>
        <w:t>roku odpisujú). Po 31. decembri 2025 môže zvýšený limit viesť</w:t>
      </w:r>
      <w:r w:rsidR="00CC26EA" w:rsidRPr="00CC26EA">
        <w:rPr>
          <w:noProof/>
          <w:spacing w:val="-6"/>
          <w:lang w:val="sk-SK"/>
        </w:rPr>
        <w:t xml:space="preserve"> k </w:t>
      </w:r>
      <w:r w:rsidRPr="00CC26EA">
        <w:rPr>
          <w:noProof/>
          <w:spacing w:val="-6"/>
          <w:lang w:val="sk-SK"/>
        </w:rPr>
        <w:t>fiškálnym stratám pre Dánsko. Tieto straty sa pokryjú znížením celkového rozpočtu na fiškálne výdavky. Očakáva sa, že zvýšenie prahovej hodnoty posilní motiváciu investovať do informačných</w:t>
      </w:r>
      <w:r w:rsidR="00CC26EA" w:rsidRPr="00CC26EA">
        <w:rPr>
          <w:noProof/>
          <w:spacing w:val="-6"/>
          <w:lang w:val="sk-SK"/>
        </w:rPr>
        <w:t xml:space="preserve"> a </w:t>
      </w:r>
      <w:r w:rsidRPr="00CC26EA">
        <w:rPr>
          <w:noProof/>
          <w:spacing w:val="-6"/>
          <w:lang w:val="sk-SK"/>
        </w:rPr>
        <w:t>komunikačných technológií,</w:t>
      </w:r>
      <w:r w:rsidR="00CC26EA" w:rsidRPr="00CC26EA">
        <w:rPr>
          <w:noProof/>
          <w:spacing w:val="-6"/>
          <w:lang w:val="sk-SK"/>
        </w:rPr>
        <w:t xml:space="preserve"> a </w:t>
      </w:r>
      <w:r w:rsidRPr="00CC26EA">
        <w:rPr>
          <w:noProof/>
          <w:spacing w:val="-6"/>
          <w:lang w:val="sk-SK"/>
        </w:rPr>
        <w:t>očakáva sa, že pomôže posilniť likviditu medzi spoločnosťami, ktoré dosahujú zisk</w:t>
      </w:r>
      <w:r w:rsidR="00CC26EA" w:rsidRPr="00CC26EA">
        <w:rPr>
          <w:noProof/>
          <w:spacing w:val="-6"/>
          <w:lang w:val="sk-SK"/>
        </w:rPr>
        <w:t>.</w:t>
      </w:r>
    </w:p>
    <w:p w14:paraId="4B8DFA1C" w14:textId="2A18AC45" w:rsidR="00F65654" w:rsidRPr="00CC26EA" w:rsidRDefault="0041081E">
      <w:pPr>
        <w:pStyle w:val="P68B1DB1-Text13"/>
        <w:ind w:left="0"/>
        <w:rPr>
          <w:noProof/>
          <w:spacing w:val="-6"/>
          <w:lang w:val="sk-SK"/>
        </w:rPr>
      </w:pPr>
      <w:r w:rsidRPr="00CC26EA">
        <w:rPr>
          <w:noProof/>
          <w:spacing w:val="-6"/>
          <w:lang w:val="sk-SK"/>
        </w:rPr>
        <w:t>Reforma 1: Expertná skupina na prípravu návrhov týkajúcich sa dane</w:t>
      </w:r>
      <w:r w:rsidR="00CC26EA" w:rsidRPr="00CC26EA">
        <w:rPr>
          <w:noProof/>
          <w:spacing w:val="-6"/>
          <w:lang w:val="sk-SK"/>
        </w:rPr>
        <w:t xml:space="preserve"> z </w:t>
      </w:r>
      <w:r w:rsidRPr="00CC26EA">
        <w:rPr>
          <w:noProof/>
          <w:spacing w:val="-6"/>
          <w:lang w:val="sk-SK"/>
        </w:rPr>
        <w:t>emisií CO2</w:t>
      </w:r>
    </w:p>
    <w:p w14:paraId="20C0E2A9" w14:textId="1FCF94D8" w:rsidR="00F65654" w:rsidRPr="00CC26EA" w:rsidRDefault="0041081E">
      <w:pPr>
        <w:pStyle w:val="Text1"/>
        <w:ind w:left="0"/>
        <w:rPr>
          <w:noProof/>
          <w:spacing w:val="-6"/>
          <w:lang w:val="sk-SK"/>
        </w:rPr>
      </w:pPr>
      <w:r w:rsidRPr="00CC26EA">
        <w:rPr>
          <w:noProof/>
          <w:spacing w:val="-6"/>
          <w:lang w:val="sk-SK"/>
        </w:rPr>
        <w:t>Na prípravu druhej fázy reformy ekologickej dane sa zriadi expertná skupina, ktorej úlohou bude vypracovať plán ďalšej fázy zdaňovania CO2e spôsobom, ktorý je</w:t>
      </w:r>
      <w:r w:rsidR="00CC26EA" w:rsidRPr="00CC26EA">
        <w:rPr>
          <w:noProof/>
          <w:spacing w:val="-6"/>
          <w:lang w:val="sk-SK"/>
        </w:rPr>
        <w:t xml:space="preserve"> v </w:t>
      </w:r>
      <w:r w:rsidRPr="00CC26EA">
        <w:rPr>
          <w:noProof/>
          <w:spacing w:val="-6"/>
          <w:lang w:val="sk-SK"/>
        </w:rPr>
        <w:t>súlade</w:t>
      </w:r>
      <w:r w:rsidR="00CC26EA" w:rsidRPr="00CC26EA">
        <w:rPr>
          <w:noProof/>
          <w:spacing w:val="-6"/>
          <w:lang w:val="sk-SK"/>
        </w:rPr>
        <w:t xml:space="preserve"> s </w:t>
      </w:r>
      <w:r w:rsidRPr="00CC26EA">
        <w:rPr>
          <w:noProof/>
          <w:spacing w:val="-6"/>
          <w:lang w:val="sk-SK"/>
        </w:rPr>
        <w:t>ochranou konkurencieschopnosti, sociálnej rovnováhy Dánska</w:t>
      </w:r>
      <w:r w:rsidR="00CC26EA" w:rsidRPr="00CC26EA">
        <w:rPr>
          <w:noProof/>
          <w:spacing w:val="-6"/>
          <w:lang w:val="sk-SK"/>
        </w:rPr>
        <w:t xml:space="preserve"> a </w:t>
      </w:r>
      <w:r w:rsidRPr="00CC26EA">
        <w:rPr>
          <w:noProof/>
          <w:spacing w:val="-6"/>
          <w:lang w:val="sk-SK"/>
        </w:rPr>
        <w:t>minimalizovaním úniku. Prispeje to ku komplexnej daňovej reforme</w:t>
      </w:r>
      <w:r w:rsidR="00CC26EA" w:rsidRPr="00CC26EA">
        <w:rPr>
          <w:noProof/>
          <w:spacing w:val="-6"/>
          <w:lang w:val="sk-SK"/>
        </w:rPr>
        <w:t xml:space="preserve"> s </w:t>
      </w:r>
      <w:r w:rsidRPr="00CC26EA">
        <w:rPr>
          <w:noProof/>
          <w:spacing w:val="-6"/>
          <w:lang w:val="sk-SK"/>
        </w:rPr>
        <w:t>vyššou</w:t>
      </w:r>
      <w:r w:rsidR="00CC26EA" w:rsidRPr="00CC26EA">
        <w:rPr>
          <w:noProof/>
          <w:spacing w:val="-6"/>
          <w:lang w:val="sk-SK"/>
        </w:rPr>
        <w:t xml:space="preserve"> a </w:t>
      </w:r>
      <w:r w:rsidRPr="00CC26EA">
        <w:rPr>
          <w:noProof/>
          <w:spacing w:val="-6"/>
          <w:lang w:val="sk-SK"/>
        </w:rPr>
        <w:t>harmonizovanou daňou</w:t>
      </w:r>
      <w:r w:rsidR="00CC26EA" w:rsidRPr="00CC26EA">
        <w:rPr>
          <w:noProof/>
          <w:spacing w:val="-6"/>
          <w:lang w:val="sk-SK"/>
        </w:rPr>
        <w:t xml:space="preserve"> z </w:t>
      </w:r>
      <w:r w:rsidRPr="00CC26EA">
        <w:rPr>
          <w:noProof/>
          <w:spacing w:val="-6"/>
          <w:lang w:val="sk-SK"/>
        </w:rPr>
        <w:t>emisií CO2 na všetky emisie. Očakáva sa, že si to bude vyžadovať ďalšie značné úsilie, najmä pokiaľ ide</w:t>
      </w:r>
      <w:r w:rsidR="00CC26EA" w:rsidRPr="00CC26EA">
        <w:rPr>
          <w:noProof/>
          <w:spacing w:val="-6"/>
          <w:lang w:val="sk-SK"/>
        </w:rPr>
        <w:t xml:space="preserve"> o </w:t>
      </w:r>
      <w:r w:rsidRPr="00CC26EA">
        <w:rPr>
          <w:noProof/>
          <w:spacing w:val="-6"/>
          <w:lang w:val="sk-SK"/>
        </w:rPr>
        <w:t>emisie, ktoré</w:t>
      </w:r>
      <w:r w:rsidR="00CC26EA" w:rsidRPr="00CC26EA">
        <w:rPr>
          <w:noProof/>
          <w:spacing w:val="-6"/>
          <w:lang w:val="sk-SK"/>
        </w:rPr>
        <w:t xml:space="preserve"> v </w:t>
      </w:r>
      <w:r w:rsidRPr="00CC26EA">
        <w:rPr>
          <w:noProof/>
          <w:spacing w:val="-6"/>
          <w:lang w:val="sk-SK"/>
        </w:rPr>
        <w:t>súčasnosti nepodliehajú dani.</w:t>
      </w:r>
    </w:p>
    <w:p w14:paraId="7BC39568" w14:textId="0A0DADB2" w:rsidR="00CC26EA" w:rsidRPr="00CC26EA" w:rsidRDefault="0041081E">
      <w:pPr>
        <w:pStyle w:val="Text1"/>
        <w:ind w:left="0"/>
        <w:rPr>
          <w:noProof/>
          <w:spacing w:val="-6"/>
          <w:lang w:val="sk-SK"/>
        </w:rPr>
      </w:pPr>
      <w:r w:rsidRPr="00CC26EA">
        <w:rPr>
          <w:noProof/>
          <w:spacing w:val="-6"/>
          <w:lang w:val="sk-SK"/>
        </w:rPr>
        <w:t>Reforma ekologickej dane povedie</w:t>
      </w:r>
      <w:r w:rsidR="00CC26EA" w:rsidRPr="00CC26EA">
        <w:rPr>
          <w:noProof/>
          <w:spacing w:val="-6"/>
          <w:lang w:val="sk-SK"/>
        </w:rPr>
        <w:t xml:space="preserve"> k </w:t>
      </w:r>
      <w:r w:rsidRPr="00CC26EA">
        <w:rPr>
          <w:noProof/>
          <w:spacing w:val="-6"/>
          <w:lang w:val="sk-SK"/>
        </w:rPr>
        <w:t>významnému nákladovo efektívnemu zníženiu emisií skleníkových plynov sociálne spravodlivým</w:t>
      </w:r>
      <w:r w:rsidR="00CC26EA" w:rsidRPr="00CC26EA">
        <w:rPr>
          <w:noProof/>
          <w:spacing w:val="-6"/>
          <w:lang w:val="sk-SK"/>
        </w:rPr>
        <w:t xml:space="preserve"> a </w:t>
      </w:r>
      <w:r w:rsidRPr="00CC26EA">
        <w:rPr>
          <w:noProof/>
          <w:spacing w:val="-6"/>
          <w:lang w:val="sk-SK"/>
        </w:rPr>
        <w:t>vyváženým spôsobom.</w:t>
      </w:r>
      <w:r w:rsidR="00CC26EA" w:rsidRPr="00CC26EA">
        <w:rPr>
          <w:noProof/>
          <w:spacing w:val="-6"/>
          <w:lang w:val="sk-SK"/>
        </w:rPr>
        <w:t xml:space="preserve"> V </w:t>
      </w:r>
      <w:r w:rsidRPr="00CC26EA">
        <w:rPr>
          <w:noProof/>
          <w:spacing w:val="-6"/>
          <w:lang w:val="sk-SK"/>
        </w:rPr>
        <w:t>tejto súvislosti sa očakáva, že dánske spoločnosti si zachovajú vysokú konkurencieschopnosť</w:t>
      </w:r>
      <w:r w:rsidR="00CC26EA" w:rsidRPr="00CC26EA">
        <w:rPr>
          <w:noProof/>
          <w:spacing w:val="-6"/>
          <w:lang w:val="sk-SK"/>
        </w:rPr>
        <w:t xml:space="preserve"> a </w:t>
      </w:r>
      <w:r w:rsidRPr="00CC26EA">
        <w:rPr>
          <w:noProof/>
          <w:spacing w:val="-6"/>
          <w:lang w:val="sk-SK"/>
        </w:rPr>
        <w:t>zabránia úniku uhlíka. Financovanie</w:t>
      </w:r>
      <w:r w:rsidR="00CC26EA" w:rsidRPr="00CC26EA">
        <w:rPr>
          <w:noProof/>
          <w:spacing w:val="-6"/>
          <w:lang w:val="sk-SK"/>
        </w:rPr>
        <w:t xml:space="preserve"> z </w:t>
      </w:r>
      <w:r w:rsidRPr="00CC26EA">
        <w:rPr>
          <w:noProof/>
          <w:spacing w:val="-6"/>
          <w:lang w:val="sk-SK"/>
        </w:rPr>
        <w:t>Mechanizmu na podporu obnovy</w:t>
      </w:r>
      <w:r w:rsidR="00CC26EA" w:rsidRPr="00CC26EA">
        <w:rPr>
          <w:noProof/>
          <w:spacing w:val="-6"/>
          <w:lang w:val="sk-SK"/>
        </w:rPr>
        <w:t xml:space="preserve"> a </w:t>
      </w:r>
      <w:r w:rsidRPr="00CC26EA">
        <w:rPr>
          <w:noProof/>
          <w:spacing w:val="-6"/>
          <w:lang w:val="sk-SK"/>
        </w:rPr>
        <w:t>odolnosti má preto zásadný význam pre zabezpečenie zelenej transformácie dánskej spoločnosti</w:t>
      </w:r>
      <w:r w:rsidR="00CC26EA" w:rsidRPr="00CC26EA">
        <w:rPr>
          <w:noProof/>
          <w:spacing w:val="-6"/>
          <w:lang w:val="sk-SK"/>
        </w:rPr>
        <w:t xml:space="preserve"> v </w:t>
      </w:r>
      <w:r w:rsidRPr="00CC26EA">
        <w:rPr>
          <w:noProof/>
          <w:spacing w:val="-6"/>
          <w:lang w:val="sk-SK"/>
        </w:rPr>
        <w:t>súlade</w:t>
      </w:r>
      <w:r w:rsidR="00CC26EA" w:rsidRPr="00CC26EA">
        <w:rPr>
          <w:noProof/>
          <w:spacing w:val="-6"/>
          <w:lang w:val="sk-SK"/>
        </w:rPr>
        <w:t xml:space="preserve"> s </w:t>
      </w:r>
      <w:r w:rsidRPr="00CC26EA">
        <w:rPr>
          <w:noProof/>
          <w:spacing w:val="-6"/>
          <w:lang w:val="sk-SK"/>
        </w:rPr>
        <w:t>Parížskou dohodou</w:t>
      </w:r>
      <w:r w:rsidR="00CC26EA" w:rsidRPr="00CC26EA">
        <w:rPr>
          <w:noProof/>
          <w:spacing w:val="-6"/>
          <w:lang w:val="sk-SK"/>
        </w:rPr>
        <w:t>.</w:t>
      </w:r>
    </w:p>
    <w:p w14:paraId="5975B973" w14:textId="11CA1CF0" w:rsidR="00F65654" w:rsidRPr="00CC26EA" w:rsidRDefault="0041081E">
      <w:pPr>
        <w:pStyle w:val="P68B1DB1-Text13"/>
        <w:ind w:left="0"/>
        <w:rPr>
          <w:noProof/>
          <w:spacing w:val="-6"/>
          <w:lang w:val="sk-SK"/>
        </w:rPr>
      </w:pPr>
      <w:r w:rsidRPr="00CC26EA">
        <w:rPr>
          <w:noProof/>
          <w:spacing w:val="-6"/>
          <w:lang w:val="sk-SK"/>
        </w:rPr>
        <w:t>Reforma 2 – Emisné dane</w:t>
      </w:r>
      <w:r w:rsidR="00CC26EA" w:rsidRPr="00CC26EA">
        <w:rPr>
          <w:noProof/>
          <w:spacing w:val="-6"/>
          <w:lang w:val="sk-SK"/>
        </w:rPr>
        <w:t xml:space="preserve"> z </w:t>
      </w:r>
      <w:r w:rsidRPr="00CC26EA">
        <w:rPr>
          <w:noProof/>
          <w:spacing w:val="-6"/>
          <w:lang w:val="sk-SK"/>
        </w:rPr>
        <w:t>priemyselných odvetví</w:t>
      </w:r>
    </w:p>
    <w:p w14:paraId="1458563C" w14:textId="4E3DFBE7" w:rsidR="00F65654" w:rsidRPr="00CC26EA" w:rsidRDefault="0041081E">
      <w:pPr>
        <w:pStyle w:val="Text1"/>
        <w:ind w:left="0"/>
        <w:rPr>
          <w:noProof/>
          <w:spacing w:val="-6"/>
          <w:lang w:val="sk-SK"/>
        </w:rPr>
      </w:pPr>
      <w:r w:rsidRPr="00CC26EA">
        <w:rPr>
          <w:noProof/>
          <w:spacing w:val="-6"/>
          <w:lang w:val="sk-SK"/>
        </w:rPr>
        <w:t>Priemyselné dane</w:t>
      </w:r>
      <w:r w:rsidR="00CC26EA" w:rsidRPr="00CC26EA">
        <w:rPr>
          <w:noProof/>
          <w:spacing w:val="-6"/>
          <w:lang w:val="sk-SK"/>
        </w:rPr>
        <w:t xml:space="preserve"> z </w:t>
      </w:r>
      <w:r w:rsidRPr="00CC26EA">
        <w:rPr>
          <w:noProof/>
          <w:spacing w:val="-6"/>
          <w:lang w:val="sk-SK"/>
        </w:rPr>
        <w:t>energie</w:t>
      </w:r>
      <w:r w:rsidR="00CC26EA" w:rsidRPr="00CC26EA">
        <w:rPr>
          <w:noProof/>
          <w:spacing w:val="-6"/>
          <w:lang w:val="sk-SK"/>
        </w:rPr>
        <w:t xml:space="preserve"> z </w:t>
      </w:r>
      <w:r w:rsidRPr="00CC26EA">
        <w:rPr>
          <w:noProof/>
          <w:spacing w:val="-6"/>
          <w:lang w:val="sk-SK"/>
        </w:rPr>
        <w:t>fosílnych palív sú pomerne nízke, takže ich zvýšenie môže priniesť nákladovo efektívne zníženie emisií skleníkových plynov. Zavedením tohto opatrenia dánska vláda zvýšila daň</w:t>
      </w:r>
      <w:r w:rsidR="00CC26EA" w:rsidRPr="00CC26EA">
        <w:rPr>
          <w:noProof/>
          <w:spacing w:val="-6"/>
          <w:lang w:val="sk-SK"/>
        </w:rPr>
        <w:t xml:space="preserve"> z </w:t>
      </w:r>
      <w:r w:rsidRPr="00CC26EA">
        <w:rPr>
          <w:noProof/>
          <w:spacing w:val="-6"/>
          <w:lang w:val="sk-SK"/>
        </w:rPr>
        <w:t>energie</w:t>
      </w:r>
      <w:r w:rsidR="00CC26EA" w:rsidRPr="00CC26EA">
        <w:rPr>
          <w:noProof/>
          <w:spacing w:val="-6"/>
          <w:lang w:val="sk-SK"/>
        </w:rPr>
        <w:t xml:space="preserve"> z </w:t>
      </w:r>
      <w:r w:rsidRPr="00CC26EA">
        <w:rPr>
          <w:noProof/>
          <w:spacing w:val="-6"/>
          <w:lang w:val="sk-SK"/>
        </w:rPr>
        <w:t>procesov</w:t>
      </w:r>
      <w:r w:rsidR="00CC26EA" w:rsidRPr="00CC26EA">
        <w:rPr>
          <w:noProof/>
          <w:spacing w:val="-6"/>
          <w:lang w:val="sk-SK"/>
        </w:rPr>
        <w:t xml:space="preserve"> o </w:t>
      </w:r>
      <w:r w:rsidRPr="00CC26EA">
        <w:rPr>
          <w:noProof/>
          <w:spacing w:val="-6"/>
          <w:lang w:val="sk-SK"/>
        </w:rPr>
        <w:t>6 DKK/GJ/aplikáciu. 100 DKK/t CO2. Tým sa zvýši zdaňovanie energie</w:t>
      </w:r>
      <w:r w:rsidR="00CC26EA" w:rsidRPr="00CC26EA">
        <w:rPr>
          <w:noProof/>
          <w:spacing w:val="-6"/>
          <w:lang w:val="sk-SK"/>
        </w:rPr>
        <w:t xml:space="preserve"> z </w:t>
      </w:r>
      <w:r w:rsidRPr="00CC26EA">
        <w:rPr>
          <w:noProof/>
          <w:spacing w:val="-6"/>
          <w:lang w:val="sk-SK"/>
        </w:rPr>
        <w:t>fosílnych palív pre všetky priemyselné odvetvia rovnako.</w:t>
      </w:r>
      <w:r w:rsidR="00CC26EA" w:rsidRPr="00CC26EA">
        <w:rPr>
          <w:noProof/>
          <w:spacing w:val="-6"/>
          <w:lang w:val="sk-SK"/>
        </w:rPr>
        <w:t xml:space="preserve"> V </w:t>
      </w:r>
      <w:r w:rsidRPr="00CC26EA">
        <w:rPr>
          <w:noProof/>
          <w:spacing w:val="-6"/>
          <w:lang w:val="sk-SK"/>
        </w:rPr>
        <w:t>dôsledku toho sa existujúce rozdiely</w:t>
      </w:r>
      <w:r w:rsidR="00CC26EA" w:rsidRPr="00CC26EA">
        <w:rPr>
          <w:noProof/>
          <w:spacing w:val="-6"/>
          <w:lang w:val="sk-SK"/>
        </w:rPr>
        <w:t xml:space="preserve"> v </w:t>
      </w:r>
      <w:r w:rsidRPr="00CC26EA">
        <w:rPr>
          <w:noProof/>
          <w:spacing w:val="-6"/>
          <w:lang w:val="sk-SK"/>
        </w:rPr>
        <w:t>sadzbách dane</w:t>
      </w:r>
      <w:r w:rsidR="00CC26EA" w:rsidRPr="00CC26EA">
        <w:rPr>
          <w:noProof/>
          <w:spacing w:val="-6"/>
          <w:lang w:val="sk-SK"/>
        </w:rPr>
        <w:t xml:space="preserve"> z </w:t>
      </w:r>
      <w:r w:rsidRPr="00CC26EA">
        <w:rPr>
          <w:noProof/>
          <w:spacing w:val="-6"/>
          <w:lang w:val="sk-SK"/>
        </w:rPr>
        <w:t>energie pre spoločnosti zachovajú</w:t>
      </w:r>
      <w:r w:rsidR="00CC26EA" w:rsidRPr="00CC26EA">
        <w:rPr>
          <w:noProof/>
          <w:spacing w:val="-6"/>
          <w:lang w:val="sk-SK"/>
        </w:rPr>
        <w:t xml:space="preserve"> v </w:t>
      </w:r>
      <w:r w:rsidRPr="00CC26EA">
        <w:rPr>
          <w:noProof/>
          <w:spacing w:val="-6"/>
          <w:lang w:val="sk-SK"/>
        </w:rPr>
        <w:t>roku 2025, ale na vyššej úrovni pre všetky odvetvia.</w:t>
      </w:r>
    </w:p>
    <w:p w14:paraId="1BF0ED07" w14:textId="77777777" w:rsidR="00F65654" w:rsidRPr="00CC26EA" w:rsidRDefault="00F65654">
      <w:pPr>
        <w:pStyle w:val="Text1"/>
        <w:ind w:left="0"/>
        <w:rPr>
          <w:noProof/>
          <w:spacing w:val="-6"/>
          <w:u w:val="single"/>
          <w:lang w:val="sk-SK"/>
        </w:rPr>
      </w:pPr>
    </w:p>
    <w:p w14:paraId="04C1E5FC" w14:textId="59CF181F" w:rsidR="00F65654" w:rsidRPr="00CC26EA" w:rsidRDefault="0041081E">
      <w:pPr>
        <w:pStyle w:val="Text1"/>
        <w:ind w:left="0"/>
        <w:rPr>
          <w:b/>
          <w:noProof/>
          <w:spacing w:val="-6"/>
          <w:u w:val="single"/>
          <w:lang w:val="sk-SK"/>
        </w:rPr>
      </w:pPr>
      <w:r w:rsidRPr="00CC26EA">
        <w:rPr>
          <w:b/>
          <w:noProof/>
          <w:spacing w:val="-6"/>
          <w:u w:val="single"/>
          <w:lang w:val="sk-SK"/>
        </w:rPr>
        <w:t xml:space="preserve">D.2. </w:t>
      </w:r>
      <w:r w:rsidRPr="00CC26EA">
        <w:rPr>
          <w:noProof/>
          <w:spacing w:val="-6"/>
          <w:lang w:val="sk-SK"/>
        </w:rPr>
        <w:tab/>
      </w:r>
      <w:r w:rsidRPr="00CC26EA">
        <w:rPr>
          <w:b/>
          <w:noProof/>
          <w:spacing w:val="-6"/>
          <w:u w:val="single"/>
          <w:lang w:val="sk-SK"/>
        </w:rPr>
        <w:t>Míľniky, ciele, ukazovatele</w:t>
      </w:r>
      <w:r w:rsidR="00CC26EA" w:rsidRPr="00CC26EA">
        <w:rPr>
          <w:b/>
          <w:noProof/>
          <w:spacing w:val="-6"/>
          <w:u w:val="single"/>
          <w:lang w:val="sk-SK"/>
        </w:rPr>
        <w:t xml:space="preserve"> a </w:t>
      </w:r>
      <w:r w:rsidRPr="00CC26EA">
        <w:rPr>
          <w:b/>
          <w:noProof/>
          <w:spacing w:val="-6"/>
          <w:u w:val="single"/>
          <w:lang w:val="sk-SK"/>
        </w:rPr>
        <w:t>harmonogram monitorovania</w:t>
      </w:r>
      <w:r w:rsidR="00CC26EA" w:rsidRPr="00CC26EA">
        <w:rPr>
          <w:b/>
          <w:noProof/>
          <w:spacing w:val="-6"/>
          <w:u w:val="single"/>
          <w:lang w:val="sk-SK"/>
        </w:rPr>
        <w:t xml:space="preserve"> a </w:t>
      </w:r>
      <w:r w:rsidRPr="00CC26EA">
        <w:rPr>
          <w:b/>
          <w:noProof/>
          <w:spacing w:val="-6"/>
          <w:u w:val="single"/>
          <w:lang w:val="sk-SK"/>
        </w:rPr>
        <w:t>realizácie pre nenávratnú finančnú podporu</w:t>
      </w:r>
    </w:p>
    <w:p w14:paraId="1DA0B01E" w14:textId="77777777" w:rsidR="00F65654" w:rsidRPr="00CC26EA" w:rsidRDefault="00F65654">
      <w:pPr>
        <w:pStyle w:val="Text1"/>
        <w:ind w:left="709"/>
        <w:rPr>
          <w:noProof/>
          <w:spacing w:val="-6"/>
          <w:lang w:val="sk-SK"/>
        </w:rPr>
        <w:sectPr w:rsidR="00F65654" w:rsidRPr="00CC26EA" w:rsidSect="00A61D33">
          <w:headerReference w:type="even" r:id="rId54"/>
          <w:headerReference w:type="default" r:id="rId55"/>
          <w:footerReference w:type="even" r:id="rId56"/>
          <w:footerReference w:type="default" r:id="rId57"/>
          <w:headerReference w:type="first" r:id="rId58"/>
          <w:footerReference w:type="first" r:id="rId59"/>
          <w:pgSz w:w="11907" w:h="16839"/>
          <w:pgMar w:top="1134" w:right="1134" w:bottom="1134" w:left="1134" w:header="567" w:footer="567" w:gutter="0"/>
          <w:cols w:space="720"/>
          <w:docGrid w:linePitch="360"/>
        </w:sectPr>
      </w:pPr>
    </w:p>
    <w:tbl>
      <w:tblPr>
        <w:tblpPr w:leftFromText="180" w:rightFromText="180" w:horzAnchor="margin" w:tblpXSpec="center" w:tblpY="-242"/>
        <w:tblW w:w="15904" w:type="dxa"/>
        <w:tblLook w:val="04A0" w:firstRow="1" w:lastRow="0" w:firstColumn="1" w:lastColumn="0" w:noHBand="0" w:noVBand="1"/>
      </w:tblPr>
      <w:tblGrid>
        <w:gridCol w:w="1242"/>
        <w:gridCol w:w="1701"/>
        <w:gridCol w:w="1418"/>
        <w:gridCol w:w="1984"/>
        <w:gridCol w:w="1907"/>
        <w:gridCol w:w="1070"/>
        <w:gridCol w:w="992"/>
        <w:gridCol w:w="1055"/>
        <w:gridCol w:w="1330"/>
        <w:gridCol w:w="785"/>
        <w:gridCol w:w="3372"/>
      </w:tblGrid>
      <w:tr w:rsidR="00F65654" w:rsidRPr="00CC26EA" w14:paraId="3CD03306" w14:textId="77777777">
        <w:trPr>
          <w:trHeight w:val="927"/>
          <w:tblHeader/>
        </w:trPr>
        <w:tc>
          <w:tcPr>
            <w:tcW w:w="124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89131E3" w14:textId="77777777" w:rsidR="00F65654" w:rsidRPr="00CC26EA" w:rsidRDefault="0041081E">
            <w:pPr>
              <w:pStyle w:val="P68B1DB1-Normal5"/>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Poradové číslo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53393C7" w14:textId="77777777" w:rsidR="00F65654" w:rsidRPr="00CC26EA" w:rsidRDefault="0041081E">
            <w:pPr>
              <w:pStyle w:val="P68B1DB1-Normal5"/>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Súvisiace opatrenie (reforma alebo investícia)</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6B9099E" w14:textId="77777777" w:rsidR="00F65654" w:rsidRPr="00CC26EA" w:rsidRDefault="0041081E">
            <w:pPr>
              <w:pStyle w:val="P68B1DB1-Normal5"/>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Míľnik/cieľ</w:t>
            </w:r>
          </w:p>
        </w:tc>
        <w:tc>
          <w:tcPr>
            <w:tcW w:w="1984" w:type="dxa"/>
            <w:vMerge w:val="restart"/>
            <w:tcBorders>
              <w:top w:val="single" w:sz="4" w:space="0" w:color="auto"/>
              <w:left w:val="nil"/>
              <w:bottom w:val="single" w:sz="4" w:space="0" w:color="000000"/>
              <w:right w:val="single" w:sz="4" w:space="0" w:color="auto"/>
            </w:tcBorders>
            <w:shd w:val="clear" w:color="auto" w:fill="BDD7EE"/>
            <w:vAlign w:val="center"/>
            <w:hideMark/>
          </w:tcPr>
          <w:p w14:paraId="53B2C172" w14:textId="77777777" w:rsidR="00F65654" w:rsidRPr="00CC26EA" w:rsidRDefault="0041081E">
            <w:pPr>
              <w:pStyle w:val="P68B1DB1-Normal5"/>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Názov</w:t>
            </w:r>
          </w:p>
        </w:tc>
        <w:tc>
          <w:tcPr>
            <w:tcW w:w="190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BB42475" w14:textId="77777777" w:rsidR="00F65654" w:rsidRPr="00CC26EA" w:rsidRDefault="0041081E">
            <w:pPr>
              <w:pStyle w:val="P68B1DB1-Normal6"/>
              <w:spacing w:after="0"/>
              <w:jc w:val="center"/>
              <w:rPr>
                <w:rFonts w:ascii="Times New Roman" w:eastAsia="Times New Roman" w:hAnsi="Times New Roman"/>
                <w:b/>
                <w:noProof/>
                <w:spacing w:val="-6"/>
                <w:lang w:val="sk-SK"/>
              </w:rPr>
            </w:pPr>
            <w:r w:rsidRPr="00CC26EA">
              <w:rPr>
                <w:rFonts w:ascii="Times New Roman" w:hAnsi="Times New Roman"/>
                <w:b/>
                <w:noProof/>
                <w:spacing w:val="-6"/>
                <w:lang w:val="sk-SK"/>
              </w:rPr>
              <w:t xml:space="preserve">Kvalitatívne ukazovatele </w:t>
            </w:r>
            <w:r w:rsidRPr="00CC26EA">
              <w:rPr>
                <w:rFonts w:ascii="Times New Roman" w:hAnsi="Times New Roman"/>
                <w:noProof/>
                <w:spacing w:val="-6"/>
                <w:lang w:val="sk-SK"/>
              </w:rPr>
              <w:t xml:space="preserve"> </w:t>
            </w:r>
            <w:r w:rsidRPr="00CC26EA">
              <w:rPr>
                <w:rFonts w:ascii="Times New Roman" w:hAnsi="Times New Roman"/>
                <w:b/>
                <w:noProof/>
                <w:spacing w:val="-6"/>
                <w:lang w:val="sk-SK"/>
              </w:rPr>
              <w:t>(pre míľniky)</w:t>
            </w:r>
          </w:p>
        </w:tc>
        <w:tc>
          <w:tcPr>
            <w:tcW w:w="3117" w:type="dxa"/>
            <w:gridSpan w:val="3"/>
            <w:tcBorders>
              <w:top w:val="single" w:sz="4" w:space="0" w:color="auto"/>
              <w:left w:val="nil"/>
              <w:bottom w:val="single" w:sz="4" w:space="0" w:color="auto"/>
              <w:right w:val="single" w:sz="4" w:space="0" w:color="auto"/>
            </w:tcBorders>
            <w:shd w:val="clear" w:color="auto" w:fill="BDD7EE"/>
            <w:vAlign w:val="center"/>
            <w:hideMark/>
          </w:tcPr>
          <w:p w14:paraId="18E76184" w14:textId="77777777" w:rsidR="00F65654" w:rsidRPr="00CC26EA" w:rsidRDefault="0041081E">
            <w:pPr>
              <w:pStyle w:val="P68B1DB1-Normal6"/>
              <w:spacing w:after="0"/>
              <w:jc w:val="center"/>
              <w:rPr>
                <w:rFonts w:ascii="Times New Roman" w:eastAsia="Times New Roman" w:hAnsi="Times New Roman"/>
                <w:b/>
                <w:noProof/>
                <w:spacing w:val="-6"/>
                <w:lang w:val="sk-SK"/>
              </w:rPr>
            </w:pPr>
            <w:r w:rsidRPr="00CC26EA">
              <w:rPr>
                <w:rFonts w:ascii="Times New Roman" w:hAnsi="Times New Roman"/>
                <w:b/>
                <w:noProof/>
                <w:spacing w:val="-6"/>
                <w:lang w:val="sk-SK"/>
              </w:rPr>
              <w:t xml:space="preserve">Kvantitatívne ukazovatele </w:t>
            </w:r>
            <w:r w:rsidRPr="00CC26EA">
              <w:rPr>
                <w:rFonts w:ascii="Times New Roman" w:hAnsi="Times New Roman"/>
                <w:noProof/>
                <w:spacing w:val="-6"/>
                <w:lang w:val="sk-SK"/>
              </w:rPr>
              <w:t xml:space="preserve"> </w:t>
            </w:r>
            <w:r w:rsidRPr="00CC26EA">
              <w:rPr>
                <w:rFonts w:ascii="Times New Roman" w:hAnsi="Times New Roman"/>
                <w:b/>
                <w:noProof/>
                <w:spacing w:val="-6"/>
                <w:lang w:val="sk-SK"/>
              </w:rPr>
              <w:t>(pre ciele)</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14:paraId="7F94C397" w14:textId="77777777" w:rsidR="00F65654" w:rsidRPr="00CC26EA" w:rsidRDefault="0041081E">
            <w:pPr>
              <w:pStyle w:val="P68B1DB1-Normal5"/>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Orientačný harmonogram splnenia </w:t>
            </w:r>
          </w:p>
        </w:tc>
        <w:tc>
          <w:tcPr>
            <w:tcW w:w="337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920725E" w14:textId="23BC656A" w:rsidR="00F65654" w:rsidRPr="00CC26EA" w:rsidRDefault="0041081E">
            <w:pPr>
              <w:pStyle w:val="P68B1DB1-Normal5"/>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Opis každého míľnika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cieľa</w:t>
            </w:r>
          </w:p>
        </w:tc>
      </w:tr>
      <w:tr w:rsidR="00F65654" w:rsidRPr="00CC26EA" w14:paraId="79611732" w14:textId="77777777">
        <w:trPr>
          <w:trHeight w:val="1013"/>
          <w:tblHeader/>
        </w:trPr>
        <w:tc>
          <w:tcPr>
            <w:tcW w:w="1242" w:type="dxa"/>
            <w:vMerge/>
            <w:tcBorders>
              <w:top w:val="single" w:sz="4" w:space="0" w:color="auto"/>
              <w:left w:val="single" w:sz="4" w:space="0" w:color="auto"/>
              <w:bottom w:val="single" w:sz="4" w:space="0" w:color="000000"/>
              <w:right w:val="single" w:sz="4" w:space="0" w:color="auto"/>
            </w:tcBorders>
            <w:vAlign w:val="center"/>
            <w:hideMark/>
          </w:tcPr>
          <w:p w14:paraId="1A4253D6" w14:textId="77777777" w:rsidR="00F65654" w:rsidRPr="00CC26EA" w:rsidRDefault="00F65654">
            <w:pPr>
              <w:spacing w:after="0"/>
              <w:rPr>
                <w:rFonts w:ascii="Times New Roman" w:eastAsia="Times New Roman" w:hAnsi="Times New Roman"/>
                <w:b/>
                <w:noProof/>
                <w:spacing w:val="-6"/>
                <w:sz w:val="20"/>
                <w:lang w:val="sk-SK"/>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D96E65F" w14:textId="77777777" w:rsidR="00F65654" w:rsidRPr="00CC26EA" w:rsidRDefault="00F65654">
            <w:pPr>
              <w:spacing w:after="0"/>
              <w:rPr>
                <w:rFonts w:ascii="Times New Roman" w:eastAsia="Times New Roman" w:hAnsi="Times New Roman"/>
                <w:b/>
                <w:noProof/>
                <w:spacing w:val="-6"/>
                <w:sz w:val="20"/>
                <w:lang w:val="sk-SK"/>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110BC1B" w14:textId="77777777" w:rsidR="00F65654" w:rsidRPr="00CC26EA" w:rsidRDefault="00F65654">
            <w:pPr>
              <w:spacing w:after="0"/>
              <w:rPr>
                <w:rFonts w:ascii="Times New Roman" w:eastAsia="Times New Roman" w:hAnsi="Times New Roman"/>
                <w:b/>
                <w:noProof/>
                <w:spacing w:val="-6"/>
                <w:sz w:val="20"/>
                <w:lang w:val="sk-SK"/>
              </w:rPr>
            </w:pPr>
          </w:p>
        </w:tc>
        <w:tc>
          <w:tcPr>
            <w:tcW w:w="1984" w:type="dxa"/>
            <w:vMerge/>
            <w:tcBorders>
              <w:top w:val="single" w:sz="4" w:space="0" w:color="auto"/>
              <w:left w:val="nil"/>
              <w:bottom w:val="single" w:sz="4" w:space="0" w:color="000000"/>
              <w:right w:val="single" w:sz="4" w:space="0" w:color="auto"/>
            </w:tcBorders>
            <w:vAlign w:val="center"/>
            <w:hideMark/>
          </w:tcPr>
          <w:p w14:paraId="1A0D1960" w14:textId="77777777" w:rsidR="00F65654" w:rsidRPr="00CC26EA" w:rsidRDefault="00F65654">
            <w:pPr>
              <w:spacing w:after="0"/>
              <w:rPr>
                <w:rFonts w:ascii="Times New Roman" w:eastAsia="Times New Roman" w:hAnsi="Times New Roman"/>
                <w:b/>
                <w:noProof/>
                <w:spacing w:val="-6"/>
                <w:sz w:val="20"/>
                <w:lang w:val="sk-SK"/>
              </w:rPr>
            </w:pPr>
          </w:p>
        </w:tc>
        <w:tc>
          <w:tcPr>
            <w:tcW w:w="1907" w:type="dxa"/>
            <w:vMerge/>
            <w:tcBorders>
              <w:top w:val="single" w:sz="4" w:space="0" w:color="auto"/>
              <w:left w:val="single" w:sz="4" w:space="0" w:color="auto"/>
              <w:bottom w:val="single" w:sz="4" w:space="0" w:color="000000"/>
              <w:right w:val="single" w:sz="4" w:space="0" w:color="auto"/>
            </w:tcBorders>
            <w:vAlign w:val="center"/>
            <w:hideMark/>
          </w:tcPr>
          <w:p w14:paraId="039328E2" w14:textId="77777777" w:rsidR="00F65654" w:rsidRPr="00CC26EA" w:rsidRDefault="00F65654">
            <w:pPr>
              <w:spacing w:after="0"/>
              <w:rPr>
                <w:rFonts w:ascii="Times New Roman" w:eastAsia="Times New Roman" w:hAnsi="Times New Roman"/>
                <w:b/>
                <w:noProof/>
                <w:spacing w:val="-6"/>
                <w:sz w:val="20"/>
                <w:lang w:val="sk-SK"/>
              </w:rPr>
            </w:pPr>
          </w:p>
        </w:tc>
        <w:tc>
          <w:tcPr>
            <w:tcW w:w="1070" w:type="dxa"/>
            <w:tcBorders>
              <w:top w:val="nil"/>
              <w:left w:val="nil"/>
              <w:bottom w:val="single" w:sz="4" w:space="0" w:color="auto"/>
              <w:right w:val="single" w:sz="4" w:space="0" w:color="auto"/>
            </w:tcBorders>
            <w:shd w:val="clear" w:color="auto" w:fill="BDD7EE"/>
            <w:vAlign w:val="center"/>
            <w:hideMark/>
          </w:tcPr>
          <w:p w14:paraId="3F9411A3" w14:textId="77777777" w:rsidR="00F65654" w:rsidRPr="00CC26EA" w:rsidRDefault="0041081E">
            <w:pPr>
              <w:pStyle w:val="P68B1DB1-Normal5"/>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Merná jednotka</w:t>
            </w:r>
          </w:p>
        </w:tc>
        <w:tc>
          <w:tcPr>
            <w:tcW w:w="992" w:type="dxa"/>
            <w:tcBorders>
              <w:top w:val="nil"/>
              <w:left w:val="nil"/>
              <w:bottom w:val="single" w:sz="4" w:space="0" w:color="auto"/>
              <w:right w:val="single" w:sz="4" w:space="0" w:color="auto"/>
            </w:tcBorders>
            <w:shd w:val="clear" w:color="auto" w:fill="BDD7EE"/>
            <w:vAlign w:val="center"/>
            <w:hideMark/>
          </w:tcPr>
          <w:p w14:paraId="2E756226" w14:textId="77777777" w:rsidR="00F65654" w:rsidRPr="00CC26EA" w:rsidRDefault="0041081E">
            <w:pPr>
              <w:pStyle w:val="P68B1DB1-Normal5"/>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Základná </w:t>
            </w:r>
          </w:p>
        </w:tc>
        <w:tc>
          <w:tcPr>
            <w:tcW w:w="1055" w:type="dxa"/>
            <w:tcBorders>
              <w:top w:val="nil"/>
              <w:left w:val="nil"/>
              <w:bottom w:val="single" w:sz="4" w:space="0" w:color="auto"/>
              <w:right w:val="single" w:sz="4" w:space="0" w:color="auto"/>
            </w:tcBorders>
            <w:shd w:val="clear" w:color="auto" w:fill="BDD7EE"/>
            <w:vAlign w:val="center"/>
            <w:hideMark/>
          </w:tcPr>
          <w:p w14:paraId="68430DAA" w14:textId="77777777" w:rsidR="00F65654" w:rsidRPr="00CC26EA" w:rsidRDefault="0041081E">
            <w:pPr>
              <w:pStyle w:val="P68B1DB1-Normal5"/>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Cieľ </w:t>
            </w:r>
          </w:p>
        </w:tc>
        <w:tc>
          <w:tcPr>
            <w:tcW w:w="916" w:type="dxa"/>
            <w:tcBorders>
              <w:top w:val="nil"/>
              <w:left w:val="nil"/>
              <w:bottom w:val="single" w:sz="4" w:space="0" w:color="auto"/>
              <w:right w:val="single" w:sz="4" w:space="0" w:color="auto"/>
            </w:tcBorders>
            <w:shd w:val="clear" w:color="auto" w:fill="BDD7EE"/>
            <w:vAlign w:val="center"/>
            <w:hideMark/>
          </w:tcPr>
          <w:p w14:paraId="6F7025FF" w14:textId="77777777" w:rsidR="00F65654" w:rsidRPr="00CC26EA" w:rsidRDefault="0041081E">
            <w:pPr>
              <w:pStyle w:val="P68B1DB1-Normal5"/>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Štvrťrok</w:t>
            </w:r>
          </w:p>
        </w:tc>
        <w:tc>
          <w:tcPr>
            <w:tcW w:w="785" w:type="dxa"/>
            <w:tcBorders>
              <w:top w:val="nil"/>
              <w:left w:val="nil"/>
              <w:bottom w:val="single" w:sz="4" w:space="0" w:color="auto"/>
              <w:right w:val="single" w:sz="4" w:space="0" w:color="auto"/>
            </w:tcBorders>
            <w:shd w:val="clear" w:color="auto" w:fill="BDD7EE"/>
            <w:vAlign w:val="center"/>
            <w:hideMark/>
          </w:tcPr>
          <w:p w14:paraId="3C6E8F6A" w14:textId="77777777" w:rsidR="00F65654" w:rsidRPr="00CC26EA" w:rsidRDefault="0041081E">
            <w:pPr>
              <w:pStyle w:val="P68B1DB1-Normal5"/>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Rok</w:t>
            </w:r>
          </w:p>
        </w:tc>
        <w:tc>
          <w:tcPr>
            <w:tcW w:w="3372" w:type="dxa"/>
            <w:vMerge/>
            <w:tcBorders>
              <w:top w:val="single" w:sz="4" w:space="0" w:color="auto"/>
              <w:left w:val="single" w:sz="4" w:space="0" w:color="auto"/>
              <w:bottom w:val="single" w:sz="4" w:space="0" w:color="auto"/>
              <w:right w:val="single" w:sz="4" w:space="0" w:color="auto"/>
            </w:tcBorders>
            <w:vAlign w:val="center"/>
            <w:hideMark/>
          </w:tcPr>
          <w:p w14:paraId="78809F02" w14:textId="77777777" w:rsidR="00F65654" w:rsidRPr="00CC26EA" w:rsidRDefault="00F65654">
            <w:pPr>
              <w:spacing w:after="0"/>
              <w:rPr>
                <w:rFonts w:ascii="Times New Roman" w:eastAsia="Times New Roman" w:hAnsi="Times New Roman"/>
                <w:b/>
                <w:noProof/>
                <w:spacing w:val="-6"/>
                <w:sz w:val="20"/>
                <w:lang w:val="sk-SK"/>
              </w:rPr>
            </w:pPr>
          </w:p>
        </w:tc>
      </w:tr>
      <w:tr w:rsidR="00F65654" w:rsidRPr="00CC26EA" w14:paraId="2B5FEB2B" w14:textId="77777777">
        <w:trPr>
          <w:trHeight w:val="309"/>
        </w:trPr>
        <w:tc>
          <w:tcPr>
            <w:tcW w:w="1242" w:type="dxa"/>
            <w:tcBorders>
              <w:top w:val="nil"/>
              <w:left w:val="single" w:sz="4" w:space="0" w:color="auto"/>
              <w:bottom w:val="single" w:sz="4" w:space="0" w:color="auto"/>
              <w:right w:val="single" w:sz="4" w:space="0" w:color="auto"/>
            </w:tcBorders>
            <w:shd w:val="clear" w:color="auto" w:fill="C6EFCE"/>
            <w:noWrap/>
          </w:tcPr>
          <w:p w14:paraId="1CC3C297"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31</w:t>
            </w:r>
          </w:p>
        </w:tc>
        <w:tc>
          <w:tcPr>
            <w:tcW w:w="1701" w:type="dxa"/>
            <w:tcBorders>
              <w:top w:val="nil"/>
              <w:left w:val="nil"/>
              <w:bottom w:val="single" w:sz="4" w:space="0" w:color="auto"/>
              <w:right w:val="single" w:sz="4" w:space="0" w:color="auto"/>
            </w:tcBorders>
            <w:shd w:val="clear" w:color="auto" w:fill="C6EFCE"/>
            <w:noWrap/>
          </w:tcPr>
          <w:p w14:paraId="1D0CE436"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4 – Reforma zelených daní – investičné okno </w:t>
            </w:r>
          </w:p>
        </w:tc>
        <w:tc>
          <w:tcPr>
            <w:tcW w:w="1418" w:type="dxa"/>
            <w:tcBorders>
              <w:top w:val="nil"/>
              <w:left w:val="nil"/>
              <w:bottom w:val="single" w:sz="4" w:space="0" w:color="auto"/>
              <w:right w:val="single" w:sz="4" w:space="0" w:color="auto"/>
            </w:tcBorders>
            <w:shd w:val="clear" w:color="auto" w:fill="C6EFCE"/>
            <w:noWrap/>
          </w:tcPr>
          <w:p w14:paraId="129BBECA"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984" w:type="dxa"/>
            <w:tcBorders>
              <w:top w:val="nil"/>
              <w:left w:val="nil"/>
              <w:bottom w:val="single" w:sz="4" w:space="0" w:color="auto"/>
              <w:right w:val="single" w:sz="4" w:space="0" w:color="auto"/>
            </w:tcBorders>
            <w:shd w:val="clear" w:color="auto" w:fill="C6EFCE"/>
            <w:noWrap/>
          </w:tcPr>
          <w:p w14:paraId="7BF316AF" w14:textId="35E6A3EC"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Dánsky parlament prijal politickú dohodu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investičnom okne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začali sa príslušné legislatívne postupy</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Parlamente.</w:t>
            </w:r>
          </w:p>
        </w:tc>
        <w:tc>
          <w:tcPr>
            <w:tcW w:w="1907" w:type="dxa"/>
            <w:tcBorders>
              <w:top w:val="nil"/>
              <w:left w:val="nil"/>
              <w:bottom w:val="single" w:sz="4" w:space="0" w:color="auto"/>
              <w:right w:val="single" w:sz="4" w:space="0" w:color="auto"/>
            </w:tcBorders>
            <w:shd w:val="clear" w:color="auto" w:fill="C6EFCE"/>
            <w:noWrap/>
          </w:tcPr>
          <w:p w14:paraId="37BA2678" w14:textId="59324F9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Politická dohoda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reforme ekologickej dane vrátane investičného okna je podpísaná</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uverejnená na webovej stránke ministerstva daní.</w:t>
            </w:r>
          </w:p>
        </w:tc>
        <w:tc>
          <w:tcPr>
            <w:tcW w:w="1070" w:type="dxa"/>
            <w:tcBorders>
              <w:top w:val="nil"/>
              <w:left w:val="nil"/>
              <w:bottom w:val="single" w:sz="4" w:space="0" w:color="auto"/>
              <w:right w:val="single" w:sz="4" w:space="0" w:color="auto"/>
            </w:tcBorders>
            <w:shd w:val="clear" w:color="auto" w:fill="C6EFCE"/>
            <w:noWrap/>
          </w:tcPr>
          <w:p w14:paraId="7B629CD6"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92" w:type="dxa"/>
            <w:tcBorders>
              <w:top w:val="nil"/>
              <w:left w:val="nil"/>
              <w:bottom w:val="single" w:sz="4" w:space="0" w:color="auto"/>
              <w:right w:val="single" w:sz="4" w:space="0" w:color="auto"/>
            </w:tcBorders>
            <w:shd w:val="clear" w:color="auto" w:fill="C6EFCE"/>
            <w:noWrap/>
          </w:tcPr>
          <w:p w14:paraId="1127B661"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55" w:type="dxa"/>
            <w:tcBorders>
              <w:top w:val="nil"/>
              <w:left w:val="nil"/>
              <w:bottom w:val="single" w:sz="4" w:space="0" w:color="auto"/>
              <w:right w:val="single" w:sz="4" w:space="0" w:color="auto"/>
            </w:tcBorders>
            <w:shd w:val="clear" w:color="auto" w:fill="C6EFCE"/>
            <w:noWrap/>
          </w:tcPr>
          <w:p w14:paraId="3B8C6BCC"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16" w:type="dxa"/>
            <w:tcBorders>
              <w:top w:val="nil"/>
              <w:left w:val="nil"/>
              <w:bottom w:val="single" w:sz="4" w:space="0" w:color="auto"/>
              <w:right w:val="single" w:sz="4" w:space="0" w:color="auto"/>
            </w:tcBorders>
            <w:shd w:val="clear" w:color="auto" w:fill="C6EFCE"/>
            <w:noWrap/>
          </w:tcPr>
          <w:p w14:paraId="151052AB"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785" w:type="dxa"/>
            <w:tcBorders>
              <w:top w:val="nil"/>
              <w:left w:val="nil"/>
              <w:bottom w:val="single" w:sz="4" w:space="0" w:color="auto"/>
              <w:right w:val="single" w:sz="4" w:space="0" w:color="auto"/>
            </w:tcBorders>
            <w:shd w:val="clear" w:color="auto" w:fill="C6EFCE"/>
            <w:noWrap/>
          </w:tcPr>
          <w:p w14:paraId="2E4030A1"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2020</w:t>
            </w:r>
          </w:p>
        </w:tc>
        <w:tc>
          <w:tcPr>
            <w:tcW w:w="3372" w:type="dxa"/>
            <w:tcBorders>
              <w:top w:val="nil"/>
              <w:left w:val="nil"/>
              <w:bottom w:val="single" w:sz="4" w:space="0" w:color="auto"/>
              <w:right w:val="single" w:sz="4" w:space="0" w:color="auto"/>
            </w:tcBorders>
            <w:shd w:val="clear" w:color="auto" w:fill="C6EFCE"/>
            <w:noWrap/>
            <w:vAlign w:val="center"/>
          </w:tcPr>
          <w:p w14:paraId="6F966767" w14:textId="2D50219D"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Väčšina dánskeho parlamentu dosiahla dohodu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reforme ekologickej dane vrátane investičného okna.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Parlamente sa začali príslušné legislatívne postupy.</w:t>
            </w:r>
          </w:p>
          <w:p w14:paraId="7809CF3A" w14:textId="60460EFD"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V dánskom kontexte politické dohody zvyčajne odrážajú kľúčové kroky pri tvorbe politiky aj</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prípade rozsiahlych opatrení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zvyčajne poskytujú dostatočnú záruku, že sa opatrenia vykonajú. Zabezpečujú predvídateľnosť, stabilitu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efektívnosť pri tvorbe politík</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zaväzujú strany počas niekoľkých volebných období.</w:t>
            </w:r>
          </w:p>
        </w:tc>
      </w:tr>
      <w:tr w:rsidR="00F65654" w:rsidRPr="00CC26EA" w14:paraId="680B6D21" w14:textId="77777777">
        <w:trPr>
          <w:trHeight w:val="309"/>
        </w:trPr>
        <w:tc>
          <w:tcPr>
            <w:tcW w:w="1242" w:type="dxa"/>
            <w:tcBorders>
              <w:top w:val="nil"/>
              <w:left w:val="single" w:sz="4" w:space="0" w:color="auto"/>
              <w:bottom w:val="single" w:sz="4" w:space="0" w:color="auto"/>
              <w:right w:val="single" w:sz="4" w:space="0" w:color="auto"/>
            </w:tcBorders>
            <w:shd w:val="clear" w:color="auto" w:fill="C6EFCE"/>
            <w:noWrap/>
          </w:tcPr>
          <w:p w14:paraId="19CD9748"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32</w:t>
            </w:r>
          </w:p>
        </w:tc>
        <w:tc>
          <w:tcPr>
            <w:tcW w:w="1701" w:type="dxa"/>
            <w:tcBorders>
              <w:top w:val="nil"/>
              <w:left w:val="nil"/>
              <w:bottom w:val="single" w:sz="4" w:space="0" w:color="auto"/>
              <w:right w:val="single" w:sz="4" w:space="0" w:color="auto"/>
            </w:tcBorders>
            <w:shd w:val="clear" w:color="auto" w:fill="C6EFCE"/>
            <w:noWrap/>
          </w:tcPr>
          <w:p w14:paraId="7F3163A5"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4 – Reforma zelených daní – investičné okno </w:t>
            </w:r>
          </w:p>
        </w:tc>
        <w:tc>
          <w:tcPr>
            <w:tcW w:w="1418" w:type="dxa"/>
            <w:tcBorders>
              <w:top w:val="nil"/>
              <w:left w:val="nil"/>
              <w:bottom w:val="single" w:sz="4" w:space="0" w:color="auto"/>
              <w:right w:val="single" w:sz="4" w:space="0" w:color="auto"/>
            </w:tcBorders>
            <w:shd w:val="clear" w:color="auto" w:fill="C6EFCE"/>
            <w:noWrap/>
          </w:tcPr>
          <w:p w14:paraId="24C89D84"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984" w:type="dxa"/>
            <w:tcBorders>
              <w:top w:val="nil"/>
              <w:left w:val="nil"/>
              <w:bottom w:val="single" w:sz="4" w:space="0" w:color="auto"/>
              <w:right w:val="single" w:sz="4" w:space="0" w:color="auto"/>
            </w:tcBorders>
            <w:shd w:val="clear" w:color="auto" w:fill="C6EFCE"/>
            <w:noWrap/>
          </w:tcPr>
          <w:p w14:paraId="3F4F8C12" w14:textId="4A084836"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Návrh zákona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reforme ekologickej dane vrátane investičného okna prijíma dánsky parlament</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iniciatíva nadobúda účinnosť.</w:t>
            </w:r>
          </w:p>
        </w:tc>
        <w:tc>
          <w:tcPr>
            <w:tcW w:w="1907" w:type="dxa"/>
            <w:tcBorders>
              <w:top w:val="nil"/>
              <w:left w:val="nil"/>
              <w:bottom w:val="single" w:sz="4" w:space="0" w:color="auto"/>
              <w:right w:val="single" w:sz="4" w:space="0" w:color="auto"/>
            </w:tcBorders>
            <w:shd w:val="clear" w:color="auto" w:fill="C6EFCE"/>
            <w:noWrap/>
          </w:tcPr>
          <w:p w14:paraId="69BD7470" w14:textId="02A9F4DF"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Zákon</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reforme ekologickej dane vrátane investičného okna je prijatý</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nadobúda účinnosť.</w:t>
            </w:r>
          </w:p>
        </w:tc>
        <w:tc>
          <w:tcPr>
            <w:tcW w:w="1070" w:type="dxa"/>
            <w:tcBorders>
              <w:top w:val="nil"/>
              <w:left w:val="nil"/>
              <w:bottom w:val="single" w:sz="4" w:space="0" w:color="auto"/>
              <w:right w:val="single" w:sz="4" w:space="0" w:color="auto"/>
            </w:tcBorders>
            <w:shd w:val="clear" w:color="auto" w:fill="C6EFCE"/>
            <w:noWrap/>
          </w:tcPr>
          <w:p w14:paraId="2428EE17" w14:textId="77777777" w:rsidR="00F65654" w:rsidRPr="00CC26EA" w:rsidRDefault="00F65654">
            <w:pPr>
              <w:rPr>
                <w:rFonts w:ascii="Times New Roman" w:eastAsia="Times New Roman" w:hAnsi="Times New Roman"/>
                <w:noProof/>
                <w:color w:val="006100"/>
                <w:spacing w:val="-6"/>
                <w:lang w:val="sk-SK"/>
              </w:rPr>
            </w:pPr>
          </w:p>
        </w:tc>
        <w:tc>
          <w:tcPr>
            <w:tcW w:w="992" w:type="dxa"/>
            <w:tcBorders>
              <w:top w:val="nil"/>
              <w:left w:val="nil"/>
              <w:bottom w:val="single" w:sz="4" w:space="0" w:color="auto"/>
              <w:right w:val="single" w:sz="4" w:space="0" w:color="auto"/>
            </w:tcBorders>
            <w:shd w:val="clear" w:color="auto" w:fill="C6EFCE"/>
            <w:noWrap/>
          </w:tcPr>
          <w:p w14:paraId="5142B66E" w14:textId="77777777" w:rsidR="00F65654" w:rsidRPr="00CC26EA" w:rsidRDefault="00F65654">
            <w:pPr>
              <w:rPr>
                <w:rFonts w:ascii="Times New Roman" w:eastAsia="Times New Roman" w:hAnsi="Times New Roman"/>
                <w:noProof/>
                <w:color w:val="006100"/>
                <w:spacing w:val="-6"/>
                <w:lang w:val="sk-SK"/>
              </w:rPr>
            </w:pPr>
          </w:p>
        </w:tc>
        <w:tc>
          <w:tcPr>
            <w:tcW w:w="1055" w:type="dxa"/>
            <w:tcBorders>
              <w:top w:val="nil"/>
              <w:left w:val="nil"/>
              <w:bottom w:val="single" w:sz="4" w:space="0" w:color="auto"/>
              <w:right w:val="single" w:sz="4" w:space="0" w:color="auto"/>
            </w:tcBorders>
            <w:shd w:val="clear" w:color="auto" w:fill="C6EFCE"/>
            <w:noWrap/>
          </w:tcPr>
          <w:p w14:paraId="075D7E25" w14:textId="77777777" w:rsidR="00F65654" w:rsidRPr="00CC26EA" w:rsidRDefault="00F65654">
            <w:pPr>
              <w:rPr>
                <w:rFonts w:ascii="Times New Roman" w:eastAsia="Times New Roman" w:hAnsi="Times New Roman"/>
                <w:noProof/>
                <w:color w:val="006100"/>
                <w:spacing w:val="-6"/>
                <w:lang w:val="sk-SK"/>
              </w:rPr>
            </w:pPr>
          </w:p>
        </w:tc>
        <w:tc>
          <w:tcPr>
            <w:tcW w:w="916" w:type="dxa"/>
            <w:tcBorders>
              <w:top w:val="nil"/>
              <w:left w:val="nil"/>
              <w:bottom w:val="single" w:sz="4" w:space="0" w:color="auto"/>
              <w:right w:val="single" w:sz="4" w:space="0" w:color="auto"/>
            </w:tcBorders>
            <w:shd w:val="clear" w:color="auto" w:fill="C6EFCE"/>
            <w:noWrap/>
          </w:tcPr>
          <w:p w14:paraId="28BCFF4D"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OTÁZKA 2</w:t>
            </w:r>
          </w:p>
        </w:tc>
        <w:tc>
          <w:tcPr>
            <w:tcW w:w="785" w:type="dxa"/>
            <w:tcBorders>
              <w:top w:val="nil"/>
              <w:left w:val="nil"/>
              <w:bottom w:val="single" w:sz="4" w:space="0" w:color="auto"/>
              <w:right w:val="single" w:sz="4" w:space="0" w:color="auto"/>
            </w:tcBorders>
            <w:shd w:val="clear" w:color="auto" w:fill="C6EFCE"/>
            <w:noWrap/>
          </w:tcPr>
          <w:p w14:paraId="759AE6BD"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3372" w:type="dxa"/>
            <w:tcBorders>
              <w:top w:val="nil"/>
              <w:left w:val="nil"/>
              <w:bottom w:val="single" w:sz="4" w:space="0" w:color="auto"/>
              <w:right w:val="single" w:sz="4" w:space="0" w:color="auto"/>
            </w:tcBorders>
            <w:shd w:val="clear" w:color="auto" w:fill="C6EFCE"/>
            <w:noWrap/>
            <w:vAlign w:val="center"/>
          </w:tcPr>
          <w:p w14:paraId="5292E296" w14:textId="126C2D9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Návrh zákona prijal dánsky parlament</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nadobudol účinnosť</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apríli 2021. Investičné okno je účinné od 23</w:t>
            </w:r>
            <w:r w:rsidR="00CC26EA" w:rsidRPr="00CC26EA">
              <w:rPr>
                <w:rFonts w:ascii="Times New Roman" w:hAnsi="Times New Roman"/>
                <w:noProof/>
                <w:spacing w:val="-6"/>
                <w:lang w:val="sk-SK"/>
              </w:rPr>
              <w:t>. novembra</w:t>
            </w:r>
            <w:r w:rsidRPr="00CC26EA">
              <w:rPr>
                <w:rFonts w:ascii="Times New Roman" w:hAnsi="Times New Roman"/>
                <w:noProof/>
                <w:spacing w:val="-6"/>
                <w:lang w:val="sk-SK"/>
              </w:rPr>
              <w:t xml:space="preserve"> 2020.</w:t>
            </w:r>
          </w:p>
        </w:tc>
      </w:tr>
      <w:tr w:rsidR="00F65654" w:rsidRPr="00CC26EA" w14:paraId="48105D5D" w14:textId="77777777">
        <w:trPr>
          <w:trHeight w:val="309"/>
        </w:trPr>
        <w:tc>
          <w:tcPr>
            <w:tcW w:w="1242" w:type="dxa"/>
            <w:tcBorders>
              <w:top w:val="nil"/>
              <w:left w:val="single" w:sz="4" w:space="0" w:color="auto"/>
              <w:bottom w:val="single" w:sz="4" w:space="0" w:color="auto"/>
              <w:right w:val="single" w:sz="4" w:space="0" w:color="auto"/>
            </w:tcBorders>
            <w:shd w:val="clear" w:color="auto" w:fill="C6EFCE"/>
            <w:noWrap/>
          </w:tcPr>
          <w:p w14:paraId="1966869F"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33</w:t>
            </w:r>
          </w:p>
        </w:tc>
        <w:tc>
          <w:tcPr>
            <w:tcW w:w="1701" w:type="dxa"/>
            <w:tcBorders>
              <w:top w:val="nil"/>
              <w:left w:val="nil"/>
              <w:bottom w:val="single" w:sz="4" w:space="0" w:color="auto"/>
              <w:right w:val="single" w:sz="4" w:space="0" w:color="auto"/>
            </w:tcBorders>
            <w:shd w:val="clear" w:color="auto" w:fill="C6EFCE"/>
            <w:noWrap/>
          </w:tcPr>
          <w:p w14:paraId="0D47505D"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4 – Reforma zelených daní – investičné okno </w:t>
            </w:r>
          </w:p>
        </w:tc>
        <w:tc>
          <w:tcPr>
            <w:tcW w:w="1418" w:type="dxa"/>
            <w:tcBorders>
              <w:top w:val="nil"/>
              <w:left w:val="nil"/>
              <w:bottom w:val="single" w:sz="4" w:space="0" w:color="auto"/>
              <w:right w:val="single" w:sz="4" w:space="0" w:color="auto"/>
            </w:tcBorders>
            <w:shd w:val="clear" w:color="auto" w:fill="C6EFCE"/>
            <w:noWrap/>
          </w:tcPr>
          <w:p w14:paraId="03E2C805"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Cieľ</w:t>
            </w:r>
          </w:p>
        </w:tc>
        <w:tc>
          <w:tcPr>
            <w:tcW w:w="1984" w:type="dxa"/>
            <w:tcBorders>
              <w:top w:val="nil"/>
              <w:left w:val="nil"/>
              <w:bottom w:val="single" w:sz="4" w:space="0" w:color="auto"/>
              <w:right w:val="single" w:sz="4" w:space="0" w:color="auto"/>
            </w:tcBorders>
            <w:shd w:val="clear" w:color="auto" w:fill="C6EFCE"/>
            <w:noWrap/>
          </w:tcPr>
          <w:p w14:paraId="2E201F31"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1000 spoločností využilo daňový odpočet poskytnutý investičným oknom </w:t>
            </w:r>
          </w:p>
        </w:tc>
        <w:tc>
          <w:tcPr>
            <w:tcW w:w="1907" w:type="dxa"/>
            <w:tcBorders>
              <w:top w:val="nil"/>
              <w:left w:val="nil"/>
              <w:bottom w:val="single" w:sz="4" w:space="0" w:color="auto"/>
              <w:right w:val="single" w:sz="4" w:space="0" w:color="auto"/>
            </w:tcBorders>
            <w:shd w:val="clear" w:color="auto" w:fill="C6EFCE"/>
            <w:noWrap/>
          </w:tcPr>
          <w:p w14:paraId="21595732" w14:textId="77777777" w:rsidR="00F65654" w:rsidRPr="00CC26EA" w:rsidRDefault="00F65654">
            <w:pPr>
              <w:rPr>
                <w:rFonts w:ascii="Times New Roman" w:eastAsia="Times New Roman" w:hAnsi="Times New Roman"/>
                <w:noProof/>
                <w:color w:val="006100"/>
                <w:spacing w:val="-6"/>
                <w:lang w:val="sk-SK"/>
              </w:rPr>
            </w:pPr>
          </w:p>
        </w:tc>
        <w:tc>
          <w:tcPr>
            <w:tcW w:w="1070" w:type="dxa"/>
            <w:tcBorders>
              <w:top w:val="nil"/>
              <w:left w:val="nil"/>
              <w:bottom w:val="single" w:sz="4" w:space="0" w:color="auto"/>
              <w:right w:val="single" w:sz="4" w:space="0" w:color="auto"/>
            </w:tcBorders>
            <w:shd w:val="clear" w:color="auto" w:fill="C6EFCE"/>
            <w:noWrap/>
          </w:tcPr>
          <w:p w14:paraId="7B72DC12"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Počet</w:t>
            </w:r>
          </w:p>
        </w:tc>
        <w:tc>
          <w:tcPr>
            <w:tcW w:w="992" w:type="dxa"/>
            <w:tcBorders>
              <w:top w:val="nil"/>
              <w:left w:val="nil"/>
              <w:bottom w:val="single" w:sz="4" w:space="0" w:color="auto"/>
              <w:right w:val="single" w:sz="4" w:space="0" w:color="auto"/>
            </w:tcBorders>
            <w:shd w:val="clear" w:color="auto" w:fill="C6EFCE"/>
            <w:noWrap/>
          </w:tcPr>
          <w:p w14:paraId="0071A69D"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0</w:t>
            </w:r>
          </w:p>
        </w:tc>
        <w:tc>
          <w:tcPr>
            <w:tcW w:w="1055" w:type="dxa"/>
            <w:tcBorders>
              <w:top w:val="nil"/>
              <w:left w:val="nil"/>
              <w:bottom w:val="single" w:sz="4" w:space="0" w:color="auto"/>
              <w:right w:val="single" w:sz="4" w:space="0" w:color="auto"/>
            </w:tcBorders>
            <w:shd w:val="clear" w:color="auto" w:fill="C6EFCE"/>
            <w:noWrap/>
          </w:tcPr>
          <w:p w14:paraId="2311831E"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1 000</w:t>
            </w:r>
          </w:p>
        </w:tc>
        <w:tc>
          <w:tcPr>
            <w:tcW w:w="916" w:type="dxa"/>
            <w:tcBorders>
              <w:top w:val="nil"/>
              <w:left w:val="nil"/>
              <w:bottom w:val="single" w:sz="4" w:space="0" w:color="auto"/>
              <w:right w:val="single" w:sz="4" w:space="0" w:color="auto"/>
            </w:tcBorders>
            <w:shd w:val="clear" w:color="auto" w:fill="C6EFCE"/>
            <w:noWrap/>
          </w:tcPr>
          <w:p w14:paraId="71DFE492"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OTÁZKA 2</w:t>
            </w:r>
          </w:p>
        </w:tc>
        <w:tc>
          <w:tcPr>
            <w:tcW w:w="785" w:type="dxa"/>
            <w:tcBorders>
              <w:top w:val="nil"/>
              <w:left w:val="nil"/>
              <w:bottom w:val="single" w:sz="4" w:space="0" w:color="auto"/>
              <w:right w:val="single" w:sz="4" w:space="0" w:color="auto"/>
            </w:tcBorders>
            <w:shd w:val="clear" w:color="auto" w:fill="C6EFCE"/>
            <w:noWrap/>
          </w:tcPr>
          <w:p w14:paraId="3550B61B"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2024</w:t>
            </w:r>
          </w:p>
        </w:tc>
        <w:tc>
          <w:tcPr>
            <w:tcW w:w="3372" w:type="dxa"/>
            <w:tcBorders>
              <w:top w:val="nil"/>
              <w:left w:val="nil"/>
              <w:bottom w:val="single" w:sz="4" w:space="0" w:color="auto"/>
              <w:right w:val="single" w:sz="4" w:space="0" w:color="auto"/>
            </w:tcBorders>
            <w:shd w:val="clear" w:color="auto" w:fill="C6EFCE"/>
            <w:noWrap/>
            <w:vAlign w:val="center"/>
          </w:tcPr>
          <w:p w14:paraId="7466EBD1" w14:textId="5A75FA0B"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 je splnený, keď 1000 spoločností využilo daňový odpočet poskytnutý investičným oknom.</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výpisu údajov vyplýva, že minimálne 1000 spoločností využilo daňový odpočet poskytnutý investičným oknom.    Všetky spoločnosti sú oprávnené požiadať</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daňové odpočty</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rámci stanovených kritérií.</w:t>
            </w:r>
          </w:p>
          <w:p w14:paraId="2B71B21B" w14:textId="77777777" w:rsidR="00F65654" w:rsidRPr="00CC26EA" w:rsidRDefault="00F65654">
            <w:pPr>
              <w:rPr>
                <w:rFonts w:ascii="Times New Roman" w:eastAsia="Times New Roman" w:hAnsi="Times New Roman"/>
                <w:noProof/>
                <w:color w:val="006100"/>
                <w:spacing w:val="-6"/>
                <w:lang w:val="sk-SK"/>
              </w:rPr>
            </w:pPr>
          </w:p>
          <w:p w14:paraId="43CA6EFB" w14:textId="77777777" w:rsidR="00F65654" w:rsidRPr="00CC26EA" w:rsidRDefault="00F65654">
            <w:pPr>
              <w:rPr>
                <w:rFonts w:ascii="Times New Roman" w:eastAsia="Times New Roman" w:hAnsi="Times New Roman"/>
                <w:noProof/>
                <w:color w:val="006100"/>
                <w:spacing w:val="-6"/>
                <w:lang w:val="sk-SK"/>
              </w:rPr>
            </w:pPr>
          </w:p>
        </w:tc>
      </w:tr>
      <w:tr w:rsidR="00F65654" w:rsidRPr="00CC26EA" w14:paraId="64D8909A" w14:textId="77777777">
        <w:trPr>
          <w:trHeight w:val="309"/>
        </w:trPr>
        <w:tc>
          <w:tcPr>
            <w:tcW w:w="1242" w:type="dxa"/>
            <w:tcBorders>
              <w:top w:val="nil"/>
              <w:left w:val="single" w:sz="4" w:space="0" w:color="auto"/>
              <w:bottom w:val="single" w:sz="4" w:space="0" w:color="auto"/>
              <w:right w:val="single" w:sz="4" w:space="0" w:color="auto"/>
            </w:tcBorders>
            <w:shd w:val="clear" w:color="auto" w:fill="C6EFCE"/>
            <w:noWrap/>
          </w:tcPr>
          <w:p w14:paraId="36DA8BE2"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34</w:t>
            </w:r>
          </w:p>
        </w:tc>
        <w:tc>
          <w:tcPr>
            <w:tcW w:w="1701" w:type="dxa"/>
            <w:tcBorders>
              <w:top w:val="nil"/>
              <w:left w:val="nil"/>
              <w:bottom w:val="single" w:sz="4" w:space="0" w:color="auto"/>
              <w:right w:val="single" w:sz="4" w:space="0" w:color="auto"/>
            </w:tcBorders>
            <w:shd w:val="clear" w:color="auto" w:fill="C6EFCE"/>
            <w:noWrap/>
          </w:tcPr>
          <w:p w14:paraId="7935216F"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4 – Reforma ekologických daní – Zrýchlené odpisovanie</w:t>
            </w:r>
          </w:p>
        </w:tc>
        <w:tc>
          <w:tcPr>
            <w:tcW w:w="1418" w:type="dxa"/>
            <w:tcBorders>
              <w:top w:val="nil"/>
              <w:left w:val="nil"/>
              <w:bottom w:val="single" w:sz="4" w:space="0" w:color="auto"/>
              <w:right w:val="single" w:sz="4" w:space="0" w:color="auto"/>
            </w:tcBorders>
            <w:shd w:val="clear" w:color="auto" w:fill="C6EFCE"/>
            <w:noWrap/>
          </w:tcPr>
          <w:p w14:paraId="06509258"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984" w:type="dxa"/>
            <w:tcBorders>
              <w:top w:val="nil"/>
              <w:left w:val="nil"/>
              <w:bottom w:val="single" w:sz="4" w:space="0" w:color="auto"/>
              <w:right w:val="single" w:sz="4" w:space="0" w:color="auto"/>
            </w:tcBorders>
            <w:shd w:val="clear" w:color="auto" w:fill="C6EFCE"/>
            <w:noWrap/>
          </w:tcPr>
          <w:p w14:paraId="5C0AE68D" w14:textId="12C56AE3"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Dánsky parlament prijal politickú dohodu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zrýchlenom odpisovaní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začali sa príslušné legislatívne postupy</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parlamente.</w:t>
            </w:r>
          </w:p>
        </w:tc>
        <w:tc>
          <w:tcPr>
            <w:tcW w:w="1907" w:type="dxa"/>
            <w:tcBorders>
              <w:top w:val="nil"/>
              <w:left w:val="nil"/>
              <w:bottom w:val="single" w:sz="4" w:space="0" w:color="auto"/>
              <w:right w:val="single" w:sz="4" w:space="0" w:color="auto"/>
            </w:tcBorders>
            <w:shd w:val="clear" w:color="auto" w:fill="C6EFCE"/>
            <w:noWrap/>
          </w:tcPr>
          <w:p w14:paraId="293B8BFC" w14:textId="7F028849"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Politická dohoda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reforme ekologickej dane vrátane zrýchleného odpisovania je podpísaná</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uverejnená na webovej stránke ministerstva daní.</w:t>
            </w:r>
          </w:p>
        </w:tc>
        <w:tc>
          <w:tcPr>
            <w:tcW w:w="1070" w:type="dxa"/>
            <w:tcBorders>
              <w:top w:val="nil"/>
              <w:left w:val="nil"/>
              <w:bottom w:val="single" w:sz="4" w:space="0" w:color="auto"/>
              <w:right w:val="single" w:sz="4" w:space="0" w:color="auto"/>
            </w:tcBorders>
            <w:shd w:val="clear" w:color="auto" w:fill="C6EFCE"/>
            <w:noWrap/>
          </w:tcPr>
          <w:p w14:paraId="6C761770"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92" w:type="dxa"/>
            <w:tcBorders>
              <w:top w:val="nil"/>
              <w:left w:val="nil"/>
              <w:bottom w:val="single" w:sz="4" w:space="0" w:color="auto"/>
              <w:right w:val="single" w:sz="4" w:space="0" w:color="auto"/>
            </w:tcBorders>
            <w:shd w:val="clear" w:color="auto" w:fill="C6EFCE"/>
            <w:noWrap/>
          </w:tcPr>
          <w:p w14:paraId="096E1C2D"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55" w:type="dxa"/>
            <w:tcBorders>
              <w:top w:val="nil"/>
              <w:left w:val="nil"/>
              <w:bottom w:val="single" w:sz="4" w:space="0" w:color="auto"/>
              <w:right w:val="single" w:sz="4" w:space="0" w:color="auto"/>
            </w:tcBorders>
            <w:shd w:val="clear" w:color="auto" w:fill="C6EFCE"/>
            <w:noWrap/>
          </w:tcPr>
          <w:p w14:paraId="603BA0D2"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16" w:type="dxa"/>
            <w:tcBorders>
              <w:top w:val="nil"/>
              <w:left w:val="nil"/>
              <w:bottom w:val="single" w:sz="4" w:space="0" w:color="auto"/>
              <w:right w:val="single" w:sz="4" w:space="0" w:color="auto"/>
            </w:tcBorders>
            <w:shd w:val="clear" w:color="auto" w:fill="C6EFCE"/>
            <w:noWrap/>
          </w:tcPr>
          <w:p w14:paraId="6A957426"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785" w:type="dxa"/>
            <w:tcBorders>
              <w:top w:val="nil"/>
              <w:left w:val="nil"/>
              <w:bottom w:val="single" w:sz="4" w:space="0" w:color="auto"/>
              <w:right w:val="single" w:sz="4" w:space="0" w:color="auto"/>
            </w:tcBorders>
            <w:shd w:val="clear" w:color="auto" w:fill="C6EFCE"/>
            <w:noWrap/>
          </w:tcPr>
          <w:p w14:paraId="0295CA2C"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2020</w:t>
            </w:r>
          </w:p>
        </w:tc>
        <w:tc>
          <w:tcPr>
            <w:tcW w:w="3372" w:type="dxa"/>
            <w:tcBorders>
              <w:top w:val="nil"/>
              <w:left w:val="nil"/>
              <w:bottom w:val="single" w:sz="4" w:space="0" w:color="auto"/>
              <w:right w:val="single" w:sz="4" w:space="0" w:color="auto"/>
            </w:tcBorders>
            <w:shd w:val="clear" w:color="auto" w:fill="C6EFCE"/>
            <w:noWrap/>
          </w:tcPr>
          <w:p w14:paraId="4779B0D5" w14:textId="3460006D"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Väčšina dánskeho parlamentu dosiahla dohodu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reforme ekologických daní vrátane zrýchleného odpisovania.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Parlamente sa začali príslušné legislatívne postupy.</w:t>
            </w:r>
          </w:p>
          <w:p w14:paraId="2281B3B9" w14:textId="267B0BF0"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V Parlamente sa začali príslušné legislatívne postupy.</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dánskom kontexte politické dohody zvyčajne odrážajú kľúčové kroky pri tvorbe politiky aj</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prípade rozsiahlych opatrení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zvyčajne poskytujú dostatočnú záruku, že sa opatrenia vykonajú. Zabezpečujú predvídateľnosť, stabilitu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efektívnosť pri tvorbe politík</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zaväzujú strany počas niekoľkých volebných období.</w:t>
            </w:r>
          </w:p>
        </w:tc>
      </w:tr>
      <w:tr w:rsidR="00F65654" w:rsidRPr="00CC26EA" w14:paraId="77FD7895" w14:textId="77777777">
        <w:trPr>
          <w:trHeight w:val="309"/>
        </w:trPr>
        <w:tc>
          <w:tcPr>
            <w:tcW w:w="1242" w:type="dxa"/>
            <w:tcBorders>
              <w:top w:val="nil"/>
              <w:left w:val="single" w:sz="4" w:space="0" w:color="auto"/>
              <w:bottom w:val="single" w:sz="4" w:space="0" w:color="auto"/>
              <w:right w:val="single" w:sz="4" w:space="0" w:color="auto"/>
            </w:tcBorders>
            <w:shd w:val="clear" w:color="auto" w:fill="C6EFCE"/>
            <w:noWrap/>
          </w:tcPr>
          <w:p w14:paraId="63306053"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35</w:t>
            </w:r>
          </w:p>
        </w:tc>
        <w:tc>
          <w:tcPr>
            <w:tcW w:w="1701" w:type="dxa"/>
            <w:tcBorders>
              <w:top w:val="nil"/>
              <w:left w:val="nil"/>
              <w:bottom w:val="single" w:sz="4" w:space="0" w:color="auto"/>
              <w:right w:val="single" w:sz="4" w:space="0" w:color="auto"/>
            </w:tcBorders>
            <w:shd w:val="clear" w:color="auto" w:fill="C6EFCE"/>
            <w:noWrap/>
          </w:tcPr>
          <w:p w14:paraId="51EC3E12"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4 – Reforma ekologických daní – Zrýchlené odpisovanie</w:t>
            </w:r>
          </w:p>
        </w:tc>
        <w:tc>
          <w:tcPr>
            <w:tcW w:w="1418" w:type="dxa"/>
            <w:tcBorders>
              <w:top w:val="nil"/>
              <w:left w:val="nil"/>
              <w:bottom w:val="single" w:sz="4" w:space="0" w:color="auto"/>
              <w:right w:val="single" w:sz="4" w:space="0" w:color="auto"/>
            </w:tcBorders>
            <w:shd w:val="clear" w:color="auto" w:fill="C6EFCE"/>
            <w:noWrap/>
          </w:tcPr>
          <w:p w14:paraId="6F162449"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984" w:type="dxa"/>
            <w:tcBorders>
              <w:top w:val="nil"/>
              <w:left w:val="nil"/>
              <w:bottom w:val="single" w:sz="4" w:space="0" w:color="auto"/>
              <w:right w:val="single" w:sz="4" w:space="0" w:color="auto"/>
            </w:tcBorders>
            <w:shd w:val="clear" w:color="auto" w:fill="C6EFCE"/>
            <w:noWrap/>
          </w:tcPr>
          <w:p w14:paraId="3F7AE600" w14:textId="795FFE31"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Významná etapa 2: Návrh zákona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reforme ekologickej dane vrátane zrýchleného odpisovania prijíma dánsky parlament</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iniciatíva nadobúda účinnosť.</w:t>
            </w:r>
          </w:p>
        </w:tc>
        <w:tc>
          <w:tcPr>
            <w:tcW w:w="1907" w:type="dxa"/>
            <w:tcBorders>
              <w:top w:val="nil"/>
              <w:left w:val="nil"/>
              <w:bottom w:val="single" w:sz="4" w:space="0" w:color="auto"/>
              <w:right w:val="single" w:sz="4" w:space="0" w:color="auto"/>
            </w:tcBorders>
            <w:shd w:val="clear" w:color="auto" w:fill="C6EFCE"/>
            <w:noWrap/>
          </w:tcPr>
          <w:p w14:paraId="68D673FA" w14:textId="227C88AA"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Zákon</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reforme ekologickej dane vrátane zrýchleného odpisovania sa prijíma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nadobúda účinnosť.</w:t>
            </w:r>
          </w:p>
        </w:tc>
        <w:tc>
          <w:tcPr>
            <w:tcW w:w="1070" w:type="dxa"/>
            <w:tcBorders>
              <w:top w:val="nil"/>
              <w:left w:val="nil"/>
              <w:bottom w:val="single" w:sz="4" w:space="0" w:color="auto"/>
              <w:right w:val="single" w:sz="4" w:space="0" w:color="auto"/>
            </w:tcBorders>
            <w:shd w:val="clear" w:color="auto" w:fill="C6EFCE"/>
            <w:noWrap/>
          </w:tcPr>
          <w:p w14:paraId="062C1FD5" w14:textId="77777777" w:rsidR="00F65654" w:rsidRPr="00CC26EA" w:rsidRDefault="00F65654">
            <w:pPr>
              <w:rPr>
                <w:rFonts w:ascii="Times New Roman" w:eastAsia="Times New Roman" w:hAnsi="Times New Roman"/>
                <w:noProof/>
                <w:color w:val="006100"/>
                <w:spacing w:val="-6"/>
                <w:lang w:val="sk-SK"/>
              </w:rPr>
            </w:pPr>
          </w:p>
        </w:tc>
        <w:tc>
          <w:tcPr>
            <w:tcW w:w="992" w:type="dxa"/>
            <w:tcBorders>
              <w:top w:val="nil"/>
              <w:left w:val="nil"/>
              <w:bottom w:val="single" w:sz="4" w:space="0" w:color="auto"/>
              <w:right w:val="single" w:sz="4" w:space="0" w:color="auto"/>
            </w:tcBorders>
            <w:shd w:val="clear" w:color="auto" w:fill="C6EFCE"/>
            <w:noWrap/>
          </w:tcPr>
          <w:p w14:paraId="65CDD1F8" w14:textId="77777777" w:rsidR="00F65654" w:rsidRPr="00CC26EA" w:rsidRDefault="00F65654">
            <w:pPr>
              <w:rPr>
                <w:rFonts w:ascii="Times New Roman" w:eastAsia="Times New Roman" w:hAnsi="Times New Roman"/>
                <w:noProof/>
                <w:color w:val="006100"/>
                <w:spacing w:val="-6"/>
                <w:lang w:val="sk-SK"/>
              </w:rPr>
            </w:pPr>
          </w:p>
        </w:tc>
        <w:tc>
          <w:tcPr>
            <w:tcW w:w="1055" w:type="dxa"/>
            <w:tcBorders>
              <w:top w:val="nil"/>
              <w:left w:val="nil"/>
              <w:bottom w:val="single" w:sz="4" w:space="0" w:color="auto"/>
              <w:right w:val="single" w:sz="4" w:space="0" w:color="auto"/>
            </w:tcBorders>
            <w:shd w:val="clear" w:color="auto" w:fill="C6EFCE"/>
            <w:noWrap/>
          </w:tcPr>
          <w:p w14:paraId="23FCFBA6" w14:textId="77777777" w:rsidR="00F65654" w:rsidRPr="00CC26EA" w:rsidRDefault="00F65654">
            <w:pPr>
              <w:rPr>
                <w:rFonts w:ascii="Times New Roman" w:eastAsia="Times New Roman" w:hAnsi="Times New Roman"/>
                <w:noProof/>
                <w:color w:val="006100"/>
                <w:spacing w:val="-6"/>
                <w:lang w:val="sk-SK"/>
              </w:rPr>
            </w:pPr>
          </w:p>
        </w:tc>
        <w:tc>
          <w:tcPr>
            <w:tcW w:w="916" w:type="dxa"/>
            <w:tcBorders>
              <w:top w:val="nil"/>
              <w:left w:val="nil"/>
              <w:bottom w:val="single" w:sz="4" w:space="0" w:color="auto"/>
              <w:right w:val="single" w:sz="4" w:space="0" w:color="auto"/>
            </w:tcBorders>
            <w:shd w:val="clear" w:color="auto" w:fill="C6EFCE"/>
            <w:noWrap/>
          </w:tcPr>
          <w:p w14:paraId="3B4EE001"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OTÁZKA 2</w:t>
            </w:r>
          </w:p>
        </w:tc>
        <w:tc>
          <w:tcPr>
            <w:tcW w:w="785" w:type="dxa"/>
            <w:tcBorders>
              <w:top w:val="nil"/>
              <w:left w:val="nil"/>
              <w:bottom w:val="single" w:sz="4" w:space="0" w:color="auto"/>
              <w:right w:val="single" w:sz="4" w:space="0" w:color="auto"/>
            </w:tcBorders>
            <w:shd w:val="clear" w:color="auto" w:fill="C6EFCE"/>
            <w:noWrap/>
          </w:tcPr>
          <w:p w14:paraId="5BF451E4"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3372" w:type="dxa"/>
            <w:tcBorders>
              <w:top w:val="nil"/>
              <w:left w:val="nil"/>
              <w:bottom w:val="single" w:sz="4" w:space="0" w:color="auto"/>
              <w:right w:val="single" w:sz="4" w:space="0" w:color="auto"/>
            </w:tcBorders>
            <w:shd w:val="clear" w:color="auto" w:fill="C6EFCE"/>
            <w:noWrap/>
          </w:tcPr>
          <w:p w14:paraId="46F67543" w14:textId="2046E83F"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Dánsky parlament prijme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apríli 2021 návrh zákona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reforme ekologickej dane vrátane zrýchleného odpisovania.  Zrýchlené odpisovanie sa uplatňuje na aktíva nakúpené 23</w:t>
            </w:r>
            <w:r w:rsidR="00CC26EA" w:rsidRPr="00CC26EA">
              <w:rPr>
                <w:rFonts w:ascii="Times New Roman" w:hAnsi="Times New Roman"/>
                <w:noProof/>
                <w:spacing w:val="-6"/>
                <w:lang w:val="sk-SK"/>
              </w:rPr>
              <w:t>. novembra</w:t>
            </w:r>
            <w:r w:rsidRPr="00CC26EA">
              <w:rPr>
                <w:rFonts w:ascii="Times New Roman" w:hAnsi="Times New Roman"/>
                <w:noProof/>
                <w:spacing w:val="-6"/>
                <w:lang w:val="sk-SK"/>
              </w:rPr>
              <w:t xml:space="preserve"> 2020 alebo neskôr. </w:t>
            </w:r>
          </w:p>
        </w:tc>
      </w:tr>
      <w:tr w:rsidR="00F65654" w:rsidRPr="00CC26EA" w14:paraId="1843825C" w14:textId="77777777">
        <w:trPr>
          <w:trHeight w:val="309"/>
        </w:trPr>
        <w:tc>
          <w:tcPr>
            <w:tcW w:w="1242" w:type="dxa"/>
            <w:tcBorders>
              <w:top w:val="nil"/>
              <w:left w:val="single" w:sz="4" w:space="0" w:color="auto"/>
              <w:bottom w:val="single" w:sz="4" w:space="0" w:color="auto"/>
              <w:right w:val="single" w:sz="4" w:space="0" w:color="auto"/>
            </w:tcBorders>
            <w:shd w:val="clear" w:color="auto" w:fill="C6EFCE"/>
            <w:noWrap/>
          </w:tcPr>
          <w:p w14:paraId="5207E5E3"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36</w:t>
            </w:r>
          </w:p>
        </w:tc>
        <w:tc>
          <w:tcPr>
            <w:tcW w:w="1701" w:type="dxa"/>
            <w:tcBorders>
              <w:top w:val="nil"/>
              <w:left w:val="nil"/>
              <w:bottom w:val="single" w:sz="4" w:space="0" w:color="auto"/>
              <w:right w:val="single" w:sz="4" w:space="0" w:color="auto"/>
            </w:tcBorders>
            <w:shd w:val="clear" w:color="auto" w:fill="C6EFCE"/>
            <w:noWrap/>
          </w:tcPr>
          <w:p w14:paraId="140B15C0"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4 – Reforma ekologických daní – Zrýchlené odpisovanie</w:t>
            </w:r>
          </w:p>
        </w:tc>
        <w:tc>
          <w:tcPr>
            <w:tcW w:w="1418" w:type="dxa"/>
            <w:tcBorders>
              <w:top w:val="nil"/>
              <w:left w:val="nil"/>
              <w:bottom w:val="single" w:sz="4" w:space="0" w:color="auto"/>
              <w:right w:val="single" w:sz="4" w:space="0" w:color="auto"/>
            </w:tcBorders>
            <w:shd w:val="clear" w:color="auto" w:fill="C6EFCE"/>
            <w:noWrap/>
          </w:tcPr>
          <w:p w14:paraId="084E29E4"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984" w:type="dxa"/>
            <w:tcBorders>
              <w:top w:val="nil"/>
              <w:left w:val="nil"/>
              <w:bottom w:val="single" w:sz="4" w:space="0" w:color="auto"/>
              <w:right w:val="single" w:sz="4" w:space="0" w:color="auto"/>
            </w:tcBorders>
            <w:shd w:val="clear" w:color="auto" w:fill="C6EFCE"/>
            <w:noWrap/>
          </w:tcPr>
          <w:p w14:paraId="39A9B9B7"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1000 spoločností využilo daňový odpočet vyplývajúci zo zrýchleného odpisovania.</w:t>
            </w:r>
          </w:p>
        </w:tc>
        <w:tc>
          <w:tcPr>
            <w:tcW w:w="1907" w:type="dxa"/>
            <w:tcBorders>
              <w:top w:val="nil"/>
              <w:left w:val="nil"/>
              <w:bottom w:val="single" w:sz="4" w:space="0" w:color="auto"/>
              <w:right w:val="single" w:sz="4" w:space="0" w:color="auto"/>
            </w:tcBorders>
            <w:shd w:val="clear" w:color="auto" w:fill="C6EFCE"/>
            <w:noWrap/>
          </w:tcPr>
          <w:p w14:paraId="3F466990" w14:textId="77777777" w:rsidR="00F65654" w:rsidRPr="00CC26EA" w:rsidRDefault="00F65654">
            <w:pPr>
              <w:rPr>
                <w:rFonts w:ascii="Times New Roman" w:eastAsia="Times New Roman" w:hAnsi="Times New Roman"/>
                <w:noProof/>
                <w:color w:val="006100"/>
                <w:spacing w:val="-6"/>
                <w:lang w:val="sk-SK"/>
              </w:rPr>
            </w:pPr>
          </w:p>
        </w:tc>
        <w:tc>
          <w:tcPr>
            <w:tcW w:w="1070" w:type="dxa"/>
            <w:tcBorders>
              <w:top w:val="nil"/>
              <w:left w:val="nil"/>
              <w:bottom w:val="single" w:sz="4" w:space="0" w:color="auto"/>
              <w:right w:val="single" w:sz="4" w:space="0" w:color="auto"/>
            </w:tcBorders>
            <w:shd w:val="clear" w:color="auto" w:fill="C6EFCE"/>
            <w:noWrap/>
          </w:tcPr>
          <w:p w14:paraId="0B4C891D"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Počet</w:t>
            </w:r>
          </w:p>
        </w:tc>
        <w:tc>
          <w:tcPr>
            <w:tcW w:w="992" w:type="dxa"/>
            <w:tcBorders>
              <w:top w:val="nil"/>
              <w:left w:val="nil"/>
              <w:bottom w:val="single" w:sz="4" w:space="0" w:color="auto"/>
              <w:right w:val="single" w:sz="4" w:space="0" w:color="auto"/>
            </w:tcBorders>
            <w:shd w:val="clear" w:color="auto" w:fill="C6EFCE"/>
            <w:noWrap/>
          </w:tcPr>
          <w:p w14:paraId="1234E22C"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0</w:t>
            </w:r>
          </w:p>
        </w:tc>
        <w:tc>
          <w:tcPr>
            <w:tcW w:w="1055" w:type="dxa"/>
            <w:tcBorders>
              <w:top w:val="nil"/>
              <w:left w:val="nil"/>
              <w:bottom w:val="single" w:sz="4" w:space="0" w:color="auto"/>
              <w:right w:val="single" w:sz="4" w:space="0" w:color="auto"/>
            </w:tcBorders>
            <w:shd w:val="clear" w:color="auto" w:fill="C6EFCE"/>
            <w:noWrap/>
          </w:tcPr>
          <w:p w14:paraId="11D57426"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1 000</w:t>
            </w:r>
          </w:p>
        </w:tc>
        <w:tc>
          <w:tcPr>
            <w:tcW w:w="916" w:type="dxa"/>
            <w:tcBorders>
              <w:top w:val="nil"/>
              <w:left w:val="nil"/>
              <w:bottom w:val="single" w:sz="4" w:space="0" w:color="auto"/>
              <w:right w:val="single" w:sz="4" w:space="0" w:color="auto"/>
            </w:tcBorders>
            <w:shd w:val="clear" w:color="auto" w:fill="C6EFCE"/>
            <w:noWrap/>
          </w:tcPr>
          <w:p w14:paraId="44D59831"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OTÁZKA 2</w:t>
            </w:r>
          </w:p>
        </w:tc>
        <w:tc>
          <w:tcPr>
            <w:tcW w:w="785" w:type="dxa"/>
            <w:tcBorders>
              <w:top w:val="nil"/>
              <w:left w:val="nil"/>
              <w:bottom w:val="single" w:sz="4" w:space="0" w:color="auto"/>
              <w:right w:val="single" w:sz="4" w:space="0" w:color="auto"/>
            </w:tcBorders>
            <w:shd w:val="clear" w:color="auto" w:fill="C6EFCE"/>
            <w:noWrap/>
          </w:tcPr>
          <w:p w14:paraId="513C6717"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2024</w:t>
            </w:r>
          </w:p>
        </w:tc>
        <w:tc>
          <w:tcPr>
            <w:tcW w:w="3372" w:type="dxa"/>
            <w:tcBorders>
              <w:top w:val="nil"/>
              <w:left w:val="nil"/>
              <w:bottom w:val="single" w:sz="4" w:space="0" w:color="auto"/>
              <w:right w:val="single" w:sz="4" w:space="0" w:color="auto"/>
            </w:tcBorders>
            <w:shd w:val="clear" w:color="auto" w:fill="C6EFCE"/>
            <w:noWrap/>
          </w:tcPr>
          <w:p w14:paraId="154BCEA6" w14:textId="3E8978E1"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 je splnený, keď 1000 spoločností využilo daňový odpočet vyplývajúci zo zrýchleného odpisovania.</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výpisu údajov vyplýva, že minimálne 1000 spoločností využilo daňový odpočet vyplývajúci zo zrýchleného odpisovania.</w:t>
            </w:r>
          </w:p>
        </w:tc>
      </w:tr>
      <w:tr w:rsidR="00F65654" w:rsidRPr="00CC26EA" w14:paraId="6176E765" w14:textId="77777777">
        <w:trPr>
          <w:trHeight w:val="309"/>
        </w:trPr>
        <w:tc>
          <w:tcPr>
            <w:tcW w:w="1242" w:type="dxa"/>
            <w:tcBorders>
              <w:top w:val="nil"/>
              <w:left w:val="single" w:sz="4" w:space="0" w:color="auto"/>
              <w:bottom w:val="single" w:sz="4" w:space="0" w:color="auto"/>
              <w:right w:val="single" w:sz="4" w:space="0" w:color="auto"/>
            </w:tcBorders>
            <w:shd w:val="clear" w:color="auto" w:fill="C6EFCE"/>
            <w:noWrap/>
          </w:tcPr>
          <w:p w14:paraId="70ECC4E8"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37</w:t>
            </w:r>
          </w:p>
        </w:tc>
        <w:tc>
          <w:tcPr>
            <w:tcW w:w="1701" w:type="dxa"/>
            <w:tcBorders>
              <w:top w:val="nil"/>
              <w:left w:val="nil"/>
              <w:bottom w:val="single" w:sz="4" w:space="0" w:color="auto"/>
              <w:right w:val="single" w:sz="4" w:space="0" w:color="auto"/>
            </w:tcBorders>
            <w:shd w:val="clear" w:color="auto" w:fill="C6EFCE"/>
            <w:noWrap/>
          </w:tcPr>
          <w:p w14:paraId="464AEF0B" w14:textId="72FED601"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4 – Reforma ekologických daní – expertná skupina na prípravu návrhov týkajúcich sa dane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emisií CO2</w:t>
            </w:r>
          </w:p>
        </w:tc>
        <w:tc>
          <w:tcPr>
            <w:tcW w:w="1418" w:type="dxa"/>
            <w:tcBorders>
              <w:top w:val="nil"/>
              <w:left w:val="nil"/>
              <w:bottom w:val="single" w:sz="4" w:space="0" w:color="auto"/>
              <w:right w:val="single" w:sz="4" w:space="0" w:color="auto"/>
            </w:tcBorders>
            <w:shd w:val="clear" w:color="auto" w:fill="C6EFCE"/>
            <w:noWrap/>
          </w:tcPr>
          <w:p w14:paraId="43C14F17"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984" w:type="dxa"/>
            <w:tcBorders>
              <w:top w:val="nil"/>
              <w:left w:val="nil"/>
              <w:bottom w:val="single" w:sz="4" w:space="0" w:color="auto"/>
              <w:right w:val="single" w:sz="4" w:space="0" w:color="auto"/>
            </w:tcBorders>
            <w:shd w:val="clear" w:color="auto" w:fill="C6EFCE"/>
            <w:noWrap/>
          </w:tcPr>
          <w:p w14:paraId="6A03F3E1" w14:textId="78E3D464"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V súlade so závermi správy expertnej skupiny pre jednotné nariadenie</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dani</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 xml:space="preserve">CO2 vláda zvolá zúčastnené strany reformy ekologickej dane, aby sa dohodli na ďalších krokoch. </w:t>
            </w:r>
          </w:p>
        </w:tc>
        <w:tc>
          <w:tcPr>
            <w:tcW w:w="1907" w:type="dxa"/>
            <w:tcBorders>
              <w:top w:val="nil"/>
              <w:left w:val="nil"/>
              <w:bottom w:val="single" w:sz="4" w:space="0" w:color="auto"/>
              <w:right w:val="single" w:sz="4" w:space="0" w:color="auto"/>
            </w:tcBorders>
            <w:shd w:val="clear" w:color="auto" w:fill="C6EFCE"/>
            <w:noWrap/>
          </w:tcPr>
          <w:p w14:paraId="34AFE65D"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Politické strany, ktoré sú základom dohody, zvoláva vláda</w:t>
            </w:r>
          </w:p>
        </w:tc>
        <w:tc>
          <w:tcPr>
            <w:tcW w:w="1070" w:type="dxa"/>
            <w:tcBorders>
              <w:top w:val="nil"/>
              <w:left w:val="nil"/>
              <w:bottom w:val="single" w:sz="4" w:space="0" w:color="auto"/>
              <w:right w:val="single" w:sz="4" w:space="0" w:color="auto"/>
            </w:tcBorders>
            <w:shd w:val="clear" w:color="auto" w:fill="C6EFCE"/>
            <w:noWrap/>
          </w:tcPr>
          <w:p w14:paraId="5B255FA4"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92" w:type="dxa"/>
            <w:tcBorders>
              <w:top w:val="nil"/>
              <w:left w:val="nil"/>
              <w:bottom w:val="single" w:sz="4" w:space="0" w:color="auto"/>
              <w:right w:val="single" w:sz="4" w:space="0" w:color="auto"/>
            </w:tcBorders>
            <w:shd w:val="clear" w:color="auto" w:fill="C6EFCE"/>
            <w:noWrap/>
          </w:tcPr>
          <w:p w14:paraId="43D2F8F6"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55" w:type="dxa"/>
            <w:tcBorders>
              <w:top w:val="nil"/>
              <w:left w:val="nil"/>
              <w:bottom w:val="single" w:sz="4" w:space="0" w:color="auto"/>
              <w:right w:val="single" w:sz="4" w:space="0" w:color="auto"/>
            </w:tcBorders>
            <w:shd w:val="clear" w:color="auto" w:fill="C6EFCE"/>
            <w:noWrap/>
          </w:tcPr>
          <w:p w14:paraId="0FA5BBCE" w14:textId="77777777" w:rsidR="00F65654" w:rsidRPr="00CC26EA" w:rsidRDefault="0041081E">
            <w:pPr>
              <w:pStyle w:val="P68B1DB1-CommentText7"/>
              <w:jc w:val="left"/>
              <w:rPr>
                <w:rFonts w:eastAsia="Times New Roman"/>
                <w:noProof/>
                <w:spacing w:val="-6"/>
                <w:lang w:val="sk-SK"/>
              </w:rPr>
            </w:pPr>
            <w:r w:rsidRPr="00CC26EA">
              <w:rPr>
                <w:noProof/>
                <w:spacing w:val="-6"/>
                <w:lang w:val="sk-SK"/>
              </w:rPr>
              <w:t xml:space="preserve"> </w:t>
            </w:r>
          </w:p>
        </w:tc>
        <w:tc>
          <w:tcPr>
            <w:tcW w:w="916" w:type="dxa"/>
            <w:tcBorders>
              <w:top w:val="nil"/>
              <w:left w:val="nil"/>
              <w:bottom w:val="single" w:sz="4" w:space="0" w:color="auto"/>
              <w:right w:val="single" w:sz="4" w:space="0" w:color="auto"/>
            </w:tcBorders>
            <w:shd w:val="clear" w:color="auto" w:fill="C6EFCE"/>
            <w:noWrap/>
          </w:tcPr>
          <w:p w14:paraId="6422776B"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OTÁZKA Č. 1</w:t>
            </w:r>
          </w:p>
        </w:tc>
        <w:tc>
          <w:tcPr>
            <w:tcW w:w="785" w:type="dxa"/>
            <w:tcBorders>
              <w:top w:val="nil"/>
              <w:left w:val="nil"/>
              <w:bottom w:val="single" w:sz="4" w:space="0" w:color="auto"/>
              <w:right w:val="single" w:sz="4" w:space="0" w:color="auto"/>
            </w:tcBorders>
            <w:shd w:val="clear" w:color="auto" w:fill="C6EFCE"/>
            <w:noWrap/>
          </w:tcPr>
          <w:p w14:paraId="194C3CCF"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2023</w:t>
            </w:r>
          </w:p>
        </w:tc>
        <w:tc>
          <w:tcPr>
            <w:tcW w:w="3372" w:type="dxa"/>
            <w:tcBorders>
              <w:top w:val="nil"/>
              <w:left w:val="nil"/>
              <w:bottom w:val="single" w:sz="4" w:space="0" w:color="auto"/>
              <w:right w:val="single" w:sz="4" w:space="0" w:color="auto"/>
            </w:tcBorders>
            <w:shd w:val="clear" w:color="auto" w:fill="C6EFCE"/>
            <w:noWrap/>
          </w:tcPr>
          <w:p w14:paraId="1CC58B1F" w14:textId="6436C889"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Na základe odporúčaní expertnej skupiny</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konkrétnych modeloch jednotných elektronických daní CO2 sa začnú politické diskusie</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ďalších krokoch.</w:t>
            </w:r>
          </w:p>
        </w:tc>
      </w:tr>
      <w:tr w:rsidR="00F65654" w:rsidRPr="00CC26EA" w14:paraId="40677E28" w14:textId="77777777">
        <w:trPr>
          <w:trHeight w:val="309"/>
        </w:trPr>
        <w:tc>
          <w:tcPr>
            <w:tcW w:w="1242" w:type="dxa"/>
            <w:tcBorders>
              <w:top w:val="nil"/>
              <w:left w:val="single" w:sz="4" w:space="0" w:color="auto"/>
              <w:bottom w:val="single" w:sz="4" w:space="0" w:color="auto"/>
              <w:right w:val="single" w:sz="4" w:space="0" w:color="auto"/>
            </w:tcBorders>
            <w:shd w:val="clear" w:color="auto" w:fill="C6EFCE"/>
            <w:noWrap/>
          </w:tcPr>
          <w:p w14:paraId="2998044E"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38</w:t>
            </w:r>
          </w:p>
        </w:tc>
        <w:tc>
          <w:tcPr>
            <w:tcW w:w="1701" w:type="dxa"/>
            <w:tcBorders>
              <w:top w:val="nil"/>
              <w:left w:val="nil"/>
              <w:bottom w:val="single" w:sz="4" w:space="0" w:color="auto"/>
              <w:right w:val="single" w:sz="4" w:space="0" w:color="auto"/>
            </w:tcBorders>
            <w:shd w:val="clear" w:color="auto" w:fill="C6EFCE"/>
            <w:noWrap/>
          </w:tcPr>
          <w:p w14:paraId="47E9EC6B" w14:textId="64056B2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4 – Reforma ekologických daní – Emisné dane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priemyselných odvetví</w:t>
            </w:r>
          </w:p>
        </w:tc>
        <w:tc>
          <w:tcPr>
            <w:tcW w:w="1418" w:type="dxa"/>
            <w:tcBorders>
              <w:top w:val="nil"/>
              <w:left w:val="nil"/>
              <w:bottom w:val="single" w:sz="4" w:space="0" w:color="auto"/>
              <w:right w:val="single" w:sz="4" w:space="0" w:color="auto"/>
            </w:tcBorders>
            <w:shd w:val="clear" w:color="auto" w:fill="C6EFCE"/>
            <w:noWrap/>
          </w:tcPr>
          <w:p w14:paraId="741F94AB"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984" w:type="dxa"/>
            <w:tcBorders>
              <w:top w:val="nil"/>
              <w:left w:val="nil"/>
              <w:bottom w:val="single" w:sz="4" w:space="0" w:color="auto"/>
              <w:right w:val="single" w:sz="4" w:space="0" w:color="auto"/>
            </w:tcBorders>
            <w:shd w:val="clear" w:color="auto" w:fill="C6EFCE"/>
            <w:noWrap/>
          </w:tcPr>
          <w:p w14:paraId="7A974F1E" w14:textId="15CE5C8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Dánsky parlament prijal politickú dohodu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zvýšení dane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emisií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w:t>
            </w:r>
          </w:p>
        </w:tc>
        <w:tc>
          <w:tcPr>
            <w:tcW w:w="1907" w:type="dxa"/>
            <w:tcBorders>
              <w:top w:val="nil"/>
              <w:left w:val="nil"/>
              <w:bottom w:val="single" w:sz="4" w:space="0" w:color="auto"/>
              <w:right w:val="single" w:sz="4" w:space="0" w:color="auto"/>
            </w:tcBorders>
            <w:shd w:val="clear" w:color="auto" w:fill="C6EFCE"/>
            <w:noWrap/>
          </w:tcPr>
          <w:p w14:paraId="19C31A6D" w14:textId="1F216CDA"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Politická dohoda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reforme ekologickej dane vrátane zvýšenej dane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emisií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 je podpísaná</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uverejnená na webovej stránke ministerstva daní.</w:t>
            </w:r>
          </w:p>
        </w:tc>
        <w:tc>
          <w:tcPr>
            <w:tcW w:w="1070" w:type="dxa"/>
            <w:tcBorders>
              <w:top w:val="nil"/>
              <w:left w:val="nil"/>
              <w:bottom w:val="single" w:sz="4" w:space="0" w:color="auto"/>
              <w:right w:val="single" w:sz="4" w:space="0" w:color="auto"/>
            </w:tcBorders>
            <w:shd w:val="clear" w:color="auto" w:fill="C6EFCE"/>
            <w:noWrap/>
          </w:tcPr>
          <w:p w14:paraId="6CD98A0F"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92" w:type="dxa"/>
            <w:tcBorders>
              <w:top w:val="nil"/>
              <w:left w:val="nil"/>
              <w:bottom w:val="single" w:sz="4" w:space="0" w:color="auto"/>
              <w:right w:val="single" w:sz="4" w:space="0" w:color="auto"/>
            </w:tcBorders>
            <w:shd w:val="clear" w:color="auto" w:fill="C6EFCE"/>
            <w:noWrap/>
          </w:tcPr>
          <w:p w14:paraId="70923FB5"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55" w:type="dxa"/>
            <w:tcBorders>
              <w:top w:val="nil"/>
              <w:left w:val="nil"/>
              <w:bottom w:val="single" w:sz="4" w:space="0" w:color="auto"/>
              <w:right w:val="single" w:sz="4" w:space="0" w:color="auto"/>
            </w:tcBorders>
            <w:shd w:val="clear" w:color="auto" w:fill="C6EFCE"/>
            <w:noWrap/>
          </w:tcPr>
          <w:p w14:paraId="35A2F013"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16" w:type="dxa"/>
            <w:tcBorders>
              <w:top w:val="nil"/>
              <w:left w:val="nil"/>
              <w:bottom w:val="single" w:sz="4" w:space="0" w:color="auto"/>
              <w:right w:val="single" w:sz="4" w:space="0" w:color="auto"/>
            </w:tcBorders>
            <w:shd w:val="clear" w:color="auto" w:fill="C6EFCE"/>
            <w:noWrap/>
          </w:tcPr>
          <w:p w14:paraId="46E0E357"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785" w:type="dxa"/>
            <w:tcBorders>
              <w:top w:val="nil"/>
              <w:left w:val="nil"/>
              <w:bottom w:val="single" w:sz="4" w:space="0" w:color="auto"/>
              <w:right w:val="single" w:sz="4" w:space="0" w:color="auto"/>
            </w:tcBorders>
            <w:shd w:val="clear" w:color="auto" w:fill="C6EFCE"/>
            <w:noWrap/>
          </w:tcPr>
          <w:p w14:paraId="3C7E63A9"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3372" w:type="dxa"/>
            <w:tcBorders>
              <w:top w:val="nil"/>
              <w:left w:val="nil"/>
              <w:bottom w:val="single" w:sz="4" w:space="0" w:color="auto"/>
              <w:right w:val="single" w:sz="4" w:space="0" w:color="auto"/>
            </w:tcBorders>
            <w:shd w:val="clear" w:color="auto" w:fill="C6EFCE"/>
            <w:noWrap/>
          </w:tcPr>
          <w:p w14:paraId="7357BE10" w14:textId="7027BA3E" w:rsidR="00CC26EA" w:rsidRPr="00CC26EA" w:rsidRDefault="0041081E">
            <w:pPr>
              <w:pStyle w:val="P68B1DB1-Normal4"/>
              <w:rPr>
                <w:rFonts w:ascii="Times New Roman" w:hAnsi="Times New Roman"/>
                <w:noProof/>
                <w:spacing w:val="-6"/>
                <w:lang w:val="sk-SK"/>
              </w:rPr>
            </w:pPr>
            <w:r w:rsidRPr="00CC26EA">
              <w:rPr>
                <w:rFonts w:ascii="Times New Roman" w:hAnsi="Times New Roman"/>
                <w:noProof/>
                <w:spacing w:val="-6"/>
                <w:lang w:val="sk-SK"/>
              </w:rPr>
              <w:t>Väčšina dánskeho parlamentu dosiahla dohodu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reforme ekologickej dane vrátane zvýšenej dane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emisií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w:t>
            </w:r>
            <w:r w:rsidR="00CC26EA" w:rsidRPr="00CC26EA">
              <w:rPr>
                <w:rFonts w:ascii="Times New Roman" w:hAnsi="Times New Roman"/>
                <w:noProof/>
                <w:spacing w:val="-6"/>
                <w:lang w:val="sk-SK"/>
              </w:rPr>
              <w:t>.</w:t>
            </w:r>
          </w:p>
          <w:p w14:paraId="4EB29AEF" w14:textId="486C0710" w:rsidR="00F65654" w:rsidRPr="00CC26EA" w:rsidRDefault="00F65654">
            <w:pPr>
              <w:rPr>
                <w:rFonts w:ascii="Times New Roman" w:eastAsia="Times New Roman" w:hAnsi="Times New Roman"/>
                <w:noProof/>
                <w:color w:val="006100"/>
                <w:spacing w:val="-6"/>
                <w:lang w:val="sk-SK"/>
              </w:rPr>
            </w:pPr>
          </w:p>
          <w:p w14:paraId="34EE98C5" w14:textId="56CFD92C"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V Parlamente sa začali príslušné legislatívne postupy.</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dánskom kontexte politické dohody zvyčajne odrážajú kľúčové kroky pri tvorbe politiky aj</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prípade rozsiahlych opatrení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zvyčajne poskytujú dostatočnú záruku, že sa opatrenia vykonajú. Zabezpečujú predvídateľnosť, stabilitu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efektívnosť pri tvorbe politík</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zaväzujú strany počas niekoľkých volebných období.</w:t>
            </w:r>
          </w:p>
        </w:tc>
      </w:tr>
      <w:tr w:rsidR="00F65654" w:rsidRPr="00CC26EA" w14:paraId="6ECE7ECE" w14:textId="77777777">
        <w:trPr>
          <w:trHeight w:val="309"/>
        </w:trPr>
        <w:tc>
          <w:tcPr>
            <w:tcW w:w="1242" w:type="dxa"/>
            <w:tcBorders>
              <w:top w:val="nil"/>
              <w:left w:val="single" w:sz="4" w:space="0" w:color="auto"/>
              <w:bottom w:val="single" w:sz="4" w:space="0" w:color="auto"/>
              <w:right w:val="single" w:sz="4" w:space="0" w:color="auto"/>
            </w:tcBorders>
            <w:shd w:val="clear" w:color="auto" w:fill="C6EFCE"/>
            <w:noWrap/>
          </w:tcPr>
          <w:p w14:paraId="5D5F8E09"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39</w:t>
            </w:r>
          </w:p>
        </w:tc>
        <w:tc>
          <w:tcPr>
            <w:tcW w:w="1701" w:type="dxa"/>
            <w:tcBorders>
              <w:top w:val="nil"/>
              <w:left w:val="nil"/>
              <w:bottom w:val="single" w:sz="4" w:space="0" w:color="auto"/>
              <w:right w:val="single" w:sz="4" w:space="0" w:color="auto"/>
            </w:tcBorders>
            <w:shd w:val="clear" w:color="auto" w:fill="C6EFCE"/>
            <w:noWrap/>
          </w:tcPr>
          <w:p w14:paraId="35D8D061" w14:textId="6BB21274"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4 – Reforma ekologických daní – Emisné dane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priemyselných odvetví</w:t>
            </w:r>
          </w:p>
        </w:tc>
        <w:tc>
          <w:tcPr>
            <w:tcW w:w="1418" w:type="dxa"/>
            <w:tcBorders>
              <w:top w:val="nil"/>
              <w:left w:val="nil"/>
              <w:bottom w:val="single" w:sz="4" w:space="0" w:color="auto"/>
              <w:right w:val="single" w:sz="4" w:space="0" w:color="auto"/>
            </w:tcBorders>
            <w:shd w:val="clear" w:color="auto" w:fill="C6EFCE"/>
            <w:noWrap/>
          </w:tcPr>
          <w:p w14:paraId="59BEDC4C"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984" w:type="dxa"/>
            <w:tcBorders>
              <w:top w:val="nil"/>
              <w:left w:val="nil"/>
              <w:bottom w:val="single" w:sz="4" w:space="0" w:color="auto"/>
              <w:right w:val="single" w:sz="4" w:space="0" w:color="auto"/>
            </w:tcBorders>
            <w:shd w:val="clear" w:color="auto" w:fill="C6EFCE"/>
            <w:noWrap/>
          </w:tcPr>
          <w:p w14:paraId="0A163F42" w14:textId="7988BDA5"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Návrh zákona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reforme ekologickej dane vrátane zvýšenej dane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emisií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 prijíma dánsky parlament</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iniciatíva nadobúda účinnosť pre všetky priemyselné odvetvia okrem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nerastných surovín.</w:t>
            </w:r>
          </w:p>
        </w:tc>
        <w:tc>
          <w:tcPr>
            <w:tcW w:w="1907" w:type="dxa"/>
            <w:tcBorders>
              <w:top w:val="nil"/>
              <w:left w:val="nil"/>
              <w:bottom w:val="single" w:sz="4" w:space="0" w:color="auto"/>
              <w:right w:val="single" w:sz="4" w:space="0" w:color="auto"/>
            </w:tcBorders>
            <w:shd w:val="clear" w:color="auto" w:fill="C6EFCE"/>
            <w:noWrap/>
          </w:tcPr>
          <w:p w14:paraId="12856CD2" w14:textId="72C72584"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Zákon</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reforme ekologickej dane vrátane zvýšenej dane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emisií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 sa prijíma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uverejňuje.</w:t>
            </w:r>
          </w:p>
        </w:tc>
        <w:tc>
          <w:tcPr>
            <w:tcW w:w="1070" w:type="dxa"/>
            <w:tcBorders>
              <w:top w:val="nil"/>
              <w:left w:val="nil"/>
              <w:bottom w:val="single" w:sz="4" w:space="0" w:color="auto"/>
              <w:right w:val="single" w:sz="4" w:space="0" w:color="auto"/>
            </w:tcBorders>
            <w:shd w:val="clear" w:color="auto" w:fill="C6EFCE"/>
            <w:noWrap/>
          </w:tcPr>
          <w:p w14:paraId="23AC5D5A"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92" w:type="dxa"/>
            <w:tcBorders>
              <w:top w:val="nil"/>
              <w:left w:val="nil"/>
              <w:bottom w:val="single" w:sz="4" w:space="0" w:color="auto"/>
              <w:right w:val="single" w:sz="4" w:space="0" w:color="auto"/>
            </w:tcBorders>
            <w:shd w:val="clear" w:color="auto" w:fill="C6EFCE"/>
            <w:noWrap/>
          </w:tcPr>
          <w:p w14:paraId="26860DDA"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55" w:type="dxa"/>
            <w:tcBorders>
              <w:top w:val="nil"/>
              <w:left w:val="nil"/>
              <w:bottom w:val="single" w:sz="4" w:space="0" w:color="auto"/>
              <w:right w:val="single" w:sz="4" w:space="0" w:color="auto"/>
            </w:tcBorders>
            <w:shd w:val="clear" w:color="auto" w:fill="C6EFCE"/>
            <w:noWrap/>
          </w:tcPr>
          <w:p w14:paraId="7FCE3AF5"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16" w:type="dxa"/>
            <w:tcBorders>
              <w:top w:val="nil"/>
              <w:left w:val="nil"/>
              <w:bottom w:val="single" w:sz="4" w:space="0" w:color="auto"/>
              <w:right w:val="single" w:sz="4" w:space="0" w:color="auto"/>
            </w:tcBorders>
            <w:shd w:val="clear" w:color="auto" w:fill="C6EFCE"/>
            <w:noWrap/>
          </w:tcPr>
          <w:p w14:paraId="25B8D63F"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OTÁZKA Č. 1</w:t>
            </w:r>
          </w:p>
        </w:tc>
        <w:tc>
          <w:tcPr>
            <w:tcW w:w="785" w:type="dxa"/>
            <w:tcBorders>
              <w:top w:val="nil"/>
              <w:left w:val="nil"/>
              <w:bottom w:val="single" w:sz="4" w:space="0" w:color="auto"/>
              <w:right w:val="single" w:sz="4" w:space="0" w:color="auto"/>
            </w:tcBorders>
            <w:shd w:val="clear" w:color="auto" w:fill="C6EFCE"/>
            <w:noWrap/>
          </w:tcPr>
          <w:p w14:paraId="3EFFF180"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2023</w:t>
            </w:r>
          </w:p>
        </w:tc>
        <w:tc>
          <w:tcPr>
            <w:tcW w:w="3372" w:type="dxa"/>
            <w:tcBorders>
              <w:top w:val="nil"/>
              <w:left w:val="nil"/>
              <w:bottom w:val="single" w:sz="4" w:space="0" w:color="auto"/>
              <w:right w:val="single" w:sz="4" w:space="0" w:color="auto"/>
            </w:tcBorders>
            <w:shd w:val="clear" w:color="auto" w:fill="C6EFCE"/>
            <w:noWrap/>
          </w:tcPr>
          <w:p w14:paraId="7BE08154" w14:textId="6826BC2A"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Tento míľnik sa dosiahne, keď dánsky parlament prijme návrh zákona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reforme ekologickej dane vrátane zvýšenej dane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emisií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iniciatíva nadobudne účinnosť pre všetky priemyselné odvetvia okrem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výrobcov nerastných surovín.</w:t>
            </w:r>
          </w:p>
        </w:tc>
      </w:tr>
      <w:tr w:rsidR="00F65654" w:rsidRPr="00CC26EA" w14:paraId="1CF33DFF" w14:textId="77777777">
        <w:trPr>
          <w:trHeight w:val="309"/>
        </w:trPr>
        <w:tc>
          <w:tcPr>
            <w:tcW w:w="1242" w:type="dxa"/>
            <w:tcBorders>
              <w:top w:val="nil"/>
              <w:left w:val="single" w:sz="4" w:space="0" w:color="auto"/>
              <w:bottom w:val="single" w:sz="4" w:space="0" w:color="auto"/>
              <w:right w:val="single" w:sz="4" w:space="0" w:color="auto"/>
            </w:tcBorders>
            <w:shd w:val="clear" w:color="auto" w:fill="C6EFCE"/>
            <w:noWrap/>
          </w:tcPr>
          <w:p w14:paraId="02E39874"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40</w:t>
            </w:r>
          </w:p>
        </w:tc>
        <w:tc>
          <w:tcPr>
            <w:tcW w:w="1701" w:type="dxa"/>
            <w:tcBorders>
              <w:top w:val="nil"/>
              <w:left w:val="nil"/>
              <w:bottom w:val="single" w:sz="4" w:space="0" w:color="auto"/>
              <w:right w:val="single" w:sz="4" w:space="0" w:color="auto"/>
            </w:tcBorders>
            <w:shd w:val="clear" w:color="auto" w:fill="C6EFCE"/>
            <w:noWrap/>
          </w:tcPr>
          <w:p w14:paraId="705C581B" w14:textId="4BA859D1"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4 – Reforma ekologických daní – Emisné dane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priemyselných odvetví</w:t>
            </w:r>
          </w:p>
        </w:tc>
        <w:tc>
          <w:tcPr>
            <w:tcW w:w="1418" w:type="dxa"/>
            <w:tcBorders>
              <w:top w:val="nil"/>
              <w:left w:val="nil"/>
              <w:bottom w:val="single" w:sz="4" w:space="0" w:color="auto"/>
              <w:right w:val="single" w:sz="4" w:space="0" w:color="auto"/>
            </w:tcBorders>
            <w:shd w:val="clear" w:color="auto" w:fill="C6EFCE"/>
            <w:noWrap/>
          </w:tcPr>
          <w:p w14:paraId="21ACE5F8"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984" w:type="dxa"/>
            <w:tcBorders>
              <w:top w:val="nil"/>
              <w:left w:val="nil"/>
              <w:bottom w:val="single" w:sz="4" w:space="0" w:color="auto"/>
              <w:right w:val="single" w:sz="4" w:space="0" w:color="auto"/>
            </w:tcBorders>
            <w:shd w:val="clear" w:color="auto" w:fill="C6EFCE"/>
            <w:noWrap/>
          </w:tcPr>
          <w:p w14:paraId="00FF23B4" w14:textId="6C50F6E6"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Zvýšenie daní</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emisií</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priemyslu nadobúda účinnosť pre všetky priemyselné odvetvia vrátane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nerastných surovín.</w:t>
            </w:r>
          </w:p>
        </w:tc>
        <w:tc>
          <w:tcPr>
            <w:tcW w:w="1907" w:type="dxa"/>
            <w:tcBorders>
              <w:top w:val="nil"/>
              <w:left w:val="nil"/>
              <w:bottom w:val="single" w:sz="4" w:space="0" w:color="auto"/>
              <w:right w:val="single" w:sz="4" w:space="0" w:color="auto"/>
            </w:tcBorders>
            <w:shd w:val="clear" w:color="auto" w:fill="C6EFCE"/>
            <w:noWrap/>
          </w:tcPr>
          <w:p w14:paraId="5709643D" w14:textId="5780CA2F"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Zvýšenie daní</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emisií</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priemyslu nadobúda účinnosť.</w:t>
            </w:r>
          </w:p>
        </w:tc>
        <w:tc>
          <w:tcPr>
            <w:tcW w:w="1070" w:type="dxa"/>
            <w:tcBorders>
              <w:top w:val="nil"/>
              <w:left w:val="nil"/>
              <w:bottom w:val="single" w:sz="4" w:space="0" w:color="auto"/>
              <w:right w:val="single" w:sz="4" w:space="0" w:color="auto"/>
            </w:tcBorders>
            <w:shd w:val="clear" w:color="auto" w:fill="C6EFCE"/>
            <w:noWrap/>
          </w:tcPr>
          <w:p w14:paraId="1E576CAD"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92" w:type="dxa"/>
            <w:tcBorders>
              <w:top w:val="nil"/>
              <w:left w:val="nil"/>
              <w:bottom w:val="single" w:sz="4" w:space="0" w:color="auto"/>
              <w:right w:val="single" w:sz="4" w:space="0" w:color="auto"/>
            </w:tcBorders>
            <w:shd w:val="clear" w:color="auto" w:fill="C6EFCE"/>
            <w:noWrap/>
          </w:tcPr>
          <w:p w14:paraId="1AF0F919"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55" w:type="dxa"/>
            <w:tcBorders>
              <w:top w:val="nil"/>
              <w:left w:val="nil"/>
              <w:bottom w:val="single" w:sz="4" w:space="0" w:color="auto"/>
              <w:right w:val="single" w:sz="4" w:space="0" w:color="auto"/>
            </w:tcBorders>
            <w:shd w:val="clear" w:color="auto" w:fill="C6EFCE"/>
            <w:noWrap/>
          </w:tcPr>
          <w:p w14:paraId="2990FC2A"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16" w:type="dxa"/>
            <w:tcBorders>
              <w:top w:val="nil"/>
              <w:left w:val="nil"/>
              <w:bottom w:val="single" w:sz="4" w:space="0" w:color="auto"/>
              <w:right w:val="single" w:sz="4" w:space="0" w:color="auto"/>
            </w:tcBorders>
            <w:shd w:val="clear" w:color="auto" w:fill="C6EFCE"/>
            <w:noWrap/>
          </w:tcPr>
          <w:p w14:paraId="3A26A70F"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OTÁZKA Č. 1</w:t>
            </w:r>
          </w:p>
        </w:tc>
        <w:tc>
          <w:tcPr>
            <w:tcW w:w="785" w:type="dxa"/>
            <w:tcBorders>
              <w:top w:val="nil"/>
              <w:left w:val="nil"/>
              <w:bottom w:val="single" w:sz="4" w:space="0" w:color="auto"/>
              <w:right w:val="single" w:sz="4" w:space="0" w:color="auto"/>
            </w:tcBorders>
            <w:shd w:val="clear" w:color="auto" w:fill="C6EFCE"/>
            <w:noWrap/>
          </w:tcPr>
          <w:p w14:paraId="77E3AF15" w14:textId="777777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2025</w:t>
            </w:r>
          </w:p>
        </w:tc>
        <w:tc>
          <w:tcPr>
            <w:tcW w:w="3372" w:type="dxa"/>
            <w:tcBorders>
              <w:top w:val="nil"/>
              <w:left w:val="nil"/>
              <w:bottom w:val="single" w:sz="4" w:space="0" w:color="auto"/>
              <w:right w:val="single" w:sz="4" w:space="0" w:color="auto"/>
            </w:tcBorders>
            <w:shd w:val="clear" w:color="auto" w:fill="C6EFCE"/>
            <w:noWrap/>
          </w:tcPr>
          <w:p w14:paraId="74C0A127" w14:textId="7527B546"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Právne predpisy</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zvýšení daní</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emisií</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priemyslu nadobudnú účinnosť 1</w:t>
            </w:r>
            <w:r w:rsidR="00CC26EA" w:rsidRPr="00CC26EA">
              <w:rPr>
                <w:rFonts w:ascii="Times New Roman" w:hAnsi="Times New Roman"/>
                <w:noProof/>
                <w:spacing w:val="-6"/>
                <w:lang w:val="sk-SK"/>
              </w:rPr>
              <w:t>. januára</w:t>
            </w:r>
            <w:r w:rsidRPr="00CC26EA">
              <w:rPr>
                <w:rFonts w:ascii="Times New Roman" w:hAnsi="Times New Roman"/>
                <w:noProof/>
                <w:spacing w:val="-6"/>
                <w:lang w:val="sk-SK"/>
              </w:rPr>
              <w:t xml:space="preserve"> 2025.</w:t>
            </w:r>
          </w:p>
        </w:tc>
      </w:tr>
    </w:tbl>
    <w:p w14:paraId="3A9E179C" w14:textId="77777777" w:rsidR="00F65654" w:rsidRPr="00CC26EA" w:rsidRDefault="00F65654">
      <w:pPr>
        <w:rPr>
          <w:rFonts w:ascii="Times New Roman" w:hAnsi="Times New Roman"/>
          <w:noProof/>
          <w:spacing w:val="-6"/>
          <w:lang w:val="sk-SK"/>
        </w:rPr>
        <w:sectPr w:rsidR="00F65654" w:rsidRPr="00CC26EA" w:rsidSect="00A61D33">
          <w:headerReference w:type="even" r:id="rId60"/>
          <w:headerReference w:type="default" r:id="rId61"/>
          <w:footerReference w:type="even" r:id="rId62"/>
          <w:footerReference w:type="default" r:id="rId63"/>
          <w:headerReference w:type="first" r:id="rId64"/>
          <w:footerReference w:type="first" r:id="rId65"/>
          <w:pgSz w:w="16839" w:h="11907" w:orient="landscape"/>
          <w:pgMar w:top="1134" w:right="1134" w:bottom="1134" w:left="1134" w:header="567" w:footer="567" w:gutter="0"/>
          <w:cols w:space="720"/>
          <w:docGrid w:linePitch="360"/>
        </w:sectPr>
      </w:pPr>
    </w:p>
    <w:p w14:paraId="5DFC8972" w14:textId="77777777" w:rsidR="00F65654" w:rsidRPr="00CC26EA" w:rsidRDefault="0041081E">
      <w:pPr>
        <w:pStyle w:val="ManualHeading1"/>
        <w:spacing w:before="120"/>
        <w:ind w:left="0" w:firstLine="0"/>
        <w:rPr>
          <w:noProof/>
          <w:spacing w:val="-6"/>
          <w:lang w:val="sk-SK"/>
        </w:rPr>
      </w:pPr>
      <w:r w:rsidRPr="00CC26EA">
        <w:rPr>
          <w:noProof/>
          <w:spacing w:val="-6"/>
          <w:lang w:val="sk-SK"/>
        </w:rPr>
        <w:t>E. ZLOŽKA 5: Udržateľná cestná doprava</w:t>
      </w:r>
    </w:p>
    <w:p w14:paraId="70E96FD3" w14:textId="379592D8" w:rsidR="00CC26EA" w:rsidRPr="00CC26EA" w:rsidRDefault="0041081E">
      <w:pPr>
        <w:pStyle w:val="Text1"/>
        <w:ind w:left="0"/>
        <w:rPr>
          <w:noProof/>
          <w:spacing w:val="-6"/>
          <w:lang w:val="sk-SK"/>
        </w:rPr>
      </w:pPr>
      <w:r w:rsidRPr="00CC26EA">
        <w:rPr>
          <w:noProof/>
          <w:spacing w:val="-6"/>
          <w:lang w:val="sk-SK"/>
        </w:rPr>
        <w:t>V iniciatívach</w:t>
      </w:r>
      <w:r w:rsidR="00CC26EA" w:rsidRPr="00CC26EA">
        <w:rPr>
          <w:noProof/>
          <w:spacing w:val="-6"/>
          <w:lang w:val="sk-SK"/>
        </w:rPr>
        <w:t xml:space="preserve"> v </w:t>
      </w:r>
      <w:r w:rsidRPr="00CC26EA">
        <w:rPr>
          <w:noProof/>
          <w:spacing w:val="-6"/>
          <w:lang w:val="sk-SK"/>
        </w:rPr>
        <w:t>tejto zložke dánskeho plánu obnovy</w:t>
      </w:r>
      <w:r w:rsidR="00CC26EA" w:rsidRPr="00CC26EA">
        <w:rPr>
          <w:noProof/>
          <w:spacing w:val="-6"/>
          <w:lang w:val="sk-SK"/>
        </w:rPr>
        <w:t xml:space="preserve"> a </w:t>
      </w:r>
      <w:r w:rsidRPr="00CC26EA">
        <w:rPr>
          <w:noProof/>
          <w:spacing w:val="-6"/>
          <w:lang w:val="sk-SK"/>
        </w:rPr>
        <w:t>odolnosti</w:t>
      </w:r>
      <w:r w:rsidR="00CC26EA" w:rsidRPr="00CC26EA">
        <w:rPr>
          <w:noProof/>
          <w:spacing w:val="-6"/>
          <w:lang w:val="sk-SK"/>
        </w:rPr>
        <w:t xml:space="preserve"> v </w:t>
      </w:r>
      <w:r w:rsidRPr="00CC26EA">
        <w:rPr>
          <w:noProof/>
          <w:spacing w:val="-6"/>
          <w:lang w:val="sk-SK"/>
        </w:rPr>
        <w:t>oblasti zelenej transformácie cestnej dopravy sa stanovujú opatrenia, ktorých cieľom je prispieť</w:t>
      </w:r>
      <w:r w:rsidR="00CC26EA" w:rsidRPr="00CC26EA">
        <w:rPr>
          <w:noProof/>
          <w:spacing w:val="-6"/>
          <w:lang w:val="sk-SK"/>
        </w:rPr>
        <w:t xml:space="preserve"> k </w:t>
      </w:r>
      <w:r w:rsidRPr="00CC26EA">
        <w:rPr>
          <w:noProof/>
          <w:spacing w:val="-6"/>
          <w:lang w:val="sk-SK"/>
        </w:rPr>
        <w:t>zníženiu emisií skleníkových plynov</w:t>
      </w:r>
      <w:r w:rsidR="00CC26EA" w:rsidRPr="00CC26EA">
        <w:rPr>
          <w:noProof/>
          <w:spacing w:val="-6"/>
          <w:lang w:val="sk-SK"/>
        </w:rPr>
        <w:t xml:space="preserve"> v </w:t>
      </w:r>
      <w:r w:rsidRPr="00CC26EA">
        <w:rPr>
          <w:noProof/>
          <w:spacing w:val="-6"/>
          <w:lang w:val="sk-SK"/>
        </w:rPr>
        <w:t>odvetví cestnej dopravy</w:t>
      </w:r>
      <w:r w:rsidR="00CC26EA" w:rsidRPr="00CC26EA">
        <w:rPr>
          <w:noProof/>
          <w:spacing w:val="-6"/>
          <w:lang w:val="sk-SK"/>
        </w:rPr>
        <w:t xml:space="preserve"> o </w:t>
      </w:r>
      <w:r w:rsidRPr="00CC26EA">
        <w:rPr>
          <w:noProof/>
          <w:spacing w:val="-6"/>
          <w:lang w:val="sk-SK"/>
        </w:rPr>
        <w:t>2,1 megaton</w:t>
      </w:r>
      <w:r w:rsidR="00CC26EA" w:rsidRPr="00CC26EA">
        <w:rPr>
          <w:noProof/>
          <w:spacing w:val="-6"/>
          <w:lang w:val="sk-SK"/>
        </w:rPr>
        <w:t xml:space="preserve"> v </w:t>
      </w:r>
      <w:r w:rsidRPr="00CC26EA">
        <w:rPr>
          <w:noProof/>
          <w:spacing w:val="-6"/>
          <w:lang w:val="sk-SK"/>
        </w:rPr>
        <w:t>roku 2030. Stanovila sa</w:t>
      </w:r>
      <w:r w:rsidR="00CC26EA" w:rsidRPr="00CC26EA">
        <w:rPr>
          <w:noProof/>
          <w:spacing w:val="-6"/>
          <w:lang w:val="sk-SK"/>
        </w:rPr>
        <w:t xml:space="preserve"> v </w:t>
      </w:r>
      <w:r w:rsidRPr="00CC26EA">
        <w:rPr>
          <w:noProof/>
          <w:spacing w:val="-6"/>
          <w:lang w:val="sk-SK"/>
        </w:rPr>
        <w:t>nich ambícia mať do roku 2030 na cestách 1000000 automobilov</w:t>
      </w:r>
      <w:r w:rsidR="00CC26EA" w:rsidRPr="00CC26EA">
        <w:rPr>
          <w:noProof/>
          <w:spacing w:val="-6"/>
          <w:lang w:val="sk-SK"/>
        </w:rPr>
        <w:t xml:space="preserve"> s </w:t>
      </w:r>
      <w:r w:rsidRPr="00CC26EA">
        <w:rPr>
          <w:noProof/>
          <w:spacing w:val="-6"/>
          <w:lang w:val="sk-SK"/>
        </w:rPr>
        <w:t>nulovými alebo nízkymi emisiami</w:t>
      </w:r>
      <w:r w:rsidR="00CC26EA" w:rsidRPr="00CC26EA">
        <w:rPr>
          <w:noProof/>
          <w:spacing w:val="-6"/>
          <w:lang w:val="sk-SK"/>
        </w:rPr>
        <w:t>.</w:t>
      </w:r>
    </w:p>
    <w:p w14:paraId="68741757" w14:textId="77777777" w:rsidR="00CC26EA" w:rsidRPr="00CC26EA" w:rsidRDefault="0041081E">
      <w:pPr>
        <w:pStyle w:val="Text1"/>
        <w:ind w:left="0"/>
        <w:rPr>
          <w:noProof/>
          <w:spacing w:val="-6"/>
          <w:lang w:val="sk-SK"/>
        </w:rPr>
      </w:pPr>
      <w:r w:rsidRPr="00CC26EA">
        <w:rPr>
          <w:noProof/>
          <w:spacing w:val="-6"/>
          <w:lang w:val="sk-SK"/>
        </w:rPr>
        <w:t>Táto zložka sa skladá zo štyroch hlavných podsúborov opatrení, pri ktorých sa očakáva, že urýchlia dekarbonizáciu odvetvia</w:t>
      </w:r>
      <w:r w:rsidR="00CC26EA" w:rsidRPr="00CC26EA">
        <w:rPr>
          <w:noProof/>
          <w:spacing w:val="-6"/>
          <w:lang w:val="sk-SK"/>
        </w:rPr>
        <w:t>.</w:t>
      </w:r>
    </w:p>
    <w:p w14:paraId="317FD1BA" w14:textId="0E522D17" w:rsidR="00CC26EA" w:rsidRPr="00CC26EA" w:rsidRDefault="0041081E">
      <w:pPr>
        <w:pStyle w:val="Text1"/>
        <w:ind w:left="0"/>
        <w:rPr>
          <w:noProof/>
          <w:spacing w:val="-6"/>
          <w:lang w:val="sk-SK"/>
        </w:rPr>
      </w:pPr>
      <w:r w:rsidRPr="00CC26EA">
        <w:rPr>
          <w:noProof/>
          <w:spacing w:val="-6"/>
          <w:lang w:val="sk-SK"/>
        </w:rPr>
        <w:t>Po prvé, komponent zahŕňa súbor opatrení týkajúcich sa nižšej registračnej dane pre vozidlá</w:t>
      </w:r>
      <w:r w:rsidR="00CC26EA" w:rsidRPr="00CC26EA">
        <w:rPr>
          <w:noProof/>
          <w:spacing w:val="-6"/>
          <w:lang w:val="sk-SK"/>
        </w:rPr>
        <w:t xml:space="preserve"> s </w:t>
      </w:r>
      <w:r w:rsidRPr="00CC26EA">
        <w:rPr>
          <w:noProof/>
          <w:spacing w:val="-6"/>
          <w:lang w:val="sk-SK"/>
        </w:rPr>
        <w:t>nízkymi emisiami</w:t>
      </w:r>
      <w:r w:rsidR="00CC26EA" w:rsidRPr="00CC26EA">
        <w:rPr>
          <w:noProof/>
          <w:spacing w:val="-6"/>
          <w:lang w:val="sk-SK"/>
        </w:rPr>
        <w:t xml:space="preserve"> a </w:t>
      </w:r>
      <w:r w:rsidRPr="00CC26EA">
        <w:rPr>
          <w:noProof/>
          <w:spacing w:val="-6"/>
          <w:lang w:val="sk-SK"/>
        </w:rPr>
        <w:t>systémov šrotovania vozidiel</w:t>
      </w:r>
      <w:r w:rsidR="00CC26EA" w:rsidRPr="00CC26EA">
        <w:rPr>
          <w:noProof/>
          <w:spacing w:val="-6"/>
          <w:lang w:val="sk-SK"/>
        </w:rPr>
        <w:t xml:space="preserve"> s </w:t>
      </w:r>
      <w:r w:rsidRPr="00CC26EA">
        <w:rPr>
          <w:noProof/>
          <w:spacing w:val="-6"/>
          <w:lang w:val="sk-SK"/>
        </w:rPr>
        <w:t>naftovým motorom</w:t>
      </w:r>
      <w:r w:rsidR="00CC26EA" w:rsidRPr="00CC26EA">
        <w:rPr>
          <w:noProof/>
          <w:spacing w:val="-6"/>
          <w:lang w:val="sk-SK"/>
        </w:rPr>
        <w:t xml:space="preserve"> s </w:t>
      </w:r>
      <w:r w:rsidRPr="00CC26EA">
        <w:rPr>
          <w:noProof/>
          <w:spacing w:val="-6"/>
          <w:lang w:val="sk-SK"/>
        </w:rPr>
        <w:t>cieľom motivovať viac spotrebiteľov, aby si vybrali automobily</w:t>
      </w:r>
      <w:r w:rsidR="00CC26EA" w:rsidRPr="00CC26EA">
        <w:rPr>
          <w:noProof/>
          <w:spacing w:val="-6"/>
          <w:lang w:val="sk-SK"/>
        </w:rPr>
        <w:t xml:space="preserve"> s </w:t>
      </w:r>
      <w:r w:rsidRPr="00CC26EA">
        <w:rPr>
          <w:noProof/>
          <w:spacing w:val="-6"/>
          <w:lang w:val="sk-SK"/>
        </w:rPr>
        <w:t>nulovými</w:t>
      </w:r>
      <w:r w:rsidR="00CC26EA" w:rsidRPr="00CC26EA">
        <w:rPr>
          <w:noProof/>
          <w:spacing w:val="-6"/>
          <w:lang w:val="sk-SK"/>
        </w:rPr>
        <w:t xml:space="preserve"> a </w:t>
      </w:r>
      <w:r w:rsidRPr="00CC26EA">
        <w:rPr>
          <w:noProof/>
          <w:spacing w:val="-6"/>
          <w:lang w:val="sk-SK"/>
        </w:rPr>
        <w:t>nízkymi emisiami</w:t>
      </w:r>
      <w:r w:rsidR="00CC26EA" w:rsidRPr="00CC26EA">
        <w:rPr>
          <w:noProof/>
          <w:spacing w:val="-6"/>
          <w:lang w:val="sk-SK"/>
        </w:rPr>
        <w:t>.</w:t>
      </w:r>
    </w:p>
    <w:p w14:paraId="2C3150E6" w14:textId="5365F61E" w:rsidR="00CC26EA" w:rsidRPr="00CC26EA" w:rsidRDefault="0041081E">
      <w:pPr>
        <w:pStyle w:val="Text1"/>
        <w:ind w:left="0"/>
        <w:rPr>
          <w:noProof/>
          <w:spacing w:val="-6"/>
          <w:lang w:val="sk-SK"/>
        </w:rPr>
      </w:pPr>
      <w:r w:rsidRPr="00CC26EA">
        <w:rPr>
          <w:noProof/>
          <w:spacing w:val="-6"/>
          <w:lang w:val="sk-SK"/>
        </w:rPr>
        <w:t>Po druhé, vykoná sa séria štúdií</w:t>
      </w:r>
      <w:r w:rsidR="00CC26EA" w:rsidRPr="00CC26EA">
        <w:rPr>
          <w:noProof/>
          <w:spacing w:val="-6"/>
          <w:lang w:val="sk-SK"/>
        </w:rPr>
        <w:t xml:space="preserve"> a </w:t>
      </w:r>
      <w:r w:rsidRPr="00CC26EA">
        <w:rPr>
          <w:noProof/>
          <w:spacing w:val="-6"/>
          <w:lang w:val="sk-SK"/>
        </w:rPr>
        <w:t>skúšok</w:t>
      </w:r>
      <w:r w:rsidR="00CC26EA" w:rsidRPr="00CC26EA">
        <w:rPr>
          <w:noProof/>
          <w:spacing w:val="-6"/>
          <w:lang w:val="sk-SK"/>
        </w:rPr>
        <w:t xml:space="preserve"> s </w:t>
      </w:r>
      <w:r w:rsidRPr="00CC26EA">
        <w:rPr>
          <w:noProof/>
          <w:spacing w:val="-6"/>
          <w:lang w:val="sk-SK"/>
        </w:rPr>
        <w:t>cieľom urýchliť dekarbonizáciu ciest (podpora spoločného využívania automobilov, optimalizácia nákladnej nákladnej dopravy, skúšobná schéma pre spoplatnenie ciest)</w:t>
      </w:r>
      <w:r w:rsidR="00CC26EA" w:rsidRPr="00CC26EA">
        <w:rPr>
          <w:noProof/>
          <w:spacing w:val="-6"/>
          <w:lang w:val="sk-SK"/>
        </w:rPr>
        <w:t>.</w:t>
      </w:r>
    </w:p>
    <w:p w14:paraId="4937729A" w14:textId="509C7D80" w:rsidR="00CC26EA" w:rsidRPr="00CC26EA" w:rsidRDefault="0041081E">
      <w:pPr>
        <w:pStyle w:val="Text1"/>
        <w:ind w:left="0"/>
        <w:rPr>
          <w:noProof/>
          <w:spacing w:val="-6"/>
          <w:lang w:val="sk-SK"/>
        </w:rPr>
      </w:pPr>
      <w:r w:rsidRPr="00CC26EA">
        <w:rPr>
          <w:noProof/>
          <w:spacing w:val="-6"/>
          <w:lang w:val="sk-SK"/>
        </w:rPr>
        <w:t>Po tretie, komponent zahŕňa investície zamerané na rozšírenie používania bicyklov,</w:t>
      </w:r>
      <w:r w:rsidR="00CC26EA" w:rsidRPr="00CC26EA">
        <w:rPr>
          <w:noProof/>
          <w:spacing w:val="-6"/>
          <w:lang w:val="sk-SK"/>
        </w:rPr>
        <w:t xml:space="preserve"> a </w:t>
      </w:r>
      <w:r w:rsidRPr="00CC26EA">
        <w:rPr>
          <w:noProof/>
          <w:spacing w:val="-6"/>
          <w:lang w:val="sk-SK"/>
        </w:rPr>
        <w:t>to buď prostredníctvom výstavby nabíjacích staníc, alebo prostredníctvom výstavby cyklistických trás</w:t>
      </w:r>
      <w:r w:rsidR="00CC26EA" w:rsidRPr="00CC26EA">
        <w:rPr>
          <w:noProof/>
          <w:spacing w:val="-6"/>
          <w:lang w:val="sk-SK"/>
        </w:rPr>
        <w:t>.</w:t>
      </w:r>
    </w:p>
    <w:p w14:paraId="3BFA392C" w14:textId="3A49843A" w:rsidR="00F65654" w:rsidRPr="00CC26EA" w:rsidRDefault="0041081E">
      <w:pPr>
        <w:pStyle w:val="Text1"/>
        <w:ind w:left="0"/>
        <w:rPr>
          <w:noProof/>
          <w:spacing w:val="-6"/>
          <w:lang w:val="sk-SK"/>
        </w:rPr>
      </w:pPr>
      <w:r w:rsidRPr="00CC26EA">
        <w:rPr>
          <w:noProof/>
          <w:spacing w:val="-6"/>
          <w:lang w:val="sk-SK"/>
        </w:rPr>
        <w:t>Komponent napokon zahŕňa opatrenie zamerané na dotovanie nákupu trajektov</w:t>
      </w:r>
      <w:r w:rsidR="00CC26EA" w:rsidRPr="00CC26EA">
        <w:rPr>
          <w:noProof/>
          <w:spacing w:val="-6"/>
          <w:lang w:val="sk-SK"/>
        </w:rPr>
        <w:t xml:space="preserve"> s </w:t>
      </w:r>
      <w:r w:rsidRPr="00CC26EA">
        <w:rPr>
          <w:noProof/>
          <w:spacing w:val="-6"/>
          <w:lang w:val="sk-SK"/>
        </w:rPr>
        <w:t>nulovými alebo nízkymi emisiami alebo na dodatočné vybavenie existujúcich trajektov.</w:t>
      </w:r>
    </w:p>
    <w:p w14:paraId="09701D89" w14:textId="120C71DB" w:rsidR="00F65654" w:rsidRPr="00CC26EA" w:rsidRDefault="0041081E">
      <w:pPr>
        <w:pStyle w:val="Text1"/>
        <w:ind w:left="0"/>
        <w:rPr>
          <w:noProof/>
          <w:spacing w:val="-6"/>
          <w:lang w:val="sk-SK"/>
        </w:rPr>
      </w:pPr>
      <w:r w:rsidRPr="00CC26EA">
        <w:rPr>
          <w:noProof/>
          <w:spacing w:val="-6"/>
          <w:lang w:val="sk-SK"/>
        </w:rPr>
        <w:t>Tieto investície</w:t>
      </w:r>
      <w:r w:rsidR="00CC26EA" w:rsidRPr="00CC26EA">
        <w:rPr>
          <w:noProof/>
          <w:spacing w:val="-6"/>
          <w:lang w:val="sk-SK"/>
        </w:rPr>
        <w:t xml:space="preserve"> a </w:t>
      </w:r>
      <w:r w:rsidRPr="00CC26EA">
        <w:rPr>
          <w:noProof/>
          <w:spacing w:val="-6"/>
          <w:lang w:val="sk-SK"/>
        </w:rPr>
        <w:t>reformy prispejú</w:t>
      </w:r>
      <w:r w:rsidR="00CC26EA" w:rsidRPr="00CC26EA">
        <w:rPr>
          <w:noProof/>
          <w:spacing w:val="-6"/>
          <w:lang w:val="sk-SK"/>
        </w:rPr>
        <w:t xml:space="preserve"> k </w:t>
      </w:r>
      <w:r w:rsidRPr="00CC26EA">
        <w:rPr>
          <w:noProof/>
          <w:spacing w:val="-6"/>
          <w:lang w:val="sk-SK"/>
        </w:rPr>
        <w:t>odporúčaniam pre jednotlivé krajiny, ktoré boli</w:t>
      </w:r>
      <w:r w:rsidR="00CC26EA" w:rsidRPr="00CC26EA">
        <w:rPr>
          <w:noProof/>
          <w:spacing w:val="-6"/>
          <w:lang w:val="sk-SK"/>
        </w:rPr>
        <w:t xml:space="preserve"> v </w:t>
      </w:r>
      <w:r w:rsidRPr="00CC26EA">
        <w:rPr>
          <w:noProof/>
          <w:spacing w:val="-6"/>
          <w:lang w:val="sk-SK"/>
        </w:rPr>
        <w:t>posledných dvoch rokoch adresované Dánsku</w:t>
      </w:r>
      <w:r w:rsidR="00CC26EA" w:rsidRPr="00CC26EA">
        <w:rPr>
          <w:noProof/>
          <w:spacing w:val="-6"/>
          <w:lang w:val="sk-SK"/>
        </w:rPr>
        <w:t xml:space="preserve"> a </w:t>
      </w:r>
      <w:r w:rsidRPr="00CC26EA">
        <w:rPr>
          <w:noProof/>
          <w:spacing w:val="-6"/>
          <w:lang w:val="sk-SK"/>
        </w:rPr>
        <w:t>ktoré sa týkajú potreby „zamerať investície do zelenej [...] transformácie, najmä na udržateľnú dopravu“. (odporúčania pre jednotlivé krajiny 2, 2020)</w:t>
      </w:r>
      <w:r w:rsidR="00CC26EA" w:rsidRPr="00CC26EA">
        <w:rPr>
          <w:noProof/>
          <w:spacing w:val="-6"/>
          <w:lang w:val="sk-SK"/>
        </w:rPr>
        <w:t xml:space="preserve"> a </w:t>
      </w:r>
      <w:r w:rsidRPr="00CC26EA">
        <w:rPr>
          <w:noProof/>
          <w:spacing w:val="-6"/>
          <w:lang w:val="sk-SK"/>
        </w:rPr>
        <w:t>„</w:t>
      </w:r>
      <w:r w:rsidRPr="00CC26EA">
        <w:rPr>
          <w:i/>
          <w:noProof/>
          <w:spacing w:val="-6"/>
          <w:lang w:val="sk-SK"/>
        </w:rPr>
        <w:t>Zameranie hospodárskej politiky súvisiacej</w:t>
      </w:r>
      <w:r w:rsidR="00CC26EA" w:rsidRPr="00CC26EA">
        <w:rPr>
          <w:i/>
          <w:noProof/>
          <w:spacing w:val="-6"/>
          <w:lang w:val="sk-SK"/>
        </w:rPr>
        <w:t xml:space="preserve"> s </w:t>
      </w:r>
      <w:r w:rsidRPr="00CC26EA">
        <w:rPr>
          <w:i/>
          <w:noProof/>
          <w:spacing w:val="-6"/>
          <w:lang w:val="sk-SK"/>
        </w:rPr>
        <w:t>investíciami na udržateľnú dopravu</w:t>
      </w:r>
      <w:r w:rsidR="00CC26EA" w:rsidRPr="00CC26EA">
        <w:rPr>
          <w:i/>
          <w:noProof/>
          <w:spacing w:val="-6"/>
          <w:lang w:val="sk-SK"/>
        </w:rPr>
        <w:t xml:space="preserve"> s </w:t>
      </w:r>
      <w:r w:rsidRPr="00CC26EA">
        <w:rPr>
          <w:i/>
          <w:noProof/>
          <w:spacing w:val="-6"/>
          <w:lang w:val="sk-SK"/>
        </w:rPr>
        <w:t xml:space="preserve">cieľom riešiť preťaženie cestnej premávky“ </w:t>
      </w:r>
      <w:r w:rsidRPr="00CC26EA">
        <w:rPr>
          <w:noProof/>
          <w:spacing w:val="-6"/>
          <w:lang w:val="sk-SK"/>
        </w:rPr>
        <w:t>(odporúčania pre jednotlivé krajiny 3, 2019)</w:t>
      </w:r>
      <w:r w:rsidRPr="00CC26EA">
        <w:rPr>
          <w:i/>
          <w:noProof/>
          <w:spacing w:val="-6"/>
          <w:lang w:val="sk-SK"/>
        </w:rPr>
        <w:t>.</w:t>
      </w:r>
    </w:p>
    <w:p w14:paraId="2D29CE5D" w14:textId="682DC1EE" w:rsidR="00F65654" w:rsidRPr="00CC26EA" w:rsidRDefault="0041081E">
      <w:pPr>
        <w:pStyle w:val="Text1"/>
        <w:ind w:left="0"/>
        <w:rPr>
          <w:b/>
          <w:noProof/>
          <w:spacing w:val="-6"/>
          <w:u w:val="single"/>
          <w:lang w:val="sk-SK"/>
        </w:rPr>
      </w:pPr>
      <w:r w:rsidRPr="00CC26EA">
        <w:rPr>
          <w:b/>
          <w:noProof/>
          <w:spacing w:val="-6"/>
          <w:u w:val="single"/>
          <w:lang w:val="sk-SK"/>
        </w:rPr>
        <w:t xml:space="preserve">E.1. </w:t>
      </w:r>
      <w:r w:rsidRPr="00CC26EA">
        <w:rPr>
          <w:noProof/>
          <w:spacing w:val="-6"/>
          <w:lang w:val="sk-SK"/>
        </w:rPr>
        <w:tab/>
      </w:r>
      <w:r w:rsidRPr="00CC26EA">
        <w:rPr>
          <w:b/>
          <w:noProof/>
          <w:spacing w:val="-6"/>
          <w:u w:val="single"/>
          <w:lang w:val="sk-SK"/>
        </w:rPr>
        <w:t>Opis reforiem</w:t>
      </w:r>
      <w:r w:rsidR="00CC26EA" w:rsidRPr="00CC26EA">
        <w:rPr>
          <w:b/>
          <w:noProof/>
          <w:spacing w:val="-6"/>
          <w:u w:val="single"/>
          <w:lang w:val="sk-SK"/>
        </w:rPr>
        <w:t xml:space="preserve"> a </w:t>
      </w:r>
      <w:r w:rsidRPr="00CC26EA">
        <w:rPr>
          <w:b/>
          <w:noProof/>
          <w:spacing w:val="-6"/>
          <w:u w:val="single"/>
          <w:lang w:val="sk-SK"/>
        </w:rPr>
        <w:t>investícií</w:t>
      </w:r>
      <w:r w:rsidR="00CC26EA" w:rsidRPr="00CC26EA">
        <w:rPr>
          <w:b/>
          <w:noProof/>
          <w:spacing w:val="-6"/>
          <w:u w:val="single"/>
          <w:lang w:val="sk-SK"/>
        </w:rPr>
        <w:t xml:space="preserve"> v </w:t>
      </w:r>
      <w:r w:rsidRPr="00CC26EA">
        <w:rPr>
          <w:b/>
          <w:noProof/>
          <w:spacing w:val="-6"/>
          <w:u w:val="single"/>
          <w:lang w:val="sk-SK"/>
        </w:rPr>
        <w:t>rámci nenávratnej finančnej podpory</w:t>
      </w:r>
    </w:p>
    <w:p w14:paraId="37DE851A" w14:textId="42DC4296" w:rsidR="00F65654" w:rsidRPr="00CC26EA" w:rsidRDefault="0041081E">
      <w:pPr>
        <w:pStyle w:val="P68B1DB1-Text13"/>
        <w:ind w:left="0"/>
        <w:rPr>
          <w:noProof/>
          <w:spacing w:val="-6"/>
          <w:lang w:val="sk-SK"/>
        </w:rPr>
      </w:pPr>
      <w:r w:rsidRPr="00CC26EA">
        <w:rPr>
          <w:noProof/>
          <w:spacing w:val="-6"/>
          <w:lang w:val="sk-SK"/>
        </w:rPr>
        <w:t>Reforma 1: Zmena priorít registračnej dane pre vozidlá</w:t>
      </w:r>
      <w:r w:rsidR="00CC26EA" w:rsidRPr="00CC26EA">
        <w:rPr>
          <w:noProof/>
          <w:spacing w:val="-6"/>
          <w:lang w:val="sk-SK"/>
        </w:rPr>
        <w:t xml:space="preserve"> a </w:t>
      </w:r>
      <w:r w:rsidRPr="00CC26EA">
        <w:rPr>
          <w:noProof/>
          <w:spacing w:val="-6"/>
          <w:lang w:val="sk-SK"/>
        </w:rPr>
        <w:t>nízkej dane</w:t>
      </w:r>
      <w:r w:rsidR="00CC26EA" w:rsidRPr="00CC26EA">
        <w:rPr>
          <w:noProof/>
          <w:spacing w:val="-6"/>
          <w:lang w:val="sk-SK"/>
        </w:rPr>
        <w:t xml:space="preserve"> z </w:t>
      </w:r>
      <w:r w:rsidRPr="00CC26EA">
        <w:rPr>
          <w:noProof/>
          <w:spacing w:val="-6"/>
          <w:lang w:val="sk-SK"/>
        </w:rPr>
        <w:t>elektrickej energie pri nabíjaní elektrických vozidiel</w:t>
      </w:r>
    </w:p>
    <w:p w14:paraId="43C86655" w14:textId="6F820F4C" w:rsidR="00CC26EA" w:rsidRPr="00CC26EA" w:rsidRDefault="0041081E">
      <w:pPr>
        <w:pStyle w:val="Text1"/>
        <w:ind w:left="0"/>
        <w:rPr>
          <w:noProof/>
          <w:spacing w:val="-6"/>
          <w:lang w:val="sk-SK"/>
        </w:rPr>
      </w:pPr>
      <w:r w:rsidRPr="00CC26EA">
        <w:rPr>
          <w:noProof/>
          <w:spacing w:val="-6"/>
          <w:lang w:val="sk-SK"/>
        </w:rPr>
        <w:t>Táto reforma bude súčasťou súboru opatrení týkajúcich sa nižšej registračnej dane pre vozidlá</w:t>
      </w:r>
      <w:r w:rsidR="00CC26EA" w:rsidRPr="00CC26EA">
        <w:rPr>
          <w:noProof/>
          <w:spacing w:val="-6"/>
          <w:lang w:val="sk-SK"/>
        </w:rPr>
        <w:t xml:space="preserve"> s </w:t>
      </w:r>
      <w:r w:rsidRPr="00CC26EA">
        <w:rPr>
          <w:noProof/>
          <w:spacing w:val="-6"/>
          <w:lang w:val="sk-SK"/>
        </w:rPr>
        <w:t>nízkymi emisiami</w:t>
      </w:r>
      <w:r w:rsidR="00CC26EA" w:rsidRPr="00CC26EA">
        <w:rPr>
          <w:noProof/>
          <w:spacing w:val="-6"/>
          <w:lang w:val="sk-SK"/>
        </w:rPr>
        <w:t xml:space="preserve"> a </w:t>
      </w:r>
      <w:r w:rsidRPr="00CC26EA">
        <w:rPr>
          <w:noProof/>
          <w:spacing w:val="-6"/>
          <w:lang w:val="sk-SK"/>
        </w:rPr>
        <w:t>systémov šrotovania vozidiel</w:t>
      </w:r>
      <w:r w:rsidR="00CC26EA" w:rsidRPr="00CC26EA">
        <w:rPr>
          <w:noProof/>
          <w:spacing w:val="-6"/>
          <w:lang w:val="sk-SK"/>
        </w:rPr>
        <w:t xml:space="preserve"> s </w:t>
      </w:r>
      <w:r w:rsidRPr="00CC26EA">
        <w:rPr>
          <w:noProof/>
          <w:spacing w:val="-6"/>
          <w:lang w:val="sk-SK"/>
        </w:rPr>
        <w:t>naftovým motorom. Cieľom opatrení je motivovať viac spotrebiteľov, aby si vybrali automobily</w:t>
      </w:r>
      <w:r w:rsidR="00CC26EA" w:rsidRPr="00CC26EA">
        <w:rPr>
          <w:noProof/>
          <w:spacing w:val="-6"/>
          <w:lang w:val="sk-SK"/>
        </w:rPr>
        <w:t xml:space="preserve"> s </w:t>
      </w:r>
      <w:r w:rsidRPr="00CC26EA">
        <w:rPr>
          <w:noProof/>
          <w:spacing w:val="-6"/>
          <w:lang w:val="sk-SK"/>
        </w:rPr>
        <w:t>nulovými</w:t>
      </w:r>
      <w:r w:rsidR="00CC26EA" w:rsidRPr="00CC26EA">
        <w:rPr>
          <w:noProof/>
          <w:spacing w:val="-6"/>
          <w:lang w:val="sk-SK"/>
        </w:rPr>
        <w:t xml:space="preserve"> a </w:t>
      </w:r>
      <w:r w:rsidRPr="00CC26EA">
        <w:rPr>
          <w:noProof/>
          <w:spacing w:val="-6"/>
          <w:lang w:val="sk-SK"/>
        </w:rPr>
        <w:t>nízkymi emisiami. Daň</w:t>
      </w:r>
      <w:r w:rsidR="00CC26EA" w:rsidRPr="00CC26EA">
        <w:rPr>
          <w:noProof/>
          <w:spacing w:val="-6"/>
          <w:lang w:val="sk-SK"/>
        </w:rPr>
        <w:t xml:space="preserve"> z </w:t>
      </w:r>
      <w:r w:rsidRPr="00CC26EA">
        <w:rPr>
          <w:noProof/>
          <w:spacing w:val="-6"/>
          <w:lang w:val="sk-SK"/>
        </w:rPr>
        <w:t>elektriny pre vozidlá</w:t>
      </w:r>
      <w:r w:rsidR="00CC26EA" w:rsidRPr="00CC26EA">
        <w:rPr>
          <w:noProof/>
          <w:spacing w:val="-6"/>
          <w:lang w:val="sk-SK"/>
        </w:rPr>
        <w:t xml:space="preserve"> s </w:t>
      </w:r>
      <w:r w:rsidRPr="00CC26EA">
        <w:rPr>
          <w:noProof/>
          <w:spacing w:val="-6"/>
          <w:lang w:val="sk-SK"/>
        </w:rPr>
        <w:t>nulovými</w:t>
      </w:r>
      <w:r w:rsidR="00CC26EA" w:rsidRPr="00CC26EA">
        <w:rPr>
          <w:noProof/>
          <w:spacing w:val="-6"/>
          <w:lang w:val="sk-SK"/>
        </w:rPr>
        <w:t xml:space="preserve"> a </w:t>
      </w:r>
      <w:r w:rsidRPr="00CC26EA">
        <w:rPr>
          <w:noProof/>
          <w:spacing w:val="-6"/>
          <w:lang w:val="sk-SK"/>
        </w:rPr>
        <w:t>nízkymi emisiami sa zníži. Táto prvá podskupina opatrení zahŕňa aj prémiu za zošrotovanie starých dieselových automobilov</w:t>
      </w:r>
      <w:r w:rsidR="00CC26EA" w:rsidRPr="00CC26EA">
        <w:rPr>
          <w:noProof/>
          <w:spacing w:val="-6"/>
          <w:lang w:val="sk-SK"/>
        </w:rPr>
        <w:t xml:space="preserve"> s </w:t>
      </w:r>
      <w:r w:rsidRPr="00CC26EA">
        <w:rPr>
          <w:noProof/>
          <w:spacing w:val="-6"/>
          <w:lang w:val="sk-SK"/>
        </w:rPr>
        <w:t>cieľom zabezpečiť, aby sa staršie automobily rýchlo zmenili na nové</w:t>
      </w:r>
      <w:r w:rsidR="00CC26EA" w:rsidRPr="00CC26EA">
        <w:rPr>
          <w:noProof/>
          <w:spacing w:val="-6"/>
          <w:lang w:val="sk-SK"/>
        </w:rPr>
        <w:t xml:space="preserve"> a </w:t>
      </w:r>
      <w:r w:rsidRPr="00CC26EA">
        <w:rPr>
          <w:noProof/>
          <w:spacing w:val="-6"/>
          <w:lang w:val="sk-SK"/>
        </w:rPr>
        <w:t>menej znečisťujúce automobily</w:t>
      </w:r>
      <w:r w:rsidR="00CC26EA" w:rsidRPr="00CC26EA">
        <w:rPr>
          <w:noProof/>
          <w:spacing w:val="-6"/>
          <w:lang w:val="sk-SK"/>
        </w:rPr>
        <w:t>.</w:t>
      </w:r>
    </w:p>
    <w:p w14:paraId="4A7A9434" w14:textId="47A04E3C" w:rsidR="00F65654" w:rsidRPr="00CC26EA" w:rsidRDefault="0041081E">
      <w:pPr>
        <w:pStyle w:val="P68B1DB1-Text13"/>
        <w:ind w:left="0"/>
        <w:rPr>
          <w:noProof/>
          <w:spacing w:val="-6"/>
          <w:lang w:val="sk-SK"/>
        </w:rPr>
      </w:pPr>
      <w:r w:rsidRPr="00CC26EA">
        <w:rPr>
          <w:noProof/>
          <w:spacing w:val="-6"/>
          <w:lang w:val="sk-SK"/>
        </w:rPr>
        <w:t>Investícia 1: Dočasné zvýšenie prémie za zošrotovanie starých vozidiel</w:t>
      </w:r>
      <w:r w:rsidR="00CC26EA" w:rsidRPr="00CC26EA">
        <w:rPr>
          <w:noProof/>
          <w:spacing w:val="-6"/>
          <w:lang w:val="sk-SK"/>
        </w:rPr>
        <w:t xml:space="preserve"> s </w:t>
      </w:r>
      <w:r w:rsidRPr="00CC26EA">
        <w:rPr>
          <w:noProof/>
          <w:spacing w:val="-6"/>
          <w:lang w:val="sk-SK"/>
        </w:rPr>
        <w:t>naftovým motorom</w:t>
      </w:r>
    </w:p>
    <w:p w14:paraId="7EAECF65" w14:textId="5157BD0F" w:rsidR="00CC26EA" w:rsidRPr="00CC26EA" w:rsidRDefault="0041081E">
      <w:pPr>
        <w:pStyle w:val="Text1"/>
        <w:ind w:left="0"/>
        <w:rPr>
          <w:noProof/>
          <w:spacing w:val="-6"/>
          <w:lang w:val="sk-SK"/>
        </w:rPr>
      </w:pPr>
      <w:r w:rsidRPr="00CC26EA">
        <w:rPr>
          <w:noProof/>
          <w:spacing w:val="-6"/>
          <w:lang w:val="sk-SK"/>
        </w:rPr>
        <w:t>Cieľom iniciatívy je znížiť emisie PM2,5</w:t>
      </w:r>
      <w:r w:rsidR="00CC26EA" w:rsidRPr="00CC26EA">
        <w:rPr>
          <w:noProof/>
          <w:spacing w:val="-6"/>
          <w:lang w:val="sk-SK"/>
        </w:rPr>
        <w:t xml:space="preserve"> o </w:t>
      </w:r>
      <w:r w:rsidRPr="00CC26EA">
        <w:rPr>
          <w:noProof/>
          <w:spacing w:val="-6"/>
          <w:lang w:val="sk-SK"/>
        </w:rPr>
        <w:t>17 ton</w:t>
      </w:r>
      <w:r w:rsidR="00CC26EA" w:rsidRPr="00CC26EA">
        <w:rPr>
          <w:noProof/>
          <w:spacing w:val="-6"/>
          <w:lang w:val="sk-SK"/>
        </w:rPr>
        <w:t xml:space="preserve"> a </w:t>
      </w:r>
      <w:r w:rsidRPr="00CC26EA">
        <w:rPr>
          <w:noProof/>
          <w:spacing w:val="-6"/>
          <w:lang w:val="sk-SK"/>
        </w:rPr>
        <w:t>emisie CO2 približne</w:t>
      </w:r>
      <w:r w:rsidR="00CC26EA" w:rsidRPr="00CC26EA">
        <w:rPr>
          <w:noProof/>
          <w:spacing w:val="-6"/>
          <w:lang w:val="sk-SK"/>
        </w:rPr>
        <w:t xml:space="preserve"> o </w:t>
      </w:r>
      <w:r w:rsidRPr="00CC26EA">
        <w:rPr>
          <w:noProof/>
          <w:spacing w:val="-6"/>
          <w:lang w:val="sk-SK"/>
        </w:rPr>
        <w:t>7000 ton.</w:t>
      </w:r>
      <w:r w:rsidR="00CC26EA" w:rsidRPr="00CC26EA">
        <w:rPr>
          <w:noProof/>
          <w:spacing w:val="-6"/>
          <w:lang w:val="sk-SK"/>
        </w:rPr>
        <w:t xml:space="preserve"> S </w:t>
      </w:r>
      <w:r w:rsidRPr="00CC26EA">
        <w:rPr>
          <w:noProof/>
          <w:spacing w:val="-6"/>
          <w:lang w:val="sk-SK"/>
        </w:rPr>
        <w:t>cieľom podporiť prechod zo starých konvenčných automobilov na automobily</w:t>
      </w:r>
      <w:r w:rsidR="00CC26EA" w:rsidRPr="00CC26EA">
        <w:rPr>
          <w:noProof/>
          <w:spacing w:val="-6"/>
          <w:lang w:val="sk-SK"/>
        </w:rPr>
        <w:t xml:space="preserve"> s </w:t>
      </w:r>
      <w:r w:rsidRPr="00CC26EA">
        <w:rPr>
          <w:noProof/>
          <w:spacing w:val="-6"/>
          <w:lang w:val="sk-SK"/>
        </w:rPr>
        <w:t>nulovými alebo nízkymi emisiami (tuhé častice, NOx</w:t>
      </w:r>
      <w:r w:rsidR="00CC26EA" w:rsidRPr="00CC26EA">
        <w:rPr>
          <w:noProof/>
          <w:spacing w:val="-6"/>
          <w:lang w:val="sk-SK"/>
        </w:rPr>
        <w:t xml:space="preserve"> a </w:t>
      </w:r>
      <w:r w:rsidRPr="00CC26EA">
        <w:rPr>
          <w:noProof/>
          <w:spacing w:val="-6"/>
          <w:lang w:val="sk-SK"/>
        </w:rPr>
        <w:t>CO2) sa zvýši prémia za zošrotovanie starých vozidiel</w:t>
      </w:r>
      <w:r w:rsidR="00CC26EA" w:rsidRPr="00CC26EA">
        <w:rPr>
          <w:noProof/>
          <w:spacing w:val="-6"/>
          <w:lang w:val="sk-SK"/>
        </w:rPr>
        <w:t xml:space="preserve"> s </w:t>
      </w:r>
      <w:r w:rsidRPr="00CC26EA">
        <w:rPr>
          <w:noProof/>
          <w:spacing w:val="-6"/>
          <w:lang w:val="sk-SK"/>
        </w:rPr>
        <w:t>naftovým motorom, čím sa podporí stimul pre domácnosti, aby svoje staré naftové automobily zlikvidovali</w:t>
      </w:r>
      <w:r w:rsidR="00CC26EA" w:rsidRPr="00CC26EA">
        <w:rPr>
          <w:noProof/>
          <w:spacing w:val="-6"/>
          <w:lang w:val="sk-SK"/>
        </w:rPr>
        <w:t xml:space="preserve"> v </w:t>
      </w:r>
      <w:r w:rsidRPr="00CC26EA">
        <w:rPr>
          <w:noProof/>
          <w:spacing w:val="-6"/>
          <w:lang w:val="sk-SK"/>
        </w:rPr>
        <w:t>prospech novších automobilov</w:t>
      </w:r>
      <w:r w:rsidR="00CC26EA" w:rsidRPr="00CC26EA">
        <w:rPr>
          <w:noProof/>
          <w:spacing w:val="-6"/>
          <w:lang w:val="sk-SK"/>
        </w:rPr>
        <w:t xml:space="preserve"> s </w:t>
      </w:r>
      <w:r w:rsidRPr="00CC26EA">
        <w:rPr>
          <w:noProof/>
          <w:spacing w:val="-6"/>
          <w:lang w:val="sk-SK"/>
        </w:rPr>
        <w:t>nižšími emisiami vrátane automobilov</w:t>
      </w:r>
      <w:r w:rsidR="00CC26EA" w:rsidRPr="00CC26EA">
        <w:rPr>
          <w:noProof/>
          <w:spacing w:val="-6"/>
          <w:lang w:val="sk-SK"/>
        </w:rPr>
        <w:t xml:space="preserve"> s </w:t>
      </w:r>
      <w:r w:rsidRPr="00CC26EA">
        <w:rPr>
          <w:noProof/>
          <w:spacing w:val="-6"/>
          <w:lang w:val="sk-SK"/>
        </w:rPr>
        <w:t>nulovými</w:t>
      </w:r>
      <w:r w:rsidR="00CC26EA" w:rsidRPr="00CC26EA">
        <w:rPr>
          <w:noProof/>
          <w:spacing w:val="-6"/>
          <w:lang w:val="sk-SK"/>
        </w:rPr>
        <w:t xml:space="preserve"> a </w:t>
      </w:r>
      <w:r w:rsidRPr="00CC26EA">
        <w:rPr>
          <w:noProof/>
          <w:spacing w:val="-6"/>
          <w:lang w:val="sk-SK"/>
        </w:rPr>
        <w:t>nízkymi emisiami. Subvenčná schéma sa začne</w:t>
      </w:r>
      <w:r w:rsidR="00CC26EA" w:rsidRPr="00CC26EA">
        <w:rPr>
          <w:noProof/>
          <w:spacing w:val="-6"/>
          <w:lang w:val="sk-SK"/>
        </w:rPr>
        <w:t xml:space="preserve"> s </w:t>
      </w:r>
      <w:r w:rsidRPr="00CC26EA">
        <w:rPr>
          <w:noProof/>
          <w:spacing w:val="-6"/>
          <w:lang w:val="sk-SK"/>
        </w:rPr>
        <w:t>cieľom zvýšiť prémiu za zošrotovanie, takže vlastníci naftových automobilov pred 1. januárom 2006 dostanú prémiu za zošrotovanie 5 000 DKK, ak zošrotujú svoje staré naftové vozidlo</w:t>
      </w:r>
      <w:r w:rsidR="00CC26EA" w:rsidRPr="00CC26EA">
        <w:rPr>
          <w:noProof/>
          <w:spacing w:val="-6"/>
          <w:lang w:val="sk-SK"/>
        </w:rPr>
        <w:t xml:space="preserve"> a </w:t>
      </w:r>
      <w:r w:rsidRPr="00CC26EA">
        <w:rPr>
          <w:noProof/>
          <w:spacing w:val="-6"/>
          <w:lang w:val="sk-SK"/>
        </w:rPr>
        <w:t>ich žiadosť je schválená. Zriadená administratíva musí byť digitálna</w:t>
      </w:r>
      <w:r w:rsidR="00CC26EA" w:rsidRPr="00CC26EA">
        <w:rPr>
          <w:noProof/>
          <w:spacing w:val="-6"/>
          <w:lang w:val="sk-SK"/>
        </w:rPr>
        <w:t>.</w:t>
      </w:r>
    </w:p>
    <w:p w14:paraId="68E70F91" w14:textId="5625AEC6" w:rsidR="00F65654" w:rsidRPr="00CC26EA" w:rsidRDefault="0041081E">
      <w:pPr>
        <w:pStyle w:val="P68B1DB1-Text13"/>
        <w:ind w:left="0"/>
        <w:rPr>
          <w:noProof/>
          <w:spacing w:val="-6"/>
          <w:lang w:val="sk-SK"/>
        </w:rPr>
      </w:pPr>
      <w:r w:rsidRPr="00CC26EA">
        <w:rPr>
          <w:noProof/>
          <w:spacing w:val="-6"/>
          <w:lang w:val="sk-SK"/>
        </w:rPr>
        <w:t>Investícia 2: Vývojová skúška stanovovania cien vozovky</w:t>
      </w:r>
    </w:p>
    <w:p w14:paraId="060A70C3" w14:textId="552F1D1F" w:rsidR="00CC26EA" w:rsidRPr="00CC26EA" w:rsidRDefault="0041081E">
      <w:pPr>
        <w:pStyle w:val="Text1"/>
        <w:ind w:left="0"/>
        <w:rPr>
          <w:noProof/>
          <w:spacing w:val="-6"/>
          <w:lang w:val="sk-SK"/>
        </w:rPr>
      </w:pPr>
      <w:r w:rsidRPr="00CC26EA">
        <w:rPr>
          <w:noProof/>
          <w:spacing w:val="-6"/>
          <w:lang w:val="sk-SK"/>
        </w:rPr>
        <w:t>Táto investícia je súčasťou série štúdií</w:t>
      </w:r>
      <w:r w:rsidR="00CC26EA" w:rsidRPr="00CC26EA">
        <w:rPr>
          <w:noProof/>
          <w:spacing w:val="-6"/>
          <w:lang w:val="sk-SK"/>
        </w:rPr>
        <w:t xml:space="preserve"> a </w:t>
      </w:r>
      <w:r w:rsidRPr="00CC26EA">
        <w:rPr>
          <w:noProof/>
          <w:spacing w:val="-6"/>
          <w:lang w:val="sk-SK"/>
        </w:rPr>
        <w:t>skúšok sa vykonajú</w:t>
      </w:r>
      <w:r w:rsidR="00CC26EA" w:rsidRPr="00CC26EA">
        <w:rPr>
          <w:noProof/>
          <w:spacing w:val="-6"/>
          <w:lang w:val="sk-SK"/>
        </w:rPr>
        <w:t xml:space="preserve"> s </w:t>
      </w:r>
      <w:r w:rsidRPr="00CC26EA">
        <w:rPr>
          <w:noProof/>
          <w:spacing w:val="-6"/>
          <w:lang w:val="sk-SK"/>
        </w:rPr>
        <w:t>cieľom urýchliť dekarbonizáciu ciest (podpora spoločného využívania automobilov, skúšobná schéma pre nákladnú nákladnú dopravu, optimalizácia spoplatňovania ciest)</w:t>
      </w:r>
      <w:r w:rsidR="00CC26EA" w:rsidRPr="00CC26EA">
        <w:rPr>
          <w:noProof/>
          <w:spacing w:val="-6"/>
          <w:lang w:val="sk-SK"/>
        </w:rPr>
        <w:t>.</w:t>
      </w:r>
    </w:p>
    <w:p w14:paraId="32A2BF1A" w14:textId="6F33523E" w:rsidR="00CC26EA" w:rsidRPr="00CC26EA" w:rsidRDefault="0041081E">
      <w:pPr>
        <w:pStyle w:val="Text1"/>
        <w:ind w:left="0"/>
        <w:rPr>
          <w:noProof/>
          <w:spacing w:val="-6"/>
          <w:lang w:val="sk-SK"/>
        </w:rPr>
      </w:pPr>
      <w:r w:rsidRPr="00CC26EA">
        <w:rPr>
          <w:noProof/>
          <w:spacing w:val="-6"/>
          <w:lang w:val="sk-SK"/>
        </w:rPr>
        <w:t>Iniciuje sa vývojová skúška spoplatňovania ciest</w:t>
      </w:r>
      <w:r w:rsidR="00CC26EA" w:rsidRPr="00CC26EA">
        <w:rPr>
          <w:noProof/>
          <w:spacing w:val="-6"/>
          <w:lang w:val="sk-SK"/>
        </w:rPr>
        <w:t xml:space="preserve"> s </w:t>
      </w:r>
      <w:r w:rsidRPr="00CC26EA">
        <w:rPr>
          <w:noProof/>
          <w:spacing w:val="-6"/>
          <w:lang w:val="sk-SK"/>
        </w:rPr>
        <w:t>cieľom preskúmať účinné spôsoby zdaňovania preťaženia</w:t>
      </w:r>
      <w:r w:rsidR="00CC26EA" w:rsidRPr="00CC26EA">
        <w:rPr>
          <w:noProof/>
          <w:spacing w:val="-6"/>
          <w:lang w:val="sk-SK"/>
        </w:rPr>
        <w:t xml:space="preserve"> a </w:t>
      </w:r>
      <w:r w:rsidRPr="00CC26EA">
        <w:rPr>
          <w:noProof/>
          <w:spacing w:val="-6"/>
          <w:lang w:val="sk-SK"/>
        </w:rPr>
        <w:t>škôd</w:t>
      </w:r>
      <w:r w:rsidR="00CC26EA" w:rsidRPr="00CC26EA">
        <w:rPr>
          <w:noProof/>
          <w:spacing w:val="-6"/>
          <w:lang w:val="sk-SK"/>
        </w:rPr>
        <w:t xml:space="preserve"> a </w:t>
      </w:r>
      <w:r w:rsidRPr="00CC26EA">
        <w:rPr>
          <w:noProof/>
          <w:spacing w:val="-6"/>
          <w:lang w:val="sk-SK"/>
        </w:rPr>
        <w:t>zdravotných nákladov spojených</w:t>
      </w:r>
      <w:r w:rsidR="00CC26EA" w:rsidRPr="00CC26EA">
        <w:rPr>
          <w:noProof/>
          <w:spacing w:val="-6"/>
          <w:lang w:val="sk-SK"/>
        </w:rPr>
        <w:t xml:space="preserve"> s </w:t>
      </w:r>
      <w:r w:rsidRPr="00CC26EA">
        <w:rPr>
          <w:noProof/>
          <w:spacing w:val="-6"/>
          <w:lang w:val="sk-SK"/>
        </w:rPr>
        <w:t>riadením vozidla. Očakáva sa, že riadenie projektu</w:t>
      </w:r>
      <w:r w:rsidR="00CC26EA" w:rsidRPr="00CC26EA">
        <w:rPr>
          <w:noProof/>
          <w:spacing w:val="-6"/>
          <w:lang w:val="sk-SK"/>
        </w:rPr>
        <w:t xml:space="preserve"> a </w:t>
      </w:r>
      <w:r w:rsidRPr="00CC26EA">
        <w:rPr>
          <w:noProof/>
          <w:spacing w:val="-6"/>
          <w:lang w:val="sk-SK"/>
        </w:rPr>
        <w:t>šírenie výsledkov bude pridelené univerzite</w:t>
      </w:r>
      <w:r w:rsidR="00CC26EA" w:rsidRPr="00CC26EA">
        <w:rPr>
          <w:noProof/>
          <w:spacing w:val="-6"/>
          <w:lang w:val="sk-SK"/>
        </w:rPr>
        <w:t xml:space="preserve"> s </w:t>
      </w:r>
      <w:r w:rsidRPr="00CC26EA">
        <w:rPr>
          <w:noProof/>
          <w:spacing w:val="-6"/>
          <w:lang w:val="sk-SK"/>
        </w:rPr>
        <w:t>vedeckými poznatkami</w:t>
      </w:r>
      <w:r w:rsidR="00CC26EA" w:rsidRPr="00CC26EA">
        <w:rPr>
          <w:noProof/>
          <w:spacing w:val="-6"/>
          <w:lang w:val="sk-SK"/>
        </w:rPr>
        <w:t xml:space="preserve"> v </w:t>
      </w:r>
      <w:r w:rsidRPr="00CC26EA">
        <w:rPr>
          <w:noProof/>
          <w:spacing w:val="-6"/>
          <w:lang w:val="sk-SK"/>
        </w:rPr>
        <w:t>oblasti dopravnej ekonomiky</w:t>
      </w:r>
      <w:r w:rsidR="00CC26EA" w:rsidRPr="00CC26EA">
        <w:rPr>
          <w:noProof/>
          <w:spacing w:val="-6"/>
          <w:lang w:val="sk-SK"/>
        </w:rPr>
        <w:t>.</w:t>
      </w:r>
    </w:p>
    <w:p w14:paraId="4D695E20" w14:textId="22A2AEDA" w:rsidR="00F65654" w:rsidRPr="00CC26EA" w:rsidRDefault="0041081E">
      <w:pPr>
        <w:pStyle w:val="P68B1DB1-Text13"/>
        <w:ind w:left="0"/>
        <w:rPr>
          <w:noProof/>
          <w:spacing w:val="-6"/>
          <w:lang w:val="sk-SK"/>
        </w:rPr>
      </w:pPr>
      <w:r w:rsidRPr="00CC26EA">
        <w:rPr>
          <w:noProof/>
          <w:spacing w:val="-6"/>
          <w:lang w:val="sk-SK"/>
        </w:rPr>
        <w:t>Investícia 3: Spoločné využívanie automobilov</w:t>
      </w:r>
      <w:r w:rsidR="00CC26EA" w:rsidRPr="00CC26EA">
        <w:rPr>
          <w:noProof/>
          <w:spacing w:val="-6"/>
          <w:lang w:val="sk-SK"/>
        </w:rPr>
        <w:t xml:space="preserve"> a </w:t>
      </w:r>
      <w:r w:rsidRPr="00CC26EA">
        <w:rPr>
          <w:noProof/>
          <w:spacing w:val="-6"/>
          <w:lang w:val="sk-SK"/>
        </w:rPr>
        <w:t>carpooling (informovanosť)</w:t>
      </w:r>
    </w:p>
    <w:p w14:paraId="55CDE224" w14:textId="58798F08" w:rsidR="00CC26EA" w:rsidRPr="00CC26EA" w:rsidRDefault="0041081E">
      <w:pPr>
        <w:pStyle w:val="Text1"/>
        <w:ind w:left="0"/>
        <w:rPr>
          <w:noProof/>
          <w:spacing w:val="-6"/>
          <w:lang w:val="sk-SK"/>
        </w:rPr>
      </w:pPr>
      <w:r w:rsidRPr="00CC26EA">
        <w:rPr>
          <w:noProof/>
          <w:spacing w:val="-6"/>
          <w:lang w:val="sk-SK"/>
        </w:rPr>
        <w:t>Začnú sa informačné</w:t>
      </w:r>
      <w:r w:rsidR="00CC26EA" w:rsidRPr="00CC26EA">
        <w:rPr>
          <w:noProof/>
          <w:spacing w:val="-6"/>
          <w:lang w:val="sk-SK"/>
        </w:rPr>
        <w:t xml:space="preserve"> a </w:t>
      </w:r>
      <w:r w:rsidRPr="00CC26EA">
        <w:rPr>
          <w:noProof/>
          <w:spacing w:val="-6"/>
          <w:lang w:val="sk-SK"/>
        </w:rPr>
        <w:t>behaviorálne kampane zamerané na informovanie</w:t>
      </w:r>
      <w:r w:rsidR="00CC26EA" w:rsidRPr="00CC26EA">
        <w:rPr>
          <w:noProof/>
          <w:spacing w:val="-6"/>
          <w:lang w:val="sk-SK"/>
        </w:rPr>
        <w:t xml:space="preserve"> o </w:t>
      </w:r>
      <w:r w:rsidRPr="00CC26EA">
        <w:rPr>
          <w:noProof/>
          <w:spacing w:val="-6"/>
          <w:lang w:val="sk-SK"/>
        </w:rPr>
        <w:t>výzvach súvisiacich</w:t>
      </w:r>
      <w:r w:rsidR="00CC26EA" w:rsidRPr="00CC26EA">
        <w:rPr>
          <w:noProof/>
          <w:spacing w:val="-6"/>
          <w:lang w:val="sk-SK"/>
        </w:rPr>
        <w:t xml:space="preserve"> s </w:t>
      </w:r>
      <w:r w:rsidRPr="00CC26EA">
        <w:rPr>
          <w:noProof/>
          <w:spacing w:val="-6"/>
          <w:lang w:val="sk-SK"/>
        </w:rPr>
        <w:t>„odpadom</w:t>
      </w:r>
      <w:r w:rsidR="00CC26EA" w:rsidRPr="00CC26EA">
        <w:rPr>
          <w:noProof/>
          <w:spacing w:val="-6"/>
          <w:lang w:val="sk-SK"/>
        </w:rPr>
        <w:t xml:space="preserve"> z </w:t>
      </w:r>
      <w:r w:rsidRPr="00CC26EA">
        <w:rPr>
          <w:noProof/>
          <w:spacing w:val="-6"/>
          <w:lang w:val="sk-SK"/>
        </w:rPr>
        <w:t>dopravy“, ako aj na zdôraznenie prínosov pre občanov, podniky</w:t>
      </w:r>
      <w:r w:rsidR="00CC26EA" w:rsidRPr="00CC26EA">
        <w:rPr>
          <w:noProof/>
          <w:spacing w:val="-6"/>
          <w:lang w:val="sk-SK"/>
        </w:rPr>
        <w:t xml:space="preserve"> a </w:t>
      </w:r>
      <w:r w:rsidRPr="00CC26EA">
        <w:rPr>
          <w:noProof/>
          <w:spacing w:val="-6"/>
          <w:lang w:val="sk-SK"/>
        </w:rPr>
        <w:t>spoločnosť vo všeobecnosti spojených so spoločným využívaním automobilov</w:t>
      </w:r>
      <w:r w:rsidR="00CC26EA" w:rsidRPr="00CC26EA">
        <w:rPr>
          <w:noProof/>
          <w:spacing w:val="-6"/>
          <w:lang w:val="sk-SK"/>
        </w:rPr>
        <w:t xml:space="preserve"> a </w:t>
      </w:r>
      <w:r w:rsidRPr="00CC26EA">
        <w:rPr>
          <w:noProof/>
          <w:spacing w:val="-6"/>
          <w:lang w:val="sk-SK"/>
        </w:rPr>
        <w:t>karpoolingom. Cieľové skupiny kampaní vychádzajú</w:t>
      </w:r>
      <w:r w:rsidR="00CC26EA" w:rsidRPr="00CC26EA">
        <w:rPr>
          <w:noProof/>
          <w:spacing w:val="-6"/>
          <w:lang w:val="sk-SK"/>
        </w:rPr>
        <w:t xml:space="preserve"> z </w:t>
      </w:r>
      <w:r w:rsidRPr="00CC26EA">
        <w:rPr>
          <w:noProof/>
          <w:spacing w:val="-6"/>
          <w:lang w:val="sk-SK"/>
        </w:rPr>
        <w:t>počiatočnej analýzy vykonanej</w:t>
      </w:r>
      <w:r w:rsidR="00CC26EA" w:rsidRPr="00CC26EA">
        <w:rPr>
          <w:noProof/>
          <w:spacing w:val="-6"/>
          <w:lang w:val="sk-SK"/>
        </w:rPr>
        <w:t xml:space="preserve"> v </w:t>
      </w:r>
      <w:r w:rsidRPr="00CC26EA">
        <w:rPr>
          <w:noProof/>
          <w:spacing w:val="-6"/>
          <w:lang w:val="sk-SK"/>
        </w:rPr>
        <w:t>roku 2021 dánskym ministerstvom dopravy</w:t>
      </w:r>
      <w:r w:rsidR="00CC26EA" w:rsidRPr="00CC26EA">
        <w:rPr>
          <w:noProof/>
          <w:spacing w:val="-6"/>
          <w:lang w:val="sk-SK"/>
        </w:rPr>
        <w:t xml:space="preserve"> a </w:t>
      </w:r>
      <w:r w:rsidRPr="00CC26EA">
        <w:rPr>
          <w:noProof/>
          <w:spacing w:val="-6"/>
          <w:lang w:val="sk-SK"/>
        </w:rPr>
        <w:t>dánskym riaditeľstvom pre cesty.</w:t>
      </w:r>
      <w:r w:rsidR="00CC26EA" w:rsidRPr="00CC26EA">
        <w:rPr>
          <w:noProof/>
          <w:spacing w:val="-6"/>
          <w:lang w:val="sk-SK"/>
        </w:rPr>
        <w:t xml:space="preserve"> V </w:t>
      </w:r>
      <w:r w:rsidRPr="00CC26EA">
        <w:rPr>
          <w:noProof/>
          <w:spacing w:val="-6"/>
          <w:lang w:val="sk-SK"/>
        </w:rPr>
        <w:t>súčasnosti sa očakáva, že cieľovú skupinu tvoria dochádzajúci pracovníci</w:t>
      </w:r>
      <w:r w:rsidR="00CC26EA" w:rsidRPr="00CC26EA">
        <w:rPr>
          <w:noProof/>
          <w:spacing w:val="-6"/>
          <w:lang w:val="sk-SK"/>
        </w:rPr>
        <w:t xml:space="preserve"> a </w:t>
      </w:r>
      <w:r w:rsidRPr="00CC26EA">
        <w:rPr>
          <w:noProof/>
          <w:spacing w:val="-6"/>
          <w:lang w:val="sk-SK"/>
        </w:rPr>
        <w:t>spoločnosti</w:t>
      </w:r>
      <w:r w:rsidR="00CC26EA" w:rsidRPr="00CC26EA">
        <w:rPr>
          <w:noProof/>
          <w:spacing w:val="-6"/>
          <w:lang w:val="sk-SK"/>
        </w:rPr>
        <w:t>.</w:t>
      </w:r>
    </w:p>
    <w:p w14:paraId="410FBDF5" w14:textId="37EC321A" w:rsidR="00F65654" w:rsidRPr="00CC26EA" w:rsidRDefault="0041081E">
      <w:pPr>
        <w:pStyle w:val="P68B1DB1-Text13"/>
        <w:ind w:left="0"/>
        <w:rPr>
          <w:noProof/>
          <w:spacing w:val="-6"/>
          <w:lang w:val="sk-SK"/>
        </w:rPr>
      </w:pPr>
      <w:r w:rsidRPr="00CC26EA">
        <w:rPr>
          <w:noProof/>
          <w:spacing w:val="-6"/>
          <w:lang w:val="sk-SK"/>
        </w:rPr>
        <w:t>Investícia 4: Analýza systému skúšok</w:t>
      </w:r>
      <w:r w:rsidR="00CC26EA" w:rsidRPr="00CC26EA">
        <w:rPr>
          <w:noProof/>
          <w:spacing w:val="-6"/>
          <w:lang w:val="sk-SK"/>
        </w:rPr>
        <w:t xml:space="preserve"> s </w:t>
      </w:r>
      <w:r w:rsidRPr="00CC26EA">
        <w:rPr>
          <w:noProof/>
          <w:spacing w:val="-6"/>
          <w:lang w:val="sk-SK"/>
        </w:rPr>
        <w:t>dvojitými prípojnými vozidlami</w:t>
      </w:r>
    </w:p>
    <w:p w14:paraId="221D85B3" w14:textId="6177DA0B" w:rsidR="00CC26EA" w:rsidRPr="00CC26EA" w:rsidRDefault="0041081E">
      <w:pPr>
        <w:pStyle w:val="Text1"/>
        <w:ind w:left="0"/>
        <w:rPr>
          <w:noProof/>
          <w:spacing w:val="-6"/>
          <w:lang w:val="sk-SK"/>
        </w:rPr>
      </w:pPr>
      <w:r w:rsidRPr="00CC26EA">
        <w:rPr>
          <w:noProof/>
          <w:spacing w:val="-6"/>
          <w:lang w:val="sk-SK"/>
        </w:rPr>
        <w:t>Dánske riaditeľstvo pre cestnú dopravu</w:t>
      </w:r>
      <w:r w:rsidR="00CC26EA" w:rsidRPr="00CC26EA">
        <w:rPr>
          <w:noProof/>
          <w:spacing w:val="-6"/>
          <w:lang w:val="sk-SK"/>
        </w:rPr>
        <w:t xml:space="preserve"> a </w:t>
      </w:r>
      <w:r w:rsidRPr="00CC26EA">
        <w:rPr>
          <w:noProof/>
          <w:spacing w:val="-6"/>
          <w:lang w:val="sk-SK"/>
        </w:rPr>
        <w:t>Dánsky úrad pre cestnú premávku vykoná analýzu, ktorá sa vzťahuje na účinnosť konštrukcie, plánovania</w:t>
      </w:r>
      <w:r w:rsidR="00CC26EA" w:rsidRPr="00CC26EA">
        <w:rPr>
          <w:noProof/>
          <w:spacing w:val="-6"/>
          <w:lang w:val="sk-SK"/>
        </w:rPr>
        <w:t xml:space="preserve"> a </w:t>
      </w:r>
      <w:r w:rsidRPr="00CC26EA">
        <w:rPr>
          <w:noProof/>
          <w:spacing w:val="-6"/>
          <w:lang w:val="sk-SK"/>
        </w:rPr>
        <w:t>skúšok ciest. Na základe analýzy je možné rozhodnúť</w:t>
      </w:r>
      <w:r w:rsidR="00CC26EA" w:rsidRPr="00CC26EA">
        <w:rPr>
          <w:noProof/>
          <w:spacing w:val="-6"/>
          <w:lang w:val="sk-SK"/>
        </w:rPr>
        <w:t xml:space="preserve"> o </w:t>
      </w:r>
      <w:r w:rsidRPr="00CC26EA">
        <w:rPr>
          <w:noProof/>
          <w:spacing w:val="-6"/>
          <w:lang w:val="sk-SK"/>
        </w:rPr>
        <w:t>tom, ktoré rekonštrukcie sa môžu</w:t>
      </w:r>
      <w:r w:rsidR="00CC26EA" w:rsidRPr="00CC26EA">
        <w:rPr>
          <w:noProof/>
          <w:spacing w:val="-6"/>
          <w:lang w:val="sk-SK"/>
        </w:rPr>
        <w:t xml:space="preserve"> a </w:t>
      </w:r>
      <w:r w:rsidRPr="00CC26EA">
        <w:rPr>
          <w:noProof/>
          <w:spacing w:val="-6"/>
          <w:lang w:val="sk-SK"/>
        </w:rPr>
        <w:t>budú vykonávať</w:t>
      </w:r>
      <w:r w:rsidR="00CC26EA" w:rsidRPr="00CC26EA">
        <w:rPr>
          <w:noProof/>
          <w:spacing w:val="-6"/>
          <w:lang w:val="sk-SK"/>
        </w:rPr>
        <w:t xml:space="preserve"> s </w:t>
      </w:r>
      <w:r w:rsidRPr="00CC26EA">
        <w:rPr>
          <w:noProof/>
          <w:spacing w:val="-6"/>
          <w:lang w:val="sk-SK"/>
        </w:rPr>
        <w:t>cieľom zaistiť bezpečnosť premávky, ako aj tok premávky</w:t>
      </w:r>
      <w:r w:rsidR="00CC26EA" w:rsidRPr="00CC26EA">
        <w:rPr>
          <w:noProof/>
          <w:spacing w:val="-6"/>
          <w:lang w:val="sk-SK"/>
        </w:rPr>
        <w:t xml:space="preserve"> v </w:t>
      </w:r>
      <w:r w:rsidRPr="00CC26EA">
        <w:rPr>
          <w:noProof/>
          <w:spacing w:val="-6"/>
          <w:lang w:val="sk-SK"/>
        </w:rPr>
        <w:t>určitej cestnej sieti</w:t>
      </w:r>
      <w:r w:rsidR="00CC26EA" w:rsidRPr="00CC26EA">
        <w:rPr>
          <w:noProof/>
          <w:spacing w:val="-6"/>
          <w:lang w:val="sk-SK"/>
        </w:rPr>
        <w:t>.</w:t>
      </w:r>
    </w:p>
    <w:p w14:paraId="0E44E737" w14:textId="4142BA4D" w:rsidR="00F65654" w:rsidRPr="00CC26EA" w:rsidRDefault="0041081E">
      <w:pPr>
        <w:pStyle w:val="P68B1DB1-Text13"/>
        <w:ind w:left="0"/>
        <w:rPr>
          <w:noProof/>
          <w:spacing w:val="-6"/>
          <w:lang w:val="sk-SK"/>
        </w:rPr>
      </w:pPr>
      <w:r w:rsidRPr="00CC26EA">
        <w:rPr>
          <w:noProof/>
          <w:spacing w:val="-6"/>
          <w:lang w:val="sk-SK"/>
        </w:rPr>
        <w:t>Investícia 5: Analýza nariadenia</w:t>
      </w:r>
      <w:r w:rsidR="00CC26EA" w:rsidRPr="00CC26EA">
        <w:rPr>
          <w:noProof/>
          <w:spacing w:val="-6"/>
          <w:lang w:val="sk-SK"/>
        </w:rPr>
        <w:t xml:space="preserve"> o </w:t>
      </w:r>
      <w:r w:rsidRPr="00CC26EA">
        <w:rPr>
          <w:noProof/>
          <w:spacing w:val="-6"/>
          <w:lang w:val="sk-SK"/>
        </w:rPr>
        <w:t>hmotnosti</w:t>
      </w:r>
      <w:r w:rsidR="00CC26EA" w:rsidRPr="00CC26EA">
        <w:rPr>
          <w:noProof/>
          <w:spacing w:val="-6"/>
          <w:lang w:val="sk-SK"/>
        </w:rPr>
        <w:t xml:space="preserve"> a </w:t>
      </w:r>
      <w:r w:rsidRPr="00CC26EA">
        <w:rPr>
          <w:noProof/>
          <w:spacing w:val="-6"/>
          <w:lang w:val="sk-SK"/>
        </w:rPr>
        <w:t>rozmeroch</w:t>
      </w:r>
      <w:r w:rsidR="00CC26EA" w:rsidRPr="00CC26EA">
        <w:rPr>
          <w:noProof/>
          <w:spacing w:val="-6"/>
          <w:lang w:val="sk-SK"/>
        </w:rPr>
        <w:t xml:space="preserve"> s </w:t>
      </w:r>
      <w:r w:rsidRPr="00CC26EA">
        <w:rPr>
          <w:noProof/>
          <w:spacing w:val="-6"/>
          <w:lang w:val="sk-SK"/>
        </w:rPr>
        <w:t>cieľom optimalizovať nákladnú dopravu</w:t>
      </w:r>
    </w:p>
    <w:p w14:paraId="2AA948E4" w14:textId="4D40711F" w:rsidR="00CC26EA" w:rsidRPr="00CC26EA" w:rsidRDefault="0041081E">
      <w:pPr>
        <w:pStyle w:val="Text1"/>
        <w:ind w:left="0"/>
        <w:rPr>
          <w:noProof/>
          <w:spacing w:val="-6"/>
          <w:lang w:val="sk-SK"/>
        </w:rPr>
      </w:pPr>
      <w:r w:rsidRPr="00CC26EA">
        <w:rPr>
          <w:noProof/>
          <w:spacing w:val="-6"/>
          <w:lang w:val="sk-SK"/>
        </w:rPr>
        <w:t>Vykoná sa analýza potenciálu nižších emisií prostredníctvom ďalších úprav súčasného nariadenia</w:t>
      </w:r>
      <w:r w:rsidR="00CC26EA" w:rsidRPr="00CC26EA">
        <w:rPr>
          <w:noProof/>
          <w:spacing w:val="-6"/>
          <w:lang w:val="sk-SK"/>
        </w:rPr>
        <w:t xml:space="preserve"> o </w:t>
      </w:r>
      <w:r w:rsidRPr="00CC26EA">
        <w:rPr>
          <w:noProof/>
          <w:spacing w:val="-6"/>
          <w:lang w:val="sk-SK"/>
        </w:rPr>
        <w:t>hmotnosti</w:t>
      </w:r>
      <w:r w:rsidR="00CC26EA" w:rsidRPr="00CC26EA">
        <w:rPr>
          <w:noProof/>
          <w:spacing w:val="-6"/>
          <w:lang w:val="sk-SK"/>
        </w:rPr>
        <w:t xml:space="preserve"> a </w:t>
      </w:r>
      <w:r w:rsidRPr="00CC26EA">
        <w:rPr>
          <w:noProof/>
          <w:spacing w:val="-6"/>
          <w:lang w:val="sk-SK"/>
        </w:rPr>
        <w:t>rozmeroch. Okrem odhadu potenciálneho zníženia emisií sa</w:t>
      </w:r>
      <w:r w:rsidR="00CC26EA" w:rsidRPr="00CC26EA">
        <w:rPr>
          <w:noProof/>
          <w:spacing w:val="-6"/>
          <w:lang w:val="sk-SK"/>
        </w:rPr>
        <w:t xml:space="preserve"> v </w:t>
      </w:r>
      <w:r w:rsidRPr="00CC26EA">
        <w:rPr>
          <w:noProof/>
          <w:spacing w:val="-6"/>
          <w:lang w:val="sk-SK"/>
        </w:rPr>
        <w:t>analýze musia odhadnúť aj finančné dôsledky pre odvetvie dopravy</w:t>
      </w:r>
      <w:r w:rsidR="00CC26EA" w:rsidRPr="00CC26EA">
        <w:rPr>
          <w:noProof/>
          <w:spacing w:val="-6"/>
          <w:lang w:val="sk-SK"/>
        </w:rPr>
        <w:t xml:space="preserve"> a </w:t>
      </w:r>
      <w:r w:rsidRPr="00CC26EA">
        <w:rPr>
          <w:noProof/>
          <w:spacing w:val="-6"/>
          <w:lang w:val="sk-SK"/>
        </w:rPr>
        <w:t>spoločnosť, ako je zvýšené opotrebovanie na cestách</w:t>
      </w:r>
      <w:r w:rsidR="00CC26EA" w:rsidRPr="00CC26EA">
        <w:rPr>
          <w:noProof/>
          <w:spacing w:val="-6"/>
          <w:lang w:val="sk-SK"/>
        </w:rPr>
        <w:t>.</w:t>
      </w:r>
    </w:p>
    <w:p w14:paraId="77751992" w14:textId="619EF852" w:rsidR="00F65654" w:rsidRPr="00CC26EA" w:rsidRDefault="0041081E">
      <w:pPr>
        <w:pStyle w:val="P68B1DB1-Text13"/>
        <w:ind w:left="0"/>
        <w:rPr>
          <w:noProof/>
          <w:spacing w:val="-6"/>
          <w:lang w:val="sk-SK"/>
        </w:rPr>
      </w:pPr>
      <w:r w:rsidRPr="00CC26EA">
        <w:rPr>
          <w:noProof/>
          <w:spacing w:val="-6"/>
          <w:lang w:val="sk-SK"/>
        </w:rPr>
        <w:t>Investícia 6: Schéma infraštruktúry pre elektrické bicykle</w:t>
      </w:r>
    </w:p>
    <w:p w14:paraId="6262FA23" w14:textId="26B3CF77" w:rsidR="00F65654" w:rsidRPr="00CC26EA" w:rsidRDefault="0041081E">
      <w:pPr>
        <w:pStyle w:val="Text1"/>
        <w:ind w:left="0"/>
        <w:rPr>
          <w:noProof/>
          <w:spacing w:val="-6"/>
          <w:lang w:val="sk-SK"/>
        </w:rPr>
      </w:pPr>
      <w:r w:rsidRPr="00CC26EA">
        <w:rPr>
          <w:noProof/>
          <w:spacing w:val="-6"/>
          <w:lang w:val="sk-SK"/>
        </w:rPr>
        <w:t>Cieľom opatrenia je zvýšiť počet verejne prístupných nabíjacích staníc pre elektrické bicykle.  Investície do infraštruktúry pre bicykle prispejú</w:t>
      </w:r>
      <w:r w:rsidR="00CC26EA" w:rsidRPr="00CC26EA">
        <w:rPr>
          <w:noProof/>
          <w:spacing w:val="-6"/>
          <w:lang w:val="sk-SK"/>
        </w:rPr>
        <w:t xml:space="preserve"> k </w:t>
      </w:r>
      <w:r w:rsidRPr="00CC26EA">
        <w:rPr>
          <w:noProof/>
          <w:spacing w:val="-6"/>
          <w:lang w:val="sk-SK"/>
        </w:rPr>
        <w:t>podpore udržateľnej</w:t>
      </w:r>
      <w:r w:rsidR="00CC26EA" w:rsidRPr="00CC26EA">
        <w:rPr>
          <w:noProof/>
          <w:spacing w:val="-6"/>
          <w:lang w:val="sk-SK"/>
        </w:rPr>
        <w:t xml:space="preserve"> a </w:t>
      </w:r>
      <w:r w:rsidRPr="00CC26EA">
        <w:rPr>
          <w:noProof/>
          <w:spacing w:val="-6"/>
          <w:lang w:val="sk-SK"/>
        </w:rPr>
        <w:t>inteligentnej mobility Komisie EÚ prostredníctvom mestského plánovania vrátane prepojenia</w:t>
      </w:r>
      <w:r w:rsidR="00CC26EA" w:rsidRPr="00CC26EA">
        <w:rPr>
          <w:noProof/>
          <w:spacing w:val="-6"/>
          <w:lang w:val="sk-SK"/>
        </w:rPr>
        <w:t xml:space="preserve"> s </w:t>
      </w:r>
      <w:r w:rsidRPr="00CC26EA">
        <w:rPr>
          <w:noProof/>
          <w:spacing w:val="-6"/>
          <w:lang w:val="sk-SK"/>
        </w:rPr>
        <w:t>vidieckymi</w:t>
      </w:r>
      <w:r w:rsidR="00CC26EA" w:rsidRPr="00CC26EA">
        <w:rPr>
          <w:noProof/>
          <w:spacing w:val="-6"/>
          <w:lang w:val="sk-SK"/>
        </w:rPr>
        <w:t xml:space="preserve"> a </w:t>
      </w:r>
      <w:r w:rsidRPr="00CC26EA">
        <w:rPr>
          <w:noProof/>
          <w:spacing w:val="-6"/>
          <w:lang w:val="sk-SK"/>
        </w:rPr>
        <w:t>prímestskými oblasťami, aby sa pracovníkom, ktorí dochádzajú za prácou, poskytli možnosti udržateľnej mobility</w:t>
      </w:r>
      <w:r w:rsidR="00CC26EA" w:rsidRPr="00CC26EA">
        <w:rPr>
          <w:noProof/>
          <w:spacing w:val="-6"/>
          <w:lang w:val="sk-SK"/>
        </w:rPr>
        <w:t xml:space="preserve"> s </w:t>
      </w:r>
      <w:r w:rsidRPr="00CC26EA">
        <w:rPr>
          <w:noProof/>
          <w:spacing w:val="-6"/>
          <w:lang w:val="sk-SK"/>
        </w:rPr>
        <w:t>verejne prístupnými nabíjacími stanicami elektrických bicyklov.</w:t>
      </w:r>
    </w:p>
    <w:p w14:paraId="0148181B" w14:textId="77777777" w:rsidR="00CC26EA" w:rsidRPr="00CC26EA" w:rsidRDefault="0041081E">
      <w:pPr>
        <w:pStyle w:val="P68B1DB1-Text13"/>
        <w:ind w:left="0"/>
        <w:rPr>
          <w:noProof/>
          <w:spacing w:val="-6"/>
          <w:lang w:val="sk-SK"/>
        </w:rPr>
      </w:pPr>
      <w:r w:rsidRPr="00CC26EA">
        <w:rPr>
          <w:noProof/>
          <w:spacing w:val="-6"/>
          <w:lang w:val="sk-SK"/>
        </w:rPr>
        <w:t>Investícia 7: Investície do cyklistických trás na štátnych cestách</w:t>
      </w:r>
      <w:r w:rsidR="00CC26EA" w:rsidRPr="00CC26EA">
        <w:rPr>
          <w:noProof/>
          <w:spacing w:val="-6"/>
          <w:lang w:val="sk-SK"/>
        </w:rPr>
        <w:t xml:space="preserve"> a </w:t>
      </w:r>
      <w:r w:rsidRPr="00CC26EA">
        <w:rPr>
          <w:noProof/>
          <w:spacing w:val="-6"/>
          <w:lang w:val="sk-SK"/>
        </w:rPr>
        <w:t>systém dotácií na bicykle pre obce</w:t>
      </w:r>
    </w:p>
    <w:p w14:paraId="268871EF" w14:textId="51CEB023" w:rsidR="00CC26EA" w:rsidRPr="00CC26EA" w:rsidRDefault="0041081E">
      <w:pPr>
        <w:pStyle w:val="Text1"/>
        <w:ind w:left="0"/>
        <w:rPr>
          <w:noProof/>
          <w:spacing w:val="-6"/>
          <w:lang w:val="sk-SK"/>
        </w:rPr>
      </w:pPr>
      <w:r w:rsidRPr="00CC26EA">
        <w:rPr>
          <w:noProof/>
          <w:spacing w:val="-6"/>
          <w:lang w:val="sk-SK"/>
        </w:rPr>
        <w:t>Investícia podporuje výstavbu infraštruktúry pre bicykle. Tým sa podporí prístup občanov</w:t>
      </w:r>
      <w:r w:rsidR="00CC26EA" w:rsidRPr="00CC26EA">
        <w:rPr>
          <w:noProof/>
          <w:spacing w:val="-6"/>
          <w:lang w:val="sk-SK"/>
        </w:rPr>
        <w:t xml:space="preserve"> k </w:t>
      </w:r>
      <w:r w:rsidRPr="00CC26EA">
        <w:rPr>
          <w:noProof/>
          <w:spacing w:val="-6"/>
          <w:lang w:val="sk-SK"/>
        </w:rPr>
        <w:t>súdržnejšej cestnej sieti pre bicykle,</w:t>
      </w:r>
      <w:r w:rsidR="00CC26EA" w:rsidRPr="00CC26EA">
        <w:rPr>
          <w:noProof/>
          <w:spacing w:val="-6"/>
          <w:lang w:val="sk-SK"/>
        </w:rPr>
        <w:t xml:space="preserve"> a </w:t>
      </w:r>
      <w:r w:rsidRPr="00CC26EA">
        <w:rPr>
          <w:noProof/>
          <w:spacing w:val="-6"/>
          <w:lang w:val="sk-SK"/>
        </w:rPr>
        <w:t>tým aj lepšie príležitosti na výber bicykla namiesto iných druhov dopravy. Okrem toho sa opatrením podporí schéma zameraná na projekty výstavby mestských bicyklov</w:t>
      </w:r>
      <w:r w:rsidR="00CC26EA" w:rsidRPr="00CC26EA">
        <w:rPr>
          <w:noProof/>
          <w:spacing w:val="-6"/>
          <w:lang w:val="sk-SK"/>
        </w:rPr>
        <w:t>.</w:t>
      </w:r>
    </w:p>
    <w:p w14:paraId="095D2F40" w14:textId="3B5E2A45" w:rsidR="00F65654" w:rsidRPr="00CC26EA" w:rsidRDefault="0041081E">
      <w:pPr>
        <w:pStyle w:val="P68B1DB1-Text13"/>
        <w:ind w:left="0"/>
        <w:rPr>
          <w:noProof/>
          <w:spacing w:val="-6"/>
          <w:lang w:val="sk-SK"/>
        </w:rPr>
      </w:pPr>
      <w:r w:rsidRPr="00CC26EA">
        <w:rPr>
          <w:noProof/>
          <w:spacing w:val="-6"/>
          <w:lang w:val="sk-SK"/>
        </w:rPr>
        <w:t>Investícia 8: Subvenčný systém pre zelené trajekty</w:t>
      </w:r>
    </w:p>
    <w:p w14:paraId="56EA58C8" w14:textId="4B3F5D15" w:rsidR="00F65654" w:rsidRPr="00CC26EA" w:rsidRDefault="0041081E">
      <w:pPr>
        <w:pStyle w:val="Text1"/>
        <w:ind w:left="0"/>
        <w:rPr>
          <w:noProof/>
          <w:spacing w:val="-6"/>
          <w:lang w:val="sk-SK"/>
        </w:rPr>
      </w:pPr>
      <w:r w:rsidRPr="00CC26EA">
        <w:rPr>
          <w:noProof/>
          <w:spacing w:val="-6"/>
          <w:lang w:val="sk-SK"/>
        </w:rPr>
        <w:t>Cieľom tohto opatrenia je dotovať nákup trajektov</w:t>
      </w:r>
      <w:r w:rsidR="00CC26EA" w:rsidRPr="00CC26EA">
        <w:rPr>
          <w:noProof/>
          <w:spacing w:val="-6"/>
          <w:lang w:val="sk-SK"/>
        </w:rPr>
        <w:t xml:space="preserve"> s </w:t>
      </w:r>
      <w:r w:rsidRPr="00CC26EA">
        <w:rPr>
          <w:noProof/>
          <w:spacing w:val="-6"/>
          <w:lang w:val="sk-SK"/>
        </w:rPr>
        <w:t>nulovými alebo nízkymi emisiami alebo dodatočné vybavenie existujúcich trajektov. Dotácia umožní zelenú transformáciu 15 trajektov.</w:t>
      </w:r>
    </w:p>
    <w:p w14:paraId="775CC2C6" w14:textId="77777777" w:rsidR="00F65654" w:rsidRPr="00CC26EA" w:rsidRDefault="00F65654">
      <w:pPr>
        <w:pStyle w:val="Text1"/>
        <w:ind w:left="0"/>
        <w:rPr>
          <w:b/>
          <w:noProof/>
          <w:spacing w:val="-6"/>
          <w:u w:val="single"/>
          <w:lang w:val="sk-SK"/>
        </w:rPr>
      </w:pPr>
    </w:p>
    <w:p w14:paraId="3CA92921" w14:textId="7E256F88" w:rsidR="00F65654" w:rsidRPr="00CC26EA" w:rsidRDefault="0041081E">
      <w:pPr>
        <w:pStyle w:val="Text1"/>
        <w:ind w:left="0"/>
        <w:rPr>
          <w:b/>
          <w:noProof/>
          <w:spacing w:val="-6"/>
          <w:u w:val="single"/>
          <w:lang w:val="sk-SK"/>
        </w:rPr>
      </w:pPr>
      <w:r w:rsidRPr="00CC26EA">
        <w:rPr>
          <w:b/>
          <w:noProof/>
          <w:spacing w:val="-6"/>
          <w:u w:val="single"/>
          <w:lang w:val="sk-SK"/>
        </w:rPr>
        <w:t xml:space="preserve">E.2. </w:t>
      </w:r>
      <w:r w:rsidRPr="00CC26EA">
        <w:rPr>
          <w:noProof/>
          <w:spacing w:val="-6"/>
          <w:lang w:val="sk-SK"/>
        </w:rPr>
        <w:tab/>
      </w:r>
      <w:r w:rsidRPr="00CC26EA">
        <w:rPr>
          <w:b/>
          <w:noProof/>
          <w:spacing w:val="-6"/>
          <w:u w:val="single"/>
          <w:lang w:val="sk-SK"/>
        </w:rPr>
        <w:t>Míľniky, ciele, ukazovatele</w:t>
      </w:r>
      <w:r w:rsidR="00CC26EA" w:rsidRPr="00CC26EA">
        <w:rPr>
          <w:b/>
          <w:noProof/>
          <w:spacing w:val="-6"/>
          <w:u w:val="single"/>
          <w:lang w:val="sk-SK"/>
        </w:rPr>
        <w:t xml:space="preserve"> a </w:t>
      </w:r>
      <w:r w:rsidRPr="00CC26EA">
        <w:rPr>
          <w:b/>
          <w:noProof/>
          <w:spacing w:val="-6"/>
          <w:u w:val="single"/>
          <w:lang w:val="sk-SK"/>
        </w:rPr>
        <w:t>harmonogram monitorovania</w:t>
      </w:r>
      <w:r w:rsidR="00CC26EA" w:rsidRPr="00CC26EA">
        <w:rPr>
          <w:b/>
          <w:noProof/>
          <w:spacing w:val="-6"/>
          <w:u w:val="single"/>
          <w:lang w:val="sk-SK"/>
        </w:rPr>
        <w:t xml:space="preserve"> a </w:t>
      </w:r>
      <w:r w:rsidRPr="00CC26EA">
        <w:rPr>
          <w:b/>
          <w:noProof/>
          <w:spacing w:val="-6"/>
          <w:u w:val="single"/>
          <w:lang w:val="sk-SK"/>
        </w:rPr>
        <w:t>realizácie pre nenávratnú finančnú podporu</w:t>
      </w:r>
    </w:p>
    <w:p w14:paraId="409BB2ED" w14:textId="77777777" w:rsidR="00F65654" w:rsidRPr="00CC26EA" w:rsidRDefault="00F65654">
      <w:pPr>
        <w:pStyle w:val="Text1"/>
        <w:ind w:left="709"/>
        <w:rPr>
          <w:noProof/>
          <w:spacing w:val="-6"/>
          <w:lang w:val="sk-SK"/>
        </w:rPr>
        <w:sectPr w:rsidR="00F65654" w:rsidRPr="00CC26EA" w:rsidSect="00A61D33">
          <w:headerReference w:type="even" r:id="rId66"/>
          <w:headerReference w:type="default" r:id="rId67"/>
          <w:footerReference w:type="even" r:id="rId68"/>
          <w:footerReference w:type="default" r:id="rId69"/>
          <w:headerReference w:type="first" r:id="rId70"/>
          <w:footerReference w:type="first" r:id="rId71"/>
          <w:pgSz w:w="11907" w:h="16839"/>
          <w:pgMar w:top="1134" w:right="1134" w:bottom="1134" w:left="1134" w:header="567" w:footer="567" w:gutter="0"/>
          <w:cols w:space="720"/>
          <w:docGrid w:linePitch="360"/>
        </w:sectPr>
      </w:pPr>
    </w:p>
    <w:p w14:paraId="302C0311" w14:textId="77777777" w:rsidR="00F65654" w:rsidRPr="00CC26EA" w:rsidRDefault="00F65654">
      <w:pPr>
        <w:pStyle w:val="Text1"/>
        <w:ind w:left="0"/>
        <w:rPr>
          <w:rFonts w:eastAsia="Times New Roman"/>
          <w:b/>
          <w:smallCaps/>
          <w:noProof/>
          <w:spacing w:val="-6"/>
          <w:lang w:val="sk-SK"/>
        </w:rPr>
      </w:pPr>
    </w:p>
    <w:tbl>
      <w:tblPr>
        <w:tblW w:w="15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424"/>
        <w:gridCol w:w="1187"/>
        <w:gridCol w:w="1562"/>
        <w:gridCol w:w="1399"/>
        <w:gridCol w:w="1096"/>
        <w:gridCol w:w="993"/>
        <w:gridCol w:w="1056"/>
        <w:gridCol w:w="786"/>
        <w:gridCol w:w="853"/>
        <w:gridCol w:w="4283"/>
      </w:tblGrid>
      <w:tr w:rsidR="00F65654" w:rsidRPr="00CC26EA" w14:paraId="7C221A29" w14:textId="77777777">
        <w:trPr>
          <w:trHeight w:val="928"/>
          <w:tblHeader/>
          <w:jc w:val="center"/>
        </w:trPr>
        <w:tc>
          <w:tcPr>
            <w:tcW w:w="1265" w:type="dxa"/>
            <w:vMerge w:val="restart"/>
            <w:shd w:val="clear" w:color="auto" w:fill="BDD7EE"/>
            <w:vAlign w:val="center"/>
            <w:hideMark/>
          </w:tcPr>
          <w:p w14:paraId="237E7C45"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Poradové číslo</w:t>
            </w:r>
          </w:p>
        </w:tc>
        <w:tc>
          <w:tcPr>
            <w:tcW w:w="1424" w:type="dxa"/>
            <w:vMerge w:val="restart"/>
            <w:shd w:val="clear" w:color="auto" w:fill="BDD7EE"/>
            <w:vAlign w:val="center"/>
            <w:hideMark/>
          </w:tcPr>
          <w:p w14:paraId="4672156B"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Súvisiace opatrenie (reforma alebo investícia)</w:t>
            </w:r>
          </w:p>
        </w:tc>
        <w:tc>
          <w:tcPr>
            <w:tcW w:w="1187" w:type="dxa"/>
            <w:vMerge w:val="restart"/>
            <w:shd w:val="clear" w:color="auto" w:fill="BDD7EE"/>
            <w:vAlign w:val="center"/>
            <w:hideMark/>
          </w:tcPr>
          <w:p w14:paraId="21AC861C"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Míľnik/cieľ</w:t>
            </w:r>
          </w:p>
        </w:tc>
        <w:tc>
          <w:tcPr>
            <w:tcW w:w="1562" w:type="dxa"/>
            <w:vMerge w:val="restart"/>
            <w:shd w:val="clear" w:color="auto" w:fill="BDD7EE"/>
            <w:vAlign w:val="center"/>
            <w:hideMark/>
          </w:tcPr>
          <w:p w14:paraId="72A1AAA6"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Názov</w:t>
            </w:r>
          </w:p>
        </w:tc>
        <w:tc>
          <w:tcPr>
            <w:tcW w:w="1399" w:type="dxa"/>
            <w:vMerge w:val="restart"/>
            <w:shd w:val="clear" w:color="auto" w:fill="BDD7EE"/>
            <w:vAlign w:val="center"/>
            <w:hideMark/>
          </w:tcPr>
          <w:p w14:paraId="3F1C9146" w14:textId="77777777" w:rsidR="00F65654" w:rsidRPr="00CC26EA" w:rsidRDefault="0041081E">
            <w:pPr>
              <w:spacing w:after="0"/>
              <w:jc w:val="center"/>
              <w:rPr>
                <w:rFonts w:ascii="Times New Roman" w:eastAsia="Times New Roman" w:hAnsi="Times New Roman"/>
                <w:b/>
                <w:noProof/>
                <w:spacing w:val="-6"/>
                <w:lang w:val="sk-SK"/>
              </w:rPr>
            </w:pPr>
            <w:r w:rsidRPr="00CC26EA">
              <w:rPr>
                <w:rFonts w:ascii="Times New Roman" w:hAnsi="Times New Roman"/>
                <w:b/>
                <w:noProof/>
                <w:spacing w:val="-6"/>
                <w:lang w:val="sk-SK"/>
              </w:rPr>
              <w:t xml:space="preserve">Kvalitatívne ukazovatele </w:t>
            </w:r>
            <w:r w:rsidRPr="00CC26EA">
              <w:rPr>
                <w:rFonts w:ascii="Times New Roman" w:hAnsi="Times New Roman"/>
                <w:noProof/>
                <w:spacing w:val="-6"/>
                <w:lang w:val="sk-SK"/>
              </w:rPr>
              <w:t xml:space="preserve"> </w:t>
            </w:r>
            <w:r w:rsidRPr="00CC26EA">
              <w:rPr>
                <w:rFonts w:ascii="Times New Roman" w:hAnsi="Times New Roman"/>
                <w:b/>
                <w:noProof/>
                <w:spacing w:val="-6"/>
                <w:lang w:val="sk-SK"/>
              </w:rPr>
              <w:t>(pre míľniky)</w:t>
            </w:r>
          </w:p>
        </w:tc>
        <w:tc>
          <w:tcPr>
            <w:tcW w:w="3145" w:type="dxa"/>
            <w:gridSpan w:val="3"/>
            <w:shd w:val="clear" w:color="auto" w:fill="BDD7EE"/>
            <w:vAlign w:val="center"/>
            <w:hideMark/>
          </w:tcPr>
          <w:p w14:paraId="45FE04B8" w14:textId="77777777" w:rsidR="00F65654" w:rsidRPr="00CC26EA" w:rsidRDefault="0041081E">
            <w:pPr>
              <w:spacing w:after="0"/>
              <w:jc w:val="center"/>
              <w:rPr>
                <w:rFonts w:ascii="Times New Roman" w:eastAsia="Times New Roman" w:hAnsi="Times New Roman"/>
                <w:b/>
                <w:noProof/>
                <w:spacing w:val="-6"/>
                <w:lang w:val="sk-SK"/>
              </w:rPr>
            </w:pPr>
            <w:r w:rsidRPr="00CC26EA">
              <w:rPr>
                <w:rFonts w:ascii="Times New Roman" w:hAnsi="Times New Roman"/>
                <w:b/>
                <w:noProof/>
                <w:spacing w:val="-6"/>
                <w:lang w:val="sk-SK"/>
              </w:rPr>
              <w:t xml:space="preserve">Kvantitatívne ukazovatele </w:t>
            </w:r>
            <w:r w:rsidRPr="00CC26EA">
              <w:rPr>
                <w:rFonts w:ascii="Times New Roman" w:hAnsi="Times New Roman"/>
                <w:noProof/>
                <w:spacing w:val="-6"/>
                <w:lang w:val="sk-SK"/>
              </w:rPr>
              <w:t xml:space="preserve"> </w:t>
            </w:r>
            <w:r w:rsidRPr="00CC26EA">
              <w:rPr>
                <w:rFonts w:ascii="Times New Roman" w:hAnsi="Times New Roman"/>
                <w:b/>
                <w:noProof/>
                <w:spacing w:val="-6"/>
                <w:lang w:val="sk-SK"/>
              </w:rPr>
              <w:t>(pre ciele)</w:t>
            </w:r>
          </w:p>
        </w:tc>
        <w:tc>
          <w:tcPr>
            <w:tcW w:w="1639" w:type="dxa"/>
            <w:gridSpan w:val="2"/>
            <w:shd w:val="clear" w:color="auto" w:fill="BDD7EE"/>
            <w:vAlign w:val="center"/>
            <w:hideMark/>
          </w:tcPr>
          <w:p w14:paraId="3D07DBF6"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Orientačný harmonogram splnenia </w:t>
            </w:r>
          </w:p>
        </w:tc>
        <w:tc>
          <w:tcPr>
            <w:tcW w:w="4283" w:type="dxa"/>
            <w:vMerge w:val="restart"/>
            <w:shd w:val="clear" w:color="auto" w:fill="BDD7EE"/>
            <w:vAlign w:val="center"/>
            <w:hideMark/>
          </w:tcPr>
          <w:p w14:paraId="718E5364" w14:textId="4CCE6AAB"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Opis každého míľnika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cieľa</w:t>
            </w:r>
          </w:p>
        </w:tc>
      </w:tr>
      <w:tr w:rsidR="00F65654" w:rsidRPr="00CC26EA" w14:paraId="54DD27CD" w14:textId="77777777">
        <w:trPr>
          <w:trHeight w:val="1015"/>
          <w:tblHeader/>
          <w:jc w:val="center"/>
        </w:trPr>
        <w:tc>
          <w:tcPr>
            <w:tcW w:w="1265" w:type="dxa"/>
            <w:vMerge/>
            <w:vAlign w:val="center"/>
            <w:hideMark/>
          </w:tcPr>
          <w:p w14:paraId="43529A65" w14:textId="77777777" w:rsidR="00F65654" w:rsidRPr="00CC26EA" w:rsidRDefault="00F65654">
            <w:pPr>
              <w:spacing w:after="0"/>
              <w:rPr>
                <w:rFonts w:ascii="Times New Roman" w:eastAsia="Times New Roman" w:hAnsi="Times New Roman"/>
                <w:b/>
                <w:noProof/>
                <w:spacing w:val="-6"/>
                <w:lang w:val="sk-SK"/>
              </w:rPr>
            </w:pPr>
          </w:p>
        </w:tc>
        <w:tc>
          <w:tcPr>
            <w:tcW w:w="1424" w:type="dxa"/>
            <w:vMerge/>
            <w:vAlign w:val="center"/>
            <w:hideMark/>
          </w:tcPr>
          <w:p w14:paraId="52F9E623" w14:textId="77777777" w:rsidR="00F65654" w:rsidRPr="00CC26EA" w:rsidRDefault="00F65654">
            <w:pPr>
              <w:spacing w:after="0"/>
              <w:rPr>
                <w:rFonts w:ascii="Times New Roman" w:eastAsia="Times New Roman" w:hAnsi="Times New Roman"/>
                <w:b/>
                <w:noProof/>
                <w:spacing w:val="-6"/>
                <w:lang w:val="sk-SK"/>
              </w:rPr>
            </w:pPr>
          </w:p>
        </w:tc>
        <w:tc>
          <w:tcPr>
            <w:tcW w:w="1187" w:type="dxa"/>
            <w:vMerge/>
            <w:vAlign w:val="center"/>
            <w:hideMark/>
          </w:tcPr>
          <w:p w14:paraId="57FEB790" w14:textId="77777777" w:rsidR="00F65654" w:rsidRPr="00CC26EA" w:rsidRDefault="00F65654">
            <w:pPr>
              <w:spacing w:after="0"/>
              <w:rPr>
                <w:rFonts w:ascii="Times New Roman" w:eastAsia="Times New Roman" w:hAnsi="Times New Roman"/>
                <w:b/>
                <w:noProof/>
                <w:spacing w:val="-6"/>
                <w:lang w:val="sk-SK"/>
              </w:rPr>
            </w:pPr>
          </w:p>
        </w:tc>
        <w:tc>
          <w:tcPr>
            <w:tcW w:w="1562" w:type="dxa"/>
            <w:vMerge/>
            <w:vAlign w:val="center"/>
            <w:hideMark/>
          </w:tcPr>
          <w:p w14:paraId="61D4E9E6" w14:textId="77777777" w:rsidR="00F65654" w:rsidRPr="00CC26EA" w:rsidRDefault="00F65654">
            <w:pPr>
              <w:spacing w:after="0"/>
              <w:rPr>
                <w:rFonts w:ascii="Times New Roman" w:eastAsia="Times New Roman" w:hAnsi="Times New Roman"/>
                <w:b/>
                <w:noProof/>
                <w:spacing w:val="-6"/>
                <w:lang w:val="sk-SK"/>
              </w:rPr>
            </w:pPr>
          </w:p>
        </w:tc>
        <w:tc>
          <w:tcPr>
            <w:tcW w:w="1399" w:type="dxa"/>
            <w:vMerge/>
            <w:vAlign w:val="center"/>
            <w:hideMark/>
          </w:tcPr>
          <w:p w14:paraId="401E0D8C" w14:textId="77777777" w:rsidR="00F65654" w:rsidRPr="00CC26EA" w:rsidRDefault="00F65654">
            <w:pPr>
              <w:spacing w:after="0"/>
              <w:rPr>
                <w:rFonts w:ascii="Times New Roman" w:eastAsia="Times New Roman" w:hAnsi="Times New Roman"/>
                <w:b/>
                <w:noProof/>
                <w:spacing w:val="-6"/>
                <w:lang w:val="sk-SK"/>
              </w:rPr>
            </w:pPr>
          </w:p>
        </w:tc>
        <w:tc>
          <w:tcPr>
            <w:tcW w:w="1096" w:type="dxa"/>
            <w:shd w:val="clear" w:color="auto" w:fill="BDD7EE"/>
            <w:vAlign w:val="center"/>
            <w:hideMark/>
          </w:tcPr>
          <w:p w14:paraId="5BFA8A66"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Merná jednotka</w:t>
            </w:r>
          </w:p>
        </w:tc>
        <w:tc>
          <w:tcPr>
            <w:tcW w:w="993" w:type="dxa"/>
            <w:shd w:val="clear" w:color="auto" w:fill="BDD7EE"/>
            <w:vAlign w:val="center"/>
            <w:hideMark/>
          </w:tcPr>
          <w:p w14:paraId="359C6364"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Základná </w:t>
            </w:r>
          </w:p>
        </w:tc>
        <w:tc>
          <w:tcPr>
            <w:tcW w:w="1056" w:type="dxa"/>
            <w:shd w:val="clear" w:color="auto" w:fill="BDD7EE"/>
            <w:vAlign w:val="center"/>
            <w:hideMark/>
          </w:tcPr>
          <w:p w14:paraId="4B9DC23A"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Cieľ </w:t>
            </w:r>
          </w:p>
        </w:tc>
        <w:tc>
          <w:tcPr>
            <w:tcW w:w="786" w:type="dxa"/>
            <w:shd w:val="clear" w:color="auto" w:fill="BDD7EE"/>
            <w:vAlign w:val="center"/>
            <w:hideMark/>
          </w:tcPr>
          <w:p w14:paraId="7E310F2C"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Štvrťrok</w:t>
            </w:r>
          </w:p>
        </w:tc>
        <w:tc>
          <w:tcPr>
            <w:tcW w:w="853" w:type="dxa"/>
            <w:shd w:val="clear" w:color="auto" w:fill="BDD7EE"/>
            <w:vAlign w:val="center"/>
            <w:hideMark/>
          </w:tcPr>
          <w:p w14:paraId="3B1FFE99"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Rok</w:t>
            </w:r>
          </w:p>
        </w:tc>
        <w:tc>
          <w:tcPr>
            <w:tcW w:w="4283" w:type="dxa"/>
            <w:vMerge/>
            <w:vAlign w:val="center"/>
            <w:hideMark/>
          </w:tcPr>
          <w:p w14:paraId="557717E9" w14:textId="77777777" w:rsidR="00F65654" w:rsidRPr="00CC26EA" w:rsidRDefault="00F65654">
            <w:pPr>
              <w:spacing w:after="0"/>
              <w:rPr>
                <w:rFonts w:ascii="Times New Roman" w:eastAsia="Times New Roman" w:hAnsi="Times New Roman"/>
                <w:b/>
                <w:noProof/>
                <w:spacing w:val="-6"/>
                <w:lang w:val="sk-SK"/>
              </w:rPr>
            </w:pPr>
          </w:p>
        </w:tc>
      </w:tr>
      <w:tr w:rsidR="00F65654" w:rsidRPr="00CC26EA" w14:paraId="049C5A48" w14:textId="77777777">
        <w:trPr>
          <w:trHeight w:val="309"/>
          <w:jc w:val="center"/>
        </w:trPr>
        <w:tc>
          <w:tcPr>
            <w:tcW w:w="1265" w:type="dxa"/>
            <w:shd w:val="clear" w:color="auto" w:fill="C6EFCE"/>
            <w:noWrap/>
          </w:tcPr>
          <w:p w14:paraId="434CBB5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41</w:t>
            </w:r>
          </w:p>
        </w:tc>
        <w:tc>
          <w:tcPr>
            <w:tcW w:w="1424" w:type="dxa"/>
            <w:shd w:val="clear" w:color="auto" w:fill="C6EFCE"/>
            <w:noWrap/>
          </w:tcPr>
          <w:p w14:paraId="71BCBB18" w14:textId="7829CA61"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Opätovná prioritizácia registračnej dane pre vozidlá</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nízka daň</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 xml:space="preserve">elektrickej energie pri účtovaní elektrických vozidiel </w:t>
            </w:r>
          </w:p>
        </w:tc>
        <w:tc>
          <w:tcPr>
            <w:tcW w:w="1187" w:type="dxa"/>
            <w:shd w:val="clear" w:color="auto" w:fill="C6EFCE"/>
            <w:noWrap/>
          </w:tcPr>
          <w:p w14:paraId="70627F8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562" w:type="dxa"/>
            <w:shd w:val="clear" w:color="auto" w:fill="C6EFCE"/>
            <w:noWrap/>
          </w:tcPr>
          <w:p w14:paraId="0DC348F8" w14:textId="7171F64C"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Nadobudnutie účinnosti právneho aktu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zmene priorít registračnej dane pre vozidlá</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nízkej dane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 xml:space="preserve">elektrickej energie pri účtovaní elektrických vozidiel </w:t>
            </w:r>
          </w:p>
        </w:tc>
        <w:tc>
          <w:tcPr>
            <w:tcW w:w="1399" w:type="dxa"/>
            <w:shd w:val="clear" w:color="auto" w:fill="C6EFCE"/>
            <w:noWrap/>
          </w:tcPr>
          <w:p w14:paraId="17D30D5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Právny akt nadobúda účinnosť</w:t>
            </w:r>
          </w:p>
        </w:tc>
        <w:tc>
          <w:tcPr>
            <w:tcW w:w="1096" w:type="dxa"/>
            <w:shd w:val="clear" w:color="auto" w:fill="C6EFCE"/>
            <w:noWrap/>
          </w:tcPr>
          <w:p w14:paraId="16B4764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93" w:type="dxa"/>
            <w:shd w:val="clear" w:color="auto" w:fill="C6EFCE"/>
            <w:noWrap/>
          </w:tcPr>
          <w:p w14:paraId="2429BB2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56" w:type="dxa"/>
            <w:shd w:val="clear" w:color="auto" w:fill="C6EFCE"/>
            <w:noWrap/>
          </w:tcPr>
          <w:p w14:paraId="6FFCFC89" w14:textId="77777777" w:rsidR="00F65654" w:rsidRPr="00CC26EA" w:rsidRDefault="0041081E">
            <w:pPr>
              <w:pStyle w:val="P68B1DB1-CommentSubject8"/>
              <w:jc w:val="left"/>
              <w:rPr>
                <w:rFonts w:eastAsia="Times New Roman"/>
                <w:noProof/>
                <w:spacing w:val="-6"/>
                <w:lang w:val="sk-SK"/>
              </w:rPr>
            </w:pPr>
            <w:r w:rsidRPr="00CC26EA">
              <w:rPr>
                <w:noProof/>
                <w:spacing w:val="-6"/>
                <w:lang w:val="sk-SK"/>
              </w:rPr>
              <w:t xml:space="preserve"> </w:t>
            </w:r>
          </w:p>
        </w:tc>
        <w:tc>
          <w:tcPr>
            <w:tcW w:w="786" w:type="dxa"/>
            <w:shd w:val="clear" w:color="auto" w:fill="C6EFCE"/>
            <w:noWrap/>
          </w:tcPr>
          <w:p w14:paraId="5771174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OTÁZKA Č. 1</w:t>
            </w:r>
          </w:p>
        </w:tc>
        <w:tc>
          <w:tcPr>
            <w:tcW w:w="853" w:type="dxa"/>
            <w:shd w:val="clear" w:color="auto" w:fill="C6EFCE"/>
            <w:noWrap/>
          </w:tcPr>
          <w:p w14:paraId="2896838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4283" w:type="dxa"/>
            <w:shd w:val="clear" w:color="auto" w:fill="C6EFCE"/>
            <w:noWrap/>
          </w:tcPr>
          <w:p w14:paraId="31402370" w14:textId="3848BC1F"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Míľnik sa dosiahne vtedy, keď nadobudne účinnosť právny akt na zníženie registračnej dane pre automobily</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nízkymi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nulovými emisiami, zjednodušenie registračnej dane tak, aby závisela len od hodnoty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emisií CO2 vozidla,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rozšírenie osobitného režimu</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nízkou daňou</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 xml:space="preserve">elektrickej energie na účely nabíjania elektrických vozidiel. </w:t>
            </w:r>
          </w:p>
        </w:tc>
      </w:tr>
      <w:tr w:rsidR="00F65654" w:rsidRPr="00CC26EA" w14:paraId="4946BDCA" w14:textId="77777777">
        <w:trPr>
          <w:trHeight w:val="309"/>
          <w:jc w:val="center"/>
        </w:trPr>
        <w:tc>
          <w:tcPr>
            <w:tcW w:w="1265" w:type="dxa"/>
            <w:shd w:val="clear" w:color="auto" w:fill="C6EFCE"/>
            <w:noWrap/>
          </w:tcPr>
          <w:p w14:paraId="7D40206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42 </w:t>
            </w:r>
          </w:p>
        </w:tc>
        <w:tc>
          <w:tcPr>
            <w:tcW w:w="1424" w:type="dxa"/>
            <w:shd w:val="clear" w:color="auto" w:fill="C6EFCE"/>
            <w:noWrap/>
          </w:tcPr>
          <w:p w14:paraId="2028A5C7" w14:textId="11530BEA"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Dočasné zvýšenie prémie za zošrotovanie starých vozidiel</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naftovým motorom</w:t>
            </w:r>
          </w:p>
        </w:tc>
        <w:tc>
          <w:tcPr>
            <w:tcW w:w="1187" w:type="dxa"/>
            <w:shd w:val="clear" w:color="auto" w:fill="C6EFCE"/>
            <w:noWrap/>
          </w:tcPr>
          <w:p w14:paraId="526C955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562" w:type="dxa"/>
            <w:shd w:val="clear" w:color="auto" w:fill="C6EFCE"/>
            <w:noWrap/>
          </w:tcPr>
          <w:p w14:paraId="2AAA007A" w14:textId="0BD3DECC"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36000 starých naftových automobilov sa vyradí</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dôvodu zvýšenej prémie za zošrotovanie</w:t>
            </w:r>
          </w:p>
        </w:tc>
        <w:tc>
          <w:tcPr>
            <w:tcW w:w="1399" w:type="dxa"/>
            <w:shd w:val="clear" w:color="auto" w:fill="C6EFCE"/>
            <w:noWrap/>
          </w:tcPr>
          <w:p w14:paraId="56E101F0" w14:textId="77777777" w:rsidR="00F65654" w:rsidRPr="00CC26EA" w:rsidRDefault="00F65654">
            <w:pPr>
              <w:spacing w:after="0"/>
              <w:rPr>
                <w:rFonts w:ascii="Times New Roman" w:eastAsia="Times New Roman" w:hAnsi="Times New Roman"/>
                <w:noProof/>
                <w:color w:val="006100"/>
                <w:spacing w:val="-6"/>
                <w:lang w:val="sk-SK"/>
              </w:rPr>
            </w:pPr>
          </w:p>
        </w:tc>
        <w:tc>
          <w:tcPr>
            <w:tcW w:w="1096" w:type="dxa"/>
            <w:shd w:val="clear" w:color="auto" w:fill="C6EFCE"/>
            <w:noWrap/>
          </w:tcPr>
          <w:p w14:paraId="1114482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993" w:type="dxa"/>
            <w:shd w:val="clear" w:color="auto" w:fill="C6EFCE"/>
            <w:noWrap/>
          </w:tcPr>
          <w:p w14:paraId="5221C71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17 000</w:t>
            </w:r>
          </w:p>
        </w:tc>
        <w:tc>
          <w:tcPr>
            <w:tcW w:w="1056" w:type="dxa"/>
            <w:shd w:val="clear" w:color="auto" w:fill="C6EFCE"/>
            <w:noWrap/>
          </w:tcPr>
          <w:p w14:paraId="74DF373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36 000</w:t>
            </w:r>
          </w:p>
        </w:tc>
        <w:tc>
          <w:tcPr>
            <w:tcW w:w="786" w:type="dxa"/>
            <w:shd w:val="clear" w:color="auto" w:fill="C6EFCE"/>
            <w:noWrap/>
          </w:tcPr>
          <w:p w14:paraId="3255F08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OTÁZKA Č. 1</w:t>
            </w:r>
          </w:p>
        </w:tc>
        <w:tc>
          <w:tcPr>
            <w:tcW w:w="853" w:type="dxa"/>
            <w:shd w:val="clear" w:color="auto" w:fill="C6EFCE"/>
            <w:noWrap/>
          </w:tcPr>
          <w:p w14:paraId="25F84F4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2022</w:t>
            </w:r>
          </w:p>
        </w:tc>
        <w:tc>
          <w:tcPr>
            <w:tcW w:w="4283" w:type="dxa"/>
            <w:shd w:val="clear" w:color="auto" w:fill="C6EFCE"/>
            <w:noWrap/>
          </w:tcPr>
          <w:p w14:paraId="36CA8662" w14:textId="34661A9F" w:rsidR="00CC26EA" w:rsidRPr="00CC26EA" w:rsidRDefault="0041081E">
            <w:pPr>
              <w:pStyle w:val="P68B1DB1-Normal4"/>
              <w:rPr>
                <w:rFonts w:ascii="Times New Roman" w:hAnsi="Times New Roman"/>
                <w:noProof/>
                <w:spacing w:val="-6"/>
                <w:lang w:val="sk-SK"/>
              </w:rPr>
            </w:pPr>
            <w:r w:rsidRPr="00CC26EA">
              <w:rPr>
                <w:rFonts w:ascii="Times New Roman" w:hAnsi="Times New Roman"/>
                <w:noProof/>
                <w:spacing w:val="-6"/>
                <w:lang w:val="sk-SK"/>
              </w:rPr>
              <w:t>Tento cieľ sa dosiahne, keď sa počet starých naftových automobilov zošrotovaných</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dôsledku zvýšenej prémie za zošrotovanie zvýši na 36000. Ak sa do konca roka 2021 použije celkový fond, zlikviduje sa celkovo 36000 starých vozidiel</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naftovým motorom. Údaje</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základnom scenári sú neisté, ale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roku 2021 sa odhaduje na 17000 naftových automobilov. Očakáva sa preto, že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rámci tejto schémy sa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roku 2021 poskytne najmenej 19000 zlikvidovaných starých naftových automobilov</w:t>
            </w:r>
            <w:r w:rsidR="00CC26EA" w:rsidRPr="00CC26EA">
              <w:rPr>
                <w:rFonts w:ascii="Times New Roman" w:hAnsi="Times New Roman"/>
                <w:noProof/>
                <w:spacing w:val="-6"/>
                <w:lang w:val="sk-SK"/>
              </w:rPr>
              <w:t>.</w:t>
            </w:r>
          </w:p>
          <w:p w14:paraId="0D4368CA" w14:textId="5367754A" w:rsidR="00CC26EA" w:rsidRPr="00CC26EA" w:rsidRDefault="0041081E">
            <w:pPr>
              <w:pStyle w:val="P68B1DB1-Normal4"/>
              <w:rPr>
                <w:rFonts w:ascii="Times New Roman" w:hAnsi="Times New Roman"/>
                <w:noProof/>
                <w:spacing w:val="-6"/>
                <w:lang w:val="sk-SK"/>
              </w:rPr>
            </w:pPr>
            <w:r w:rsidRPr="00CC26EA">
              <w:rPr>
                <w:rFonts w:ascii="Times New Roman" w:hAnsi="Times New Roman"/>
                <w:noProof/>
                <w:spacing w:val="-6"/>
                <w:lang w:val="sk-SK"/>
              </w:rPr>
              <w:t>Cieľ sa vzťahuje na počet starých naftových automobilov, ktoré sa zošrotujú</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dôsledku zvýšenej prémie za zošrotovanie</w:t>
            </w:r>
            <w:r w:rsidR="00CC26EA" w:rsidRPr="00CC26EA">
              <w:rPr>
                <w:rFonts w:ascii="Times New Roman" w:hAnsi="Times New Roman"/>
                <w:noProof/>
                <w:spacing w:val="-6"/>
                <w:lang w:val="sk-SK"/>
              </w:rPr>
              <w:t>.</w:t>
            </w:r>
          </w:p>
          <w:p w14:paraId="74F72B58" w14:textId="47FA5E77"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 xml:space="preserve">Právnym základom iniciatívy je vykonávacie nariadenie </w:t>
            </w:r>
            <w:r w:rsidR="00CC26EA" w:rsidRPr="00CC26EA">
              <w:rPr>
                <w:rFonts w:ascii="Times New Roman" w:hAnsi="Times New Roman"/>
                <w:noProof/>
                <w:spacing w:val="-6"/>
                <w:lang w:val="sk-SK"/>
              </w:rPr>
              <w:t>č. </w:t>
            </w:r>
            <w:r w:rsidRPr="00CC26EA">
              <w:rPr>
                <w:rFonts w:ascii="Times New Roman" w:hAnsi="Times New Roman"/>
                <w:noProof/>
                <w:spacing w:val="-6"/>
                <w:lang w:val="sk-SK"/>
              </w:rPr>
              <w:t>516</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24</w:t>
            </w:r>
            <w:r w:rsidR="00CC26EA" w:rsidRPr="00CC26EA">
              <w:rPr>
                <w:rFonts w:ascii="Times New Roman" w:hAnsi="Times New Roman"/>
                <w:noProof/>
                <w:spacing w:val="-6"/>
                <w:lang w:val="sk-SK"/>
              </w:rPr>
              <w:t>. marca</w:t>
            </w:r>
            <w:r w:rsidRPr="00CC26EA">
              <w:rPr>
                <w:rFonts w:ascii="Times New Roman" w:hAnsi="Times New Roman"/>
                <w:noProof/>
                <w:spacing w:val="-6"/>
                <w:lang w:val="sk-SK"/>
              </w:rPr>
              <w:t xml:space="preserve"> 2021, https://www.retsinformation.dk/eli/lta/2021/516.“</w:t>
            </w:r>
          </w:p>
        </w:tc>
      </w:tr>
      <w:tr w:rsidR="00F65654" w:rsidRPr="00CC26EA" w14:paraId="43BF417B" w14:textId="77777777">
        <w:trPr>
          <w:trHeight w:val="309"/>
          <w:jc w:val="center"/>
        </w:trPr>
        <w:tc>
          <w:tcPr>
            <w:tcW w:w="1265" w:type="dxa"/>
            <w:shd w:val="clear" w:color="auto" w:fill="C6EFCE"/>
            <w:noWrap/>
          </w:tcPr>
          <w:p w14:paraId="39EBBAB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43</w:t>
            </w:r>
          </w:p>
        </w:tc>
        <w:tc>
          <w:tcPr>
            <w:tcW w:w="1424" w:type="dxa"/>
            <w:shd w:val="clear" w:color="auto" w:fill="C6EFCE"/>
            <w:noWrap/>
          </w:tcPr>
          <w:p w14:paraId="23679BA9" w14:textId="32D4031B"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Opätovná prioritizácia registračnej dane pre vozidlá</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nízka daň</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 xml:space="preserve">elektrickej energie pri účtovaní elektrických vozidiel </w:t>
            </w:r>
          </w:p>
        </w:tc>
        <w:tc>
          <w:tcPr>
            <w:tcW w:w="1187" w:type="dxa"/>
            <w:shd w:val="clear" w:color="auto" w:fill="C6EFCE"/>
            <w:noWrap/>
          </w:tcPr>
          <w:p w14:paraId="58CB624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562" w:type="dxa"/>
            <w:shd w:val="clear" w:color="auto" w:fill="C6EFCE"/>
            <w:noWrap/>
          </w:tcPr>
          <w:p w14:paraId="0D874838" w14:textId="1F1690EB"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Najmenej 225000 automobilov</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nulovými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nízkymi emisiami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dánskom vozovom parku.</w:t>
            </w:r>
          </w:p>
        </w:tc>
        <w:tc>
          <w:tcPr>
            <w:tcW w:w="1399" w:type="dxa"/>
            <w:shd w:val="clear" w:color="auto" w:fill="C6EFCE"/>
            <w:noWrap/>
          </w:tcPr>
          <w:p w14:paraId="19EA45D1" w14:textId="77777777" w:rsidR="00F65654" w:rsidRPr="00CC26EA" w:rsidRDefault="00F65654">
            <w:pPr>
              <w:spacing w:after="0"/>
              <w:rPr>
                <w:rFonts w:ascii="Times New Roman" w:eastAsia="Times New Roman" w:hAnsi="Times New Roman"/>
                <w:noProof/>
                <w:color w:val="006100"/>
                <w:spacing w:val="-6"/>
                <w:lang w:val="sk-SK"/>
              </w:rPr>
            </w:pPr>
          </w:p>
        </w:tc>
        <w:tc>
          <w:tcPr>
            <w:tcW w:w="1096" w:type="dxa"/>
            <w:shd w:val="clear" w:color="auto" w:fill="C6EFCE"/>
            <w:noWrap/>
          </w:tcPr>
          <w:p w14:paraId="4B85229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993" w:type="dxa"/>
            <w:shd w:val="clear" w:color="auto" w:fill="C6EFCE"/>
            <w:noWrap/>
          </w:tcPr>
          <w:p w14:paraId="4D8DCA0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65000</w:t>
            </w:r>
          </w:p>
        </w:tc>
        <w:tc>
          <w:tcPr>
            <w:tcW w:w="1056" w:type="dxa"/>
            <w:shd w:val="clear" w:color="auto" w:fill="C6EFCE"/>
            <w:noWrap/>
          </w:tcPr>
          <w:p w14:paraId="538B9AE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225000</w:t>
            </w:r>
          </w:p>
        </w:tc>
        <w:tc>
          <w:tcPr>
            <w:tcW w:w="786" w:type="dxa"/>
            <w:shd w:val="clear" w:color="auto" w:fill="C6EFCE"/>
            <w:noWrap/>
          </w:tcPr>
          <w:p w14:paraId="2DC334AA"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853" w:type="dxa"/>
            <w:shd w:val="clear" w:color="auto" w:fill="C6EFCE"/>
            <w:noWrap/>
          </w:tcPr>
          <w:p w14:paraId="34C82AE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2025</w:t>
            </w:r>
          </w:p>
        </w:tc>
        <w:tc>
          <w:tcPr>
            <w:tcW w:w="4283" w:type="dxa"/>
            <w:shd w:val="clear" w:color="auto" w:fill="C6EFCE"/>
            <w:noWrap/>
          </w:tcPr>
          <w:p w14:paraId="7E23F01B" w14:textId="058748A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Cieľová hodnota sa dosiahne, keď stav vozidiel</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nulovými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nízkymi emisiami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automobilovom parku dosiahne do 31</w:t>
            </w:r>
            <w:r w:rsidR="00CC26EA" w:rsidRPr="00CC26EA">
              <w:rPr>
                <w:rFonts w:ascii="Times New Roman" w:hAnsi="Times New Roman"/>
                <w:noProof/>
                <w:spacing w:val="-6"/>
                <w:lang w:val="sk-SK"/>
              </w:rPr>
              <w:t>. decembra</w:t>
            </w:r>
            <w:r w:rsidRPr="00CC26EA">
              <w:rPr>
                <w:rFonts w:ascii="Times New Roman" w:hAnsi="Times New Roman"/>
                <w:noProof/>
                <w:spacing w:val="-6"/>
                <w:lang w:val="sk-SK"/>
              </w:rPr>
              <w:t xml:space="preserve"> 2025 aspoň 225000</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porovnaní so základným scenárom</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 xml:space="preserve">roku 2021 na úrovni 65000. </w:t>
            </w:r>
          </w:p>
        </w:tc>
      </w:tr>
      <w:tr w:rsidR="00F65654" w:rsidRPr="00CC26EA" w14:paraId="594425B9" w14:textId="77777777">
        <w:trPr>
          <w:trHeight w:val="309"/>
          <w:jc w:val="center"/>
        </w:trPr>
        <w:tc>
          <w:tcPr>
            <w:tcW w:w="1265" w:type="dxa"/>
            <w:shd w:val="clear" w:color="auto" w:fill="C6EFCE"/>
            <w:noWrap/>
          </w:tcPr>
          <w:p w14:paraId="1B3FE75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44</w:t>
            </w:r>
          </w:p>
        </w:tc>
        <w:tc>
          <w:tcPr>
            <w:tcW w:w="1424" w:type="dxa"/>
            <w:shd w:val="clear" w:color="auto" w:fill="C6EFCE"/>
            <w:noWrap/>
          </w:tcPr>
          <w:p w14:paraId="7D9A143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skúška rozvoja stanovovania cien ciest</w:t>
            </w:r>
          </w:p>
        </w:tc>
        <w:tc>
          <w:tcPr>
            <w:tcW w:w="1187" w:type="dxa"/>
            <w:shd w:val="clear" w:color="auto" w:fill="C6EFCE"/>
            <w:noWrap/>
          </w:tcPr>
          <w:p w14:paraId="1B079E7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562" w:type="dxa"/>
            <w:shd w:val="clear" w:color="auto" w:fill="C6EFCE"/>
            <w:noWrap/>
          </w:tcPr>
          <w:p w14:paraId="0E56EC29" w14:textId="69F7283C"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Vláda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väčšina parlamentov prijali politickú dohodu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 xml:space="preserve">vykonávaní testovacej schémy. </w:t>
            </w:r>
          </w:p>
        </w:tc>
        <w:tc>
          <w:tcPr>
            <w:tcW w:w="1399" w:type="dxa"/>
            <w:shd w:val="clear" w:color="auto" w:fill="C6EFCE"/>
            <w:noWrap/>
          </w:tcPr>
          <w:p w14:paraId="37AEABD3" w14:textId="343E5A42"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Dohoda dosiahnutá medzi vládou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väčšinou parlamentu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 xml:space="preserve">vykonávaní testovacieho systému. </w:t>
            </w:r>
          </w:p>
        </w:tc>
        <w:tc>
          <w:tcPr>
            <w:tcW w:w="1096" w:type="dxa"/>
            <w:shd w:val="clear" w:color="auto" w:fill="C6EFCE"/>
            <w:noWrap/>
          </w:tcPr>
          <w:p w14:paraId="430289B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93" w:type="dxa"/>
            <w:shd w:val="clear" w:color="auto" w:fill="C6EFCE"/>
            <w:noWrap/>
          </w:tcPr>
          <w:p w14:paraId="5369A63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56" w:type="dxa"/>
            <w:shd w:val="clear" w:color="auto" w:fill="C6EFCE"/>
            <w:noWrap/>
          </w:tcPr>
          <w:p w14:paraId="171B68E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786" w:type="dxa"/>
            <w:shd w:val="clear" w:color="auto" w:fill="C6EFCE"/>
            <w:noWrap/>
          </w:tcPr>
          <w:p w14:paraId="1194FBC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853" w:type="dxa"/>
            <w:shd w:val="clear" w:color="auto" w:fill="C6EFCE"/>
            <w:noWrap/>
          </w:tcPr>
          <w:p w14:paraId="1B8AE2A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4283" w:type="dxa"/>
            <w:shd w:val="clear" w:color="auto" w:fill="C6EFCE"/>
            <w:noWrap/>
          </w:tcPr>
          <w:p w14:paraId="3A26A5DE" w14:textId="1F932D3E"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Dosiahne sa politická dohoda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opise skúšobnej schémy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organizácii testu.</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tejto súvislosti je cieľom dohody začať testy vývoja spoplatňovania ciest</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cieľom preskúmať účinné spôsoby zdaňovania preťaženia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škôd</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zdravotných nákladov spojených</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riadením vozidla.</w:t>
            </w:r>
          </w:p>
          <w:p w14:paraId="1F5FF455" w14:textId="77777777" w:rsidR="00CC26EA" w:rsidRPr="00CC26EA" w:rsidRDefault="0041081E">
            <w:pPr>
              <w:pStyle w:val="P68B1DB1-Normal4"/>
              <w:spacing w:after="0"/>
              <w:rPr>
                <w:rFonts w:ascii="Times New Roman" w:hAnsi="Times New Roman"/>
                <w:noProof/>
                <w:spacing w:val="-6"/>
                <w:lang w:val="sk-SK"/>
              </w:rPr>
            </w:pPr>
            <w:r w:rsidRPr="00CC26EA">
              <w:rPr>
                <w:rFonts w:ascii="Times New Roman" w:hAnsi="Times New Roman"/>
                <w:noProof/>
                <w:spacing w:val="-6"/>
                <w:lang w:val="sk-SK"/>
              </w:rPr>
              <w:t>Na začatie testovacej schémy nie je potrebný žiadny ďalší právny základ</w:t>
            </w:r>
            <w:r w:rsidR="00CC26EA" w:rsidRPr="00CC26EA">
              <w:rPr>
                <w:rFonts w:ascii="Times New Roman" w:hAnsi="Times New Roman"/>
                <w:noProof/>
                <w:spacing w:val="-6"/>
                <w:lang w:val="sk-SK"/>
              </w:rPr>
              <w:t>.</w:t>
            </w:r>
          </w:p>
          <w:p w14:paraId="1FA232E5" w14:textId="6E17BAA3" w:rsidR="00F65654" w:rsidRPr="00CC26EA" w:rsidRDefault="00F65654">
            <w:pPr>
              <w:spacing w:after="0"/>
              <w:rPr>
                <w:rFonts w:ascii="Times New Roman" w:eastAsia="Times New Roman" w:hAnsi="Times New Roman"/>
                <w:noProof/>
                <w:color w:val="006100"/>
                <w:spacing w:val="-6"/>
                <w:lang w:val="sk-SK"/>
              </w:rPr>
            </w:pPr>
          </w:p>
          <w:p w14:paraId="2C872FDE" w14:textId="77777777" w:rsidR="00F65654" w:rsidRPr="00CC26EA" w:rsidRDefault="00F65654">
            <w:pPr>
              <w:spacing w:after="0"/>
              <w:rPr>
                <w:rFonts w:ascii="Times New Roman" w:eastAsia="Times New Roman" w:hAnsi="Times New Roman"/>
                <w:noProof/>
                <w:color w:val="006100"/>
                <w:spacing w:val="-6"/>
                <w:lang w:val="sk-SK"/>
              </w:rPr>
            </w:pPr>
          </w:p>
        </w:tc>
      </w:tr>
      <w:tr w:rsidR="00F65654" w:rsidRPr="00CC26EA" w14:paraId="020C5312" w14:textId="77777777">
        <w:trPr>
          <w:trHeight w:val="309"/>
          <w:jc w:val="center"/>
        </w:trPr>
        <w:tc>
          <w:tcPr>
            <w:tcW w:w="1265" w:type="dxa"/>
            <w:shd w:val="clear" w:color="auto" w:fill="C6EFCE"/>
            <w:noWrap/>
          </w:tcPr>
          <w:p w14:paraId="26680E6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45</w:t>
            </w:r>
          </w:p>
        </w:tc>
        <w:tc>
          <w:tcPr>
            <w:tcW w:w="1424" w:type="dxa"/>
            <w:shd w:val="clear" w:color="auto" w:fill="C6EFCE"/>
            <w:noWrap/>
          </w:tcPr>
          <w:p w14:paraId="00FCC030"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skúška rozvoja stanovovania cien ciest</w:t>
            </w:r>
          </w:p>
        </w:tc>
        <w:tc>
          <w:tcPr>
            <w:tcW w:w="1187" w:type="dxa"/>
            <w:shd w:val="clear" w:color="auto" w:fill="C6EFCE"/>
            <w:noWrap/>
          </w:tcPr>
          <w:p w14:paraId="7B65AB3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562" w:type="dxa"/>
            <w:shd w:val="clear" w:color="auto" w:fill="C6EFCE"/>
            <w:noWrap/>
          </w:tcPr>
          <w:p w14:paraId="0665EBD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Uverejnenie výsledkov skúšobného systému stanovovania cien vozoviek.</w:t>
            </w:r>
          </w:p>
        </w:tc>
        <w:tc>
          <w:tcPr>
            <w:tcW w:w="1399" w:type="dxa"/>
            <w:shd w:val="clear" w:color="auto" w:fill="C6EFCE"/>
            <w:noWrap/>
          </w:tcPr>
          <w:p w14:paraId="0F1494F5" w14:textId="00599CE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Správu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výsledkoch testovacej schémy.</w:t>
            </w:r>
          </w:p>
        </w:tc>
        <w:tc>
          <w:tcPr>
            <w:tcW w:w="1096" w:type="dxa"/>
            <w:shd w:val="clear" w:color="auto" w:fill="C6EFCE"/>
            <w:noWrap/>
          </w:tcPr>
          <w:p w14:paraId="23A3414A"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93" w:type="dxa"/>
            <w:shd w:val="clear" w:color="auto" w:fill="C6EFCE"/>
            <w:noWrap/>
          </w:tcPr>
          <w:p w14:paraId="490C75E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56" w:type="dxa"/>
            <w:shd w:val="clear" w:color="auto" w:fill="C6EFCE"/>
            <w:noWrap/>
          </w:tcPr>
          <w:p w14:paraId="7E13AD00"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786" w:type="dxa"/>
            <w:shd w:val="clear" w:color="auto" w:fill="C6EFCE"/>
            <w:noWrap/>
          </w:tcPr>
          <w:p w14:paraId="53E0DEE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OTÁZKA Č. 1</w:t>
            </w:r>
          </w:p>
        </w:tc>
        <w:tc>
          <w:tcPr>
            <w:tcW w:w="853" w:type="dxa"/>
            <w:shd w:val="clear" w:color="auto" w:fill="C6EFCE"/>
            <w:noWrap/>
          </w:tcPr>
          <w:p w14:paraId="74D3E7C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2024</w:t>
            </w:r>
          </w:p>
        </w:tc>
        <w:tc>
          <w:tcPr>
            <w:tcW w:w="4283" w:type="dxa"/>
            <w:shd w:val="clear" w:color="auto" w:fill="C6EFCE"/>
            <w:noWrap/>
          </w:tcPr>
          <w:p w14:paraId="0070CA44" w14:textId="47A2EC4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Výsledky skúšobného systému stanovovania cien vozoviek sa zdokumentujú</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správe.</w:t>
            </w:r>
          </w:p>
        </w:tc>
      </w:tr>
      <w:tr w:rsidR="00F65654" w:rsidRPr="00CC26EA" w14:paraId="5097A03B" w14:textId="77777777">
        <w:trPr>
          <w:trHeight w:val="309"/>
          <w:jc w:val="center"/>
        </w:trPr>
        <w:tc>
          <w:tcPr>
            <w:tcW w:w="1265" w:type="dxa"/>
            <w:shd w:val="clear" w:color="auto" w:fill="C6EFCE"/>
            <w:noWrap/>
          </w:tcPr>
          <w:p w14:paraId="2DDB8E2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46</w:t>
            </w:r>
          </w:p>
        </w:tc>
        <w:tc>
          <w:tcPr>
            <w:tcW w:w="1424" w:type="dxa"/>
            <w:shd w:val="clear" w:color="auto" w:fill="C6EFCE"/>
            <w:noWrap/>
          </w:tcPr>
          <w:p w14:paraId="5AE8CDAF" w14:textId="3E11EF51"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Analýza nariadenia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hmotnosti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rozmeroch</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cieľom optimalizovať nákladnú dopravu</w:t>
            </w:r>
          </w:p>
        </w:tc>
        <w:tc>
          <w:tcPr>
            <w:tcW w:w="1187" w:type="dxa"/>
            <w:shd w:val="clear" w:color="auto" w:fill="C6EFCE"/>
            <w:noWrap/>
          </w:tcPr>
          <w:p w14:paraId="3027928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562" w:type="dxa"/>
            <w:shd w:val="clear" w:color="auto" w:fill="C6EFCE"/>
            <w:noWrap/>
          </w:tcPr>
          <w:p w14:paraId="792CD5AD" w14:textId="70FBEC7F"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Uverejnenie správy</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analýze vnútroštátnych predpisov</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hmotnosti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rozmeroch.</w:t>
            </w:r>
          </w:p>
        </w:tc>
        <w:tc>
          <w:tcPr>
            <w:tcW w:w="1399" w:type="dxa"/>
            <w:shd w:val="clear" w:color="auto" w:fill="C6EFCE"/>
            <w:noWrap/>
          </w:tcPr>
          <w:p w14:paraId="480E3420" w14:textId="503A52E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Uverejnenie správy</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analýze vnútroštátnych právnych predpisov</w:t>
            </w:r>
            <w:r w:rsidR="00CC26EA" w:rsidRPr="00CC26EA">
              <w:rPr>
                <w:rFonts w:ascii="Times New Roman" w:hAnsi="Times New Roman"/>
                <w:noProof/>
                <w:spacing w:val="-6"/>
                <w:lang w:val="sk-SK"/>
              </w:rPr>
              <w:t xml:space="preserve"> a o </w:t>
            </w:r>
            <w:r w:rsidRPr="00CC26EA">
              <w:rPr>
                <w:rFonts w:ascii="Times New Roman" w:hAnsi="Times New Roman"/>
                <w:noProof/>
                <w:spacing w:val="-6"/>
                <w:lang w:val="sk-SK"/>
              </w:rPr>
              <w:t>hmotnosti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rozmeroch, od ktorej sa očakáva, že pomôže kvantifikovať potenciálne zníženie emisií.</w:t>
            </w:r>
          </w:p>
        </w:tc>
        <w:tc>
          <w:tcPr>
            <w:tcW w:w="1096" w:type="dxa"/>
            <w:shd w:val="clear" w:color="auto" w:fill="C6EFCE"/>
            <w:noWrap/>
          </w:tcPr>
          <w:p w14:paraId="63F2873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93" w:type="dxa"/>
            <w:shd w:val="clear" w:color="auto" w:fill="C6EFCE"/>
            <w:noWrap/>
          </w:tcPr>
          <w:p w14:paraId="6A3A2FC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56" w:type="dxa"/>
            <w:shd w:val="clear" w:color="auto" w:fill="C6EFCE"/>
            <w:noWrap/>
          </w:tcPr>
          <w:p w14:paraId="5547ED96"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786" w:type="dxa"/>
            <w:shd w:val="clear" w:color="auto" w:fill="C6EFCE"/>
            <w:noWrap/>
          </w:tcPr>
          <w:p w14:paraId="43727CD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853" w:type="dxa"/>
            <w:shd w:val="clear" w:color="auto" w:fill="C6EFCE"/>
            <w:noWrap/>
          </w:tcPr>
          <w:p w14:paraId="1A2C2CC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4283" w:type="dxa"/>
            <w:shd w:val="clear" w:color="auto" w:fill="C6EFCE"/>
            <w:noWrap/>
          </w:tcPr>
          <w:p w14:paraId="2BBEC4FB" w14:textId="5BA61C0B"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Uverejňuje sa analýza týkajúca sa súčasných vnútroštátnych predpisov</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hmotnosti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rozmeroch. Analýza vychádza</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existujúcich údajov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zahŕňa analýzu nákladov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prínosov potenciálneho zníženia emisií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možných finančných dôsledkov, ako je opotrebovanie na cestách. Výsledkom analýzy vnútroštátnych predpisov</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hmotnosti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rozmeroch je záverečná správa</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odporúčaniami vrátane návrhov na zmeny vnútroštátnych predpisov</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odhadovanými účinkami na klímu, opisom podmienok bezpečnosti cestnej premávky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nákladov.</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správe sa navrhnú opatrenia, ktoré sú</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súlade</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požiadavkou „výrazne nenarušiť“.</w:t>
            </w:r>
          </w:p>
        </w:tc>
      </w:tr>
      <w:tr w:rsidR="00F65654" w:rsidRPr="00CC26EA" w14:paraId="48246BDC" w14:textId="77777777">
        <w:trPr>
          <w:trHeight w:val="309"/>
          <w:jc w:val="center"/>
        </w:trPr>
        <w:tc>
          <w:tcPr>
            <w:tcW w:w="1265" w:type="dxa"/>
            <w:shd w:val="clear" w:color="auto" w:fill="C6EFCE"/>
            <w:noWrap/>
          </w:tcPr>
          <w:p w14:paraId="63EAE979"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47</w:t>
            </w:r>
          </w:p>
        </w:tc>
        <w:tc>
          <w:tcPr>
            <w:tcW w:w="1424" w:type="dxa"/>
            <w:shd w:val="clear" w:color="auto" w:fill="C6EFCE"/>
            <w:noWrap/>
          </w:tcPr>
          <w:p w14:paraId="460BB254" w14:textId="135FF709"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spoločné využívanie automobilov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carpooling (informovanosť)</w:t>
            </w:r>
          </w:p>
        </w:tc>
        <w:tc>
          <w:tcPr>
            <w:tcW w:w="1187" w:type="dxa"/>
            <w:shd w:val="clear" w:color="auto" w:fill="C6EFCE"/>
            <w:noWrap/>
          </w:tcPr>
          <w:p w14:paraId="49C5258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562" w:type="dxa"/>
            <w:shd w:val="clear" w:color="auto" w:fill="C6EFCE"/>
            <w:noWrap/>
          </w:tcPr>
          <w:p w14:paraId="2B3D3376" w14:textId="60D3589F"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Informačné kampane týkajúce sa dopravného preťaženia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spoločného využívania automobilov boli odhalené najmenej 30000000-krát. </w:t>
            </w:r>
          </w:p>
        </w:tc>
        <w:tc>
          <w:tcPr>
            <w:tcW w:w="1399" w:type="dxa"/>
            <w:shd w:val="clear" w:color="auto" w:fill="C6EFCE"/>
            <w:noWrap/>
          </w:tcPr>
          <w:p w14:paraId="65EC0F08" w14:textId="77777777" w:rsidR="00F65654" w:rsidRPr="00CC26EA" w:rsidRDefault="00F65654">
            <w:pPr>
              <w:spacing w:after="0"/>
              <w:rPr>
                <w:rFonts w:ascii="Times New Roman" w:eastAsia="Times New Roman" w:hAnsi="Times New Roman"/>
                <w:noProof/>
                <w:color w:val="006100"/>
                <w:spacing w:val="-6"/>
                <w:lang w:val="sk-SK"/>
              </w:rPr>
            </w:pPr>
          </w:p>
        </w:tc>
        <w:tc>
          <w:tcPr>
            <w:tcW w:w="1096" w:type="dxa"/>
            <w:shd w:val="clear" w:color="auto" w:fill="C6EFCE"/>
            <w:noWrap/>
          </w:tcPr>
          <w:p w14:paraId="2C09859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993" w:type="dxa"/>
            <w:shd w:val="clear" w:color="auto" w:fill="C6EFCE"/>
            <w:noWrap/>
          </w:tcPr>
          <w:p w14:paraId="0456C9FA"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1056" w:type="dxa"/>
            <w:shd w:val="clear" w:color="auto" w:fill="C6EFCE"/>
            <w:noWrap/>
          </w:tcPr>
          <w:p w14:paraId="108F2050" w14:textId="77777777" w:rsidR="00F65654" w:rsidRPr="00CC26EA" w:rsidRDefault="0041081E">
            <w:pPr>
              <w:pStyle w:val="P68B1DB1-CommentText7"/>
              <w:jc w:val="left"/>
              <w:rPr>
                <w:rFonts w:eastAsia="Times New Roman"/>
                <w:noProof/>
                <w:spacing w:val="-6"/>
                <w:lang w:val="sk-SK"/>
              </w:rPr>
            </w:pPr>
            <w:r w:rsidRPr="00CC26EA">
              <w:rPr>
                <w:noProof/>
                <w:spacing w:val="-6"/>
                <w:lang w:val="sk-SK"/>
              </w:rPr>
              <w:t>30 000 000</w:t>
            </w:r>
          </w:p>
        </w:tc>
        <w:tc>
          <w:tcPr>
            <w:tcW w:w="786" w:type="dxa"/>
            <w:shd w:val="clear" w:color="auto" w:fill="C6EFCE"/>
            <w:noWrap/>
          </w:tcPr>
          <w:p w14:paraId="5DD7622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853" w:type="dxa"/>
            <w:shd w:val="clear" w:color="auto" w:fill="C6EFCE"/>
            <w:noWrap/>
          </w:tcPr>
          <w:p w14:paraId="2ADD116A"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2022</w:t>
            </w:r>
          </w:p>
        </w:tc>
        <w:tc>
          <w:tcPr>
            <w:tcW w:w="4283" w:type="dxa"/>
            <w:shd w:val="clear" w:color="auto" w:fill="C6EFCE"/>
            <w:noWrap/>
          </w:tcPr>
          <w:p w14:paraId="50470C2D" w14:textId="5F9749D9" w:rsidR="00CC26EA" w:rsidRPr="00CC26EA" w:rsidRDefault="0041081E">
            <w:pPr>
              <w:pStyle w:val="P68B1DB1-Normal4"/>
              <w:spacing w:after="0"/>
              <w:rPr>
                <w:rFonts w:ascii="Times New Roman" w:hAnsi="Times New Roman"/>
                <w:noProof/>
                <w:spacing w:val="-6"/>
                <w:lang w:val="sk-SK"/>
              </w:rPr>
            </w:pPr>
            <w:r w:rsidRPr="00CC26EA">
              <w:rPr>
                <w:rFonts w:ascii="Times New Roman" w:hAnsi="Times New Roman"/>
                <w:noProof/>
                <w:spacing w:val="-6"/>
                <w:lang w:val="sk-SK"/>
              </w:rPr>
              <w:t>Cieľ sa dosiahne, keď bola kampaň 30000000-krát vystavená reálnemu životu. Tá istá osoba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reálnom živote môže byť viackrát vystavená. Kampaň obsahuje</w:t>
            </w:r>
            <w:r w:rsidR="00CC26EA" w:rsidRPr="00CC26EA">
              <w:rPr>
                <w:rFonts w:ascii="Times New Roman" w:hAnsi="Times New Roman"/>
                <w:noProof/>
                <w:spacing w:val="-6"/>
                <w:lang w:val="sk-SK"/>
              </w:rPr>
              <w:t>:</w:t>
            </w:r>
          </w:p>
          <w:p w14:paraId="43193DF2" w14:textId="61428722" w:rsidR="00F65654" w:rsidRPr="00CC26EA" w:rsidRDefault="00F65654">
            <w:pPr>
              <w:spacing w:after="0"/>
              <w:rPr>
                <w:rFonts w:ascii="Times New Roman" w:eastAsia="Times New Roman" w:hAnsi="Times New Roman"/>
                <w:noProof/>
                <w:color w:val="006100"/>
                <w:spacing w:val="-6"/>
                <w:lang w:val="sk-SK"/>
              </w:rPr>
            </w:pPr>
          </w:p>
          <w:p w14:paraId="3EE8BEF0" w14:textId="223D31E4" w:rsidR="00CC26EA" w:rsidRPr="00CC26EA" w:rsidRDefault="0041081E">
            <w:pPr>
              <w:pStyle w:val="P68B1DB1-Normal4"/>
              <w:spacing w:after="0"/>
              <w:rPr>
                <w:rFonts w:ascii="Times New Roman" w:hAnsi="Times New Roman"/>
                <w:noProof/>
                <w:spacing w:val="-6"/>
                <w:lang w:val="sk-SK"/>
              </w:rPr>
            </w:pPr>
            <w:r w:rsidRPr="00CC26EA">
              <w:rPr>
                <w:rFonts w:ascii="Times New Roman" w:hAnsi="Times New Roman"/>
                <w:noProof/>
                <w:spacing w:val="-6"/>
                <w:lang w:val="sk-SK"/>
              </w:rPr>
              <w:t>1.</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cieľom informovať</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problémoch súvisiacich</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dopravným odpadom kampaň predstaví štatistické údaje o: čas strávený</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radoch na cestách, priemerný počet osôb na autá na cestách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súvisiace problémy</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emisiami CO2</w:t>
            </w:r>
            <w:r w:rsidR="00CC26EA" w:rsidRPr="00CC26EA">
              <w:rPr>
                <w:rFonts w:ascii="Times New Roman" w:hAnsi="Times New Roman"/>
                <w:noProof/>
                <w:spacing w:val="-6"/>
                <w:lang w:val="sk-SK"/>
              </w:rPr>
              <w:t>.</w:t>
            </w:r>
          </w:p>
          <w:p w14:paraId="1A8527A6" w14:textId="3F2D10C2" w:rsidR="00F65654" w:rsidRPr="00CC26EA" w:rsidRDefault="00F65654">
            <w:pPr>
              <w:spacing w:after="0"/>
              <w:rPr>
                <w:rFonts w:ascii="Times New Roman" w:eastAsia="Times New Roman" w:hAnsi="Times New Roman"/>
                <w:noProof/>
                <w:color w:val="006100"/>
                <w:spacing w:val="-6"/>
                <w:lang w:val="sk-SK"/>
              </w:rPr>
            </w:pPr>
          </w:p>
          <w:p w14:paraId="014ED3EA" w14:textId="1ABEB66B"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cieľom informovať</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vytvárať povedomie</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výhodách spoločného využívania automobilov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spoločného využívania motorových vozidiel sa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kampani predstavia najlepšie postupy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pozitívne účinky spoločného využívania automobilov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carpoolingu (hospodárne,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hľadiska klímy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pozitívneho sociálneho aspektu).“</w:t>
            </w:r>
          </w:p>
        </w:tc>
      </w:tr>
      <w:tr w:rsidR="00F65654" w:rsidRPr="00CC26EA" w14:paraId="160855BA" w14:textId="77777777">
        <w:trPr>
          <w:trHeight w:val="309"/>
          <w:jc w:val="center"/>
        </w:trPr>
        <w:tc>
          <w:tcPr>
            <w:tcW w:w="1265" w:type="dxa"/>
            <w:shd w:val="clear" w:color="auto" w:fill="C6EFCE"/>
            <w:noWrap/>
          </w:tcPr>
          <w:p w14:paraId="384AA51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48</w:t>
            </w:r>
          </w:p>
        </w:tc>
        <w:tc>
          <w:tcPr>
            <w:tcW w:w="1424" w:type="dxa"/>
            <w:shd w:val="clear" w:color="auto" w:fill="C6EFCE"/>
            <w:noWrap/>
          </w:tcPr>
          <w:p w14:paraId="22AB9A27" w14:textId="426793FE"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Analýza skúšobnej schémy</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dvojitými prípojnými vozidlami</w:t>
            </w:r>
          </w:p>
        </w:tc>
        <w:tc>
          <w:tcPr>
            <w:tcW w:w="1187" w:type="dxa"/>
            <w:shd w:val="clear" w:color="auto" w:fill="C6EFCE"/>
            <w:noWrap/>
          </w:tcPr>
          <w:p w14:paraId="2C459240"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562" w:type="dxa"/>
            <w:shd w:val="clear" w:color="auto" w:fill="C6EFCE"/>
            <w:noWrap/>
          </w:tcPr>
          <w:p w14:paraId="0408710D" w14:textId="51C654E3"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Uverejnenie analýzy dvojitých prípojných vozidiel,</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ktorej sa analyzuje bezpečnosť cestnej premávky, automobilové inžinierstvo, cestné inžinierstvo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environmentálne podmienky.</w:t>
            </w:r>
          </w:p>
        </w:tc>
        <w:tc>
          <w:tcPr>
            <w:tcW w:w="1399" w:type="dxa"/>
            <w:shd w:val="clear" w:color="auto" w:fill="C6EFCE"/>
            <w:noWrap/>
          </w:tcPr>
          <w:p w14:paraId="52E5C45B" w14:textId="5519C0B4"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Uverejnenie správy</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zisteniach analýzy testovacej schémy</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 xml:space="preserve">dvojitými prípojnými vozidlami. </w:t>
            </w:r>
          </w:p>
        </w:tc>
        <w:tc>
          <w:tcPr>
            <w:tcW w:w="1096" w:type="dxa"/>
            <w:shd w:val="clear" w:color="auto" w:fill="C6EFCE"/>
            <w:noWrap/>
          </w:tcPr>
          <w:p w14:paraId="53AABF9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93" w:type="dxa"/>
            <w:shd w:val="clear" w:color="auto" w:fill="C6EFCE"/>
            <w:noWrap/>
          </w:tcPr>
          <w:p w14:paraId="58849FE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56" w:type="dxa"/>
            <w:shd w:val="clear" w:color="auto" w:fill="C6EFCE"/>
            <w:noWrap/>
          </w:tcPr>
          <w:p w14:paraId="72F6520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786" w:type="dxa"/>
            <w:shd w:val="clear" w:color="auto" w:fill="C6EFCE"/>
            <w:noWrap/>
          </w:tcPr>
          <w:p w14:paraId="6EB5C7D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853" w:type="dxa"/>
            <w:shd w:val="clear" w:color="auto" w:fill="C6EFCE"/>
            <w:noWrap/>
          </w:tcPr>
          <w:p w14:paraId="4EC028C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4283" w:type="dxa"/>
            <w:shd w:val="clear" w:color="auto" w:fill="C6EFCE"/>
            <w:noWrap/>
          </w:tcPr>
          <w:p w14:paraId="3CE9DBAC" w14:textId="77EA778B"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Výsledkom analýzy dvojitých prípojných vozidiel je uverejnenie správy so záverečnými odporúčaniami vrátane návrhov na pilotnú cestnú sieť</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odhadu vplyvov na klímu, podmienok bezpečnosti cestnej premávky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financií vrátane investícií do obnovy cestnej siete.</w:t>
            </w:r>
          </w:p>
          <w:p w14:paraId="729D2CD9" w14:textId="77777777" w:rsidR="00F65654" w:rsidRPr="00CC26EA" w:rsidRDefault="00F65654">
            <w:pPr>
              <w:rPr>
                <w:rFonts w:ascii="Times New Roman" w:eastAsia="Times New Roman" w:hAnsi="Times New Roman"/>
                <w:noProof/>
                <w:color w:val="006100"/>
                <w:spacing w:val="-6"/>
                <w:lang w:val="sk-SK"/>
              </w:rPr>
            </w:pPr>
          </w:p>
          <w:p w14:paraId="12CE7918" w14:textId="1EAFC691"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 správe sa navrhnú opatrenia, ktoré sú</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súlade</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požiadavkou „výrazne nenarušiť“.</w:t>
            </w:r>
          </w:p>
        </w:tc>
      </w:tr>
      <w:tr w:rsidR="00F65654" w:rsidRPr="00CC26EA" w14:paraId="3E6FFA2C" w14:textId="77777777">
        <w:trPr>
          <w:trHeight w:val="309"/>
          <w:jc w:val="center"/>
        </w:trPr>
        <w:tc>
          <w:tcPr>
            <w:tcW w:w="1265" w:type="dxa"/>
            <w:shd w:val="clear" w:color="auto" w:fill="C6EFCE"/>
            <w:noWrap/>
          </w:tcPr>
          <w:p w14:paraId="58CD8966"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49</w:t>
            </w:r>
          </w:p>
        </w:tc>
        <w:tc>
          <w:tcPr>
            <w:tcW w:w="1424" w:type="dxa"/>
            <w:shd w:val="clear" w:color="auto" w:fill="C6EFCE"/>
            <w:noWrap/>
          </w:tcPr>
          <w:p w14:paraId="601CFD2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Schéma dotácií pre zelené trajekty</w:t>
            </w:r>
          </w:p>
        </w:tc>
        <w:tc>
          <w:tcPr>
            <w:tcW w:w="1187" w:type="dxa"/>
            <w:shd w:val="clear" w:color="auto" w:fill="C6EFCE"/>
            <w:noWrap/>
          </w:tcPr>
          <w:p w14:paraId="5329692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562" w:type="dxa"/>
            <w:shd w:val="clear" w:color="auto" w:fill="C6EFCE"/>
            <w:noWrap/>
          </w:tcPr>
          <w:p w14:paraId="76B3299F" w14:textId="2AE97C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Väčšina strán</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dánskom parlamente prijala politickú dohodu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zelenej transformácii trajektov.</w:t>
            </w:r>
          </w:p>
        </w:tc>
        <w:tc>
          <w:tcPr>
            <w:tcW w:w="1399" w:type="dxa"/>
            <w:shd w:val="clear" w:color="auto" w:fill="C6EFCE"/>
            <w:noWrap/>
          </w:tcPr>
          <w:p w14:paraId="5250A4A8" w14:textId="68F5E672"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Vláda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parlament dosiahli politickú dohodu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konkrétnom ekologickom námornom odvetví, ktorá je podpísaná</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uverejnená na príslušnej webovej stránke ministerstva.</w:t>
            </w:r>
          </w:p>
        </w:tc>
        <w:tc>
          <w:tcPr>
            <w:tcW w:w="1096" w:type="dxa"/>
            <w:shd w:val="clear" w:color="auto" w:fill="C6EFCE"/>
            <w:noWrap/>
          </w:tcPr>
          <w:p w14:paraId="7AC9B07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93" w:type="dxa"/>
            <w:shd w:val="clear" w:color="auto" w:fill="C6EFCE"/>
            <w:noWrap/>
          </w:tcPr>
          <w:p w14:paraId="2683097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56" w:type="dxa"/>
            <w:shd w:val="clear" w:color="auto" w:fill="C6EFCE"/>
            <w:noWrap/>
          </w:tcPr>
          <w:p w14:paraId="0C0DE9A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786" w:type="dxa"/>
            <w:shd w:val="clear" w:color="auto" w:fill="C6EFCE"/>
            <w:noWrap/>
          </w:tcPr>
          <w:p w14:paraId="0CC87419"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OTÁZKA 2</w:t>
            </w:r>
          </w:p>
        </w:tc>
        <w:tc>
          <w:tcPr>
            <w:tcW w:w="853" w:type="dxa"/>
            <w:shd w:val="clear" w:color="auto" w:fill="C6EFCE"/>
            <w:noWrap/>
          </w:tcPr>
          <w:p w14:paraId="011A95D0"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4283" w:type="dxa"/>
            <w:shd w:val="clear" w:color="auto" w:fill="C6EFCE"/>
            <w:noWrap/>
          </w:tcPr>
          <w:p w14:paraId="36A7AFA5" w14:textId="368F06C4" w:rsidR="00CC26EA" w:rsidRPr="00CC26EA" w:rsidRDefault="0041081E">
            <w:pPr>
              <w:pStyle w:val="P68B1DB1-Normal4"/>
              <w:spacing w:after="0"/>
              <w:rPr>
                <w:rFonts w:ascii="Times New Roman" w:hAnsi="Times New Roman"/>
                <w:noProof/>
                <w:spacing w:val="-6"/>
                <w:lang w:val="sk-SK"/>
              </w:rPr>
            </w:pPr>
            <w:r w:rsidRPr="00CC26EA">
              <w:rPr>
                <w:rFonts w:ascii="Times New Roman" w:hAnsi="Times New Roman"/>
                <w:noProof/>
                <w:spacing w:val="-6"/>
                <w:lang w:val="sk-SK"/>
              </w:rPr>
              <w:t>Vláda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parlament dosiahli politickú dohodu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systéme dotácií pre zelenú transformáciu trajektov.  Subvenčným systémom sa spolufinancuje nadobudnutie nových zelených trajektov, dodatočná modernizácia existujúcich trajektov alebo nabíjacia infraštruktúra. Príjemcami sú obce. Percentuálny podiel subvencie je 15 – 25</w:t>
            </w:r>
            <w:r w:rsidR="00CC26EA" w:rsidRPr="00CC26EA">
              <w:rPr>
                <w:rFonts w:ascii="Times New Roman" w:hAnsi="Times New Roman"/>
                <w:noProof/>
                <w:spacing w:val="-6"/>
                <w:lang w:val="sk-SK"/>
              </w:rPr>
              <w:t> %</w:t>
            </w:r>
            <w:r w:rsidRPr="00CC26EA">
              <w:rPr>
                <w:rFonts w:ascii="Times New Roman" w:hAnsi="Times New Roman"/>
                <w:noProof/>
                <w:spacing w:val="-6"/>
                <w:lang w:val="sk-SK"/>
              </w:rPr>
              <w:t>. Na dotáciu sa použijú tieto kritériá: Účinok CO2</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vplyv na životné prostredie na investovaný DKK. Finančné prostriedky sa použijú len na investície napr. do nových zelených trajektov, modernizácie alebo inej potrebnej infraštruktúry, ako sú nabíjacie stanice pre trajekty</w:t>
            </w:r>
            <w:r w:rsidR="00CC26EA" w:rsidRPr="00CC26EA">
              <w:rPr>
                <w:rFonts w:ascii="Times New Roman" w:hAnsi="Times New Roman"/>
                <w:noProof/>
                <w:spacing w:val="-6"/>
                <w:lang w:val="sk-SK"/>
              </w:rPr>
              <w:t>.</w:t>
            </w:r>
          </w:p>
          <w:p w14:paraId="25CD333F" w14:textId="01F1DC93" w:rsidR="00F65654" w:rsidRPr="00CC26EA" w:rsidRDefault="00F65654">
            <w:pPr>
              <w:spacing w:after="0"/>
              <w:rPr>
                <w:rFonts w:ascii="Times New Roman" w:eastAsia="Times New Roman" w:hAnsi="Times New Roman"/>
                <w:noProof/>
                <w:color w:val="006100"/>
                <w:spacing w:val="-6"/>
                <w:lang w:val="sk-SK"/>
              </w:rPr>
            </w:pPr>
          </w:p>
          <w:p w14:paraId="4C33CDFB" w14:textId="3015BB2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Nie sú potrebné žiadne ďalšie právne predpisy, keďže politická dohoda spolu</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finančným zákonom</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roku 2021 poskytujú príslušný právny základ.</w:t>
            </w:r>
          </w:p>
          <w:p w14:paraId="7A71E4B5" w14:textId="77777777" w:rsidR="00F65654" w:rsidRPr="00CC26EA" w:rsidRDefault="00F65654">
            <w:pPr>
              <w:spacing w:after="0"/>
              <w:rPr>
                <w:rFonts w:ascii="Times New Roman" w:eastAsia="Times New Roman" w:hAnsi="Times New Roman"/>
                <w:noProof/>
                <w:color w:val="006100"/>
                <w:spacing w:val="-6"/>
                <w:lang w:val="sk-SK"/>
              </w:rPr>
            </w:pPr>
          </w:p>
          <w:p w14:paraId="7E5FDB60" w14:textId="1A35AB8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 dánskom kontexte politické dohody zvyčajne odrážajú kľúčové kroky pri tvorbe politiky aj</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prípade rozsiahlych opatrení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zvyčajne poskytujú dostatočnú záruku, že sa opatrenia vykonajú. Zabezpečujú predvídateľnosť, stabilitu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efektívnosť pri tvorbe politík</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zaväzujú strany počas niekoľkých volebných období.</w:t>
            </w:r>
          </w:p>
        </w:tc>
      </w:tr>
      <w:tr w:rsidR="00F65654" w:rsidRPr="00CC26EA" w14:paraId="32DA8979" w14:textId="77777777">
        <w:trPr>
          <w:trHeight w:val="309"/>
          <w:jc w:val="center"/>
        </w:trPr>
        <w:tc>
          <w:tcPr>
            <w:tcW w:w="1265" w:type="dxa"/>
            <w:shd w:val="clear" w:color="auto" w:fill="C6EFCE"/>
            <w:noWrap/>
          </w:tcPr>
          <w:p w14:paraId="68DD2D0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50</w:t>
            </w:r>
          </w:p>
        </w:tc>
        <w:tc>
          <w:tcPr>
            <w:tcW w:w="1424" w:type="dxa"/>
            <w:shd w:val="clear" w:color="auto" w:fill="C6EFCE"/>
            <w:noWrap/>
          </w:tcPr>
          <w:p w14:paraId="0815EEA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Schéma dotácií pre zelené trajekty</w:t>
            </w:r>
          </w:p>
        </w:tc>
        <w:tc>
          <w:tcPr>
            <w:tcW w:w="1187" w:type="dxa"/>
            <w:shd w:val="clear" w:color="auto" w:fill="C6EFCE"/>
            <w:noWrap/>
          </w:tcPr>
          <w:p w14:paraId="4C70D5C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562" w:type="dxa"/>
            <w:shd w:val="clear" w:color="auto" w:fill="C6EFCE"/>
            <w:noWrap/>
          </w:tcPr>
          <w:p w14:paraId="1FC6291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Najmenej 15 trajektov bolo vymenených alebo zmodernizovaných na zelené trajekty. </w:t>
            </w:r>
          </w:p>
        </w:tc>
        <w:tc>
          <w:tcPr>
            <w:tcW w:w="1399" w:type="dxa"/>
            <w:shd w:val="clear" w:color="auto" w:fill="C6EFCE"/>
            <w:noWrap/>
          </w:tcPr>
          <w:p w14:paraId="1022D2CA" w14:textId="77777777" w:rsidR="00F65654" w:rsidRPr="00CC26EA" w:rsidRDefault="00F65654">
            <w:pPr>
              <w:spacing w:after="0"/>
              <w:rPr>
                <w:rFonts w:ascii="Times New Roman" w:eastAsia="Times New Roman" w:hAnsi="Times New Roman"/>
                <w:noProof/>
                <w:color w:val="006100"/>
                <w:spacing w:val="-6"/>
                <w:lang w:val="sk-SK"/>
              </w:rPr>
            </w:pPr>
          </w:p>
        </w:tc>
        <w:tc>
          <w:tcPr>
            <w:tcW w:w="1096" w:type="dxa"/>
            <w:shd w:val="clear" w:color="auto" w:fill="C6EFCE"/>
            <w:noWrap/>
          </w:tcPr>
          <w:p w14:paraId="22FD3FCA"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993" w:type="dxa"/>
            <w:shd w:val="clear" w:color="auto" w:fill="C6EFCE"/>
            <w:noWrap/>
          </w:tcPr>
          <w:p w14:paraId="6884E8E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1056" w:type="dxa"/>
            <w:shd w:val="clear" w:color="auto" w:fill="C6EFCE"/>
            <w:noWrap/>
          </w:tcPr>
          <w:p w14:paraId="4DE7821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15</w:t>
            </w:r>
          </w:p>
        </w:tc>
        <w:tc>
          <w:tcPr>
            <w:tcW w:w="786" w:type="dxa"/>
            <w:shd w:val="clear" w:color="auto" w:fill="C6EFCE"/>
            <w:noWrap/>
          </w:tcPr>
          <w:p w14:paraId="4576919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853" w:type="dxa"/>
            <w:shd w:val="clear" w:color="auto" w:fill="C6EFCE"/>
            <w:noWrap/>
          </w:tcPr>
          <w:p w14:paraId="70BBEA2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2025</w:t>
            </w:r>
          </w:p>
        </w:tc>
        <w:tc>
          <w:tcPr>
            <w:tcW w:w="4283" w:type="dxa"/>
            <w:shd w:val="clear" w:color="auto" w:fill="C6EFCE"/>
            <w:noWrap/>
          </w:tcPr>
          <w:p w14:paraId="7413B382" w14:textId="524389B3"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Najmenej 15 trajektov sa musí vymeniť alebo zmodernizovať po získaní subvencie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súlade</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kritériami míľnika 49.    Finančné prostriedky sa použijú len na investície do nových trajektov alebo na modernizáciu existujúcich trajektov.</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politicky dohodnutými percentuálnymi podielmi subvencií sa na zelené trajekty môže vymeniť alebo zmodernizovať najmenej 15 trajektov.</w:t>
            </w:r>
          </w:p>
        </w:tc>
      </w:tr>
      <w:tr w:rsidR="00F65654" w:rsidRPr="00CC26EA" w14:paraId="2E5358A1" w14:textId="77777777">
        <w:trPr>
          <w:trHeight w:val="309"/>
          <w:jc w:val="center"/>
        </w:trPr>
        <w:tc>
          <w:tcPr>
            <w:tcW w:w="1265" w:type="dxa"/>
            <w:shd w:val="clear" w:color="auto" w:fill="C6EFCE"/>
            <w:noWrap/>
          </w:tcPr>
          <w:p w14:paraId="04D8BB8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51</w:t>
            </w:r>
          </w:p>
        </w:tc>
        <w:tc>
          <w:tcPr>
            <w:tcW w:w="1424" w:type="dxa"/>
            <w:shd w:val="clear" w:color="auto" w:fill="C6EFCE"/>
            <w:noWrap/>
          </w:tcPr>
          <w:p w14:paraId="099FECD6" w14:textId="1F523592"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Investície do cyklistických trás na štátnych cestách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systému dotácií na bicykle pre obce</w:t>
            </w:r>
          </w:p>
        </w:tc>
        <w:tc>
          <w:tcPr>
            <w:tcW w:w="1187" w:type="dxa"/>
            <w:shd w:val="clear" w:color="auto" w:fill="C6EFCE"/>
            <w:noWrap/>
          </w:tcPr>
          <w:p w14:paraId="574D94B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562" w:type="dxa"/>
            <w:shd w:val="clear" w:color="auto" w:fill="C6EFCE"/>
            <w:noWrap/>
          </w:tcPr>
          <w:p w14:paraId="564E716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Začala sa výstavba najmenej 45 km nových cyklistických trás.</w:t>
            </w:r>
          </w:p>
        </w:tc>
        <w:tc>
          <w:tcPr>
            <w:tcW w:w="1399" w:type="dxa"/>
            <w:shd w:val="clear" w:color="auto" w:fill="C6EFCE"/>
            <w:noWrap/>
          </w:tcPr>
          <w:p w14:paraId="1A60E56B" w14:textId="77777777" w:rsidR="00F65654" w:rsidRPr="00CC26EA" w:rsidRDefault="00F65654">
            <w:pPr>
              <w:spacing w:after="0"/>
              <w:rPr>
                <w:rFonts w:ascii="Times New Roman" w:eastAsia="Times New Roman" w:hAnsi="Times New Roman"/>
                <w:noProof/>
                <w:color w:val="006100"/>
                <w:spacing w:val="-6"/>
                <w:lang w:val="sk-SK"/>
              </w:rPr>
            </w:pPr>
          </w:p>
        </w:tc>
        <w:tc>
          <w:tcPr>
            <w:tcW w:w="1096" w:type="dxa"/>
            <w:shd w:val="clear" w:color="auto" w:fill="C6EFCE"/>
            <w:noWrap/>
          </w:tcPr>
          <w:p w14:paraId="124DF66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Počet km</w:t>
            </w:r>
          </w:p>
        </w:tc>
        <w:tc>
          <w:tcPr>
            <w:tcW w:w="993" w:type="dxa"/>
            <w:shd w:val="clear" w:color="auto" w:fill="C6EFCE"/>
            <w:noWrap/>
          </w:tcPr>
          <w:p w14:paraId="53F3115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1056" w:type="dxa"/>
            <w:shd w:val="clear" w:color="auto" w:fill="C6EFCE"/>
            <w:noWrap/>
          </w:tcPr>
          <w:p w14:paraId="2EEDA986"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45</w:t>
            </w:r>
          </w:p>
        </w:tc>
        <w:tc>
          <w:tcPr>
            <w:tcW w:w="786" w:type="dxa"/>
            <w:shd w:val="clear" w:color="auto" w:fill="C6EFCE"/>
            <w:noWrap/>
          </w:tcPr>
          <w:p w14:paraId="6E8D4ED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853" w:type="dxa"/>
            <w:shd w:val="clear" w:color="auto" w:fill="C6EFCE"/>
            <w:noWrap/>
          </w:tcPr>
          <w:p w14:paraId="3E17AF0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2024</w:t>
            </w:r>
          </w:p>
        </w:tc>
        <w:tc>
          <w:tcPr>
            <w:tcW w:w="4283" w:type="dxa"/>
            <w:shd w:val="clear" w:color="auto" w:fill="C6EFCE"/>
            <w:noWrap/>
          </w:tcPr>
          <w:p w14:paraId="2DA1AC14" w14:textId="0D21F02A"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Výstavba projektov cyklistických trás sa začne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cieľ sa splní, keď ministerstvo dopravy poskytne finančné prostriedky na výstavbu najmenej 45 km nových cyklistických trás do 4. štvrťroka 2024. Príjemcami sú obce. Projektmi je výstavba nových cyklistických trás, najmä</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prospech dochádzania do práce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do školy, ako aj zlepšené možnosti prechodu na úsekoch, kde je štátna cesta prekážkou. Projektmi sa zlepší aj bezpečnosť cestnej premávky na štátnych cestách pre mäkkých účastníkov cestnej premávky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odstránia sa rozdiely medzi mestami, vzdelávacími inštitúciami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verejnou dopravou.</w:t>
            </w:r>
          </w:p>
        </w:tc>
      </w:tr>
      <w:tr w:rsidR="00F65654" w:rsidRPr="00CC26EA" w14:paraId="35834863" w14:textId="77777777">
        <w:trPr>
          <w:trHeight w:val="309"/>
          <w:jc w:val="center"/>
        </w:trPr>
        <w:tc>
          <w:tcPr>
            <w:tcW w:w="1265" w:type="dxa"/>
            <w:shd w:val="clear" w:color="auto" w:fill="C6EFCE"/>
            <w:noWrap/>
          </w:tcPr>
          <w:p w14:paraId="4E7BD86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52 </w:t>
            </w:r>
          </w:p>
        </w:tc>
        <w:tc>
          <w:tcPr>
            <w:tcW w:w="1424" w:type="dxa"/>
            <w:shd w:val="clear" w:color="auto" w:fill="C6EFCE"/>
            <w:noWrap/>
          </w:tcPr>
          <w:p w14:paraId="0029BEF0" w14:textId="3098B3F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Investície do cyklistických trás na štátnych cestách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systému dotácií na bicykle pre obce</w:t>
            </w:r>
          </w:p>
        </w:tc>
        <w:tc>
          <w:tcPr>
            <w:tcW w:w="1187" w:type="dxa"/>
            <w:shd w:val="clear" w:color="auto" w:fill="C6EFCE"/>
            <w:noWrap/>
          </w:tcPr>
          <w:p w14:paraId="5C8EB6A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562" w:type="dxa"/>
            <w:shd w:val="clear" w:color="auto" w:fill="C6EFCE"/>
            <w:noWrap/>
          </w:tcPr>
          <w:p w14:paraId="6A023115" w14:textId="249ACDEC"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40</w:t>
            </w:r>
            <w:r w:rsidR="00CC26EA" w:rsidRPr="00CC26EA">
              <w:rPr>
                <w:rFonts w:ascii="Times New Roman" w:hAnsi="Times New Roman"/>
                <w:noProof/>
                <w:spacing w:val="-6"/>
                <w:lang w:val="sk-SK"/>
              </w:rPr>
              <w:t> %</w:t>
            </w:r>
            <w:r w:rsidRPr="00CC26EA">
              <w:rPr>
                <w:rFonts w:ascii="Times New Roman" w:hAnsi="Times New Roman"/>
                <w:noProof/>
                <w:spacing w:val="-6"/>
                <w:lang w:val="sk-SK"/>
              </w:rPr>
              <w:t xml:space="preserve"> podporovaných projektov bolo dokončených</w:t>
            </w:r>
          </w:p>
        </w:tc>
        <w:tc>
          <w:tcPr>
            <w:tcW w:w="1399" w:type="dxa"/>
            <w:shd w:val="clear" w:color="auto" w:fill="C6EFCE"/>
            <w:noWrap/>
          </w:tcPr>
          <w:p w14:paraId="7121E9FD" w14:textId="77777777" w:rsidR="00F65654" w:rsidRPr="00CC26EA" w:rsidRDefault="00F65654">
            <w:pPr>
              <w:spacing w:after="0"/>
              <w:rPr>
                <w:rFonts w:ascii="Times New Roman" w:eastAsia="Times New Roman" w:hAnsi="Times New Roman"/>
                <w:noProof/>
                <w:color w:val="006100"/>
                <w:spacing w:val="-6"/>
                <w:lang w:val="sk-SK"/>
              </w:rPr>
            </w:pPr>
          </w:p>
        </w:tc>
        <w:tc>
          <w:tcPr>
            <w:tcW w:w="1096" w:type="dxa"/>
            <w:shd w:val="clear" w:color="auto" w:fill="C6EFCE"/>
            <w:noWrap/>
          </w:tcPr>
          <w:p w14:paraId="3D1A7650"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993" w:type="dxa"/>
            <w:shd w:val="clear" w:color="auto" w:fill="C6EFCE"/>
            <w:noWrap/>
          </w:tcPr>
          <w:p w14:paraId="3B39A80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1056" w:type="dxa"/>
            <w:shd w:val="clear" w:color="auto" w:fill="C6EFCE"/>
            <w:noWrap/>
          </w:tcPr>
          <w:p w14:paraId="2DEF69D6"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150</w:t>
            </w:r>
          </w:p>
        </w:tc>
        <w:tc>
          <w:tcPr>
            <w:tcW w:w="786" w:type="dxa"/>
            <w:shd w:val="clear" w:color="auto" w:fill="C6EFCE"/>
            <w:noWrap/>
          </w:tcPr>
          <w:p w14:paraId="54BBFC0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853" w:type="dxa"/>
            <w:shd w:val="clear" w:color="auto" w:fill="C6EFCE"/>
            <w:noWrap/>
          </w:tcPr>
          <w:p w14:paraId="4AC1593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2025</w:t>
            </w:r>
          </w:p>
        </w:tc>
        <w:tc>
          <w:tcPr>
            <w:tcW w:w="4283" w:type="dxa"/>
            <w:shd w:val="clear" w:color="auto" w:fill="C6EFCE"/>
            <w:noWrap/>
          </w:tcPr>
          <w:p w14:paraId="76220EEE" w14:textId="19E0952D" w:rsidR="00CC26EA" w:rsidRPr="00CC26EA" w:rsidRDefault="0041081E">
            <w:pPr>
              <w:pStyle w:val="P68B1DB1-Normal4"/>
              <w:rPr>
                <w:rFonts w:ascii="Times New Roman" w:hAnsi="Times New Roman"/>
                <w:noProof/>
                <w:spacing w:val="-6"/>
                <w:lang w:val="sk-SK"/>
              </w:rPr>
            </w:pPr>
            <w:r w:rsidRPr="00CC26EA">
              <w:rPr>
                <w:rFonts w:ascii="Times New Roman" w:hAnsi="Times New Roman"/>
                <w:noProof/>
                <w:spacing w:val="-6"/>
                <w:lang w:val="sk-SK"/>
              </w:rPr>
              <w:t>Cieľ je splnený, keď sa do 4. štvrťroka 2025 dokončí 40</w:t>
            </w:r>
            <w:r w:rsidR="00CC26EA" w:rsidRPr="00CC26EA">
              <w:rPr>
                <w:rFonts w:ascii="Times New Roman" w:hAnsi="Times New Roman"/>
                <w:noProof/>
                <w:spacing w:val="-6"/>
                <w:lang w:val="sk-SK"/>
              </w:rPr>
              <w:t> %</w:t>
            </w:r>
            <w:r w:rsidRPr="00CC26EA">
              <w:rPr>
                <w:rFonts w:ascii="Times New Roman" w:hAnsi="Times New Roman"/>
                <w:noProof/>
                <w:spacing w:val="-6"/>
                <w:lang w:val="sk-SK"/>
              </w:rPr>
              <w:t xml:space="preserve"> projektov. Projekty sa dokončia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rámci subvenčnej schémy. Skupina projektov uprednostní projekty, ktoré vo veľkej miere odrážajú tieto kritériá:  — Nová infraštruktúra určená pre cyklistov, ako sú nové cyklistické trasy, vyhradené jazdné pruhy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chodby pre cyklistov – Projekty prispievajúce</w:t>
            </w:r>
            <w:r w:rsidR="00CC26EA" w:rsidRPr="00CC26EA">
              <w:rPr>
                <w:rFonts w:ascii="Times New Roman" w:hAnsi="Times New Roman"/>
                <w:noProof/>
                <w:spacing w:val="-6"/>
                <w:lang w:val="sk-SK"/>
              </w:rPr>
              <w:t xml:space="preserve"> k </w:t>
            </w:r>
            <w:r w:rsidRPr="00CC26EA">
              <w:rPr>
                <w:rFonts w:ascii="Times New Roman" w:hAnsi="Times New Roman"/>
                <w:noProof/>
                <w:spacing w:val="-6"/>
                <w:lang w:val="sk-SK"/>
              </w:rPr>
              <w:t>väčšej bezpečnosti cyklistov, ako sú krížové konverzie – Najvyšší počet ľudí využívajúcich projekt – Tento projekt prispieva</w:t>
            </w:r>
            <w:r w:rsidR="00CC26EA" w:rsidRPr="00CC26EA">
              <w:rPr>
                <w:rFonts w:ascii="Times New Roman" w:hAnsi="Times New Roman"/>
                <w:noProof/>
                <w:spacing w:val="-6"/>
                <w:lang w:val="sk-SK"/>
              </w:rPr>
              <w:t xml:space="preserve"> k </w:t>
            </w:r>
            <w:r w:rsidRPr="00CC26EA">
              <w:rPr>
                <w:rFonts w:ascii="Times New Roman" w:hAnsi="Times New Roman"/>
                <w:noProof/>
                <w:spacing w:val="-6"/>
                <w:lang w:val="sk-SK"/>
              </w:rPr>
              <w:t>lepšej súdržnosti, napríklad posilnením integrácie verejnej dopravy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cyklistiky – Projekty koordinované</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príslušnými aktérmi</w:t>
            </w:r>
          </w:p>
          <w:p w14:paraId="09EF1EF5" w14:textId="21E7B154"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Znalostné</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inovačné projekty, ako sú menšie výskumné</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analytické projekty poskytujúce nové poznatky</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oblasti cyklistiky, sa môžu financovať aj</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fondu za predpokladu, že ich objem nepresiahne 10</w:t>
            </w:r>
            <w:r w:rsidR="00CC26EA" w:rsidRPr="00CC26EA">
              <w:rPr>
                <w:rFonts w:ascii="Times New Roman" w:hAnsi="Times New Roman"/>
                <w:noProof/>
                <w:spacing w:val="-6"/>
                <w:lang w:val="sk-SK"/>
              </w:rPr>
              <w:t> %</w:t>
            </w:r>
            <w:r w:rsidRPr="00CC26EA">
              <w:rPr>
                <w:rFonts w:ascii="Times New Roman" w:hAnsi="Times New Roman"/>
                <w:noProof/>
                <w:spacing w:val="-6"/>
                <w:lang w:val="sk-SK"/>
              </w:rPr>
              <w:t xml:space="preserve"> celkového fondu.</w:t>
            </w:r>
          </w:p>
        </w:tc>
      </w:tr>
      <w:tr w:rsidR="00F65654" w:rsidRPr="00CC26EA" w14:paraId="3D22A482" w14:textId="77777777">
        <w:trPr>
          <w:trHeight w:val="309"/>
          <w:jc w:val="center"/>
        </w:trPr>
        <w:tc>
          <w:tcPr>
            <w:tcW w:w="1265" w:type="dxa"/>
            <w:shd w:val="clear" w:color="auto" w:fill="C6EFCE"/>
            <w:noWrap/>
          </w:tcPr>
          <w:p w14:paraId="087CDE5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53</w:t>
            </w:r>
          </w:p>
        </w:tc>
        <w:tc>
          <w:tcPr>
            <w:tcW w:w="1424" w:type="dxa"/>
            <w:shd w:val="clear" w:color="auto" w:fill="C6EFCE"/>
            <w:noWrap/>
          </w:tcPr>
          <w:p w14:paraId="3969E04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Schéma infraštruktúry pre elektrické bicykle</w:t>
            </w:r>
          </w:p>
        </w:tc>
        <w:tc>
          <w:tcPr>
            <w:tcW w:w="1187" w:type="dxa"/>
            <w:shd w:val="clear" w:color="auto" w:fill="C6EFCE"/>
            <w:noWrap/>
          </w:tcPr>
          <w:p w14:paraId="2DCD101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562" w:type="dxa"/>
            <w:shd w:val="clear" w:color="auto" w:fill="C6EFCE"/>
            <w:noWrap/>
          </w:tcPr>
          <w:p w14:paraId="2EEFA44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Vybudovaných bolo najmenej 75 staníc na nabíjanie bicyklov</w:t>
            </w:r>
          </w:p>
        </w:tc>
        <w:tc>
          <w:tcPr>
            <w:tcW w:w="1399" w:type="dxa"/>
            <w:shd w:val="clear" w:color="auto" w:fill="C6EFCE"/>
            <w:noWrap/>
          </w:tcPr>
          <w:p w14:paraId="3A7D90FB" w14:textId="77777777" w:rsidR="00F65654" w:rsidRPr="00CC26EA" w:rsidRDefault="00F65654">
            <w:pPr>
              <w:spacing w:after="0"/>
              <w:rPr>
                <w:rFonts w:ascii="Times New Roman" w:eastAsia="Times New Roman" w:hAnsi="Times New Roman"/>
                <w:noProof/>
                <w:color w:val="006100"/>
                <w:spacing w:val="-6"/>
                <w:lang w:val="sk-SK"/>
              </w:rPr>
            </w:pPr>
          </w:p>
        </w:tc>
        <w:tc>
          <w:tcPr>
            <w:tcW w:w="1096" w:type="dxa"/>
            <w:shd w:val="clear" w:color="auto" w:fill="C6EFCE"/>
            <w:noWrap/>
          </w:tcPr>
          <w:p w14:paraId="7E2FC39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993" w:type="dxa"/>
            <w:shd w:val="clear" w:color="auto" w:fill="C6EFCE"/>
            <w:noWrap/>
          </w:tcPr>
          <w:p w14:paraId="096EC8C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1056" w:type="dxa"/>
            <w:shd w:val="clear" w:color="auto" w:fill="C6EFCE"/>
            <w:noWrap/>
          </w:tcPr>
          <w:p w14:paraId="7A1A379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75</w:t>
            </w:r>
          </w:p>
        </w:tc>
        <w:tc>
          <w:tcPr>
            <w:tcW w:w="786" w:type="dxa"/>
            <w:shd w:val="clear" w:color="auto" w:fill="C6EFCE"/>
            <w:noWrap/>
          </w:tcPr>
          <w:p w14:paraId="5AD4656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853" w:type="dxa"/>
            <w:shd w:val="clear" w:color="auto" w:fill="C6EFCE"/>
            <w:noWrap/>
          </w:tcPr>
          <w:p w14:paraId="214281C6"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2024</w:t>
            </w:r>
          </w:p>
        </w:tc>
        <w:tc>
          <w:tcPr>
            <w:tcW w:w="4283" w:type="dxa"/>
            <w:shd w:val="clear" w:color="auto" w:fill="C6EFCE"/>
            <w:noWrap/>
          </w:tcPr>
          <w:p w14:paraId="0F79579C" w14:textId="5C368350"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Najmenej 75 staníc na nabíjanie bicyklov musí byť vybudovaných</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financovaním</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 xml:space="preserve">programu na infraštruktúru pre elektrické bicykle. </w:t>
            </w:r>
          </w:p>
        </w:tc>
      </w:tr>
    </w:tbl>
    <w:p w14:paraId="750DE8D6" w14:textId="77777777" w:rsidR="00F65654" w:rsidRPr="00CC26EA" w:rsidRDefault="00F65654">
      <w:pPr>
        <w:rPr>
          <w:rFonts w:ascii="Times New Roman" w:eastAsia="Times New Roman" w:hAnsi="Times New Roman"/>
          <w:b/>
          <w:smallCaps/>
          <w:noProof/>
          <w:spacing w:val="-6"/>
          <w:lang w:val="sk-SK"/>
        </w:rPr>
      </w:pPr>
    </w:p>
    <w:p w14:paraId="31AA633D" w14:textId="77777777" w:rsidR="00F65654" w:rsidRPr="00CC26EA" w:rsidRDefault="00F65654">
      <w:pPr>
        <w:rPr>
          <w:rFonts w:ascii="Times New Roman" w:eastAsia="Times New Roman" w:hAnsi="Times New Roman"/>
          <w:b/>
          <w:smallCaps/>
          <w:noProof/>
          <w:spacing w:val="-6"/>
          <w:lang w:val="sk-SK"/>
        </w:rPr>
      </w:pPr>
    </w:p>
    <w:p w14:paraId="70ADDA9F" w14:textId="77777777" w:rsidR="00F65654" w:rsidRPr="00CC26EA" w:rsidRDefault="00F65654">
      <w:pPr>
        <w:pStyle w:val="ManualHeading1"/>
        <w:rPr>
          <w:noProof/>
          <w:spacing w:val="-6"/>
          <w:lang w:val="sk-SK"/>
        </w:rPr>
        <w:sectPr w:rsidR="00F65654" w:rsidRPr="00CC26EA" w:rsidSect="00A61D33">
          <w:headerReference w:type="even" r:id="rId72"/>
          <w:headerReference w:type="default" r:id="rId73"/>
          <w:footerReference w:type="even" r:id="rId74"/>
          <w:footerReference w:type="default" r:id="rId75"/>
          <w:headerReference w:type="first" r:id="rId76"/>
          <w:footerReference w:type="first" r:id="rId77"/>
          <w:pgSz w:w="16839" w:h="11907" w:orient="landscape"/>
          <w:pgMar w:top="1134" w:right="1134" w:bottom="1134" w:left="1134" w:header="567" w:footer="567" w:gutter="0"/>
          <w:cols w:space="720"/>
          <w:docGrid w:linePitch="360"/>
        </w:sectPr>
      </w:pPr>
    </w:p>
    <w:p w14:paraId="58A90032" w14:textId="77777777" w:rsidR="00F65654" w:rsidRPr="00CC26EA" w:rsidRDefault="0041081E">
      <w:pPr>
        <w:pStyle w:val="ManualHeading1"/>
        <w:spacing w:before="120"/>
        <w:ind w:left="0" w:firstLine="0"/>
        <w:rPr>
          <w:noProof/>
          <w:spacing w:val="-6"/>
          <w:lang w:val="sk-SK"/>
        </w:rPr>
      </w:pPr>
      <w:r w:rsidRPr="00CC26EA">
        <w:rPr>
          <w:noProof/>
          <w:spacing w:val="-6"/>
          <w:lang w:val="sk-SK"/>
        </w:rPr>
        <w:t>F. ZLOŽKA 6: Digitalizácia</w:t>
      </w:r>
    </w:p>
    <w:p w14:paraId="66795082" w14:textId="46AA3650" w:rsidR="00F65654" w:rsidRPr="00CC26EA" w:rsidRDefault="0041081E">
      <w:pPr>
        <w:pStyle w:val="Text1"/>
        <w:ind w:left="0"/>
        <w:rPr>
          <w:noProof/>
          <w:spacing w:val="-6"/>
          <w:lang w:val="sk-SK"/>
        </w:rPr>
      </w:pPr>
      <w:r w:rsidRPr="00CC26EA">
        <w:rPr>
          <w:noProof/>
          <w:spacing w:val="-6"/>
          <w:lang w:val="sk-SK"/>
        </w:rPr>
        <w:t>Cieľom tejto zložky dánskeho plánu obnovy</w:t>
      </w:r>
      <w:r w:rsidR="00CC26EA" w:rsidRPr="00CC26EA">
        <w:rPr>
          <w:noProof/>
          <w:spacing w:val="-6"/>
          <w:lang w:val="sk-SK"/>
        </w:rPr>
        <w:t xml:space="preserve"> a </w:t>
      </w:r>
      <w:r w:rsidRPr="00CC26EA">
        <w:rPr>
          <w:noProof/>
          <w:spacing w:val="-6"/>
          <w:lang w:val="sk-SK"/>
        </w:rPr>
        <w:t>odolnosti je podporiť digitálnu transformáciu vo všetkých sektoroch spoločnosti, ktorá podporuje blahobyt</w:t>
      </w:r>
      <w:r w:rsidR="00CC26EA" w:rsidRPr="00CC26EA">
        <w:rPr>
          <w:noProof/>
          <w:spacing w:val="-6"/>
          <w:lang w:val="sk-SK"/>
        </w:rPr>
        <w:t xml:space="preserve"> a </w:t>
      </w:r>
      <w:r w:rsidRPr="00CC26EA">
        <w:rPr>
          <w:noProof/>
          <w:spacing w:val="-6"/>
          <w:lang w:val="sk-SK"/>
        </w:rPr>
        <w:t>rovnosť, rast</w:t>
      </w:r>
      <w:r w:rsidR="00CC26EA" w:rsidRPr="00CC26EA">
        <w:rPr>
          <w:noProof/>
          <w:spacing w:val="-6"/>
          <w:lang w:val="sk-SK"/>
        </w:rPr>
        <w:t xml:space="preserve"> a </w:t>
      </w:r>
      <w:r w:rsidRPr="00CC26EA">
        <w:rPr>
          <w:noProof/>
          <w:spacing w:val="-6"/>
          <w:lang w:val="sk-SK"/>
        </w:rPr>
        <w:t>zamestnanosť, zelenú transformáciu</w:t>
      </w:r>
      <w:r w:rsidR="00CC26EA" w:rsidRPr="00CC26EA">
        <w:rPr>
          <w:noProof/>
          <w:spacing w:val="-6"/>
          <w:lang w:val="sk-SK"/>
        </w:rPr>
        <w:t xml:space="preserve"> a </w:t>
      </w:r>
      <w:r w:rsidRPr="00CC26EA">
        <w:rPr>
          <w:noProof/>
          <w:spacing w:val="-6"/>
          <w:lang w:val="sk-SK"/>
        </w:rPr>
        <w:t>pripraviť verejnú správu na vznikajúce výzvy</w:t>
      </w:r>
      <w:r w:rsidR="00CC26EA" w:rsidRPr="00CC26EA">
        <w:rPr>
          <w:noProof/>
          <w:spacing w:val="-6"/>
          <w:lang w:val="sk-SK"/>
        </w:rPr>
        <w:t xml:space="preserve"> v </w:t>
      </w:r>
      <w:r w:rsidRPr="00CC26EA">
        <w:rPr>
          <w:noProof/>
          <w:spacing w:val="-6"/>
          <w:lang w:val="sk-SK"/>
        </w:rPr>
        <w:t>tejto oblasti.</w:t>
      </w:r>
    </w:p>
    <w:p w14:paraId="57127CF7" w14:textId="6C281236" w:rsidR="00F65654" w:rsidRPr="00CC26EA" w:rsidRDefault="0041081E">
      <w:pPr>
        <w:pStyle w:val="Text1"/>
        <w:ind w:left="0"/>
        <w:rPr>
          <w:noProof/>
          <w:spacing w:val="-6"/>
          <w:lang w:val="sk-SK"/>
        </w:rPr>
      </w:pPr>
      <w:r w:rsidRPr="00CC26EA">
        <w:rPr>
          <w:noProof/>
          <w:spacing w:val="-6"/>
          <w:lang w:val="sk-SK"/>
        </w:rPr>
        <w:t>Reformy digitalizácie</w:t>
      </w:r>
      <w:r w:rsidR="00CC26EA" w:rsidRPr="00CC26EA">
        <w:rPr>
          <w:noProof/>
          <w:spacing w:val="-6"/>
          <w:lang w:val="sk-SK"/>
        </w:rPr>
        <w:t xml:space="preserve"> a </w:t>
      </w:r>
      <w:r w:rsidRPr="00CC26EA">
        <w:rPr>
          <w:noProof/>
          <w:spacing w:val="-6"/>
          <w:lang w:val="sk-SK"/>
        </w:rPr>
        <w:t>investície plánované</w:t>
      </w:r>
      <w:r w:rsidR="00CC26EA" w:rsidRPr="00CC26EA">
        <w:rPr>
          <w:noProof/>
          <w:spacing w:val="-6"/>
          <w:lang w:val="sk-SK"/>
        </w:rPr>
        <w:t xml:space="preserve"> v </w:t>
      </w:r>
      <w:r w:rsidRPr="00CC26EA">
        <w:rPr>
          <w:noProof/>
          <w:spacing w:val="-6"/>
          <w:lang w:val="sk-SK"/>
        </w:rPr>
        <w:t>rámci tejto zložky prispievajú</w:t>
      </w:r>
      <w:r w:rsidR="00CC26EA" w:rsidRPr="00CC26EA">
        <w:rPr>
          <w:noProof/>
          <w:spacing w:val="-6"/>
          <w:lang w:val="sk-SK"/>
        </w:rPr>
        <w:t xml:space="preserve"> k </w:t>
      </w:r>
      <w:r w:rsidRPr="00CC26EA">
        <w:rPr>
          <w:noProof/>
          <w:spacing w:val="-6"/>
          <w:lang w:val="sk-SK"/>
        </w:rPr>
        <w:t>digitálnej transformácii hospodárstva</w:t>
      </w:r>
      <w:r w:rsidR="00CC26EA" w:rsidRPr="00CC26EA">
        <w:rPr>
          <w:noProof/>
          <w:spacing w:val="-6"/>
          <w:lang w:val="sk-SK"/>
        </w:rPr>
        <w:t xml:space="preserve"> a </w:t>
      </w:r>
      <w:r w:rsidRPr="00CC26EA">
        <w:rPr>
          <w:noProof/>
          <w:spacing w:val="-6"/>
          <w:lang w:val="sk-SK"/>
        </w:rPr>
        <w:t>spoločnosti</w:t>
      </w:r>
      <w:r w:rsidR="00CC26EA" w:rsidRPr="00CC26EA">
        <w:rPr>
          <w:noProof/>
          <w:spacing w:val="-6"/>
          <w:lang w:val="sk-SK"/>
        </w:rPr>
        <w:t xml:space="preserve"> a </w:t>
      </w:r>
      <w:r w:rsidRPr="00CC26EA">
        <w:rPr>
          <w:noProof/>
          <w:spacing w:val="-6"/>
          <w:lang w:val="sk-SK"/>
        </w:rPr>
        <w:t>majú pozitívne účinky presahovania vo viacerých oblastiach. Modernizáciou digitálnej infraštruktúry krajiny získajú ľudia</w:t>
      </w:r>
      <w:r w:rsidR="00CC26EA" w:rsidRPr="00CC26EA">
        <w:rPr>
          <w:noProof/>
          <w:spacing w:val="-6"/>
          <w:lang w:val="sk-SK"/>
        </w:rPr>
        <w:t xml:space="preserve"> a </w:t>
      </w:r>
      <w:r w:rsidRPr="00CC26EA">
        <w:rPr>
          <w:noProof/>
          <w:spacing w:val="-6"/>
          <w:lang w:val="sk-SK"/>
        </w:rPr>
        <w:t>podniky lepší prístup</w:t>
      </w:r>
      <w:r w:rsidR="00CC26EA" w:rsidRPr="00CC26EA">
        <w:rPr>
          <w:noProof/>
          <w:spacing w:val="-6"/>
          <w:lang w:val="sk-SK"/>
        </w:rPr>
        <w:t xml:space="preserve"> k </w:t>
      </w:r>
      <w:r w:rsidRPr="00CC26EA">
        <w:rPr>
          <w:noProof/>
          <w:spacing w:val="-6"/>
          <w:lang w:val="sk-SK"/>
        </w:rPr>
        <w:t>verejnému sektoru. Okrem toho tieto opatrenia posilnia inštitucionálne kapacity</w:t>
      </w:r>
      <w:r w:rsidR="00CC26EA" w:rsidRPr="00CC26EA">
        <w:rPr>
          <w:noProof/>
          <w:spacing w:val="-6"/>
          <w:lang w:val="sk-SK"/>
        </w:rPr>
        <w:t xml:space="preserve"> a </w:t>
      </w:r>
      <w:r w:rsidRPr="00CC26EA">
        <w:rPr>
          <w:noProof/>
          <w:spacing w:val="-6"/>
          <w:lang w:val="sk-SK"/>
        </w:rPr>
        <w:t>odolnosť verejnej správy prijatím digitálnych technológií. Úsilie</w:t>
      </w:r>
      <w:r w:rsidR="00CC26EA" w:rsidRPr="00CC26EA">
        <w:rPr>
          <w:noProof/>
          <w:spacing w:val="-6"/>
          <w:lang w:val="sk-SK"/>
        </w:rPr>
        <w:t xml:space="preserve"> o </w:t>
      </w:r>
      <w:r w:rsidRPr="00CC26EA">
        <w:rPr>
          <w:noProof/>
          <w:spacing w:val="-6"/>
          <w:lang w:val="sk-SK"/>
        </w:rPr>
        <w:t>digitalizáciu prispieva</w:t>
      </w:r>
      <w:r w:rsidR="00CC26EA" w:rsidRPr="00CC26EA">
        <w:rPr>
          <w:noProof/>
          <w:spacing w:val="-6"/>
          <w:lang w:val="sk-SK"/>
        </w:rPr>
        <w:t xml:space="preserve"> k </w:t>
      </w:r>
      <w:r w:rsidRPr="00CC26EA">
        <w:rPr>
          <w:noProof/>
          <w:spacing w:val="-6"/>
          <w:lang w:val="sk-SK"/>
        </w:rPr>
        <w:t>podpore inteligentného, udržateľného</w:t>
      </w:r>
      <w:r w:rsidR="00CC26EA" w:rsidRPr="00CC26EA">
        <w:rPr>
          <w:noProof/>
          <w:spacing w:val="-6"/>
          <w:lang w:val="sk-SK"/>
        </w:rPr>
        <w:t xml:space="preserve"> a </w:t>
      </w:r>
      <w:r w:rsidRPr="00CC26EA">
        <w:rPr>
          <w:noProof/>
          <w:spacing w:val="-6"/>
          <w:lang w:val="sk-SK"/>
        </w:rPr>
        <w:t>inkluzívneho rastu</w:t>
      </w:r>
      <w:r w:rsidR="00CC26EA" w:rsidRPr="00CC26EA">
        <w:rPr>
          <w:noProof/>
          <w:spacing w:val="-6"/>
          <w:lang w:val="sk-SK"/>
        </w:rPr>
        <w:t xml:space="preserve"> a k </w:t>
      </w:r>
      <w:r w:rsidRPr="00CC26EA">
        <w:rPr>
          <w:noProof/>
          <w:spacing w:val="-6"/>
          <w:lang w:val="sk-SK"/>
        </w:rPr>
        <w:t>zvýšeniu produktivity, ktorá bola pre krajinu kľúčovou výzvou. Rozšírenie pokrytia veľmi vysokorýchlostným širokopásmovým pripojením na vidiecke oblasti má potenciál prepojiť nové MSP</w:t>
      </w:r>
      <w:r w:rsidR="00CC26EA" w:rsidRPr="00CC26EA">
        <w:rPr>
          <w:noProof/>
          <w:spacing w:val="-6"/>
          <w:lang w:val="sk-SK"/>
        </w:rPr>
        <w:t xml:space="preserve"> s </w:t>
      </w:r>
      <w:r w:rsidRPr="00CC26EA">
        <w:rPr>
          <w:noProof/>
          <w:spacing w:val="-6"/>
          <w:lang w:val="sk-SK"/>
        </w:rPr>
        <w:t>hospodárstvom, čím sa posilní sociálna</w:t>
      </w:r>
      <w:r w:rsidR="00CC26EA" w:rsidRPr="00CC26EA">
        <w:rPr>
          <w:noProof/>
          <w:spacing w:val="-6"/>
          <w:lang w:val="sk-SK"/>
        </w:rPr>
        <w:t xml:space="preserve"> a </w:t>
      </w:r>
      <w:r w:rsidRPr="00CC26EA">
        <w:rPr>
          <w:noProof/>
          <w:spacing w:val="-6"/>
          <w:lang w:val="sk-SK"/>
        </w:rPr>
        <w:t>územná súdržnosť. Cieľom novej „digitálnej stratégie“ je podporovať spravodlivú</w:t>
      </w:r>
      <w:r w:rsidR="00CC26EA" w:rsidRPr="00CC26EA">
        <w:rPr>
          <w:noProof/>
          <w:spacing w:val="-6"/>
          <w:lang w:val="sk-SK"/>
        </w:rPr>
        <w:t xml:space="preserve"> a </w:t>
      </w:r>
      <w:r w:rsidRPr="00CC26EA">
        <w:rPr>
          <w:noProof/>
          <w:spacing w:val="-6"/>
          <w:lang w:val="sk-SK"/>
        </w:rPr>
        <w:t>inkluzívnu digitálnu transformáciu, ktorá podporí lepšie sociálne služby</w:t>
      </w:r>
      <w:r w:rsidR="00CC26EA" w:rsidRPr="00CC26EA">
        <w:rPr>
          <w:noProof/>
          <w:spacing w:val="-6"/>
          <w:lang w:val="sk-SK"/>
        </w:rPr>
        <w:t xml:space="preserve"> a </w:t>
      </w:r>
      <w:r w:rsidRPr="00CC26EA">
        <w:rPr>
          <w:noProof/>
          <w:spacing w:val="-6"/>
          <w:lang w:val="sk-SK"/>
        </w:rPr>
        <w:t>sociálnu súdržnosť prostredníctvom vzdelávania</w:t>
      </w:r>
      <w:r w:rsidR="00CC26EA" w:rsidRPr="00CC26EA">
        <w:rPr>
          <w:noProof/>
          <w:spacing w:val="-6"/>
          <w:lang w:val="sk-SK"/>
        </w:rPr>
        <w:t xml:space="preserve"> a </w:t>
      </w:r>
      <w:r w:rsidRPr="00CC26EA">
        <w:rPr>
          <w:noProof/>
          <w:spacing w:val="-6"/>
          <w:lang w:val="sk-SK"/>
        </w:rPr>
        <w:t>zlepšovania digitálnych zručností</w:t>
      </w:r>
      <w:r w:rsidR="00CC26EA" w:rsidRPr="00CC26EA">
        <w:rPr>
          <w:noProof/>
          <w:spacing w:val="-6"/>
          <w:lang w:val="sk-SK"/>
        </w:rPr>
        <w:t xml:space="preserve"> a </w:t>
      </w:r>
      <w:r w:rsidRPr="00CC26EA">
        <w:rPr>
          <w:noProof/>
          <w:spacing w:val="-6"/>
          <w:lang w:val="sk-SK"/>
        </w:rPr>
        <w:t>kompetencií.</w:t>
      </w:r>
    </w:p>
    <w:p w14:paraId="5DEB7DFE" w14:textId="6D1C7932" w:rsidR="00CC26EA" w:rsidRPr="00CC26EA" w:rsidRDefault="0041081E">
      <w:pPr>
        <w:pStyle w:val="Text1"/>
        <w:ind w:left="0"/>
        <w:rPr>
          <w:noProof/>
          <w:spacing w:val="-6"/>
          <w:lang w:val="sk-SK"/>
        </w:rPr>
      </w:pPr>
      <w:r w:rsidRPr="00CC26EA">
        <w:rPr>
          <w:noProof/>
          <w:spacing w:val="-6"/>
          <w:lang w:val="sk-SK"/>
        </w:rPr>
        <w:t>Tieto investície</w:t>
      </w:r>
      <w:r w:rsidR="00CC26EA" w:rsidRPr="00CC26EA">
        <w:rPr>
          <w:noProof/>
          <w:spacing w:val="-6"/>
          <w:lang w:val="sk-SK"/>
        </w:rPr>
        <w:t xml:space="preserve"> a </w:t>
      </w:r>
      <w:r w:rsidRPr="00CC26EA">
        <w:rPr>
          <w:noProof/>
          <w:spacing w:val="-6"/>
          <w:lang w:val="sk-SK"/>
        </w:rPr>
        <w:t>reformy prispejú</w:t>
      </w:r>
      <w:r w:rsidR="00CC26EA" w:rsidRPr="00CC26EA">
        <w:rPr>
          <w:noProof/>
          <w:spacing w:val="-6"/>
          <w:lang w:val="sk-SK"/>
        </w:rPr>
        <w:t xml:space="preserve"> k </w:t>
      </w:r>
      <w:r w:rsidRPr="00CC26EA">
        <w:rPr>
          <w:noProof/>
          <w:spacing w:val="-6"/>
          <w:lang w:val="sk-SK"/>
        </w:rPr>
        <w:t>odporúčaniam pre jednotlivé krajiny adresovaným Dánsku minulý rok, pokiaľ ide</w:t>
      </w:r>
      <w:r w:rsidR="00CC26EA" w:rsidRPr="00CC26EA">
        <w:rPr>
          <w:noProof/>
          <w:spacing w:val="-6"/>
          <w:lang w:val="sk-SK"/>
        </w:rPr>
        <w:t xml:space="preserve"> o </w:t>
      </w:r>
      <w:r w:rsidRPr="00CC26EA">
        <w:rPr>
          <w:noProof/>
          <w:spacing w:val="-6"/>
          <w:lang w:val="sk-SK"/>
        </w:rPr>
        <w:t>potrebu „</w:t>
      </w:r>
      <w:r w:rsidRPr="00CC26EA">
        <w:rPr>
          <w:i/>
          <w:noProof/>
          <w:spacing w:val="-6"/>
          <w:lang w:val="sk-SK"/>
        </w:rPr>
        <w:t xml:space="preserve">zamerať investície na [...] digitálnu transformáciu“ (odporúčanie </w:t>
      </w:r>
      <w:r w:rsidR="00CC26EA" w:rsidRPr="00CC26EA">
        <w:rPr>
          <w:i/>
          <w:noProof/>
          <w:spacing w:val="-6"/>
          <w:lang w:val="sk-SK"/>
        </w:rPr>
        <w:t>č. </w:t>
      </w:r>
      <w:r w:rsidRPr="00CC26EA">
        <w:rPr>
          <w:i/>
          <w:noProof/>
          <w:spacing w:val="-6"/>
          <w:lang w:val="sk-SK"/>
        </w:rPr>
        <w:t>2, 2020)</w:t>
      </w:r>
      <w:r w:rsidR="00CC26EA" w:rsidRPr="00CC26EA">
        <w:rPr>
          <w:i/>
          <w:noProof/>
          <w:spacing w:val="-6"/>
          <w:lang w:val="sk-SK"/>
        </w:rPr>
        <w:t xml:space="preserve"> a </w:t>
      </w:r>
      <w:r w:rsidRPr="00CC26EA">
        <w:rPr>
          <w:i/>
          <w:noProof/>
          <w:spacing w:val="-6"/>
          <w:lang w:val="sk-SK"/>
        </w:rPr>
        <w:t>prípadne na potrebu „zamerať hospodársku politiku súvisiacu</w:t>
      </w:r>
      <w:r w:rsidR="00CC26EA" w:rsidRPr="00CC26EA">
        <w:rPr>
          <w:i/>
          <w:noProof/>
          <w:spacing w:val="-6"/>
          <w:lang w:val="sk-SK"/>
        </w:rPr>
        <w:t xml:space="preserve"> s </w:t>
      </w:r>
      <w:r w:rsidRPr="00CC26EA">
        <w:rPr>
          <w:i/>
          <w:noProof/>
          <w:spacing w:val="-6"/>
          <w:lang w:val="sk-SK"/>
        </w:rPr>
        <w:t>investíciami na vzdelávanie</w:t>
      </w:r>
      <w:r w:rsidR="00CC26EA" w:rsidRPr="00CC26EA">
        <w:rPr>
          <w:i/>
          <w:noProof/>
          <w:spacing w:val="-6"/>
          <w:lang w:val="sk-SK"/>
        </w:rPr>
        <w:t xml:space="preserve"> a </w:t>
      </w:r>
      <w:r w:rsidRPr="00CC26EA">
        <w:rPr>
          <w:i/>
          <w:noProof/>
          <w:spacing w:val="-6"/>
          <w:lang w:val="sk-SK"/>
        </w:rPr>
        <w:t>zručnosti</w:t>
      </w:r>
      <w:r w:rsidRPr="00CC26EA">
        <w:rPr>
          <w:noProof/>
          <w:spacing w:val="-6"/>
          <w:lang w:val="sk-SK"/>
        </w:rPr>
        <w:t xml:space="preserve">“ (odporúčanie pre jednotlivé krajiny </w:t>
      </w:r>
      <w:r w:rsidR="00CC26EA" w:rsidRPr="00CC26EA">
        <w:rPr>
          <w:noProof/>
          <w:spacing w:val="-6"/>
          <w:lang w:val="sk-SK"/>
        </w:rPr>
        <w:t>č. </w:t>
      </w:r>
      <w:r w:rsidRPr="00CC26EA">
        <w:rPr>
          <w:noProof/>
          <w:spacing w:val="-6"/>
          <w:lang w:val="sk-SK"/>
        </w:rPr>
        <w:t>1, 2019)</w:t>
      </w:r>
      <w:r w:rsidR="00CC26EA" w:rsidRPr="00CC26EA">
        <w:rPr>
          <w:noProof/>
          <w:spacing w:val="-6"/>
          <w:lang w:val="sk-SK"/>
        </w:rPr>
        <w:t>.</w:t>
      </w:r>
    </w:p>
    <w:p w14:paraId="6E506757" w14:textId="7E996603" w:rsidR="00F65654" w:rsidRPr="00CC26EA" w:rsidRDefault="00F65654">
      <w:pPr>
        <w:pStyle w:val="Text1"/>
        <w:ind w:left="0"/>
        <w:rPr>
          <w:noProof/>
          <w:spacing w:val="-6"/>
          <w:lang w:val="sk-SK"/>
        </w:rPr>
      </w:pPr>
    </w:p>
    <w:p w14:paraId="1D996D9E" w14:textId="44B3748F" w:rsidR="00F65654" w:rsidRPr="00CC26EA" w:rsidRDefault="0041081E">
      <w:pPr>
        <w:pStyle w:val="Text1"/>
        <w:ind w:left="0"/>
        <w:rPr>
          <w:b/>
          <w:i/>
          <w:noProof/>
          <w:color w:val="4F81BD"/>
          <w:spacing w:val="-6"/>
          <w:lang w:val="sk-SK"/>
        </w:rPr>
      </w:pPr>
      <w:r w:rsidRPr="00CC26EA">
        <w:rPr>
          <w:b/>
          <w:noProof/>
          <w:spacing w:val="-6"/>
          <w:u w:val="single"/>
          <w:lang w:val="sk-SK"/>
        </w:rPr>
        <w:t xml:space="preserve">F.1. </w:t>
      </w:r>
      <w:r w:rsidRPr="00CC26EA">
        <w:rPr>
          <w:noProof/>
          <w:spacing w:val="-6"/>
          <w:lang w:val="sk-SK"/>
        </w:rPr>
        <w:tab/>
      </w:r>
      <w:r w:rsidRPr="00CC26EA">
        <w:rPr>
          <w:b/>
          <w:noProof/>
          <w:spacing w:val="-6"/>
          <w:u w:val="single"/>
          <w:lang w:val="sk-SK"/>
        </w:rPr>
        <w:t>Opis reforiem</w:t>
      </w:r>
      <w:r w:rsidR="00CC26EA" w:rsidRPr="00CC26EA">
        <w:rPr>
          <w:b/>
          <w:noProof/>
          <w:spacing w:val="-6"/>
          <w:u w:val="single"/>
          <w:lang w:val="sk-SK"/>
        </w:rPr>
        <w:t xml:space="preserve"> a </w:t>
      </w:r>
      <w:r w:rsidRPr="00CC26EA">
        <w:rPr>
          <w:b/>
          <w:noProof/>
          <w:spacing w:val="-6"/>
          <w:u w:val="single"/>
          <w:lang w:val="sk-SK"/>
        </w:rPr>
        <w:t>investícií</w:t>
      </w:r>
      <w:r w:rsidR="00CC26EA" w:rsidRPr="00CC26EA">
        <w:rPr>
          <w:b/>
          <w:noProof/>
          <w:spacing w:val="-6"/>
          <w:u w:val="single"/>
          <w:lang w:val="sk-SK"/>
        </w:rPr>
        <w:t xml:space="preserve"> v </w:t>
      </w:r>
      <w:r w:rsidRPr="00CC26EA">
        <w:rPr>
          <w:b/>
          <w:noProof/>
          <w:spacing w:val="-6"/>
          <w:u w:val="single"/>
          <w:lang w:val="sk-SK"/>
        </w:rPr>
        <w:t>rámci nenávratnej finančnej podpory</w:t>
      </w:r>
    </w:p>
    <w:p w14:paraId="220F075D" w14:textId="77777777" w:rsidR="00F65654" w:rsidRPr="00CC26EA" w:rsidRDefault="0041081E">
      <w:pPr>
        <w:pStyle w:val="P68B1DB1-Text13"/>
        <w:ind w:left="0"/>
        <w:rPr>
          <w:noProof/>
          <w:spacing w:val="-6"/>
          <w:lang w:val="sk-SK"/>
        </w:rPr>
      </w:pPr>
      <w:r w:rsidRPr="00CC26EA">
        <w:rPr>
          <w:noProof/>
          <w:spacing w:val="-6"/>
          <w:lang w:val="sk-SK"/>
        </w:rPr>
        <w:t>Reforma 1: Digitálna stratégia</w:t>
      </w:r>
    </w:p>
    <w:p w14:paraId="359A40C5" w14:textId="0C8F07D8" w:rsidR="00F65654" w:rsidRPr="00CC26EA" w:rsidRDefault="0041081E">
      <w:pPr>
        <w:pStyle w:val="Text1"/>
        <w:ind w:left="0"/>
        <w:rPr>
          <w:noProof/>
          <w:spacing w:val="-6"/>
          <w:lang w:val="sk-SK"/>
        </w:rPr>
      </w:pPr>
      <w:r w:rsidRPr="00CC26EA">
        <w:rPr>
          <w:noProof/>
          <w:spacing w:val="-6"/>
          <w:lang w:val="sk-SK"/>
        </w:rPr>
        <w:t>Dánska vláda zriadi expertnú skupinu</w:t>
      </w:r>
      <w:r w:rsidR="00CC26EA" w:rsidRPr="00CC26EA">
        <w:rPr>
          <w:noProof/>
          <w:spacing w:val="-6"/>
          <w:lang w:val="sk-SK"/>
        </w:rPr>
        <w:t xml:space="preserve"> s </w:t>
      </w:r>
      <w:r w:rsidRPr="00CC26EA">
        <w:rPr>
          <w:noProof/>
          <w:spacing w:val="-6"/>
          <w:lang w:val="sk-SK"/>
        </w:rPr>
        <w:t>názvom „partnerstvo</w:t>
      </w:r>
      <w:r w:rsidR="00CC26EA" w:rsidRPr="00CC26EA">
        <w:rPr>
          <w:noProof/>
          <w:spacing w:val="-6"/>
          <w:lang w:val="sk-SK"/>
        </w:rPr>
        <w:t xml:space="preserve"> v </w:t>
      </w:r>
      <w:r w:rsidRPr="00CC26EA">
        <w:rPr>
          <w:noProof/>
          <w:spacing w:val="-6"/>
          <w:lang w:val="sk-SK"/>
        </w:rPr>
        <w:t>oblasti digitalizácie“, ktorá bude pozostávať</w:t>
      </w:r>
      <w:r w:rsidR="00CC26EA" w:rsidRPr="00CC26EA">
        <w:rPr>
          <w:noProof/>
          <w:spacing w:val="-6"/>
          <w:lang w:val="sk-SK"/>
        </w:rPr>
        <w:t xml:space="preserve"> z </w:t>
      </w:r>
      <w:r w:rsidRPr="00CC26EA">
        <w:rPr>
          <w:noProof/>
          <w:spacing w:val="-6"/>
          <w:lang w:val="sk-SK"/>
        </w:rPr>
        <w:t>hlavných zainteresovaných strán odvetvia (vrátane zástupcov podnikov, odborníkov). Táto expertná skupina analyzuje hlavné digitálne výzvy pre Dánsko</w:t>
      </w:r>
      <w:r w:rsidR="00CC26EA" w:rsidRPr="00CC26EA">
        <w:rPr>
          <w:noProof/>
          <w:spacing w:val="-6"/>
          <w:lang w:val="sk-SK"/>
        </w:rPr>
        <w:t xml:space="preserve"> a </w:t>
      </w:r>
      <w:r w:rsidRPr="00CC26EA">
        <w:rPr>
          <w:noProof/>
          <w:spacing w:val="-6"/>
          <w:lang w:val="sk-SK"/>
        </w:rPr>
        <w:t>vypracuje odporúčania týkajúce sa politiky, reforiem</w:t>
      </w:r>
      <w:r w:rsidR="00CC26EA" w:rsidRPr="00CC26EA">
        <w:rPr>
          <w:noProof/>
          <w:spacing w:val="-6"/>
          <w:lang w:val="sk-SK"/>
        </w:rPr>
        <w:t xml:space="preserve"> a </w:t>
      </w:r>
      <w:r w:rsidRPr="00CC26EA">
        <w:rPr>
          <w:noProof/>
          <w:spacing w:val="-6"/>
          <w:lang w:val="sk-SK"/>
        </w:rPr>
        <w:t>investícií. Na základe týchto odporúčaní</w:t>
      </w:r>
      <w:r w:rsidR="00CC26EA" w:rsidRPr="00CC26EA">
        <w:rPr>
          <w:noProof/>
          <w:spacing w:val="-6"/>
          <w:lang w:val="sk-SK"/>
        </w:rPr>
        <w:t xml:space="preserve"> a </w:t>
      </w:r>
      <w:r w:rsidRPr="00CC26EA">
        <w:rPr>
          <w:noProof/>
          <w:spacing w:val="-6"/>
          <w:lang w:val="sk-SK"/>
        </w:rPr>
        <w:t>po politických rokovaniach vláda prijme novú digitálnu stratégiu vo finančnom zákone na rok 2022.</w:t>
      </w:r>
    </w:p>
    <w:p w14:paraId="79B39211" w14:textId="3728FADB" w:rsidR="00F65654" w:rsidRPr="00CC26EA" w:rsidRDefault="0041081E">
      <w:pPr>
        <w:pStyle w:val="Text1"/>
        <w:ind w:left="0"/>
        <w:rPr>
          <w:noProof/>
          <w:spacing w:val="-6"/>
          <w:lang w:val="sk-SK"/>
        </w:rPr>
      </w:pPr>
      <w:r w:rsidRPr="00CC26EA">
        <w:rPr>
          <w:noProof/>
          <w:spacing w:val="-6"/>
          <w:lang w:val="sk-SK"/>
        </w:rPr>
        <w:t>Nová digitálna stratégia pozostáva</w:t>
      </w:r>
      <w:r w:rsidR="00CC26EA" w:rsidRPr="00CC26EA">
        <w:rPr>
          <w:noProof/>
          <w:spacing w:val="-6"/>
          <w:lang w:val="sk-SK"/>
        </w:rPr>
        <w:t xml:space="preserve"> z </w:t>
      </w:r>
      <w:r w:rsidRPr="00CC26EA">
        <w:rPr>
          <w:noProof/>
          <w:spacing w:val="-6"/>
          <w:lang w:val="sk-SK"/>
        </w:rPr>
        <w:t>piatich čiastkových reforiem</w:t>
      </w:r>
      <w:r w:rsidR="00CC26EA" w:rsidRPr="00CC26EA">
        <w:rPr>
          <w:noProof/>
          <w:spacing w:val="-6"/>
          <w:lang w:val="sk-SK"/>
        </w:rPr>
        <w:t xml:space="preserve"> s </w:t>
      </w:r>
      <w:r w:rsidRPr="00CC26EA">
        <w:rPr>
          <w:noProof/>
          <w:spacing w:val="-6"/>
          <w:lang w:val="sk-SK"/>
        </w:rPr>
        <w:t>týmito cieľmi:</w:t>
      </w:r>
    </w:p>
    <w:p w14:paraId="78F78178" w14:textId="7C7B2D9B" w:rsidR="00F65654" w:rsidRPr="00CC26EA" w:rsidRDefault="0041081E">
      <w:pPr>
        <w:pStyle w:val="Text1"/>
        <w:numPr>
          <w:ilvl w:val="0"/>
          <w:numId w:val="27"/>
        </w:numPr>
        <w:ind w:left="757"/>
        <w:rPr>
          <w:noProof/>
          <w:spacing w:val="-6"/>
          <w:lang w:val="sk-SK"/>
        </w:rPr>
      </w:pPr>
      <w:r w:rsidRPr="00CC26EA">
        <w:rPr>
          <w:b/>
          <w:noProof/>
          <w:spacing w:val="-6"/>
          <w:lang w:val="sk-SK"/>
        </w:rPr>
        <w:t>Čiastková reforma 1 – Stratégia pre digitálny verejný sektor</w:t>
      </w:r>
      <w:r w:rsidR="00CC26EA" w:rsidRPr="00CC26EA">
        <w:rPr>
          <w:b/>
          <w:noProof/>
          <w:spacing w:val="-6"/>
          <w:lang w:val="sk-SK"/>
        </w:rPr>
        <w:t xml:space="preserve"> a </w:t>
      </w:r>
      <w:r w:rsidRPr="00CC26EA">
        <w:rPr>
          <w:b/>
          <w:noProof/>
          <w:spacing w:val="-6"/>
          <w:lang w:val="sk-SK"/>
        </w:rPr>
        <w:t>služby budúcnosti:</w:t>
      </w:r>
      <w:r w:rsidRPr="00CC26EA">
        <w:rPr>
          <w:noProof/>
          <w:spacing w:val="-6"/>
          <w:lang w:val="sk-SK"/>
        </w:rPr>
        <w:t xml:space="preserve"> Vytvorenie digitálneho verejného sektora budúcnosti. To sa dosiahne nepretržitou modernizáciou digitálnej infraštruktúry, ktorá spĺňa potreby všetkých občanov</w:t>
      </w:r>
      <w:r w:rsidR="00CC26EA" w:rsidRPr="00CC26EA">
        <w:rPr>
          <w:noProof/>
          <w:spacing w:val="-6"/>
          <w:lang w:val="sk-SK"/>
        </w:rPr>
        <w:t xml:space="preserve"> a </w:t>
      </w:r>
      <w:r w:rsidRPr="00CC26EA">
        <w:rPr>
          <w:noProof/>
          <w:spacing w:val="-6"/>
          <w:lang w:val="sk-SK"/>
        </w:rPr>
        <w:t>podnikov</w:t>
      </w:r>
      <w:r w:rsidR="00CC26EA" w:rsidRPr="00CC26EA">
        <w:rPr>
          <w:noProof/>
          <w:spacing w:val="-6"/>
          <w:lang w:val="sk-SK"/>
        </w:rPr>
        <w:t xml:space="preserve"> a </w:t>
      </w:r>
      <w:r w:rsidRPr="00CC26EA">
        <w:rPr>
          <w:noProof/>
          <w:spacing w:val="-6"/>
          <w:lang w:val="sk-SK"/>
        </w:rPr>
        <w:t>zároveň posilňuje pripojiteľnosť.</w:t>
      </w:r>
    </w:p>
    <w:p w14:paraId="4A2EDCFE" w14:textId="2B6B14DA" w:rsidR="00F65654" w:rsidRPr="00CC26EA" w:rsidRDefault="0041081E">
      <w:pPr>
        <w:pStyle w:val="Text1"/>
        <w:numPr>
          <w:ilvl w:val="0"/>
          <w:numId w:val="27"/>
        </w:numPr>
        <w:ind w:left="757"/>
        <w:rPr>
          <w:noProof/>
          <w:spacing w:val="-6"/>
          <w:lang w:val="sk-SK"/>
        </w:rPr>
      </w:pPr>
      <w:r w:rsidRPr="00CC26EA">
        <w:rPr>
          <w:b/>
          <w:noProof/>
          <w:spacing w:val="-6"/>
          <w:lang w:val="sk-SK"/>
        </w:rPr>
        <w:t>Čiastková reforma 2 – Stratégia pre digitálne povolania</w:t>
      </w:r>
      <w:r w:rsidR="00CC26EA" w:rsidRPr="00CC26EA">
        <w:rPr>
          <w:b/>
          <w:noProof/>
          <w:spacing w:val="-6"/>
          <w:lang w:val="sk-SK"/>
        </w:rPr>
        <w:t xml:space="preserve"> a </w:t>
      </w:r>
      <w:r w:rsidRPr="00CC26EA">
        <w:rPr>
          <w:b/>
          <w:noProof/>
          <w:spacing w:val="-6"/>
          <w:lang w:val="sk-SK"/>
        </w:rPr>
        <w:t>pracovné miesta budúcnosti:</w:t>
      </w:r>
      <w:r w:rsidRPr="00CC26EA">
        <w:rPr>
          <w:noProof/>
          <w:spacing w:val="-6"/>
          <w:lang w:val="sk-SK"/>
        </w:rPr>
        <w:t xml:space="preserve"> Zabezpečenie digitálnych povolaní</w:t>
      </w:r>
      <w:r w:rsidR="00CC26EA" w:rsidRPr="00CC26EA">
        <w:rPr>
          <w:noProof/>
          <w:spacing w:val="-6"/>
          <w:lang w:val="sk-SK"/>
        </w:rPr>
        <w:t xml:space="preserve"> a </w:t>
      </w:r>
      <w:r w:rsidRPr="00CC26EA">
        <w:rPr>
          <w:noProof/>
          <w:spacing w:val="-6"/>
          <w:lang w:val="sk-SK"/>
        </w:rPr>
        <w:t>pracovných miest budúcnosti</w:t>
      </w:r>
      <w:r w:rsidR="00CC26EA" w:rsidRPr="00CC26EA">
        <w:rPr>
          <w:noProof/>
          <w:spacing w:val="-6"/>
          <w:lang w:val="sk-SK"/>
        </w:rPr>
        <w:t xml:space="preserve"> a </w:t>
      </w:r>
      <w:r w:rsidRPr="00CC26EA">
        <w:rPr>
          <w:noProof/>
          <w:spacing w:val="-6"/>
          <w:lang w:val="sk-SK"/>
        </w:rPr>
        <w:t>podpora rastu</w:t>
      </w:r>
      <w:r w:rsidR="00CC26EA" w:rsidRPr="00CC26EA">
        <w:rPr>
          <w:noProof/>
          <w:spacing w:val="-6"/>
          <w:lang w:val="sk-SK"/>
        </w:rPr>
        <w:t xml:space="preserve"> a </w:t>
      </w:r>
      <w:r w:rsidRPr="00CC26EA">
        <w:rPr>
          <w:noProof/>
          <w:spacing w:val="-6"/>
          <w:lang w:val="sk-SK"/>
        </w:rPr>
        <w:t>vývozu tovaru</w:t>
      </w:r>
      <w:r w:rsidR="00CC26EA" w:rsidRPr="00CC26EA">
        <w:rPr>
          <w:noProof/>
          <w:spacing w:val="-6"/>
          <w:lang w:val="sk-SK"/>
        </w:rPr>
        <w:t xml:space="preserve"> a </w:t>
      </w:r>
      <w:r w:rsidRPr="00CC26EA">
        <w:rPr>
          <w:noProof/>
          <w:spacing w:val="-6"/>
          <w:lang w:val="sk-SK"/>
        </w:rPr>
        <w:t>služieb posilnením digitalizácie</w:t>
      </w:r>
      <w:r w:rsidR="00CC26EA" w:rsidRPr="00CC26EA">
        <w:rPr>
          <w:noProof/>
          <w:spacing w:val="-6"/>
          <w:lang w:val="sk-SK"/>
        </w:rPr>
        <w:t xml:space="preserve"> v </w:t>
      </w:r>
      <w:r w:rsidRPr="00CC26EA">
        <w:rPr>
          <w:noProof/>
          <w:spacing w:val="-6"/>
          <w:lang w:val="sk-SK"/>
        </w:rPr>
        <w:t>rámci podnikov</w:t>
      </w:r>
      <w:r w:rsidR="00CC26EA" w:rsidRPr="00CC26EA">
        <w:rPr>
          <w:noProof/>
          <w:spacing w:val="-6"/>
          <w:lang w:val="sk-SK"/>
        </w:rPr>
        <w:t xml:space="preserve"> a </w:t>
      </w:r>
      <w:r w:rsidRPr="00CC26EA">
        <w:rPr>
          <w:noProof/>
          <w:spacing w:val="-6"/>
          <w:lang w:val="sk-SK"/>
        </w:rPr>
        <w:t>priemyslu.</w:t>
      </w:r>
    </w:p>
    <w:p w14:paraId="02E0D49E" w14:textId="04FE97B3" w:rsidR="00F65654" w:rsidRPr="00CC26EA" w:rsidRDefault="0041081E">
      <w:pPr>
        <w:pStyle w:val="Text1"/>
        <w:numPr>
          <w:ilvl w:val="0"/>
          <w:numId w:val="27"/>
        </w:numPr>
        <w:ind w:left="757"/>
        <w:rPr>
          <w:noProof/>
          <w:spacing w:val="-6"/>
          <w:lang w:val="sk-SK"/>
        </w:rPr>
      </w:pPr>
      <w:r w:rsidRPr="00CC26EA">
        <w:rPr>
          <w:b/>
          <w:noProof/>
          <w:spacing w:val="-6"/>
          <w:lang w:val="sk-SK"/>
        </w:rPr>
        <w:t>Čiastková reforma 3 – Rámec pre inovácie, verejno-súkromné partnerstvá</w:t>
      </w:r>
      <w:r w:rsidR="00CC26EA" w:rsidRPr="00CC26EA">
        <w:rPr>
          <w:b/>
          <w:noProof/>
          <w:spacing w:val="-6"/>
          <w:lang w:val="sk-SK"/>
        </w:rPr>
        <w:t xml:space="preserve"> a </w:t>
      </w:r>
      <w:r w:rsidRPr="00CC26EA">
        <w:rPr>
          <w:b/>
          <w:noProof/>
          <w:spacing w:val="-6"/>
          <w:lang w:val="sk-SK"/>
        </w:rPr>
        <w:t>využívanie nových technológií:</w:t>
      </w:r>
      <w:r w:rsidRPr="00CC26EA">
        <w:rPr>
          <w:noProof/>
          <w:spacing w:val="-6"/>
          <w:lang w:val="sk-SK"/>
        </w:rPr>
        <w:t xml:space="preserve"> Vytváranie lepších príležitostí na spoločnú tvorbu</w:t>
      </w:r>
      <w:r w:rsidR="00CC26EA" w:rsidRPr="00CC26EA">
        <w:rPr>
          <w:noProof/>
          <w:spacing w:val="-6"/>
          <w:lang w:val="sk-SK"/>
        </w:rPr>
        <w:t xml:space="preserve"> a </w:t>
      </w:r>
      <w:r w:rsidRPr="00CC26EA">
        <w:rPr>
          <w:noProof/>
          <w:spacing w:val="-6"/>
          <w:lang w:val="sk-SK"/>
        </w:rPr>
        <w:t>inovácie. To sa dosiahne využitím nových technológií</w:t>
      </w:r>
      <w:r w:rsidR="00CC26EA" w:rsidRPr="00CC26EA">
        <w:rPr>
          <w:noProof/>
          <w:spacing w:val="-6"/>
          <w:lang w:val="sk-SK"/>
        </w:rPr>
        <w:t xml:space="preserve"> a </w:t>
      </w:r>
      <w:r w:rsidRPr="00CC26EA">
        <w:rPr>
          <w:noProof/>
          <w:spacing w:val="-6"/>
          <w:lang w:val="sk-SK"/>
        </w:rPr>
        <w:t>verejno-súkromných partnerstiev na zefektívnenie</w:t>
      </w:r>
      <w:r w:rsidR="00CC26EA" w:rsidRPr="00CC26EA">
        <w:rPr>
          <w:noProof/>
          <w:spacing w:val="-6"/>
          <w:lang w:val="sk-SK"/>
        </w:rPr>
        <w:t xml:space="preserve"> a </w:t>
      </w:r>
      <w:r w:rsidRPr="00CC26EA">
        <w:rPr>
          <w:noProof/>
          <w:spacing w:val="-6"/>
          <w:lang w:val="sk-SK"/>
        </w:rPr>
        <w:t>zlepšenie verejných digitálnych služieb, urýchlenie digitálnej transformácie podnikov</w:t>
      </w:r>
      <w:r w:rsidR="00CC26EA" w:rsidRPr="00CC26EA">
        <w:rPr>
          <w:noProof/>
          <w:spacing w:val="-6"/>
          <w:lang w:val="sk-SK"/>
        </w:rPr>
        <w:t xml:space="preserve"> a </w:t>
      </w:r>
      <w:r w:rsidRPr="00CC26EA">
        <w:rPr>
          <w:noProof/>
          <w:spacing w:val="-6"/>
          <w:lang w:val="sk-SK"/>
        </w:rPr>
        <w:t>podporu zmierňovania zmeny klímy.</w:t>
      </w:r>
    </w:p>
    <w:p w14:paraId="06496ACC" w14:textId="6769ADB4" w:rsidR="00F65654" w:rsidRPr="00CC26EA" w:rsidRDefault="0041081E">
      <w:pPr>
        <w:pStyle w:val="Text1"/>
        <w:numPr>
          <w:ilvl w:val="0"/>
          <w:numId w:val="27"/>
        </w:numPr>
        <w:ind w:left="757"/>
        <w:rPr>
          <w:noProof/>
          <w:spacing w:val="-6"/>
          <w:lang w:val="sk-SK"/>
        </w:rPr>
      </w:pPr>
      <w:r w:rsidRPr="00CC26EA">
        <w:rPr>
          <w:b/>
          <w:noProof/>
          <w:spacing w:val="-6"/>
          <w:lang w:val="sk-SK"/>
        </w:rPr>
        <w:t>Čiastková reforma 4 – Rámec pre spoločnosť založenú na údajoch:</w:t>
      </w:r>
      <w:r w:rsidRPr="00CC26EA">
        <w:rPr>
          <w:noProof/>
          <w:spacing w:val="-6"/>
          <w:lang w:val="sk-SK"/>
        </w:rPr>
        <w:t xml:space="preserve"> Vytvorenie spoločnosti založenej na údajoch</w:t>
      </w:r>
      <w:r w:rsidR="00CC26EA" w:rsidRPr="00CC26EA">
        <w:rPr>
          <w:noProof/>
          <w:spacing w:val="-6"/>
          <w:lang w:val="sk-SK"/>
        </w:rPr>
        <w:t xml:space="preserve"> a </w:t>
      </w:r>
      <w:r w:rsidRPr="00CC26EA">
        <w:rPr>
          <w:noProof/>
          <w:spacing w:val="-6"/>
          <w:lang w:val="sk-SK"/>
        </w:rPr>
        <w:t>zlepšenie digitalizácie MSP, systémov zdravotnej starostlivosti</w:t>
      </w:r>
      <w:r w:rsidR="00CC26EA" w:rsidRPr="00CC26EA">
        <w:rPr>
          <w:noProof/>
          <w:spacing w:val="-6"/>
          <w:lang w:val="sk-SK"/>
        </w:rPr>
        <w:t xml:space="preserve"> a </w:t>
      </w:r>
      <w:r w:rsidRPr="00CC26EA">
        <w:rPr>
          <w:noProof/>
          <w:spacing w:val="-6"/>
          <w:lang w:val="sk-SK"/>
        </w:rPr>
        <w:t>digitálnych služieb podporou lepšieho prístupu</w:t>
      </w:r>
      <w:r w:rsidR="00CC26EA" w:rsidRPr="00CC26EA">
        <w:rPr>
          <w:noProof/>
          <w:spacing w:val="-6"/>
          <w:lang w:val="sk-SK"/>
        </w:rPr>
        <w:t xml:space="preserve"> k </w:t>
      </w:r>
      <w:r w:rsidRPr="00CC26EA">
        <w:rPr>
          <w:noProof/>
          <w:spacing w:val="-6"/>
          <w:lang w:val="sk-SK"/>
        </w:rPr>
        <w:t>údajom, bezpečných</w:t>
      </w:r>
      <w:r w:rsidR="00CC26EA" w:rsidRPr="00CC26EA">
        <w:rPr>
          <w:noProof/>
          <w:spacing w:val="-6"/>
          <w:lang w:val="sk-SK"/>
        </w:rPr>
        <w:t xml:space="preserve"> a </w:t>
      </w:r>
      <w:r w:rsidRPr="00CC26EA">
        <w:rPr>
          <w:noProof/>
          <w:spacing w:val="-6"/>
          <w:lang w:val="sk-SK"/>
        </w:rPr>
        <w:t>interoperabilných dátových infraštruktúr</w:t>
      </w:r>
      <w:r w:rsidR="00CC26EA" w:rsidRPr="00CC26EA">
        <w:rPr>
          <w:noProof/>
          <w:spacing w:val="-6"/>
          <w:lang w:val="sk-SK"/>
        </w:rPr>
        <w:t xml:space="preserve"> a </w:t>
      </w:r>
      <w:r w:rsidRPr="00CC26EA">
        <w:rPr>
          <w:noProof/>
          <w:spacing w:val="-6"/>
          <w:lang w:val="sk-SK"/>
        </w:rPr>
        <w:t>regulačného rámca pripraveného na digitálne technológie.</w:t>
      </w:r>
    </w:p>
    <w:p w14:paraId="4992CCD5" w14:textId="66733469" w:rsidR="00F65654" w:rsidRPr="00CC26EA" w:rsidRDefault="0041081E">
      <w:pPr>
        <w:pStyle w:val="Text1"/>
        <w:numPr>
          <w:ilvl w:val="0"/>
          <w:numId w:val="27"/>
        </w:numPr>
        <w:ind w:left="757"/>
        <w:rPr>
          <w:noProof/>
          <w:spacing w:val="-6"/>
          <w:lang w:val="sk-SK"/>
        </w:rPr>
      </w:pPr>
      <w:r w:rsidRPr="00CC26EA">
        <w:rPr>
          <w:b/>
          <w:noProof/>
          <w:spacing w:val="-6"/>
          <w:lang w:val="sk-SK"/>
        </w:rPr>
        <w:t>Čiastková reforma 5 – Rámec pre Dánsko pripravený na digitálnu budúcnosť:</w:t>
      </w:r>
      <w:r w:rsidRPr="00CC26EA">
        <w:rPr>
          <w:noProof/>
          <w:spacing w:val="-6"/>
          <w:lang w:val="sk-SK"/>
        </w:rPr>
        <w:t xml:space="preserve"> Vytvorenie rámca pre Dánsko pripraveného na digitálnu budúcnosť pri súčasnom zachovaní najlepších možností našej spoločnosti, ako je posilnenie kybernetickej</w:t>
      </w:r>
      <w:r w:rsidR="00CC26EA" w:rsidRPr="00CC26EA">
        <w:rPr>
          <w:noProof/>
          <w:spacing w:val="-6"/>
          <w:lang w:val="sk-SK"/>
        </w:rPr>
        <w:t xml:space="preserve"> a </w:t>
      </w:r>
      <w:r w:rsidRPr="00CC26EA">
        <w:rPr>
          <w:noProof/>
          <w:spacing w:val="-6"/>
          <w:lang w:val="sk-SK"/>
        </w:rPr>
        <w:t>informačnej bezpečnosti, digitálnych zručností</w:t>
      </w:r>
      <w:r w:rsidR="00CC26EA" w:rsidRPr="00CC26EA">
        <w:rPr>
          <w:noProof/>
          <w:spacing w:val="-6"/>
          <w:lang w:val="sk-SK"/>
        </w:rPr>
        <w:t xml:space="preserve"> a </w:t>
      </w:r>
      <w:r w:rsidRPr="00CC26EA">
        <w:rPr>
          <w:noProof/>
          <w:spacing w:val="-6"/>
          <w:lang w:val="sk-SK"/>
        </w:rPr>
        <w:t>kompetencií</w:t>
      </w:r>
      <w:r w:rsidR="00CC26EA" w:rsidRPr="00CC26EA">
        <w:rPr>
          <w:noProof/>
          <w:spacing w:val="-6"/>
          <w:lang w:val="sk-SK"/>
        </w:rPr>
        <w:t xml:space="preserve"> v </w:t>
      </w:r>
      <w:r w:rsidRPr="00CC26EA">
        <w:rPr>
          <w:noProof/>
          <w:spacing w:val="-6"/>
          <w:lang w:val="sk-SK"/>
        </w:rPr>
        <w:t>prospech všetkých občanov, podnikov</w:t>
      </w:r>
      <w:r w:rsidR="00CC26EA" w:rsidRPr="00CC26EA">
        <w:rPr>
          <w:noProof/>
          <w:spacing w:val="-6"/>
          <w:lang w:val="sk-SK"/>
        </w:rPr>
        <w:t xml:space="preserve"> a </w:t>
      </w:r>
      <w:r w:rsidRPr="00CC26EA">
        <w:rPr>
          <w:noProof/>
          <w:spacing w:val="-6"/>
          <w:lang w:val="sk-SK"/>
        </w:rPr>
        <w:t>zamestnancov.</w:t>
      </w:r>
    </w:p>
    <w:p w14:paraId="4CBBCE74" w14:textId="77777777" w:rsidR="00CC26EA" w:rsidRPr="00CC26EA" w:rsidRDefault="0041081E">
      <w:pPr>
        <w:pStyle w:val="P68B1DB1-Text13"/>
        <w:ind w:left="0"/>
        <w:rPr>
          <w:noProof/>
          <w:spacing w:val="-6"/>
          <w:lang w:val="sk-SK"/>
        </w:rPr>
      </w:pPr>
      <w:r w:rsidRPr="00CC26EA">
        <w:rPr>
          <w:noProof/>
          <w:spacing w:val="-6"/>
          <w:lang w:val="sk-SK"/>
        </w:rPr>
        <w:t>Investícia 1: Digitálna transformácia</w:t>
      </w:r>
      <w:r w:rsidR="00CC26EA" w:rsidRPr="00CC26EA">
        <w:rPr>
          <w:noProof/>
          <w:spacing w:val="-6"/>
          <w:lang w:val="sk-SK"/>
        </w:rPr>
        <w:t xml:space="preserve"> a </w:t>
      </w:r>
      <w:r w:rsidRPr="00CC26EA">
        <w:rPr>
          <w:noProof/>
          <w:spacing w:val="-6"/>
          <w:lang w:val="sk-SK"/>
        </w:rPr>
        <w:t>obchod MSP</w:t>
      </w:r>
    </w:p>
    <w:p w14:paraId="6C0F1C71" w14:textId="6C2118A8" w:rsidR="00CC26EA" w:rsidRPr="00CC26EA" w:rsidRDefault="0041081E">
      <w:pPr>
        <w:pStyle w:val="NormalLeft"/>
        <w:rPr>
          <w:noProof/>
          <w:spacing w:val="-6"/>
          <w:lang w:val="sk-SK"/>
        </w:rPr>
      </w:pPr>
      <w:r w:rsidRPr="00CC26EA">
        <w:rPr>
          <w:noProof/>
          <w:spacing w:val="-6"/>
          <w:lang w:val="sk-SK"/>
        </w:rPr>
        <w:t xml:space="preserve">Touto investíciou sa predĺži platnosť existujúcej schémy, </w:t>
      </w:r>
      <w:r w:rsidRPr="00CC26EA">
        <w:rPr>
          <w:i/>
          <w:noProof/>
          <w:spacing w:val="-6"/>
          <w:lang w:val="sk-SK"/>
        </w:rPr>
        <w:t>SME:Digital</w:t>
      </w:r>
      <w:r w:rsidRPr="00CC26EA">
        <w:rPr>
          <w:noProof/>
          <w:spacing w:val="-6"/>
          <w:lang w:val="sk-SK"/>
        </w:rPr>
        <w:t>, ktorou sa malým</w:t>
      </w:r>
      <w:r w:rsidR="00CC26EA" w:rsidRPr="00CC26EA">
        <w:rPr>
          <w:noProof/>
          <w:spacing w:val="-6"/>
          <w:lang w:val="sk-SK"/>
        </w:rPr>
        <w:t xml:space="preserve"> a </w:t>
      </w:r>
      <w:r w:rsidRPr="00CC26EA">
        <w:rPr>
          <w:noProof/>
          <w:spacing w:val="-6"/>
          <w:lang w:val="sk-SK"/>
        </w:rPr>
        <w:t>stredným podnikom poskytujú dotácie na digitalizáciu ich podnikania. Očakáva sa, že rozšírenie systému bude obzvlášť dôležité</w:t>
      </w:r>
      <w:r w:rsidR="00CC26EA" w:rsidRPr="00CC26EA">
        <w:rPr>
          <w:noProof/>
          <w:spacing w:val="-6"/>
          <w:lang w:val="sk-SK"/>
        </w:rPr>
        <w:t xml:space="preserve"> v </w:t>
      </w:r>
      <w:r w:rsidRPr="00CC26EA">
        <w:rPr>
          <w:noProof/>
          <w:spacing w:val="-6"/>
          <w:lang w:val="sk-SK"/>
        </w:rPr>
        <w:t>kontexte oživenia hospodárstva, keďže je mimoriadne dôležité podporovať malé</w:t>
      </w:r>
      <w:r w:rsidR="00CC26EA" w:rsidRPr="00CC26EA">
        <w:rPr>
          <w:noProof/>
          <w:spacing w:val="-6"/>
          <w:lang w:val="sk-SK"/>
        </w:rPr>
        <w:t xml:space="preserve"> a </w:t>
      </w:r>
      <w:r w:rsidRPr="00CC26EA">
        <w:rPr>
          <w:noProof/>
          <w:spacing w:val="-6"/>
          <w:lang w:val="sk-SK"/>
        </w:rPr>
        <w:t>stredné podniky, ktoré boli najviac postihnuté krízou</w:t>
      </w:r>
      <w:r w:rsidR="00CC26EA" w:rsidRPr="00CC26EA">
        <w:rPr>
          <w:noProof/>
          <w:spacing w:val="-6"/>
          <w:lang w:val="sk-SK"/>
        </w:rPr>
        <w:t>.</w:t>
      </w:r>
    </w:p>
    <w:p w14:paraId="121F5AF9" w14:textId="62890B79" w:rsidR="00F65654" w:rsidRPr="00CC26EA" w:rsidRDefault="0041081E">
      <w:pPr>
        <w:pStyle w:val="NormalLeft"/>
        <w:rPr>
          <w:noProof/>
          <w:spacing w:val="-6"/>
          <w:lang w:val="sk-SK"/>
        </w:rPr>
      </w:pPr>
      <w:r w:rsidRPr="00CC26EA">
        <w:rPr>
          <w:noProof/>
          <w:spacing w:val="-6"/>
          <w:lang w:val="sk-SK"/>
        </w:rPr>
        <w:t>Malé</w:t>
      </w:r>
      <w:r w:rsidR="00CC26EA" w:rsidRPr="00CC26EA">
        <w:rPr>
          <w:noProof/>
          <w:spacing w:val="-6"/>
          <w:lang w:val="sk-SK"/>
        </w:rPr>
        <w:t xml:space="preserve"> a </w:t>
      </w:r>
      <w:r w:rsidRPr="00CC26EA">
        <w:rPr>
          <w:noProof/>
          <w:spacing w:val="-6"/>
          <w:lang w:val="sk-SK"/>
        </w:rPr>
        <w:t>stredné podniky môžu požiadať</w:t>
      </w:r>
      <w:r w:rsidR="00CC26EA" w:rsidRPr="00CC26EA">
        <w:rPr>
          <w:noProof/>
          <w:spacing w:val="-6"/>
          <w:lang w:val="sk-SK"/>
        </w:rPr>
        <w:t xml:space="preserve"> o </w:t>
      </w:r>
      <w:r w:rsidRPr="00CC26EA">
        <w:rPr>
          <w:noProof/>
          <w:spacing w:val="-6"/>
          <w:lang w:val="sk-SK"/>
        </w:rPr>
        <w:t>granty pod podmienkou, že ich projekty zvýšia využívanie technológií</w:t>
      </w:r>
      <w:r w:rsidR="00CC26EA" w:rsidRPr="00CC26EA">
        <w:rPr>
          <w:noProof/>
          <w:spacing w:val="-6"/>
          <w:lang w:val="sk-SK"/>
        </w:rPr>
        <w:t xml:space="preserve"> a </w:t>
      </w:r>
      <w:r w:rsidRPr="00CC26EA">
        <w:rPr>
          <w:noProof/>
          <w:spacing w:val="-6"/>
          <w:lang w:val="sk-SK"/>
        </w:rPr>
        <w:t>prispejú</w:t>
      </w:r>
      <w:r w:rsidR="00CC26EA" w:rsidRPr="00CC26EA">
        <w:rPr>
          <w:noProof/>
          <w:spacing w:val="-6"/>
          <w:lang w:val="sk-SK"/>
        </w:rPr>
        <w:t xml:space="preserve"> k </w:t>
      </w:r>
      <w:r w:rsidRPr="00CC26EA">
        <w:rPr>
          <w:noProof/>
          <w:spacing w:val="-6"/>
          <w:lang w:val="sk-SK"/>
        </w:rPr>
        <w:t>rastu podniku. Grantová schéma je otvorená pre žiadosti niekoľkokrát ročne, pričom žiadosti sa posudzujú podľa zásady „kto prv príde, ten prv berie“. Predpokladá sa maximálna výška grantu 100,000 DKK na spoločnosť.</w:t>
      </w:r>
    </w:p>
    <w:p w14:paraId="0DC1F618" w14:textId="77777777" w:rsidR="00CC26EA" w:rsidRPr="00CC26EA" w:rsidRDefault="0041081E">
      <w:pPr>
        <w:pStyle w:val="P68B1DB1-Normal9"/>
        <w:spacing w:before="120" w:after="120" w:line="240" w:lineRule="auto"/>
        <w:rPr>
          <w:noProof/>
          <w:spacing w:val="-6"/>
          <w:lang w:val="sk-SK"/>
        </w:rPr>
      </w:pPr>
      <w:r w:rsidRPr="00CC26EA">
        <w:rPr>
          <w:noProof/>
          <w:spacing w:val="-6"/>
          <w:lang w:val="sk-SK"/>
        </w:rPr>
        <w:t>Investícia 2: Skupina širokopásmových sietí</w:t>
      </w:r>
    </w:p>
    <w:p w14:paraId="6F8F9B7A" w14:textId="5BEC27DB" w:rsidR="00F65654" w:rsidRPr="00CC26EA" w:rsidRDefault="0041081E">
      <w:pPr>
        <w:pStyle w:val="NormalLeft"/>
        <w:rPr>
          <w:noProof/>
          <w:spacing w:val="-6"/>
          <w:lang w:val="sk-SK"/>
        </w:rPr>
      </w:pPr>
      <w:r w:rsidRPr="00CC26EA">
        <w:rPr>
          <w:noProof/>
          <w:spacing w:val="-6"/>
          <w:lang w:val="sk-SK"/>
        </w:rPr>
        <w:t xml:space="preserve">Touto investíciou sa predĺži platnosť existujúcej schémy </w:t>
      </w:r>
      <w:r w:rsidRPr="00CC26EA">
        <w:rPr>
          <w:i/>
          <w:noProof/>
          <w:spacing w:val="-6"/>
          <w:lang w:val="sk-SK"/>
        </w:rPr>
        <w:t>Bredbåndspuljen</w:t>
      </w:r>
      <w:r w:rsidRPr="00CC26EA">
        <w:rPr>
          <w:noProof/>
          <w:spacing w:val="-6"/>
          <w:lang w:val="sk-SK"/>
        </w:rPr>
        <w:t>, ktorou sa zavedie prístup</w:t>
      </w:r>
      <w:r w:rsidR="00CC26EA" w:rsidRPr="00CC26EA">
        <w:rPr>
          <w:noProof/>
          <w:spacing w:val="-6"/>
          <w:lang w:val="sk-SK"/>
        </w:rPr>
        <w:t xml:space="preserve"> k </w:t>
      </w:r>
      <w:r w:rsidRPr="00CC26EA">
        <w:rPr>
          <w:noProof/>
          <w:spacing w:val="-6"/>
          <w:lang w:val="sk-SK"/>
        </w:rPr>
        <w:t>vysokorýchlostnému internetu (minimálne 100 Mbps) vo vidieckych oblastiach Dánska, kde je existujúce pokrytie nedostatočné</w:t>
      </w:r>
      <w:r w:rsidR="00CC26EA" w:rsidRPr="00CC26EA">
        <w:rPr>
          <w:noProof/>
          <w:spacing w:val="-6"/>
          <w:lang w:val="sk-SK"/>
        </w:rPr>
        <w:t xml:space="preserve"> z </w:t>
      </w:r>
      <w:r w:rsidRPr="00CC26EA">
        <w:rPr>
          <w:noProof/>
          <w:spacing w:val="-6"/>
          <w:lang w:val="sk-SK"/>
        </w:rPr>
        <w:t>dôvodu nedostatočných trhových stimulov. Systém je systémom financovania domácností</w:t>
      </w:r>
      <w:r w:rsidR="00CC26EA" w:rsidRPr="00CC26EA">
        <w:rPr>
          <w:noProof/>
          <w:spacing w:val="-6"/>
          <w:lang w:val="sk-SK"/>
        </w:rPr>
        <w:t xml:space="preserve"> a </w:t>
      </w:r>
      <w:r w:rsidRPr="00CC26EA">
        <w:rPr>
          <w:noProof/>
          <w:spacing w:val="-6"/>
          <w:lang w:val="sk-SK"/>
        </w:rPr>
        <w:t>podnikov založeným na žiadateľoch.</w:t>
      </w:r>
    </w:p>
    <w:p w14:paraId="734C7DBF" w14:textId="77777777" w:rsidR="00F65654" w:rsidRPr="00CC26EA" w:rsidRDefault="00F65654">
      <w:pPr>
        <w:spacing w:before="120" w:after="120"/>
        <w:rPr>
          <w:rFonts w:ascii="Times New Roman" w:hAnsi="Times New Roman"/>
          <w:noProof/>
          <w:spacing w:val="-6"/>
          <w:sz w:val="24"/>
          <w:lang w:val="sk-SK"/>
        </w:rPr>
      </w:pPr>
    </w:p>
    <w:p w14:paraId="5880EDEA" w14:textId="4E9E5C07" w:rsidR="00F65654" w:rsidRPr="00CC26EA" w:rsidRDefault="0041081E">
      <w:pPr>
        <w:pStyle w:val="Text1"/>
        <w:ind w:left="0"/>
        <w:rPr>
          <w:b/>
          <w:noProof/>
          <w:spacing w:val="-6"/>
          <w:u w:val="single"/>
          <w:lang w:val="sk-SK"/>
        </w:rPr>
      </w:pPr>
      <w:r w:rsidRPr="00CC26EA">
        <w:rPr>
          <w:b/>
          <w:noProof/>
          <w:spacing w:val="-6"/>
          <w:u w:val="single"/>
          <w:lang w:val="sk-SK"/>
        </w:rPr>
        <w:t xml:space="preserve">F.2. </w:t>
      </w:r>
      <w:r w:rsidRPr="00CC26EA">
        <w:rPr>
          <w:noProof/>
          <w:spacing w:val="-6"/>
          <w:lang w:val="sk-SK"/>
        </w:rPr>
        <w:tab/>
      </w:r>
      <w:r w:rsidRPr="00CC26EA">
        <w:rPr>
          <w:b/>
          <w:noProof/>
          <w:spacing w:val="-6"/>
          <w:u w:val="single"/>
          <w:lang w:val="sk-SK"/>
        </w:rPr>
        <w:t>Míľniky, ciele, ukazovatele</w:t>
      </w:r>
      <w:r w:rsidR="00CC26EA" w:rsidRPr="00CC26EA">
        <w:rPr>
          <w:b/>
          <w:noProof/>
          <w:spacing w:val="-6"/>
          <w:u w:val="single"/>
          <w:lang w:val="sk-SK"/>
        </w:rPr>
        <w:t xml:space="preserve"> a </w:t>
      </w:r>
      <w:r w:rsidRPr="00CC26EA">
        <w:rPr>
          <w:b/>
          <w:noProof/>
          <w:spacing w:val="-6"/>
          <w:u w:val="single"/>
          <w:lang w:val="sk-SK"/>
        </w:rPr>
        <w:t>harmonogram monitorovania</w:t>
      </w:r>
      <w:r w:rsidR="00CC26EA" w:rsidRPr="00CC26EA">
        <w:rPr>
          <w:b/>
          <w:noProof/>
          <w:spacing w:val="-6"/>
          <w:u w:val="single"/>
          <w:lang w:val="sk-SK"/>
        </w:rPr>
        <w:t xml:space="preserve"> a </w:t>
      </w:r>
      <w:r w:rsidRPr="00CC26EA">
        <w:rPr>
          <w:b/>
          <w:noProof/>
          <w:spacing w:val="-6"/>
          <w:u w:val="single"/>
          <w:lang w:val="sk-SK"/>
        </w:rPr>
        <w:t>realizácie pre nenávratnú finančnú podporu</w:t>
      </w:r>
    </w:p>
    <w:p w14:paraId="653408A4" w14:textId="77777777" w:rsidR="00F65654" w:rsidRPr="00CC26EA" w:rsidRDefault="00F65654">
      <w:pPr>
        <w:pStyle w:val="Text1"/>
        <w:ind w:left="709"/>
        <w:rPr>
          <w:noProof/>
          <w:spacing w:val="-6"/>
          <w:lang w:val="sk-SK"/>
        </w:rPr>
        <w:sectPr w:rsidR="00F65654" w:rsidRPr="00CC26EA" w:rsidSect="00A61D33">
          <w:headerReference w:type="even" r:id="rId78"/>
          <w:headerReference w:type="default" r:id="rId79"/>
          <w:footerReference w:type="even" r:id="rId80"/>
          <w:footerReference w:type="default" r:id="rId81"/>
          <w:headerReference w:type="first" r:id="rId82"/>
          <w:footerReference w:type="first" r:id="rId83"/>
          <w:pgSz w:w="11907" w:h="16839"/>
          <w:pgMar w:top="1134" w:right="1134" w:bottom="1134" w:left="1134" w:header="567" w:footer="567" w:gutter="0"/>
          <w:cols w:space="720"/>
          <w:docGrid w:linePitch="360"/>
        </w:sectPr>
      </w:pPr>
    </w:p>
    <w:tbl>
      <w:tblPr>
        <w:tblpPr w:leftFromText="180" w:rightFromText="180" w:horzAnchor="margin" w:tblpXSpec="center" w:tblpY="-242"/>
        <w:tblW w:w="16008" w:type="dxa"/>
        <w:tblLook w:val="04A0" w:firstRow="1" w:lastRow="0" w:firstColumn="1" w:lastColumn="0" w:noHBand="0" w:noVBand="1"/>
      </w:tblPr>
      <w:tblGrid>
        <w:gridCol w:w="1117"/>
        <w:gridCol w:w="1819"/>
        <w:gridCol w:w="1532"/>
        <w:gridCol w:w="1850"/>
        <w:gridCol w:w="1807"/>
        <w:gridCol w:w="1429"/>
        <w:gridCol w:w="1073"/>
        <w:gridCol w:w="992"/>
        <w:gridCol w:w="1330"/>
        <w:gridCol w:w="937"/>
        <w:gridCol w:w="2738"/>
      </w:tblGrid>
      <w:tr w:rsidR="00F65654" w:rsidRPr="00CC26EA" w14:paraId="4FD34310" w14:textId="77777777">
        <w:trPr>
          <w:trHeight w:val="927"/>
          <w:tblHeader/>
        </w:trPr>
        <w:tc>
          <w:tcPr>
            <w:tcW w:w="11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83C653B"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Poradové číslo</w:t>
            </w:r>
          </w:p>
        </w:tc>
        <w:tc>
          <w:tcPr>
            <w:tcW w:w="181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60044041"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Súvisiace opatrenie (reforma alebo investícia)</w:t>
            </w:r>
          </w:p>
        </w:tc>
        <w:tc>
          <w:tcPr>
            <w:tcW w:w="153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E21E3D1"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Míľnik/cieľ</w:t>
            </w:r>
          </w:p>
        </w:tc>
        <w:tc>
          <w:tcPr>
            <w:tcW w:w="1736" w:type="dxa"/>
            <w:vMerge w:val="restart"/>
            <w:tcBorders>
              <w:top w:val="single" w:sz="4" w:space="0" w:color="auto"/>
              <w:left w:val="nil"/>
              <w:bottom w:val="single" w:sz="4" w:space="0" w:color="000000"/>
              <w:right w:val="single" w:sz="4" w:space="0" w:color="auto"/>
            </w:tcBorders>
            <w:shd w:val="clear" w:color="auto" w:fill="BDD7EE"/>
            <w:vAlign w:val="center"/>
            <w:hideMark/>
          </w:tcPr>
          <w:p w14:paraId="152D997A"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Názov</w:t>
            </w:r>
          </w:p>
        </w:tc>
        <w:tc>
          <w:tcPr>
            <w:tcW w:w="172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1659AEA" w14:textId="77777777" w:rsidR="00F65654" w:rsidRPr="00CC26EA" w:rsidRDefault="0041081E">
            <w:pPr>
              <w:spacing w:after="0"/>
              <w:jc w:val="center"/>
              <w:rPr>
                <w:rFonts w:ascii="Times New Roman" w:eastAsia="Times New Roman" w:hAnsi="Times New Roman"/>
                <w:b/>
                <w:noProof/>
                <w:spacing w:val="-6"/>
                <w:lang w:val="sk-SK"/>
              </w:rPr>
            </w:pPr>
            <w:r w:rsidRPr="00CC26EA">
              <w:rPr>
                <w:rFonts w:ascii="Times New Roman" w:hAnsi="Times New Roman"/>
                <w:b/>
                <w:noProof/>
                <w:spacing w:val="-6"/>
                <w:lang w:val="sk-SK"/>
              </w:rPr>
              <w:t xml:space="preserve">Kvalitatívne ukazovatele </w:t>
            </w:r>
            <w:r w:rsidRPr="00CC26EA">
              <w:rPr>
                <w:rFonts w:ascii="Times New Roman" w:hAnsi="Times New Roman"/>
                <w:noProof/>
                <w:spacing w:val="-6"/>
                <w:lang w:val="sk-SK"/>
              </w:rPr>
              <w:t xml:space="preserve"> </w:t>
            </w:r>
            <w:r w:rsidRPr="00CC26EA">
              <w:rPr>
                <w:rFonts w:ascii="Times New Roman" w:hAnsi="Times New Roman"/>
                <w:b/>
                <w:noProof/>
                <w:spacing w:val="-6"/>
                <w:lang w:val="sk-SK"/>
              </w:rPr>
              <w:t>(pre míľniky)</w:t>
            </w:r>
          </w:p>
        </w:tc>
        <w:tc>
          <w:tcPr>
            <w:tcW w:w="3490" w:type="dxa"/>
            <w:gridSpan w:val="3"/>
            <w:tcBorders>
              <w:top w:val="single" w:sz="4" w:space="0" w:color="auto"/>
              <w:left w:val="nil"/>
              <w:bottom w:val="single" w:sz="4" w:space="0" w:color="auto"/>
              <w:right w:val="single" w:sz="4" w:space="0" w:color="auto"/>
            </w:tcBorders>
            <w:shd w:val="clear" w:color="auto" w:fill="BDD7EE"/>
            <w:vAlign w:val="center"/>
            <w:hideMark/>
          </w:tcPr>
          <w:p w14:paraId="01F4C254" w14:textId="77777777" w:rsidR="00F65654" w:rsidRPr="00CC26EA" w:rsidRDefault="0041081E">
            <w:pPr>
              <w:spacing w:after="0"/>
              <w:jc w:val="center"/>
              <w:rPr>
                <w:rFonts w:ascii="Times New Roman" w:eastAsia="Times New Roman" w:hAnsi="Times New Roman"/>
                <w:b/>
                <w:noProof/>
                <w:spacing w:val="-6"/>
                <w:lang w:val="sk-SK"/>
              </w:rPr>
            </w:pPr>
            <w:r w:rsidRPr="00CC26EA">
              <w:rPr>
                <w:rFonts w:ascii="Times New Roman" w:hAnsi="Times New Roman"/>
                <w:b/>
                <w:noProof/>
                <w:spacing w:val="-6"/>
                <w:lang w:val="sk-SK"/>
              </w:rPr>
              <w:t xml:space="preserve">Kvantitatívne ukazovatele </w:t>
            </w:r>
            <w:r w:rsidRPr="00CC26EA">
              <w:rPr>
                <w:rFonts w:ascii="Times New Roman" w:hAnsi="Times New Roman"/>
                <w:noProof/>
                <w:spacing w:val="-6"/>
                <w:lang w:val="sk-SK"/>
              </w:rPr>
              <w:t xml:space="preserve"> </w:t>
            </w:r>
            <w:r w:rsidRPr="00CC26EA">
              <w:rPr>
                <w:rFonts w:ascii="Times New Roman" w:hAnsi="Times New Roman"/>
                <w:b/>
                <w:noProof/>
                <w:spacing w:val="-6"/>
                <w:lang w:val="sk-SK"/>
              </w:rPr>
              <w:t>(pre ciele)</w:t>
            </w:r>
          </w:p>
        </w:tc>
        <w:tc>
          <w:tcPr>
            <w:tcW w:w="1853" w:type="dxa"/>
            <w:gridSpan w:val="2"/>
            <w:tcBorders>
              <w:top w:val="single" w:sz="4" w:space="0" w:color="auto"/>
              <w:left w:val="nil"/>
              <w:bottom w:val="single" w:sz="4" w:space="0" w:color="auto"/>
              <w:right w:val="single" w:sz="4" w:space="0" w:color="auto"/>
            </w:tcBorders>
            <w:shd w:val="clear" w:color="auto" w:fill="BDD7EE"/>
            <w:vAlign w:val="center"/>
            <w:hideMark/>
          </w:tcPr>
          <w:p w14:paraId="25CFB04A"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Orientačný harmonogram splnenia </w:t>
            </w:r>
          </w:p>
        </w:tc>
        <w:tc>
          <w:tcPr>
            <w:tcW w:w="273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AABAF6" w14:textId="22303F13" w:rsidR="00F65654" w:rsidRPr="00CC26EA" w:rsidRDefault="0041081E">
            <w:pPr>
              <w:pStyle w:val="P68B1DB1-Normal1"/>
              <w:spacing w:after="0"/>
              <w:jc w:val="center"/>
              <w:rPr>
                <w:rFonts w:ascii="Times New Roman" w:eastAsia="Times New Roman" w:hAnsi="Times New Roman"/>
                <w:noProof/>
                <w:spacing w:val="-6"/>
                <w:sz w:val="20"/>
                <w:lang w:val="sk-SK"/>
              </w:rPr>
            </w:pPr>
            <w:r w:rsidRPr="00CC26EA">
              <w:rPr>
                <w:rFonts w:ascii="Times New Roman" w:hAnsi="Times New Roman"/>
                <w:noProof/>
                <w:spacing w:val="-6"/>
                <w:lang w:val="sk-SK"/>
              </w:rPr>
              <w:t>Opis každého míľnika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cieľa</w:t>
            </w:r>
          </w:p>
        </w:tc>
      </w:tr>
      <w:tr w:rsidR="00F65654" w:rsidRPr="00CC26EA" w14:paraId="6C17D9C0" w14:textId="77777777">
        <w:trPr>
          <w:trHeight w:val="1013"/>
          <w:tblHeader/>
        </w:trPr>
        <w:tc>
          <w:tcPr>
            <w:tcW w:w="1117" w:type="dxa"/>
            <w:vMerge/>
            <w:tcBorders>
              <w:top w:val="single" w:sz="4" w:space="0" w:color="auto"/>
              <w:left w:val="single" w:sz="4" w:space="0" w:color="auto"/>
              <w:bottom w:val="single" w:sz="4" w:space="0" w:color="000000"/>
              <w:right w:val="single" w:sz="4" w:space="0" w:color="auto"/>
            </w:tcBorders>
            <w:vAlign w:val="center"/>
            <w:hideMark/>
          </w:tcPr>
          <w:p w14:paraId="76C09287" w14:textId="77777777" w:rsidR="00F65654" w:rsidRPr="00CC26EA" w:rsidRDefault="00F65654">
            <w:pPr>
              <w:spacing w:after="0"/>
              <w:rPr>
                <w:rFonts w:ascii="Times New Roman" w:eastAsia="Times New Roman" w:hAnsi="Times New Roman"/>
                <w:b/>
                <w:noProof/>
                <w:spacing w:val="-6"/>
                <w:lang w:val="sk-SK"/>
              </w:rPr>
            </w:pPr>
          </w:p>
        </w:tc>
        <w:tc>
          <w:tcPr>
            <w:tcW w:w="1819" w:type="dxa"/>
            <w:vMerge/>
            <w:tcBorders>
              <w:top w:val="single" w:sz="4" w:space="0" w:color="auto"/>
              <w:left w:val="single" w:sz="4" w:space="0" w:color="auto"/>
              <w:bottom w:val="single" w:sz="4" w:space="0" w:color="000000"/>
              <w:right w:val="single" w:sz="4" w:space="0" w:color="auto"/>
            </w:tcBorders>
            <w:vAlign w:val="center"/>
            <w:hideMark/>
          </w:tcPr>
          <w:p w14:paraId="54C23D74" w14:textId="77777777" w:rsidR="00F65654" w:rsidRPr="00CC26EA" w:rsidRDefault="00F65654">
            <w:pPr>
              <w:spacing w:after="0"/>
              <w:rPr>
                <w:rFonts w:ascii="Times New Roman" w:eastAsia="Times New Roman" w:hAnsi="Times New Roman"/>
                <w:b/>
                <w:noProof/>
                <w:spacing w:val="-6"/>
                <w:lang w:val="sk-SK"/>
              </w:rPr>
            </w:pPr>
          </w:p>
        </w:tc>
        <w:tc>
          <w:tcPr>
            <w:tcW w:w="1532" w:type="dxa"/>
            <w:vMerge/>
            <w:tcBorders>
              <w:top w:val="single" w:sz="4" w:space="0" w:color="auto"/>
              <w:left w:val="single" w:sz="4" w:space="0" w:color="auto"/>
              <w:bottom w:val="single" w:sz="4" w:space="0" w:color="000000"/>
              <w:right w:val="single" w:sz="4" w:space="0" w:color="auto"/>
            </w:tcBorders>
            <w:vAlign w:val="center"/>
            <w:hideMark/>
          </w:tcPr>
          <w:p w14:paraId="3ABC6116" w14:textId="77777777" w:rsidR="00F65654" w:rsidRPr="00CC26EA" w:rsidRDefault="00F65654">
            <w:pPr>
              <w:spacing w:after="0"/>
              <w:rPr>
                <w:rFonts w:ascii="Times New Roman" w:eastAsia="Times New Roman" w:hAnsi="Times New Roman"/>
                <w:b/>
                <w:noProof/>
                <w:spacing w:val="-6"/>
                <w:lang w:val="sk-SK"/>
              </w:rPr>
            </w:pPr>
          </w:p>
        </w:tc>
        <w:tc>
          <w:tcPr>
            <w:tcW w:w="1736" w:type="dxa"/>
            <w:vMerge/>
            <w:tcBorders>
              <w:top w:val="single" w:sz="4" w:space="0" w:color="auto"/>
              <w:left w:val="nil"/>
              <w:bottom w:val="single" w:sz="4" w:space="0" w:color="000000"/>
              <w:right w:val="single" w:sz="4" w:space="0" w:color="auto"/>
            </w:tcBorders>
            <w:vAlign w:val="center"/>
            <w:hideMark/>
          </w:tcPr>
          <w:p w14:paraId="67E54994" w14:textId="77777777" w:rsidR="00F65654" w:rsidRPr="00CC26EA" w:rsidRDefault="00F65654">
            <w:pPr>
              <w:spacing w:after="0"/>
              <w:rPr>
                <w:rFonts w:ascii="Times New Roman" w:eastAsia="Times New Roman" w:hAnsi="Times New Roman"/>
                <w:b/>
                <w:noProof/>
                <w:spacing w:val="-6"/>
                <w:lang w:val="sk-SK"/>
              </w:rPr>
            </w:pPr>
          </w:p>
        </w:tc>
        <w:tc>
          <w:tcPr>
            <w:tcW w:w="1723" w:type="dxa"/>
            <w:vMerge/>
            <w:tcBorders>
              <w:top w:val="single" w:sz="4" w:space="0" w:color="auto"/>
              <w:left w:val="single" w:sz="4" w:space="0" w:color="auto"/>
              <w:bottom w:val="single" w:sz="4" w:space="0" w:color="000000"/>
              <w:right w:val="single" w:sz="4" w:space="0" w:color="auto"/>
            </w:tcBorders>
            <w:vAlign w:val="center"/>
            <w:hideMark/>
          </w:tcPr>
          <w:p w14:paraId="6244A2A2" w14:textId="77777777" w:rsidR="00F65654" w:rsidRPr="00CC26EA" w:rsidRDefault="00F65654">
            <w:pPr>
              <w:spacing w:after="0"/>
              <w:rPr>
                <w:rFonts w:ascii="Times New Roman" w:eastAsia="Times New Roman" w:hAnsi="Times New Roman"/>
                <w:b/>
                <w:noProof/>
                <w:spacing w:val="-6"/>
                <w:lang w:val="sk-SK"/>
              </w:rPr>
            </w:pPr>
          </w:p>
        </w:tc>
        <w:tc>
          <w:tcPr>
            <w:tcW w:w="1429" w:type="dxa"/>
            <w:tcBorders>
              <w:top w:val="nil"/>
              <w:left w:val="nil"/>
              <w:bottom w:val="single" w:sz="4" w:space="0" w:color="auto"/>
              <w:right w:val="single" w:sz="4" w:space="0" w:color="auto"/>
            </w:tcBorders>
            <w:shd w:val="clear" w:color="auto" w:fill="BDD7EE"/>
            <w:vAlign w:val="center"/>
            <w:hideMark/>
          </w:tcPr>
          <w:p w14:paraId="7E2001F5"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Merná jednotka</w:t>
            </w:r>
          </w:p>
        </w:tc>
        <w:tc>
          <w:tcPr>
            <w:tcW w:w="1069" w:type="dxa"/>
            <w:tcBorders>
              <w:top w:val="nil"/>
              <w:left w:val="nil"/>
              <w:bottom w:val="single" w:sz="4" w:space="0" w:color="auto"/>
              <w:right w:val="single" w:sz="4" w:space="0" w:color="auto"/>
            </w:tcBorders>
            <w:shd w:val="clear" w:color="auto" w:fill="BDD7EE"/>
            <w:vAlign w:val="center"/>
            <w:hideMark/>
          </w:tcPr>
          <w:p w14:paraId="2CF7FD6E"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Základná </w:t>
            </w:r>
          </w:p>
        </w:tc>
        <w:tc>
          <w:tcPr>
            <w:tcW w:w="992" w:type="dxa"/>
            <w:tcBorders>
              <w:top w:val="nil"/>
              <w:left w:val="nil"/>
              <w:bottom w:val="single" w:sz="4" w:space="0" w:color="auto"/>
              <w:right w:val="single" w:sz="4" w:space="0" w:color="auto"/>
            </w:tcBorders>
            <w:shd w:val="clear" w:color="auto" w:fill="BDD7EE"/>
            <w:vAlign w:val="center"/>
            <w:hideMark/>
          </w:tcPr>
          <w:p w14:paraId="40C22E51"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Cieľ </w:t>
            </w:r>
          </w:p>
        </w:tc>
        <w:tc>
          <w:tcPr>
            <w:tcW w:w="916" w:type="dxa"/>
            <w:tcBorders>
              <w:top w:val="nil"/>
              <w:left w:val="nil"/>
              <w:bottom w:val="single" w:sz="4" w:space="0" w:color="auto"/>
              <w:right w:val="single" w:sz="4" w:space="0" w:color="auto"/>
            </w:tcBorders>
            <w:shd w:val="clear" w:color="auto" w:fill="BDD7EE"/>
            <w:vAlign w:val="center"/>
            <w:hideMark/>
          </w:tcPr>
          <w:p w14:paraId="7477AC98"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Štvrťrok</w:t>
            </w:r>
          </w:p>
        </w:tc>
        <w:tc>
          <w:tcPr>
            <w:tcW w:w="937" w:type="dxa"/>
            <w:tcBorders>
              <w:top w:val="nil"/>
              <w:left w:val="nil"/>
              <w:bottom w:val="single" w:sz="4" w:space="0" w:color="auto"/>
              <w:right w:val="single" w:sz="4" w:space="0" w:color="auto"/>
            </w:tcBorders>
            <w:shd w:val="clear" w:color="auto" w:fill="BDD7EE"/>
            <w:vAlign w:val="center"/>
            <w:hideMark/>
          </w:tcPr>
          <w:p w14:paraId="2E2534E3"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Rok</w:t>
            </w:r>
          </w:p>
        </w:tc>
        <w:tc>
          <w:tcPr>
            <w:tcW w:w="2738" w:type="dxa"/>
            <w:vMerge/>
            <w:tcBorders>
              <w:top w:val="single" w:sz="4" w:space="0" w:color="auto"/>
              <w:left w:val="single" w:sz="4" w:space="0" w:color="auto"/>
              <w:bottom w:val="single" w:sz="4" w:space="0" w:color="auto"/>
              <w:right w:val="single" w:sz="4" w:space="0" w:color="auto"/>
            </w:tcBorders>
            <w:vAlign w:val="center"/>
            <w:hideMark/>
          </w:tcPr>
          <w:p w14:paraId="646AB112" w14:textId="77777777" w:rsidR="00F65654" w:rsidRPr="00CC26EA" w:rsidRDefault="00F65654">
            <w:pPr>
              <w:spacing w:after="0"/>
              <w:rPr>
                <w:rFonts w:ascii="Times New Roman" w:eastAsia="Times New Roman" w:hAnsi="Times New Roman"/>
                <w:b/>
                <w:noProof/>
                <w:spacing w:val="-6"/>
                <w:sz w:val="20"/>
                <w:lang w:val="sk-SK"/>
              </w:rPr>
            </w:pPr>
          </w:p>
        </w:tc>
      </w:tr>
      <w:tr w:rsidR="00F65654" w:rsidRPr="00CC26EA" w14:paraId="7585E020" w14:textId="77777777">
        <w:trPr>
          <w:trHeight w:val="309"/>
        </w:trPr>
        <w:tc>
          <w:tcPr>
            <w:tcW w:w="1117" w:type="dxa"/>
            <w:tcBorders>
              <w:top w:val="nil"/>
              <w:left w:val="single" w:sz="4" w:space="0" w:color="auto"/>
              <w:bottom w:val="single" w:sz="4" w:space="0" w:color="auto"/>
              <w:right w:val="single" w:sz="4" w:space="0" w:color="auto"/>
            </w:tcBorders>
            <w:shd w:val="clear" w:color="auto" w:fill="C6EFCE"/>
            <w:noWrap/>
          </w:tcPr>
          <w:p w14:paraId="6A098F4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54 </w:t>
            </w:r>
          </w:p>
        </w:tc>
        <w:tc>
          <w:tcPr>
            <w:tcW w:w="1819" w:type="dxa"/>
            <w:tcBorders>
              <w:top w:val="nil"/>
              <w:left w:val="nil"/>
              <w:bottom w:val="single" w:sz="4" w:space="0" w:color="auto"/>
              <w:right w:val="single" w:sz="4" w:space="0" w:color="auto"/>
            </w:tcBorders>
            <w:shd w:val="clear" w:color="auto" w:fill="C6EFCE"/>
            <w:noWrap/>
          </w:tcPr>
          <w:p w14:paraId="0BC9E89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Digitálna stratégia</w:t>
            </w:r>
          </w:p>
        </w:tc>
        <w:tc>
          <w:tcPr>
            <w:tcW w:w="1532" w:type="dxa"/>
            <w:tcBorders>
              <w:top w:val="nil"/>
              <w:left w:val="nil"/>
              <w:bottom w:val="single" w:sz="4" w:space="0" w:color="auto"/>
              <w:right w:val="single" w:sz="4" w:space="0" w:color="auto"/>
            </w:tcBorders>
            <w:shd w:val="clear" w:color="auto" w:fill="C6EFCE"/>
            <w:noWrap/>
          </w:tcPr>
          <w:p w14:paraId="5BEBB36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736" w:type="dxa"/>
            <w:tcBorders>
              <w:top w:val="nil"/>
              <w:left w:val="nil"/>
              <w:bottom w:val="single" w:sz="4" w:space="0" w:color="auto"/>
              <w:right w:val="single" w:sz="4" w:space="0" w:color="auto"/>
            </w:tcBorders>
            <w:shd w:val="clear" w:color="auto" w:fill="C6EFCE"/>
            <w:noWrap/>
          </w:tcPr>
          <w:p w14:paraId="7C4D6C9F" w14:textId="38B0CE19"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Prijatie novej „digitálnej stratégie“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zákone</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financiách na rok 2022</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plánu vykonávania. </w:t>
            </w:r>
          </w:p>
        </w:tc>
        <w:tc>
          <w:tcPr>
            <w:tcW w:w="1723" w:type="dxa"/>
            <w:tcBorders>
              <w:top w:val="nil"/>
              <w:left w:val="nil"/>
              <w:bottom w:val="single" w:sz="4" w:space="0" w:color="auto"/>
              <w:right w:val="single" w:sz="4" w:space="0" w:color="auto"/>
            </w:tcBorders>
            <w:shd w:val="clear" w:color="auto" w:fill="C6EFCE"/>
            <w:noWrap/>
          </w:tcPr>
          <w:p w14:paraId="414D0E8A" w14:textId="212B4261"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Dánska vláda dokončí rokovania</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politickými stranami</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cieľom prijať konečné znenie, ktoré sa vykoná</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zákone</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financiách na rok 2022,</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zodpovedajúci plán vykonávania. </w:t>
            </w:r>
          </w:p>
        </w:tc>
        <w:tc>
          <w:tcPr>
            <w:tcW w:w="1429" w:type="dxa"/>
            <w:tcBorders>
              <w:top w:val="nil"/>
              <w:left w:val="nil"/>
              <w:bottom w:val="single" w:sz="4" w:space="0" w:color="auto"/>
              <w:right w:val="single" w:sz="4" w:space="0" w:color="auto"/>
            </w:tcBorders>
            <w:shd w:val="clear" w:color="auto" w:fill="C6EFCE"/>
            <w:noWrap/>
          </w:tcPr>
          <w:p w14:paraId="4433AAD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69" w:type="dxa"/>
            <w:tcBorders>
              <w:top w:val="nil"/>
              <w:left w:val="nil"/>
              <w:bottom w:val="single" w:sz="4" w:space="0" w:color="auto"/>
              <w:right w:val="single" w:sz="4" w:space="0" w:color="auto"/>
            </w:tcBorders>
            <w:shd w:val="clear" w:color="auto" w:fill="C6EFCE"/>
            <w:noWrap/>
          </w:tcPr>
          <w:p w14:paraId="0D2E94E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92" w:type="dxa"/>
            <w:tcBorders>
              <w:top w:val="nil"/>
              <w:left w:val="nil"/>
              <w:bottom w:val="single" w:sz="4" w:space="0" w:color="auto"/>
              <w:right w:val="single" w:sz="4" w:space="0" w:color="auto"/>
            </w:tcBorders>
            <w:shd w:val="clear" w:color="auto" w:fill="C6EFCE"/>
            <w:noWrap/>
          </w:tcPr>
          <w:p w14:paraId="4F128F9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16" w:type="dxa"/>
            <w:tcBorders>
              <w:top w:val="nil"/>
              <w:left w:val="nil"/>
              <w:bottom w:val="single" w:sz="4" w:space="0" w:color="auto"/>
              <w:right w:val="single" w:sz="4" w:space="0" w:color="auto"/>
            </w:tcBorders>
            <w:shd w:val="clear" w:color="auto" w:fill="C6EFCE"/>
            <w:noWrap/>
          </w:tcPr>
          <w:p w14:paraId="161ABC5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OTÁZKA Č. 1</w:t>
            </w:r>
          </w:p>
        </w:tc>
        <w:tc>
          <w:tcPr>
            <w:tcW w:w="937" w:type="dxa"/>
            <w:tcBorders>
              <w:top w:val="nil"/>
              <w:left w:val="nil"/>
              <w:bottom w:val="single" w:sz="4" w:space="0" w:color="auto"/>
              <w:right w:val="single" w:sz="4" w:space="0" w:color="auto"/>
            </w:tcBorders>
            <w:shd w:val="clear" w:color="auto" w:fill="C6EFCE"/>
            <w:noWrap/>
          </w:tcPr>
          <w:p w14:paraId="1AB8297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2022</w:t>
            </w:r>
          </w:p>
        </w:tc>
        <w:tc>
          <w:tcPr>
            <w:tcW w:w="2738" w:type="dxa"/>
            <w:tcBorders>
              <w:top w:val="nil"/>
              <w:left w:val="nil"/>
              <w:bottom w:val="single" w:sz="4" w:space="0" w:color="auto"/>
              <w:right w:val="single" w:sz="4" w:space="0" w:color="auto"/>
            </w:tcBorders>
            <w:shd w:val="clear" w:color="auto" w:fill="C6EFCE"/>
            <w:noWrap/>
          </w:tcPr>
          <w:p w14:paraId="261B046F" w14:textId="0CC32CEA"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Na základe odporúčaní „digitálneho partnerstva“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 rokovaniach</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politickými stranami</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prijatí konečnej stratégie sa iniciatívy</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nákladmi začleňujú do finančného zákona na rok 2022.     2.</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stratégii sa riešia hlavné výzvy identifikované digitálnym partnerstvom.     „Digitálna stratégia“ má tieto ciele:  1. Vytvorenie digitálneho verejného sektora budúcnosti nepretržitou modernizáciou digitálnej infraštruktúry, ktorá spĺňa potreby všetkých občanov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podnikov,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posilnením pripojiteľnosti.  2. Zabezpečenie digitálnych povolaní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pracovných miest budúcnosti posilnením digitalizácie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rámci podnikov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priemyslu, čím sa podporí rast</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obchod</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tovarom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službami.  3. Vytváranie lepších príležitostí na spoločnú tvorbu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inovácie využívaním nových technológií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verejno-súkromných partnerstiev na zefektívnenie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zlepšenie verejných digitálnych služieb, urýchlenie digitálnej transformácie podnikov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podporu zmierňovania zmeny klímy.  4. Vytvorenie spoločnosti založenej na údajoch podporou lepšieho prístupu</w:t>
            </w:r>
            <w:r w:rsidR="00CC26EA" w:rsidRPr="00CC26EA">
              <w:rPr>
                <w:rFonts w:ascii="Times New Roman" w:hAnsi="Times New Roman"/>
                <w:noProof/>
                <w:spacing w:val="-6"/>
                <w:lang w:val="sk-SK"/>
              </w:rPr>
              <w:t xml:space="preserve"> k </w:t>
            </w:r>
            <w:r w:rsidRPr="00CC26EA">
              <w:rPr>
                <w:rFonts w:ascii="Times New Roman" w:hAnsi="Times New Roman"/>
                <w:noProof/>
                <w:spacing w:val="-6"/>
                <w:lang w:val="sk-SK"/>
              </w:rPr>
              <w:t>údajom, bezpečných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interoperabilných dátových infraštruktúr</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regulačného rámca pripraveného na digitálne technológie</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cieľom zlepšiť digitalizáciu MSP, systémov zdravotnej starostlivosti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digitálnych služieb.  5. Vytvorenie rámca pre Dánsko pripraveného na digitálnu budúcnosť pri súčasnom zachovaní najlepších výsledkov spoločnosti posilnením kybernetickej</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informačnej bezpečnosti, digitálnych zručností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kompetencií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prospech všetkých občanov, podnikov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zamestnancov 3. Ministerstvo financií poskytne „plán vykonávania“. Zahŕňa zoznam opatrení dohodnutých</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rámci novej digitálnej stratégie na dosiahnutie piatich cieľov vrátane podrobných opisov konkrétnych iniciatív, cieľových skupín, financovania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nákladov</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súlade</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nariadením EÚ 241/2021. Plán vykonávania zahŕňa aj rozdelenie rozpočtových prostriedkov medzi rôzne ciele, zodpovedné ministerstvá/agentúry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zoznam príslušných regulačných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legislatívnych aktov, ktoré je potrebné zmeniť. </w:t>
            </w:r>
          </w:p>
        </w:tc>
      </w:tr>
      <w:tr w:rsidR="00F65654" w:rsidRPr="00CC26EA" w14:paraId="581021B9" w14:textId="77777777">
        <w:trPr>
          <w:trHeight w:val="309"/>
        </w:trPr>
        <w:tc>
          <w:tcPr>
            <w:tcW w:w="1117" w:type="dxa"/>
            <w:tcBorders>
              <w:top w:val="nil"/>
              <w:left w:val="single" w:sz="4" w:space="0" w:color="auto"/>
              <w:bottom w:val="single" w:sz="4" w:space="0" w:color="auto"/>
              <w:right w:val="single" w:sz="4" w:space="0" w:color="auto"/>
            </w:tcBorders>
            <w:shd w:val="clear" w:color="auto" w:fill="C6EFCE"/>
            <w:noWrap/>
          </w:tcPr>
          <w:p w14:paraId="2BF4289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55</w:t>
            </w:r>
          </w:p>
        </w:tc>
        <w:tc>
          <w:tcPr>
            <w:tcW w:w="1819" w:type="dxa"/>
            <w:tcBorders>
              <w:top w:val="nil"/>
              <w:left w:val="nil"/>
              <w:bottom w:val="single" w:sz="4" w:space="0" w:color="auto"/>
              <w:right w:val="single" w:sz="4" w:space="0" w:color="auto"/>
            </w:tcBorders>
            <w:shd w:val="clear" w:color="auto" w:fill="C6EFCE"/>
            <w:noWrap/>
          </w:tcPr>
          <w:p w14:paraId="50C69B3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Digitálna stratégia</w:t>
            </w:r>
          </w:p>
        </w:tc>
        <w:tc>
          <w:tcPr>
            <w:tcW w:w="1532" w:type="dxa"/>
            <w:tcBorders>
              <w:top w:val="nil"/>
              <w:left w:val="nil"/>
              <w:bottom w:val="single" w:sz="4" w:space="0" w:color="auto"/>
              <w:right w:val="single" w:sz="4" w:space="0" w:color="auto"/>
            </w:tcBorders>
            <w:shd w:val="clear" w:color="auto" w:fill="C6EFCE"/>
            <w:noWrap/>
          </w:tcPr>
          <w:p w14:paraId="6E3EB10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736" w:type="dxa"/>
            <w:tcBorders>
              <w:top w:val="nil"/>
              <w:left w:val="nil"/>
              <w:bottom w:val="single" w:sz="4" w:space="0" w:color="auto"/>
              <w:right w:val="single" w:sz="4" w:space="0" w:color="auto"/>
            </w:tcBorders>
            <w:shd w:val="clear" w:color="auto" w:fill="C6EFCE"/>
            <w:noWrap/>
          </w:tcPr>
          <w:p w14:paraId="761A3E05" w14:textId="030EC970"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Implementácia digitálnej stratégie do príslušných regulačných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legislatívnych aktov.</w:t>
            </w:r>
          </w:p>
        </w:tc>
        <w:tc>
          <w:tcPr>
            <w:tcW w:w="1723" w:type="dxa"/>
            <w:tcBorders>
              <w:top w:val="nil"/>
              <w:left w:val="nil"/>
              <w:bottom w:val="single" w:sz="4" w:space="0" w:color="auto"/>
              <w:right w:val="single" w:sz="4" w:space="0" w:color="auto"/>
            </w:tcBorders>
            <w:shd w:val="clear" w:color="auto" w:fill="C6EFCE"/>
            <w:noWrap/>
          </w:tcPr>
          <w:p w14:paraId="67CA35FB" w14:textId="4A87765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Najmenej 50</w:t>
            </w:r>
            <w:r w:rsidR="00CC26EA" w:rsidRPr="00CC26EA">
              <w:rPr>
                <w:rFonts w:ascii="Times New Roman" w:hAnsi="Times New Roman"/>
                <w:noProof/>
                <w:spacing w:val="-6"/>
                <w:lang w:val="sk-SK"/>
              </w:rPr>
              <w:t> %</w:t>
            </w:r>
            <w:r w:rsidRPr="00CC26EA">
              <w:rPr>
                <w:rFonts w:ascii="Times New Roman" w:hAnsi="Times New Roman"/>
                <w:noProof/>
                <w:spacing w:val="-6"/>
                <w:lang w:val="sk-SK"/>
              </w:rPr>
              <w:t xml:space="preserve"> opatrení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digitálnej stratégii bolo implementovaných do príslušných regulačných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legislatívnych aktov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nadobudli účinnosť.</w:t>
            </w:r>
          </w:p>
        </w:tc>
        <w:tc>
          <w:tcPr>
            <w:tcW w:w="1429" w:type="dxa"/>
            <w:tcBorders>
              <w:top w:val="nil"/>
              <w:left w:val="nil"/>
              <w:bottom w:val="single" w:sz="4" w:space="0" w:color="auto"/>
              <w:right w:val="single" w:sz="4" w:space="0" w:color="auto"/>
            </w:tcBorders>
            <w:shd w:val="clear" w:color="auto" w:fill="C6EFCE"/>
            <w:noWrap/>
          </w:tcPr>
          <w:p w14:paraId="5385DB3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69" w:type="dxa"/>
            <w:tcBorders>
              <w:top w:val="nil"/>
              <w:left w:val="nil"/>
              <w:bottom w:val="single" w:sz="4" w:space="0" w:color="auto"/>
              <w:right w:val="single" w:sz="4" w:space="0" w:color="auto"/>
            </w:tcBorders>
            <w:shd w:val="clear" w:color="auto" w:fill="C6EFCE"/>
            <w:noWrap/>
          </w:tcPr>
          <w:p w14:paraId="5138931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92" w:type="dxa"/>
            <w:tcBorders>
              <w:top w:val="nil"/>
              <w:left w:val="nil"/>
              <w:bottom w:val="single" w:sz="4" w:space="0" w:color="auto"/>
              <w:right w:val="single" w:sz="4" w:space="0" w:color="auto"/>
            </w:tcBorders>
            <w:shd w:val="clear" w:color="auto" w:fill="C6EFCE"/>
            <w:noWrap/>
          </w:tcPr>
          <w:p w14:paraId="026EE03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16" w:type="dxa"/>
            <w:tcBorders>
              <w:top w:val="nil"/>
              <w:left w:val="nil"/>
              <w:bottom w:val="single" w:sz="4" w:space="0" w:color="auto"/>
              <w:right w:val="single" w:sz="4" w:space="0" w:color="auto"/>
            </w:tcBorders>
            <w:shd w:val="clear" w:color="auto" w:fill="C6EFCE"/>
            <w:noWrap/>
          </w:tcPr>
          <w:p w14:paraId="729BC30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937" w:type="dxa"/>
            <w:tcBorders>
              <w:top w:val="nil"/>
              <w:left w:val="nil"/>
              <w:bottom w:val="single" w:sz="4" w:space="0" w:color="auto"/>
              <w:right w:val="single" w:sz="4" w:space="0" w:color="auto"/>
            </w:tcBorders>
            <w:shd w:val="clear" w:color="auto" w:fill="C6EFCE"/>
            <w:noWrap/>
          </w:tcPr>
          <w:p w14:paraId="5C955D06"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2023</w:t>
            </w:r>
          </w:p>
        </w:tc>
        <w:tc>
          <w:tcPr>
            <w:tcW w:w="2738" w:type="dxa"/>
            <w:tcBorders>
              <w:top w:val="nil"/>
              <w:left w:val="nil"/>
              <w:bottom w:val="single" w:sz="4" w:space="0" w:color="auto"/>
              <w:right w:val="single" w:sz="4" w:space="0" w:color="auto"/>
            </w:tcBorders>
            <w:shd w:val="clear" w:color="auto" w:fill="C6EFCE"/>
            <w:noWrap/>
          </w:tcPr>
          <w:p w14:paraId="691EA796" w14:textId="593B806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 sa dosiahne, keď nadobudne účinnosť aspoň 50</w:t>
            </w:r>
            <w:r w:rsidR="00CC26EA" w:rsidRPr="00CC26EA">
              <w:rPr>
                <w:rFonts w:ascii="Times New Roman" w:hAnsi="Times New Roman"/>
                <w:noProof/>
                <w:spacing w:val="-6"/>
                <w:lang w:val="sk-SK"/>
              </w:rPr>
              <w:t> %</w:t>
            </w:r>
            <w:r w:rsidRPr="00CC26EA">
              <w:rPr>
                <w:rFonts w:ascii="Times New Roman" w:hAnsi="Times New Roman"/>
                <w:noProof/>
                <w:spacing w:val="-6"/>
                <w:lang w:val="sk-SK"/>
              </w:rPr>
              <w:t xml:space="preserve"> opatrení, ktorými sa stanovujú regulačné</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legislatívne akty, ako sa uvádza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„pláne vykonávania“ uvedenom</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míľniku 54.</w:t>
            </w:r>
          </w:p>
        </w:tc>
      </w:tr>
      <w:tr w:rsidR="00F65654" w:rsidRPr="00CC26EA" w14:paraId="2162551A" w14:textId="77777777">
        <w:trPr>
          <w:trHeight w:val="309"/>
        </w:trPr>
        <w:tc>
          <w:tcPr>
            <w:tcW w:w="1117" w:type="dxa"/>
            <w:tcBorders>
              <w:top w:val="nil"/>
              <w:left w:val="single" w:sz="4" w:space="0" w:color="auto"/>
              <w:bottom w:val="single" w:sz="4" w:space="0" w:color="auto"/>
              <w:right w:val="single" w:sz="4" w:space="0" w:color="auto"/>
            </w:tcBorders>
            <w:shd w:val="clear" w:color="auto" w:fill="C6EFCE"/>
            <w:noWrap/>
          </w:tcPr>
          <w:p w14:paraId="7DEA9630"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56</w:t>
            </w:r>
          </w:p>
        </w:tc>
        <w:tc>
          <w:tcPr>
            <w:tcW w:w="1819" w:type="dxa"/>
            <w:tcBorders>
              <w:top w:val="nil"/>
              <w:left w:val="nil"/>
              <w:bottom w:val="single" w:sz="4" w:space="0" w:color="auto"/>
              <w:right w:val="single" w:sz="4" w:space="0" w:color="auto"/>
            </w:tcBorders>
            <w:shd w:val="clear" w:color="auto" w:fill="C6EFCE"/>
            <w:noWrap/>
          </w:tcPr>
          <w:p w14:paraId="2B90A36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Digitálna stratégia</w:t>
            </w:r>
          </w:p>
        </w:tc>
        <w:tc>
          <w:tcPr>
            <w:tcW w:w="1532" w:type="dxa"/>
            <w:tcBorders>
              <w:top w:val="nil"/>
              <w:left w:val="nil"/>
              <w:bottom w:val="single" w:sz="4" w:space="0" w:color="auto"/>
              <w:right w:val="single" w:sz="4" w:space="0" w:color="auto"/>
            </w:tcBorders>
            <w:shd w:val="clear" w:color="auto" w:fill="C6EFCE"/>
            <w:noWrap/>
          </w:tcPr>
          <w:p w14:paraId="66DA6D5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736" w:type="dxa"/>
            <w:tcBorders>
              <w:top w:val="nil"/>
              <w:left w:val="nil"/>
              <w:bottom w:val="single" w:sz="4" w:space="0" w:color="auto"/>
              <w:right w:val="single" w:sz="4" w:space="0" w:color="auto"/>
            </w:tcBorders>
            <w:shd w:val="clear" w:color="auto" w:fill="C6EFCE"/>
            <w:noWrap/>
          </w:tcPr>
          <w:p w14:paraId="64A11C76" w14:textId="09FEEF2E"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Nezávislá správa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výsledkoch digitálnej stratégie</w:t>
            </w:r>
          </w:p>
        </w:tc>
        <w:tc>
          <w:tcPr>
            <w:tcW w:w="1723" w:type="dxa"/>
            <w:tcBorders>
              <w:top w:val="nil"/>
              <w:left w:val="nil"/>
              <w:bottom w:val="single" w:sz="4" w:space="0" w:color="auto"/>
              <w:right w:val="single" w:sz="4" w:space="0" w:color="auto"/>
            </w:tcBorders>
            <w:shd w:val="clear" w:color="auto" w:fill="C6EFCE"/>
            <w:noWrap/>
          </w:tcPr>
          <w:p w14:paraId="13CDB8C1" w14:textId="3C2ACD6B"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Nezávislá správa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dosiahnutých výsledkoch digitálnej stratégie sa uverejňuje na webovom sídle príslušného ministerstva.</w:t>
            </w:r>
          </w:p>
        </w:tc>
        <w:tc>
          <w:tcPr>
            <w:tcW w:w="1429" w:type="dxa"/>
            <w:tcBorders>
              <w:top w:val="nil"/>
              <w:left w:val="nil"/>
              <w:bottom w:val="single" w:sz="4" w:space="0" w:color="auto"/>
              <w:right w:val="single" w:sz="4" w:space="0" w:color="auto"/>
            </w:tcBorders>
            <w:shd w:val="clear" w:color="auto" w:fill="C6EFCE"/>
            <w:noWrap/>
          </w:tcPr>
          <w:p w14:paraId="56358E7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069" w:type="dxa"/>
            <w:tcBorders>
              <w:top w:val="nil"/>
              <w:left w:val="nil"/>
              <w:bottom w:val="single" w:sz="4" w:space="0" w:color="auto"/>
              <w:right w:val="single" w:sz="4" w:space="0" w:color="auto"/>
            </w:tcBorders>
            <w:shd w:val="clear" w:color="auto" w:fill="C6EFCE"/>
            <w:noWrap/>
          </w:tcPr>
          <w:p w14:paraId="5FA6661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92" w:type="dxa"/>
            <w:tcBorders>
              <w:top w:val="nil"/>
              <w:left w:val="nil"/>
              <w:bottom w:val="single" w:sz="4" w:space="0" w:color="auto"/>
              <w:right w:val="single" w:sz="4" w:space="0" w:color="auto"/>
            </w:tcBorders>
            <w:shd w:val="clear" w:color="auto" w:fill="C6EFCE"/>
            <w:noWrap/>
          </w:tcPr>
          <w:p w14:paraId="0DA7161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916" w:type="dxa"/>
            <w:tcBorders>
              <w:top w:val="nil"/>
              <w:left w:val="nil"/>
              <w:bottom w:val="single" w:sz="4" w:space="0" w:color="auto"/>
              <w:right w:val="single" w:sz="4" w:space="0" w:color="auto"/>
            </w:tcBorders>
            <w:shd w:val="clear" w:color="auto" w:fill="C6EFCE"/>
            <w:noWrap/>
          </w:tcPr>
          <w:p w14:paraId="5E07176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937" w:type="dxa"/>
            <w:tcBorders>
              <w:top w:val="nil"/>
              <w:left w:val="nil"/>
              <w:bottom w:val="single" w:sz="4" w:space="0" w:color="auto"/>
              <w:right w:val="single" w:sz="4" w:space="0" w:color="auto"/>
            </w:tcBorders>
            <w:shd w:val="clear" w:color="auto" w:fill="C6EFCE"/>
            <w:noWrap/>
          </w:tcPr>
          <w:p w14:paraId="5119498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2025</w:t>
            </w:r>
          </w:p>
        </w:tc>
        <w:tc>
          <w:tcPr>
            <w:tcW w:w="2738" w:type="dxa"/>
            <w:tcBorders>
              <w:top w:val="nil"/>
              <w:left w:val="nil"/>
              <w:bottom w:val="single" w:sz="4" w:space="0" w:color="auto"/>
              <w:right w:val="single" w:sz="4" w:space="0" w:color="auto"/>
            </w:tcBorders>
            <w:shd w:val="clear" w:color="auto" w:fill="C6EFCE"/>
            <w:noWrap/>
          </w:tcPr>
          <w:p w14:paraId="52264643" w14:textId="6B1E2D6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Opatrenia uvedené</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„pláne vykonávania“ uvedenom</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míľniku 54 nadobudli účinnosť. Následne uverejnenie nezávisle vypracovanej správy</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dosiahnutých cieľoch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cieľoch, dokončení jednotlivých opatrení, ich odhadovanom vplyve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hodnotení ex post.</w:t>
            </w:r>
          </w:p>
        </w:tc>
      </w:tr>
      <w:tr w:rsidR="00F65654" w:rsidRPr="00CC26EA" w14:paraId="07993956" w14:textId="77777777">
        <w:trPr>
          <w:trHeight w:val="309"/>
        </w:trPr>
        <w:tc>
          <w:tcPr>
            <w:tcW w:w="1117" w:type="dxa"/>
            <w:tcBorders>
              <w:top w:val="nil"/>
              <w:left w:val="single" w:sz="4" w:space="0" w:color="auto"/>
              <w:bottom w:val="single" w:sz="4" w:space="0" w:color="auto"/>
              <w:right w:val="single" w:sz="4" w:space="0" w:color="auto"/>
            </w:tcBorders>
            <w:shd w:val="clear" w:color="auto" w:fill="C6EFCE"/>
            <w:noWrap/>
          </w:tcPr>
          <w:p w14:paraId="54679B5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57</w:t>
            </w:r>
          </w:p>
        </w:tc>
        <w:tc>
          <w:tcPr>
            <w:tcW w:w="1819" w:type="dxa"/>
            <w:tcBorders>
              <w:top w:val="nil"/>
              <w:left w:val="nil"/>
              <w:bottom w:val="single" w:sz="4" w:space="0" w:color="auto"/>
              <w:right w:val="single" w:sz="4" w:space="0" w:color="auto"/>
            </w:tcBorders>
            <w:shd w:val="clear" w:color="auto" w:fill="C6EFCE"/>
            <w:noWrap/>
          </w:tcPr>
          <w:p w14:paraId="25BF2ABB" w14:textId="24B1ACEC"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Stratégia pre digitálny verejný sektor</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služby budúcnosti (subreforma A)</w:t>
            </w:r>
          </w:p>
        </w:tc>
        <w:tc>
          <w:tcPr>
            <w:tcW w:w="1532" w:type="dxa"/>
            <w:tcBorders>
              <w:top w:val="nil"/>
              <w:left w:val="nil"/>
              <w:bottom w:val="single" w:sz="4" w:space="0" w:color="auto"/>
              <w:right w:val="single" w:sz="4" w:space="0" w:color="auto"/>
            </w:tcBorders>
            <w:shd w:val="clear" w:color="auto" w:fill="C6EFCE"/>
            <w:noWrap/>
          </w:tcPr>
          <w:p w14:paraId="31D6FE6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736" w:type="dxa"/>
            <w:tcBorders>
              <w:top w:val="nil"/>
              <w:left w:val="nil"/>
              <w:bottom w:val="single" w:sz="4" w:space="0" w:color="auto"/>
              <w:right w:val="single" w:sz="4" w:space="0" w:color="auto"/>
            </w:tcBorders>
            <w:shd w:val="clear" w:color="auto" w:fill="C6EFCE"/>
            <w:noWrap/>
          </w:tcPr>
          <w:p w14:paraId="1FEAB7A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Najmenej 7 verejných orgánov získalo finančné prostriedky na projekty umelej inteligencie </w:t>
            </w:r>
          </w:p>
        </w:tc>
        <w:tc>
          <w:tcPr>
            <w:tcW w:w="1723" w:type="dxa"/>
            <w:tcBorders>
              <w:top w:val="nil"/>
              <w:left w:val="nil"/>
              <w:bottom w:val="single" w:sz="4" w:space="0" w:color="auto"/>
              <w:right w:val="single" w:sz="4" w:space="0" w:color="auto"/>
            </w:tcBorders>
            <w:shd w:val="clear" w:color="auto" w:fill="C6EFCE"/>
            <w:noWrap/>
          </w:tcPr>
          <w:p w14:paraId="0A9402F2" w14:textId="77777777" w:rsidR="00F65654" w:rsidRPr="00CC26EA" w:rsidRDefault="00F65654">
            <w:pPr>
              <w:spacing w:after="0"/>
              <w:rPr>
                <w:rFonts w:ascii="Times New Roman" w:eastAsia="Times New Roman" w:hAnsi="Times New Roman"/>
                <w:noProof/>
                <w:color w:val="006100"/>
                <w:spacing w:val="-6"/>
                <w:lang w:val="sk-SK"/>
              </w:rPr>
            </w:pPr>
          </w:p>
        </w:tc>
        <w:tc>
          <w:tcPr>
            <w:tcW w:w="1429" w:type="dxa"/>
            <w:tcBorders>
              <w:top w:val="nil"/>
              <w:left w:val="nil"/>
              <w:bottom w:val="single" w:sz="4" w:space="0" w:color="auto"/>
              <w:right w:val="single" w:sz="4" w:space="0" w:color="auto"/>
            </w:tcBorders>
            <w:shd w:val="clear" w:color="auto" w:fill="C6EFCE"/>
            <w:noWrap/>
          </w:tcPr>
          <w:p w14:paraId="6B41B4C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1069" w:type="dxa"/>
            <w:tcBorders>
              <w:top w:val="nil"/>
              <w:left w:val="nil"/>
              <w:bottom w:val="single" w:sz="4" w:space="0" w:color="auto"/>
              <w:right w:val="single" w:sz="4" w:space="0" w:color="auto"/>
            </w:tcBorders>
            <w:shd w:val="clear" w:color="auto" w:fill="C6EFCE"/>
            <w:noWrap/>
          </w:tcPr>
          <w:p w14:paraId="52C0752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992" w:type="dxa"/>
            <w:tcBorders>
              <w:top w:val="nil"/>
              <w:left w:val="nil"/>
              <w:bottom w:val="single" w:sz="4" w:space="0" w:color="auto"/>
              <w:right w:val="single" w:sz="4" w:space="0" w:color="auto"/>
            </w:tcBorders>
            <w:shd w:val="clear" w:color="auto" w:fill="C6EFCE"/>
            <w:noWrap/>
          </w:tcPr>
          <w:p w14:paraId="3C5C458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w:t>
            </w:r>
          </w:p>
        </w:tc>
        <w:tc>
          <w:tcPr>
            <w:tcW w:w="916" w:type="dxa"/>
            <w:tcBorders>
              <w:top w:val="nil"/>
              <w:left w:val="nil"/>
              <w:bottom w:val="single" w:sz="4" w:space="0" w:color="auto"/>
              <w:right w:val="single" w:sz="4" w:space="0" w:color="auto"/>
            </w:tcBorders>
            <w:shd w:val="clear" w:color="auto" w:fill="C6EFCE"/>
            <w:noWrap/>
          </w:tcPr>
          <w:p w14:paraId="3AE4CB8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937" w:type="dxa"/>
            <w:tcBorders>
              <w:top w:val="nil"/>
              <w:left w:val="nil"/>
              <w:bottom w:val="single" w:sz="4" w:space="0" w:color="auto"/>
              <w:right w:val="single" w:sz="4" w:space="0" w:color="auto"/>
            </w:tcBorders>
            <w:shd w:val="clear" w:color="auto" w:fill="C6EFCE"/>
            <w:noWrap/>
          </w:tcPr>
          <w:p w14:paraId="7661A2D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2025</w:t>
            </w:r>
          </w:p>
        </w:tc>
        <w:tc>
          <w:tcPr>
            <w:tcW w:w="2738" w:type="dxa"/>
            <w:tcBorders>
              <w:top w:val="nil"/>
              <w:left w:val="nil"/>
              <w:bottom w:val="single" w:sz="4" w:space="0" w:color="auto"/>
              <w:right w:val="single" w:sz="4" w:space="0" w:color="auto"/>
            </w:tcBorders>
            <w:shd w:val="clear" w:color="auto" w:fill="C6EFCE"/>
            <w:noWrap/>
          </w:tcPr>
          <w:p w14:paraId="1AB0B194" w14:textId="1C6B072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 sa dosiahne vtedy, keď aspoň sedem verejných orgánov na ústrednej, obecnej a/alebo regionálnej úrovni získa finančné prostriedky na projekty umelej inteligencie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rámci novej digitálnej stratégie.</w:t>
            </w:r>
          </w:p>
        </w:tc>
      </w:tr>
      <w:tr w:rsidR="00F65654" w:rsidRPr="00CC26EA" w14:paraId="409411F9" w14:textId="77777777">
        <w:trPr>
          <w:trHeight w:val="309"/>
        </w:trPr>
        <w:tc>
          <w:tcPr>
            <w:tcW w:w="1117" w:type="dxa"/>
            <w:tcBorders>
              <w:top w:val="nil"/>
              <w:left w:val="single" w:sz="4" w:space="0" w:color="auto"/>
              <w:bottom w:val="single" w:sz="4" w:space="0" w:color="auto"/>
              <w:right w:val="single" w:sz="4" w:space="0" w:color="auto"/>
            </w:tcBorders>
            <w:shd w:val="clear" w:color="auto" w:fill="C6EFCE"/>
            <w:noWrap/>
          </w:tcPr>
          <w:p w14:paraId="1C393F0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58</w:t>
            </w:r>
          </w:p>
        </w:tc>
        <w:tc>
          <w:tcPr>
            <w:tcW w:w="1819" w:type="dxa"/>
            <w:tcBorders>
              <w:top w:val="nil"/>
              <w:left w:val="nil"/>
              <w:bottom w:val="single" w:sz="4" w:space="0" w:color="auto"/>
              <w:right w:val="single" w:sz="4" w:space="0" w:color="auto"/>
            </w:tcBorders>
            <w:shd w:val="clear" w:color="auto" w:fill="C6EFCE"/>
            <w:noWrap/>
          </w:tcPr>
          <w:p w14:paraId="5B34D95F" w14:textId="6E229B90"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Stratégia pre digitálne povolania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pracovné miesta budúcnosti (subreforma B)</w:t>
            </w:r>
          </w:p>
        </w:tc>
        <w:tc>
          <w:tcPr>
            <w:tcW w:w="1532" w:type="dxa"/>
            <w:tcBorders>
              <w:top w:val="nil"/>
              <w:left w:val="nil"/>
              <w:bottom w:val="single" w:sz="4" w:space="0" w:color="auto"/>
              <w:right w:val="single" w:sz="4" w:space="0" w:color="auto"/>
            </w:tcBorders>
            <w:shd w:val="clear" w:color="auto" w:fill="C6EFCE"/>
            <w:noWrap/>
          </w:tcPr>
          <w:p w14:paraId="1583F0D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736" w:type="dxa"/>
            <w:tcBorders>
              <w:top w:val="nil"/>
              <w:left w:val="nil"/>
              <w:bottom w:val="single" w:sz="4" w:space="0" w:color="auto"/>
              <w:right w:val="single" w:sz="4" w:space="0" w:color="auto"/>
            </w:tcBorders>
            <w:shd w:val="clear" w:color="auto" w:fill="C6EFCE"/>
            <w:noWrap/>
          </w:tcPr>
          <w:p w14:paraId="01BA83E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Najmenej 500 MSP získalo finančné prostriedky na digitálne projekty</w:t>
            </w:r>
          </w:p>
        </w:tc>
        <w:tc>
          <w:tcPr>
            <w:tcW w:w="1723" w:type="dxa"/>
            <w:tcBorders>
              <w:top w:val="nil"/>
              <w:left w:val="nil"/>
              <w:bottom w:val="single" w:sz="4" w:space="0" w:color="auto"/>
              <w:right w:val="single" w:sz="4" w:space="0" w:color="auto"/>
            </w:tcBorders>
            <w:shd w:val="clear" w:color="auto" w:fill="C6EFCE"/>
            <w:noWrap/>
          </w:tcPr>
          <w:p w14:paraId="6B63FA8E" w14:textId="77777777" w:rsidR="00F65654" w:rsidRPr="00CC26EA" w:rsidRDefault="00F65654">
            <w:pPr>
              <w:spacing w:after="0"/>
              <w:rPr>
                <w:rFonts w:ascii="Times New Roman" w:eastAsia="Times New Roman" w:hAnsi="Times New Roman"/>
                <w:noProof/>
                <w:color w:val="006100"/>
                <w:spacing w:val="-6"/>
                <w:lang w:val="sk-SK"/>
              </w:rPr>
            </w:pPr>
          </w:p>
        </w:tc>
        <w:tc>
          <w:tcPr>
            <w:tcW w:w="1429" w:type="dxa"/>
            <w:tcBorders>
              <w:top w:val="nil"/>
              <w:left w:val="nil"/>
              <w:bottom w:val="single" w:sz="4" w:space="0" w:color="auto"/>
              <w:right w:val="single" w:sz="4" w:space="0" w:color="auto"/>
            </w:tcBorders>
            <w:shd w:val="clear" w:color="auto" w:fill="C6EFCE"/>
            <w:noWrap/>
          </w:tcPr>
          <w:p w14:paraId="75900329"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1069" w:type="dxa"/>
            <w:tcBorders>
              <w:top w:val="nil"/>
              <w:left w:val="nil"/>
              <w:bottom w:val="single" w:sz="4" w:space="0" w:color="auto"/>
              <w:right w:val="single" w:sz="4" w:space="0" w:color="auto"/>
            </w:tcBorders>
            <w:shd w:val="clear" w:color="auto" w:fill="C6EFCE"/>
            <w:noWrap/>
          </w:tcPr>
          <w:p w14:paraId="30D62A1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992" w:type="dxa"/>
            <w:tcBorders>
              <w:top w:val="nil"/>
              <w:left w:val="nil"/>
              <w:bottom w:val="single" w:sz="4" w:space="0" w:color="auto"/>
              <w:right w:val="single" w:sz="4" w:space="0" w:color="auto"/>
            </w:tcBorders>
            <w:shd w:val="clear" w:color="auto" w:fill="C6EFCE"/>
            <w:noWrap/>
          </w:tcPr>
          <w:p w14:paraId="231A7BD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500</w:t>
            </w:r>
          </w:p>
        </w:tc>
        <w:tc>
          <w:tcPr>
            <w:tcW w:w="916" w:type="dxa"/>
            <w:tcBorders>
              <w:top w:val="nil"/>
              <w:left w:val="nil"/>
              <w:bottom w:val="single" w:sz="4" w:space="0" w:color="auto"/>
              <w:right w:val="single" w:sz="4" w:space="0" w:color="auto"/>
            </w:tcBorders>
            <w:shd w:val="clear" w:color="auto" w:fill="C6EFCE"/>
            <w:noWrap/>
          </w:tcPr>
          <w:p w14:paraId="4A0ECB9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937" w:type="dxa"/>
            <w:tcBorders>
              <w:top w:val="nil"/>
              <w:left w:val="nil"/>
              <w:bottom w:val="single" w:sz="4" w:space="0" w:color="auto"/>
              <w:right w:val="single" w:sz="4" w:space="0" w:color="auto"/>
            </w:tcBorders>
            <w:shd w:val="clear" w:color="auto" w:fill="C6EFCE"/>
            <w:noWrap/>
          </w:tcPr>
          <w:p w14:paraId="34A6295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2025</w:t>
            </w:r>
          </w:p>
        </w:tc>
        <w:tc>
          <w:tcPr>
            <w:tcW w:w="2738" w:type="dxa"/>
            <w:tcBorders>
              <w:top w:val="nil"/>
              <w:left w:val="nil"/>
              <w:bottom w:val="single" w:sz="4" w:space="0" w:color="auto"/>
              <w:right w:val="single" w:sz="4" w:space="0" w:color="auto"/>
            </w:tcBorders>
            <w:shd w:val="clear" w:color="auto" w:fill="C6EFCE"/>
            <w:noWrap/>
          </w:tcPr>
          <w:p w14:paraId="658BD5C0" w14:textId="2E59590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 sa dosiahne, keď najmenej 500 MSP dostane pomoc alebo finančné prostriedky na podporu prístupu malých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stredných podnikov</w:t>
            </w:r>
            <w:r w:rsidR="00CC26EA" w:rsidRPr="00CC26EA">
              <w:rPr>
                <w:rFonts w:ascii="Times New Roman" w:hAnsi="Times New Roman"/>
                <w:noProof/>
                <w:spacing w:val="-6"/>
                <w:lang w:val="sk-SK"/>
              </w:rPr>
              <w:t xml:space="preserve"> k </w:t>
            </w:r>
            <w:r w:rsidRPr="00CC26EA">
              <w:rPr>
                <w:rFonts w:ascii="Times New Roman" w:hAnsi="Times New Roman"/>
                <w:noProof/>
                <w:spacing w:val="-6"/>
                <w:lang w:val="sk-SK"/>
              </w:rPr>
              <w:t>digitálnym riešeniam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ich využívania prostredníctvom novej digitálnej stratégie. </w:t>
            </w:r>
          </w:p>
        </w:tc>
      </w:tr>
      <w:tr w:rsidR="00F65654" w:rsidRPr="00CC26EA" w14:paraId="3552D4E8" w14:textId="77777777">
        <w:trPr>
          <w:trHeight w:val="309"/>
        </w:trPr>
        <w:tc>
          <w:tcPr>
            <w:tcW w:w="1117" w:type="dxa"/>
            <w:tcBorders>
              <w:top w:val="nil"/>
              <w:left w:val="single" w:sz="4" w:space="0" w:color="auto"/>
              <w:bottom w:val="single" w:sz="4" w:space="0" w:color="auto"/>
              <w:right w:val="single" w:sz="4" w:space="0" w:color="auto"/>
            </w:tcBorders>
            <w:shd w:val="clear" w:color="auto" w:fill="C6EFCE"/>
            <w:noWrap/>
          </w:tcPr>
          <w:p w14:paraId="0B82548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59</w:t>
            </w:r>
          </w:p>
        </w:tc>
        <w:tc>
          <w:tcPr>
            <w:tcW w:w="1819" w:type="dxa"/>
            <w:tcBorders>
              <w:top w:val="nil"/>
              <w:left w:val="nil"/>
              <w:bottom w:val="single" w:sz="4" w:space="0" w:color="auto"/>
              <w:right w:val="single" w:sz="4" w:space="0" w:color="auto"/>
            </w:tcBorders>
            <w:shd w:val="clear" w:color="auto" w:fill="C6EFCE"/>
            <w:noWrap/>
          </w:tcPr>
          <w:p w14:paraId="21F17512" w14:textId="39DE6435"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Rámec pre inovácie, verejno-súkromné partnerstvá</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využívanie nových technológií (subreforma C)</w:t>
            </w:r>
          </w:p>
        </w:tc>
        <w:tc>
          <w:tcPr>
            <w:tcW w:w="1532" w:type="dxa"/>
            <w:tcBorders>
              <w:top w:val="nil"/>
              <w:left w:val="nil"/>
              <w:bottom w:val="single" w:sz="4" w:space="0" w:color="auto"/>
              <w:right w:val="single" w:sz="4" w:space="0" w:color="auto"/>
            </w:tcBorders>
            <w:shd w:val="clear" w:color="auto" w:fill="C6EFCE"/>
            <w:noWrap/>
          </w:tcPr>
          <w:p w14:paraId="4724E59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736" w:type="dxa"/>
            <w:tcBorders>
              <w:top w:val="nil"/>
              <w:left w:val="nil"/>
              <w:bottom w:val="single" w:sz="4" w:space="0" w:color="auto"/>
              <w:right w:val="single" w:sz="4" w:space="0" w:color="auto"/>
            </w:tcBorders>
            <w:shd w:val="clear" w:color="auto" w:fill="C6EFCE"/>
            <w:noWrap/>
          </w:tcPr>
          <w:p w14:paraId="6D88B894" w14:textId="2D1E766C"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Aspoň 30</w:t>
            </w:r>
            <w:r w:rsidR="00CC26EA" w:rsidRPr="00CC26EA">
              <w:rPr>
                <w:rFonts w:ascii="Times New Roman" w:hAnsi="Times New Roman"/>
                <w:noProof/>
                <w:spacing w:val="-6"/>
                <w:lang w:val="sk-SK"/>
              </w:rPr>
              <w:t> %</w:t>
            </w:r>
            <w:r w:rsidRPr="00CC26EA">
              <w:rPr>
                <w:rFonts w:ascii="Times New Roman" w:hAnsi="Times New Roman"/>
                <w:noProof/>
                <w:spacing w:val="-6"/>
                <w:lang w:val="sk-SK"/>
              </w:rPr>
              <w:t xml:space="preserve"> verejných inovácií sa uskutočňuje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 xml:space="preserve">rámci verejno-súkromných partnerstiev </w:t>
            </w:r>
          </w:p>
        </w:tc>
        <w:tc>
          <w:tcPr>
            <w:tcW w:w="1723" w:type="dxa"/>
            <w:tcBorders>
              <w:top w:val="nil"/>
              <w:left w:val="nil"/>
              <w:bottom w:val="single" w:sz="4" w:space="0" w:color="auto"/>
              <w:right w:val="single" w:sz="4" w:space="0" w:color="auto"/>
            </w:tcBorders>
            <w:shd w:val="clear" w:color="auto" w:fill="C6EFCE"/>
            <w:noWrap/>
          </w:tcPr>
          <w:p w14:paraId="311E0718" w14:textId="77777777" w:rsidR="00F65654" w:rsidRPr="00CC26EA" w:rsidRDefault="00F65654">
            <w:pPr>
              <w:spacing w:after="0"/>
              <w:rPr>
                <w:rFonts w:ascii="Times New Roman" w:eastAsia="Times New Roman" w:hAnsi="Times New Roman"/>
                <w:noProof/>
                <w:color w:val="006100"/>
                <w:spacing w:val="-6"/>
                <w:lang w:val="sk-SK"/>
              </w:rPr>
            </w:pPr>
          </w:p>
        </w:tc>
        <w:tc>
          <w:tcPr>
            <w:tcW w:w="1429" w:type="dxa"/>
            <w:tcBorders>
              <w:top w:val="nil"/>
              <w:left w:val="nil"/>
              <w:bottom w:val="single" w:sz="4" w:space="0" w:color="auto"/>
              <w:right w:val="single" w:sz="4" w:space="0" w:color="auto"/>
            </w:tcBorders>
            <w:shd w:val="clear" w:color="auto" w:fill="C6EFCE"/>
            <w:noWrap/>
          </w:tcPr>
          <w:p w14:paraId="6802EAF9"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w:t>
            </w:r>
          </w:p>
        </w:tc>
        <w:tc>
          <w:tcPr>
            <w:tcW w:w="1069" w:type="dxa"/>
            <w:tcBorders>
              <w:top w:val="nil"/>
              <w:left w:val="nil"/>
              <w:bottom w:val="single" w:sz="4" w:space="0" w:color="auto"/>
              <w:right w:val="single" w:sz="4" w:space="0" w:color="auto"/>
            </w:tcBorders>
            <w:shd w:val="clear" w:color="auto" w:fill="C6EFCE"/>
            <w:noWrap/>
          </w:tcPr>
          <w:p w14:paraId="52FD48B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25</w:t>
            </w:r>
          </w:p>
        </w:tc>
        <w:tc>
          <w:tcPr>
            <w:tcW w:w="992" w:type="dxa"/>
            <w:tcBorders>
              <w:top w:val="nil"/>
              <w:left w:val="nil"/>
              <w:bottom w:val="single" w:sz="4" w:space="0" w:color="auto"/>
              <w:right w:val="single" w:sz="4" w:space="0" w:color="auto"/>
            </w:tcBorders>
            <w:shd w:val="clear" w:color="auto" w:fill="C6EFCE"/>
            <w:noWrap/>
          </w:tcPr>
          <w:p w14:paraId="59DAA04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30</w:t>
            </w:r>
          </w:p>
        </w:tc>
        <w:tc>
          <w:tcPr>
            <w:tcW w:w="916" w:type="dxa"/>
            <w:tcBorders>
              <w:top w:val="nil"/>
              <w:left w:val="nil"/>
              <w:bottom w:val="single" w:sz="4" w:space="0" w:color="auto"/>
              <w:right w:val="single" w:sz="4" w:space="0" w:color="auto"/>
            </w:tcBorders>
            <w:shd w:val="clear" w:color="auto" w:fill="C6EFCE"/>
            <w:noWrap/>
          </w:tcPr>
          <w:p w14:paraId="3343351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937" w:type="dxa"/>
            <w:tcBorders>
              <w:top w:val="nil"/>
              <w:left w:val="nil"/>
              <w:bottom w:val="single" w:sz="4" w:space="0" w:color="auto"/>
              <w:right w:val="single" w:sz="4" w:space="0" w:color="auto"/>
            </w:tcBorders>
            <w:shd w:val="clear" w:color="auto" w:fill="C6EFCE"/>
            <w:noWrap/>
          </w:tcPr>
          <w:p w14:paraId="345935E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2025</w:t>
            </w:r>
          </w:p>
        </w:tc>
        <w:tc>
          <w:tcPr>
            <w:tcW w:w="2738" w:type="dxa"/>
            <w:tcBorders>
              <w:top w:val="nil"/>
              <w:left w:val="nil"/>
              <w:bottom w:val="single" w:sz="4" w:space="0" w:color="auto"/>
              <w:right w:val="single" w:sz="4" w:space="0" w:color="auto"/>
            </w:tcBorders>
            <w:shd w:val="clear" w:color="auto" w:fill="C6EFCE"/>
            <w:noWrap/>
          </w:tcPr>
          <w:p w14:paraId="5D76E598" w14:textId="36768709"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 sa dosiahne vtedy, keď sa aspoň 30</w:t>
            </w:r>
            <w:r w:rsidR="00CC26EA" w:rsidRPr="00CC26EA">
              <w:rPr>
                <w:rFonts w:ascii="Times New Roman" w:hAnsi="Times New Roman"/>
                <w:noProof/>
                <w:spacing w:val="-6"/>
                <w:lang w:val="sk-SK"/>
              </w:rPr>
              <w:t> %</w:t>
            </w:r>
            <w:r w:rsidRPr="00CC26EA">
              <w:rPr>
                <w:rFonts w:ascii="Times New Roman" w:hAnsi="Times New Roman"/>
                <w:noProof/>
                <w:spacing w:val="-6"/>
                <w:lang w:val="sk-SK"/>
              </w:rPr>
              <w:t xml:space="preserve"> verejných inovácií uskutoční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spolupráci</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podnikateľskou komunitou.     „Inovácia vo verejnom sektore“ je podľa inovačného barometra (Statistics Denmark) vymedzená ako nové alebo výrazne zmenené procesy alebo metódy organizácie, služieb, výrobkov alebo komunikácie. Cieľ „podiel inovácií vo verejnom sektore vo verejno-súkromných partnerstvách“ sa uverejní ako súčasť inovačného barometra.</w:t>
            </w:r>
          </w:p>
        </w:tc>
      </w:tr>
      <w:tr w:rsidR="00F65654" w:rsidRPr="00CC26EA" w14:paraId="256B9D76" w14:textId="77777777">
        <w:trPr>
          <w:trHeight w:val="309"/>
        </w:trPr>
        <w:tc>
          <w:tcPr>
            <w:tcW w:w="1117" w:type="dxa"/>
            <w:tcBorders>
              <w:top w:val="nil"/>
              <w:left w:val="single" w:sz="4" w:space="0" w:color="auto"/>
              <w:bottom w:val="single" w:sz="4" w:space="0" w:color="auto"/>
              <w:right w:val="single" w:sz="4" w:space="0" w:color="auto"/>
            </w:tcBorders>
            <w:shd w:val="clear" w:color="auto" w:fill="C6EFCE"/>
            <w:noWrap/>
          </w:tcPr>
          <w:p w14:paraId="45BE963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60</w:t>
            </w:r>
          </w:p>
        </w:tc>
        <w:tc>
          <w:tcPr>
            <w:tcW w:w="1819" w:type="dxa"/>
            <w:tcBorders>
              <w:top w:val="nil"/>
              <w:left w:val="nil"/>
              <w:bottom w:val="single" w:sz="4" w:space="0" w:color="auto"/>
              <w:right w:val="single" w:sz="4" w:space="0" w:color="auto"/>
            </w:tcBorders>
            <w:shd w:val="clear" w:color="auto" w:fill="C6EFCE"/>
            <w:noWrap/>
          </w:tcPr>
          <w:p w14:paraId="3B95457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Rámec pre spoločnosť založenú na údajoch (subreforma D)</w:t>
            </w:r>
          </w:p>
        </w:tc>
        <w:tc>
          <w:tcPr>
            <w:tcW w:w="1532" w:type="dxa"/>
            <w:tcBorders>
              <w:top w:val="nil"/>
              <w:left w:val="nil"/>
              <w:bottom w:val="single" w:sz="4" w:space="0" w:color="auto"/>
              <w:right w:val="single" w:sz="4" w:space="0" w:color="auto"/>
            </w:tcBorders>
            <w:shd w:val="clear" w:color="auto" w:fill="C6EFCE"/>
            <w:noWrap/>
          </w:tcPr>
          <w:p w14:paraId="6897F599"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736" w:type="dxa"/>
            <w:tcBorders>
              <w:top w:val="nil"/>
              <w:left w:val="nil"/>
              <w:bottom w:val="single" w:sz="4" w:space="0" w:color="auto"/>
              <w:right w:val="single" w:sz="4" w:space="0" w:color="auto"/>
            </w:tcBorders>
            <w:shd w:val="clear" w:color="auto" w:fill="C6EFCE"/>
            <w:noWrap/>
          </w:tcPr>
          <w:p w14:paraId="28B5CDF8" w14:textId="417EA0EB"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Aspoň štyri verejné inštitúcie vyvinuli alebo dostali podporu na vývoj riešení na uchovávanie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opakované použitie osobných informácií</w:t>
            </w:r>
          </w:p>
        </w:tc>
        <w:tc>
          <w:tcPr>
            <w:tcW w:w="1717" w:type="dxa"/>
            <w:tcBorders>
              <w:top w:val="nil"/>
              <w:left w:val="nil"/>
              <w:bottom w:val="single" w:sz="4" w:space="0" w:color="auto"/>
              <w:right w:val="single" w:sz="4" w:space="0" w:color="auto"/>
            </w:tcBorders>
            <w:shd w:val="clear" w:color="auto" w:fill="C6EFCE"/>
            <w:noWrap/>
          </w:tcPr>
          <w:p w14:paraId="61AB5F56" w14:textId="77777777" w:rsidR="00F65654" w:rsidRPr="00CC26EA" w:rsidRDefault="00F65654">
            <w:pPr>
              <w:spacing w:after="0"/>
              <w:rPr>
                <w:rFonts w:ascii="Times New Roman" w:eastAsia="Times New Roman" w:hAnsi="Times New Roman"/>
                <w:noProof/>
                <w:color w:val="006100"/>
                <w:spacing w:val="-6"/>
                <w:lang w:val="sk-SK"/>
              </w:rPr>
            </w:pPr>
          </w:p>
        </w:tc>
        <w:tc>
          <w:tcPr>
            <w:tcW w:w="1429" w:type="dxa"/>
            <w:tcBorders>
              <w:top w:val="nil"/>
              <w:left w:val="nil"/>
              <w:bottom w:val="single" w:sz="4" w:space="0" w:color="auto"/>
              <w:right w:val="single" w:sz="4" w:space="0" w:color="auto"/>
            </w:tcBorders>
            <w:shd w:val="clear" w:color="auto" w:fill="C6EFCE"/>
            <w:noWrap/>
          </w:tcPr>
          <w:p w14:paraId="0675419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1069" w:type="dxa"/>
            <w:tcBorders>
              <w:top w:val="nil"/>
              <w:left w:val="nil"/>
              <w:bottom w:val="single" w:sz="4" w:space="0" w:color="auto"/>
              <w:right w:val="single" w:sz="4" w:space="0" w:color="auto"/>
            </w:tcBorders>
            <w:shd w:val="clear" w:color="auto" w:fill="C6EFCE"/>
            <w:noWrap/>
          </w:tcPr>
          <w:p w14:paraId="5B61B4B6"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992" w:type="dxa"/>
            <w:tcBorders>
              <w:top w:val="nil"/>
              <w:left w:val="nil"/>
              <w:bottom w:val="single" w:sz="4" w:space="0" w:color="auto"/>
              <w:right w:val="single" w:sz="4" w:space="0" w:color="auto"/>
            </w:tcBorders>
            <w:shd w:val="clear" w:color="auto" w:fill="C6EFCE"/>
            <w:noWrap/>
          </w:tcPr>
          <w:p w14:paraId="4E5EA42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4</w:t>
            </w:r>
          </w:p>
        </w:tc>
        <w:tc>
          <w:tcPr>
            <w:tcW w:w="916" w:type="dxa"/>
            <w:tcBorders>
              <w:top w:val="nil"/>
              <w:left w:val="nil"/>
              <w:bottom w:val="single" w:sz="4" w:space="0" w:color="auto"/>
              <w:right w:val="single" w:sz="4" w:space="0" w:color="auto"/>
            </w:tcBorders>
            <w:shd w:val="clear" w:color="auto" w:fill="C6EFCE"/>
            <w:noWrap/>
          </w:tcPr>
          <w:p w14:paraId="1FCD281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937" w:type="dxa"/>
            <w:tcBorders>
              <w:top w:val="nil"/>
              <w:left w:val="nil"/>
              <w:bottom w:val="single" w:sz="4" w:space="0" w:color="auto"/>
              <w:right w:val="single" w:sz="4" w:space="0" w:color="auto"/>
            </w:tcBorders>
            <w:shd w:val="clear" w:color="auto" w:fill="C6EFCE"/>
            <w:noWrap/>
          </w:tcPr>
          <w:p w14:paraId="1C86E63A"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2025</w:t>
            </w:r>
          </w:p>
        </w:tc>
        <w:tc>
          <w:tcPr>
            <w:tcW w:w="2738" w:type="dxa"/>
            <w:tcBorders>
              <w:top w:val="nil"/>
              <w:left w:val="nil"/>
              <w:bottom w:val="single" w:sz="4" w:space="0" w:color="auto"/>
              <w:right w:val="single" w:sz="4" w:space="0" w:color="auto"/>
            </w:tcBorders>
            <w:shd w:val="clear" w:color="auto" w:fill="C6EFCE"/>
            <w:noWrap/>
          </w:tcPr>
          <w:p w14:paraId="7E3AEE92" w14:textId="67D04873"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 sa dosiahne, keď aspoň štyri verejné inštitúcie vyvinuli alebo dostali podporu na vývoj riešení na uchovávanie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opakované použitie osobných informácií.</w:t>
            </w:r>
          </w:p>
          <w:p w14:paraId="35DF5D63" w14:textId="77777777" w:rsidR="00F65654" w:rsidRPr="00CC26EA" w:rsidRDefault="00F65654">
            <w:pPr>
              <w:spacing w:after="0"/>
              <w:rPr>
                <w:rFonts w:ascii="Times New Roman" w:eastAsia="Times New Roman" w:hAnsi="Times New Roman"/>
                <w:noProof/>
                <w:color w:val="006100"/>
                <w:spacing w:val="-6"/>
                <w:lang w:val="sk-SK"/>
              </w:rPr>
            </w:pPr>
          </w:p>
          <w:p w14:paraId="550E6CAA"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Verejná inštitúcia je vymedzená ako akýkoľvek subjekt zriadený alebo kontrolovaný národnou vládou, regiónom alebo obcou, okrem iného vrátane inštitúcie vysokoškolského vzdelávania alebo verejnej inštitúcie vysokoškolského výskumu.</w:t>
            </w:r>
          </w:p>
        </w:tc>
      </w:tr>
      <w:tr w:rsidR="00F65654" w:rsidRPr="00CC26EA" w14:paraId="6E693BBD" w14:textId="77777777">
        <w:trPr>
          <w:trHeight w:val="309"/>
        </w:trPr>
        <w:tc>
          <w:tcPr>
            <w:tcW w:w="1117" w:type="dxa"/>
            <w:tcBorders>
              <w:top w:val="nil"/>
              <w:left w:val="single" w:sz="4" w:space="0" w:color="auto"/>
              <w:bottom w:val="single" w:sz="4" w:space="0" w:color="auto"/>
              <w:right w:val="single" w:sz="4" w:space="0" w:color="auto"/>
            </w:tcBorders>
            <w:shd w:val="clear" w:color="auto" w:fill="C6EFCE"/>
            <w:noWrap/>
          </w:tcPr>
          <w:p w14:paraId="2C847A5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61</w:t>
            </w:r>
          </w:p>
        </w:tc>
        <w:tc>
          <w:tcPr>
            <w:tcW w:w="1819" w:type="dxa"/>
            <w:tcBorders>
              <w:top w:val="nil"/>
              <w:left w:val="nil"/>
              <w:bottom w:val="single" w:sz="4" w:space="0" w:color="auto"/>
              <w:right w:val="single" w:sz="4" w:space="0" w:color="auto"/>
            </w:tcBorders>
            <w:shd w:val="clear" w:color="auto" w:fill="C6EFCE"/>
            <w:noWrap/>
          </w:tcPr>
          <w:p w14:paraId="7155C6C6"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Rámec pre Dánsko pripravený na digitálnu budúcnosť (subreforma E)</w:t>
            </w:r>
          </w:p>
        </w:tc>
        <w:tc>
          <w:tcPr>
            <w:tcW w:w="1532" w:type="dxa"/>
            <w:tcBorders>
              <w:top w:val="nil"/>
              <w:left w:val="nil"/>
              <w:bottom w:val="single" w:sz="4" w:space="0" w:color="auto"/>
              <w:right w:val="single" w:sz="4" w:space="0" w:color="auto"/>
            </w:tcBorders>
            <w:shd w:val="clear" w:color="auto" w:fill="C6EFCE"/>
            <w:noWrap/>
          </w:tcPr>
          <w:p w14:paraId="02B7871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736" w:type="dxa"/>
            <w:tcBorders>
              <w:top w:val="nil"/>
              <w:left w:val="nil"/>
              <w:bottom w:val="single" w:sz="4" w:space="0" w:color="auto"/>
              <w:right w:val="single" w:sz="4" w:space="0" w:color="auto"/>
            </w:tcBorders>
            <w:shd w:val="clear" w:color="auto" w:fill="C6EFCE"/>
            <w:noWrap/>
          </w:tcPr>
          <w:p w14:paraId="55C6BCF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Prijatie novej národnej stratégie kybernetickej bezpečnosti </w:t>
            </w:r>
          </w:p>
        </w:tc>
        <w:tc>
          <w:tcPr>
            <w:tcW w:w="1723" w:type="dxa"/>
            <w:tcBorders>
              <w:top w:val="nil"/>
              <w:left w:val="nil"/>
              <w:bottom w:val="single" w:sz="4" w:space="0" w:color="auto"/>
              <w:right w:val="single" w:sz="4" w:space="0" w:color="auto"/>
            </w:tcBorders>
            <w:shd w:val="clear" w:color="auto" w:fill="C6EFCE"/>
            <w:noWrap/>
          </w:tcPr>
          <w:p w14:paraId="444B7B3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Vláda prijíma novú národnú stratégiu kybernetickej bezpečnosti</w:t>
            </w:r>
          </w:p>
        </w:tc>
        <w:tc>
          <w:tcPr>
            <w:tcW w:w="1429" w:type="dxa"/>
            <w:tcBorders>
              <w:top w:val="nil"/>
              <w:left w:val="nil"/>
              <w:bottom w:val="single" w:sz="4" w:space="0" w:color="auto"/>
              <w:right w:val="single" w:sz="4" w:space="0" w:color="auto"/>
            </w:tcBorders>
            <w:shd w:val="clear" w:color="auto" w:fill="C6EFCE"/>
            <w:noWrap/>
          </w:tcPr>
          <w:p w14:paraId="1EC2BBA8" w14:textId="77777777" w:rsidR="00F65654" w:rsidRPr="00CC26EA" w:rsidRDefault="00F65654">
            <w:pPr>
              <w:spacing w:after="0"/>
              <w:rPr>
                <w:rFonts w:ascii="Times New Roman" w:eastAsia="Times New Roman" w:hAnsi="Times New Roman"/>
                <w:noProof/>
                <w:color w:val="006100"/>
                <w:spacing w:val="-6"/>
                <w:lang w:val="sk-SK"/>
              </w:rPr>
            </w:pPr>
          </w:p>
        </w:tc>
        <w:tc>
          <w:tcPr>
            <w:tcW w:w="1069" w:type="dxa"/>
            <w:tcBorders>
              <w:top w:val="nil"/>
              <w:left w:val="nil"/>
              <w:bottom w:val="single" w:sz="4" w:space="0" w:color="auto"/>
              <w:right w:val="single" w:sz="4" w:space="0" w:color="auto"/>
            </w:tcBorders>
            <w:shd w:val="clear" w:color="auto" w:fill="C6EFCE"/>
            <w:noWrap/>
          </w:tcPr>
          <w:p w14:paraId="2FA5EB3B" w14:textId="77777777" w:rsidR="00F65654" w:rsidRPr="00CC26EA" w:rsidRDefault="00F65654">
            <w:pPr>
              <w:spacing w:after="0"/>
              <w:rPr>
                <w:rFonts w:ascii="Times New Roman" w:eastAsia="Times New Roman" w:hAnsi="Times New Roman"/>
                <w:noProof/>
                <w:color w:val="006100"/>
                <w:spacing w:val="-6"/>
                <w:lang w:val="sk-SK"/>
              </w:rPr>
            </w:pPr>
          </w:p>
        </w:tc>
        <w:tc>
          <w:tcPr>
            <w:tcW w:w="992" w:type="dxa"/>
            <w:tcBorders>
              <w:top w:val="nil"/>
              <w:left w:val="nil"/>
              <w:bottom w:val="single" w:sz="4" w:space="0" w:color="auto"/>
              <w:right w:val="single" w:sz="4" w:space="0" w:color="auto"/>
            </w:tcBorders>
            <w:shd w:val="clear" w:color="auto" w:fill="C6EFCE"/>
            <w:noWrap/>
          </w:tcPr>
          <w:p w14:paraId="0B3E100D" w14:textId="77777777" w:rsidR="00F65654" w:rsidRPr="00CC26EA" w:rsidRDefault="00F65654">
            <w:pPr>
              <w:spacing w:after="0"/>
              <w:rPr>
                <w:rFonts w:ascii="Times New Roman" w:eastAsia="Times New Roman" w:hAnsi="Times New Roman"/>
                <w:noProof/>
                <w:color w:val="006100"/>
                <w:spacing w:val="-6"/>
                <w:lang w:val="sk-SK"/>
              </w:rPr>
            </w:pPr>
          </w:p>
        </w:tc>
        <w:tc>
          <w:tcPr>
            <w:tcW w:w="916" w:type="dxa"/>
            <w:tcBorders>
              <w:top w:val="nil"/>
              <w:left w:val="nil"/>
              <w:bottom w:val="single" w:sz="4" w:space="0" w:color="auto"/>
              <w:right w:val="single" w:sz="4" w:space="0" w:color="auto"/>
            </w:tcBorders>
            <w:shd w:val="clear" w:color="auto" w:fill="C6EFCE"/>
            <w:noWrap/>
          </w:tcPr>
          <w:p w14:paraId="66FA7F7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937" w:type="dxa"/>
            <w:tcBorders>
              <w:top w:val="nil"/>
              <w:left w:val="nil"/>
              <w:bottom w:val="single" w:sz="4" w:space="0" w:color="auto"/>
              <w:right w:val="single" w:sz="4" w:space="0" w:color="auto"/>
            </w:tcBorders>
            <w:shd w:val="clear" w:color="auto" w:fill="C6EFCE"/>
            <w:noWrap/>
          </w:tcPr>
          <w:p w14:paraId="32F9C42A"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2022</w:t>
            </w:r>
          </w:p>
        </w:tc>
        <w:tc>
          <w:tcPr>
            <w:tcW w:w="2738" w:type="dxa"/>
            <w:tcBorders>
              <w:top w:val="nil"/>
              <w:left w:val="nil"/>
              <w:bottom w:val="single" w:sz="4" w:space="0" w:color="auto"/>
              <w:right w:val="single" w:sz="4" w:space="0" w:color="auto"/>
            </w:tcBorders>
            <w:shd w:val="clear" w:color="auto" w:fill="C6EFCE"/>
            <w:noWrap/>
          </w:tcPr>
          <w:p w14:paraId="32E74C5C" w14:textId="0A16CF6A"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Predpokladom digitálneho rozvoja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Dánsku je trvalé silné zameranie na kybernetickú bezpečnosť. Tento cieľ sa dosiahne, keď Dánsko prijme novú stratégiu kybernetickej</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informačnej bezpečnosti</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celkovým cieľom posilniť</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zabezpečiť verejný</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súkromný sektor pred novými oblasťami útokov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potenciálnymi zraniteľnými miestami,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tým pomôcť chrániť dánsku spoločnosť aj</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budúcnosti.</w:t>
            </w:r>
          </w:p>
        </w:tc>
      </w:tr>
      <w:tr w:rsidR="00F65654" w:rsidRPr="00CC26EA" w14:paraId="3AD39EC4" w14:textId="77777777">
        <w:trPr>
          <w:trHeight w:val="309"/>
        </w:trPr>
        <w:tc>
          <w:tcPr>
            <w:tcW w:w="1117" w:type="dxa"/>
            <w:tcBorders>
              <w:top w:val="nil"/>
              <w:left w:val="single" w:sz="4" w:space="0" w:color="auto"/>
              <w:bottom w:val="single" w:sz="4" w:space="0" w:color="auto"/>
              <w:right w:val="single" w:sz="4" w:space="0" w:color="auto"/>
            </w:tcBorders>
            <w:shd w:val="clear" w:color="auto" w:fill="C6EFCE"/>
            <w:noWrap/>
          </w:tcPr>
          <w:p w14:paraId="5625A51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62</w:t>
            </w:r>
          </w:p>
        </w:tc>
        <w:tc>
          <w:tcPr>
            <w:tcW w:w="1819" w:type="dxa"/>
            <w:tcBorders>
              <w:top w:val="nil"/>
              <w:left w:val="nil"/>
              <w:bottom w:val="single" w:sz="4" w:space="0" w:color="auto"/>
              <w:right w:val="single" w:sz="4" w:space="0" w:color="auto"/>
            </w:tcBorders>
            <w:shd w:val="clear" w:color="auto" w:fill="C6EFCE"/>
            <w:noWrap/>
          </w:tcPr>
          <w:p w14:paraId="7D3B3EB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Širokopásmový park</w:t>
            </w:r>
          </w:p>
        </w:tc>
        <w:tc>
          <w:tcPr>
            <w:tcW w:w="1532" w:type="dxa"/>
            <w:tcBorders>
              <w:top w:val="nil"/>
              <w:left w:val="nil"/>
              <w:bottom w:val="single" w:sz="4" w:space="0" w:color="auto"/>
              <w:right w:val="single" w:sz="4" w:space="0" w:color="auto"/>
            </w:tcBorders>
            <w:shd w:val="clear" w:color="auto" w:fill="C6EFCE"/>
            <w:noWrap/>
          </w:tcPr>
          <w:p w14:paraId="64E0F63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736" w:type="dxa"/>
            <w:tcBorders>
              <w:top w:val="nil"/>
              <w:left w:val="nil"/>
              <w:bottom w:val="single" w:sz="4" w:space="0" w:color="auto"/>
              <w:right w:val="single" w:sz="4" w:space="0" w:color="auto"/>
            </w:tcBorders>
            <w:shd w:val="clear" w:color="auto" w:fill="C6EFCE"/>
            <w:noWrap/>
          </w:tcPr>
          <w:p w14:paraId="2553C919" w14:textId="016F47E4"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Najmenej 3500 domácností a/alebo podnikov</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veľmi vysokorýchlostným internetom (pripojenie aspoň 100 Mb/s).</w:t>
            </w:r>
          </w:p>
        </w:tc>
        <w:tc>
          <w:tcPr>
            <w:tcW w:w="1723" w:type="dxa"/>
            <w:tcBorders>
              <w:top w:val="nil"/>
              <w:left w:val="nil"/>
              <w:bottom w:val="single" w:sz="4" w:space="0" w:color="auto"/>
              <w:right w:val="single" w:sz="4" w:space="0" w:color="auto"/>
            </w:tcBorders>
            <w:shd w:val="clear" w:color="auto" w:fill="C6EFCE"/>
            <w:noWrap/>
          </w:tcPr>
          <w:p w14:paraId="1A568160" w14:textId="77777777" w:rsidR="00F65654" w:rsidRPr="00CC26EA" w:rsidRDefault="00F65654">
            <w:pPr>
              <w:spacing w:after="0"/>
              <w:rPr>
                <w:rFonts w:ascii="Times New Roman" w:eastAsia="Times New Roman" w:hAnsi="Times New Roman"/>
                <w:noProof/>
                <w:color w:val="006100"/>
                <w:spacing w:val="-6"/>
                <w:lang w:val="sk-SK"/>
              </w:rPr>
            </w:pPr>
          </w:p>
        </w:tc>
        <w:tc>
          <w:tcPr>
            <w:tcW w:w="1429" w:type="dxa"/>
            <w:tcBorders>
              <w:top w:val="nil"/>
              <w:left w:val="nil"/>
              <w:bottom w:val="single" w:sz="4" w:space="0" w:color="auto"/>
              <w:right w:val="single" w:sz="4" w:space="0" w:color="auto"/>
            </w:tcBorders>
            <w:shd w:val="clear" w:color="auto" w:fill="C6EFCE"/>
            <w:noWrap/>
          </w:tcPr>
          <w:p w14:paraId="03AE09A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1069" w:type="dxa"/>
            <w:tcBorders>
              <w:top w:val="nil"/>
              <w:left w:val="nil"/>
              <w:bottom w:val="single" w:sz="4" w:space="0" w:color="auto"/>
              <w:right w:val="single" w:sz="4" w:space="0" w:color="auto"/>
            </w:tcBorders>
            <w:shd w:val="clear" w:color="auto" w:fill="C6EFCE"/>
            <w:noWrap/>
          </w:tcPr>
          <w:p w14:paraId="46B62ED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992" w:type="dxa"/>
            <w:tcBorders>
              <w:top w:val="nil"/>
              <w:left w:val="nil"/>
              <w:bottom w:val="single" w:sz="4" w:space="0" w:color="auto"/>
              <w:right w:val="single" w:sz="4" w:space="0" w:color="auto"/>
            </w:tcBorders>
            <w:shd w:val="clear" w:color="auto" w:fill="C6EFCE"/>
            <w:noWrap/>
          </w:tcPr>
          <w:p w14:paraId="562F53F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3 500</w:t>
            </w:r>
          </w:p>
        </w:tc>
        <w:tc>
          <w:tcPr>
            <w:tcW w:w="916" w:type="dxa"/>
            <w:tcBorders>
              <w:top w:val="nil"/>
              <w:left w:val="nil"/>
              <w:bottom w:val="single" w:sz="4" w:space="0" w:color="auto"/>
              <w:right w:val="single" w:sz="4" w:space="0" w:color="auto"/>
            </w:tcBorders>
            <w:shd w:val="clear" w:color="auto" w:fill="C6EFCE"/>
            <w:noWrap/>
          </w:tcPr>
          <w:p w14:paraId="70B4A8C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OTÁZKA Č. 1</w:t>
            </w:r>
          </w:p>
        </w:tc>
        <w:tc>
          <w:tcPr>
            <w:tcW w:w="937" w:type="dxa"/>
            <w:tcBorders>
              <w:top w:val="nil"/>
              <w:left w:val="nil"/>
              <w:bottom w:val="single" w:sz="4" w:space="0" w:color="auto"/>
              <w:right w:val="single" w:sz="4" w:space="0" w:color="auto"/>
            </w:tcBorders>
            <w:shd w:val="clear" w:color="auto" w:fill="C6EFCE"/>
            <w:noWrap/>
          </w:tcPr>
          <w:p w14:paraId="5DBBE52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2022</w:t>
            </w:r>
          </w:p>
        </w:tc>
        <w:tc>
          <w:tcPr>
            <w:tcW w:w="2738" w:type="dxa"/>
            <w:tcBorders>
              <w:top w:val="nil"/>
              <w:left w:val="nil"/>
              <w:bottom w:val="single" w:sz="4" w:space="0" w:color="auto"/>
              <w:right w:val="single" w:sz="4" w:space="0" w:color="auto"/>
            </w:tcBorders>
            <w:shd w:val="clear" w:color="auto" w:fill="C6EFCE"/>
            <w:noWrap/>
          </w:tcPr>
          <w:p w14:paraId="0C523986" w14:textId="7212C32C"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Cieľ sa dosiahne, keď aspoň 3500 domácností a/alebo podnikov</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veľmi vysokorýchlostným internetom (pripojenie</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rýchlosťou najmenej 100 Mb/s), ktoré takéto pripojenie predtým nemali.</w:t>
            </w:r>
          </w:p>
          <w:p w14:paraId="497579EF" w14:textId="77777777" w:rsidR="00F65654" w:rsidRPr="00CC26EA" w:rsidRDefault="00F65654">
            <w:pPr>
              <w:spacing w:after="0"/>
              <w:rPr>
                <w:rFonts w:ascii="Times New Roman" w:eastAsia="Times New Roman" w:hAnsi="Times New Roman"/>
                <w:noProof/>
                <w:color w:val="006100"/>
                <w:spacing w:val="-6"/>
                <w:lang w:val="sk-SK"/>
              </w:rPr>
            </w:pPr>
          </w:p>
        </w:tc>
      </w:tr>
      <w:tr w:rsidR="00F65654" w:rsidRPr="00CC26EA" w14:paraId="68A7D6C5" w14:textId="77777777">
        <w:trPr>
          <w:trHeight w:val="309"/>
        </w:trPr>
        <w:tc>
          <w:tcPr>
            <w:tcW w:w="1117" w:type="dxa"/>
            <w:tcBorders>
              <w:top w:val="nil"/>
              <w:left w:val="single" w:sz="4" w:space="0" w:color="auto"/>
              <w:bottom w:val="single" w:sz="4" w:space="0" w:color="auto"/>
              <w:right w:val="single" w:sz="4" w:space="0" w:color="auto"/>
            </w:tcBorders>
            <w:shd w:val="clear" w:color="auto" w:fill="C6EFCE"/>
            <w:noWrap/>
          </w:tcPr>
          <w:p w14:paraId="637E8FF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63</w:t>
            </w:r>
          </w:p>
        </w:tc>
        <w:tc>
          <w:tcPr>
            <w:tcW w:w="1819" w:type="dxa"/>
            <w:tcBorders>
              <w:top w:val="nil"/>
              <w:left w:val="nil"/>
              <w:bottom w:val="single" w:sz="4" w:space="0" w:color="auto"/>
              <w:right w:val="single" w:sz="4" w:space="0" w:color="auto"/>
            </w:tcBorders>
            <w:shd w:val="clear" w:color="auto" w:fill="C6EFCE"/>
            <w:noWrap/>
          </w:tcPr>
          <w:p w14:paraId="096674AB" w14:textId="6922FE0D"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Digitálna transformácia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obchod MSP</w:t>
            </w:r>
          </w:p>
        </w:tc>
        <w:tc>
          <w:tcPr>
            <w:tcW w:w="1532" w:type="dxa"/>
            <w:tcBorders>
              <w:top w:val="nil"/>
              <w:left w:val="nil"/>
              <w:bottom w:val="single" w:sz="4" w:space="0" w:color="auto"/>
              <w:right w:val="single" w:sz="4" w:space="0" w:color="auto"/>
            </w:tcBorders>
            <w:shd w:val="clear" w:color="auto" w:fill="C6EFCE"/>
            <w:noWrap/>
          </w:tcPr>
          <w:p w14:paraId="7BA0A15C" w14:textId="77777777" w:rsidR="00CC26EA" w:rsidRPr="00CC26EA" w:rsidRDefault="00CC26EA">
            <w:pPr>
              <w:pStyle w:val="P68B1DB1-Normal4"/>
              <w:spacing w:after="0"/>
              <w:rPr>
                <w:rFonts w:ascii="Times New Roman" w:hAnsi="Times New Roman"/>
                <w:noProof/>
                <w:spacing w:val="-6"/>
                <w:lang w:val="sk-SK"/>
              </w:rPr>
            </w:pPr>
          </w:p>
          <w:p w14:paraId="370CF60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736" w:type="dxa"/>
            <w:tcBorders>
              <w:top w:val="nil"/>
              <w:left w:val="nil"/>
              <w:bottom w:val="single" w:sz="4" w:space="0" w:color="auto"/>
              <w:right w:val="single" w:sz="4" w:space="0" w:color="auto"/>
            </w:tcBorders>
            <w:shd w:val="clear" w:color="auto" w:fill="C6EFCE"/>
            <w:noWrap/>
          </w:tcPr>
          <w:p w14:paraId="07487A8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Aspoň 550 MSP získalo finančné prostriedky na digitálne projekty  </w:t>
            </w:r>
          </w:p>
        </w:tc>
        <w:tc>
          <w:tcPr>
            <w:tcW w:w="1723" w:type="dxa"/>
            <w:tcBorders>
              <w:top w:val="nil"/>
              <w:left w:val="nil"/>
              <w:bottom w:val="single" w:sz="4" w:space="0" w:color="auto"/>
              <w:right w:val="single" w:sz="4" w:space="0" w:color="auto"/>
            </w:tcBorders>
            <w:shd w:val="clear" w:color="auto" w:fill="C6EFCE"/>
            <w:noWrap/>
          </w:tcPr>
          <w:p w14:paraId="0290BDF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w:t>
            </w:r>
          </w:p>
        </w:tc>
        <w:tc>
          <w:tcPr>
            <w:tcW w:w="1429" w:type="dxa"/>
            <w:tcBorders>
              <w:top w:val="nil"/>
              <w:left w:val="nil"/>
              <w:bottom w:val="single" w:sz="4" w:space="0" w:color="auto"/>
              <w:right w:val="single" w:sz="4" w:space="0" w:color="auto"/>
            </w:tcBorders>
            <w:shd w:val="clear" w:color="auto" w:fill="C6EFCE"/>
            <w:noWrap/>
          </w:tcPr>
          <w:p w14:paraId="05D5A14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Počet</w:t>
            </w:r>
          </w:p>
        </w:tc>
        <w:tc>
          <w:tcPr>
            <w:tcW w:w="1069" w:type="dxa"/>
            <w:tcBorders>
              <w:top w:val="nil"/>
              <w:left w:val="nil"/>
              <w:bottom w:val="single" w:sz="4" w:space="0" w:color="auto"/>
              <w:right w:val="single" w:sz="4" w:space="0" w:color="auto"/>
            </w:tcBorders>
            <w:shd w:val="clear" w:color="auto" w:fill="C6EFCE"/>
            <w:noWrap/>
          </w:tcPr>
          <w:p w14:paraId="6F98D8C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992" w:type="dxa"/>
            <w:tcBorders>
              <w:top w:val="nil"/>
              <w:left w:val="nil"/>
              <w:bottom w:val="single" w:sz="4" w:space="0" w:color="auto"/>
              <w:right w:val="single" w:sz="4" w:space="0" w:color="auto"/>
            </w:tcBorders>
            <w:shd w:val="clear" w:color="auto" w:fill="C6EFCE"/>
            <w:noWrap/>
          </w:tcPr>
          <w:p w14:paraId="55C0BBF9"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550</w:t>
            </w:r>
          </w:p>
        </w:tc>
        <w:tc>
          <w:tcPr>
            <w:tcW w:w="916" w:type="dxa"/>
            <w:tcBorders>
              <w:top w:val="nil"/>
              <w:left w:val="nil"/>
              <w:bottom w:val="single" w:sz="4" w:space="0" w:color="auto"/>
              <w:right w:val="single" w:sz="4" w:space="0" w:color="auto"/>
            </w:tcBorders>
            <w:shd w:val="clear" w:color="auto" w:fill="C6EFCE"/>
            <w:noWrap/>
          </w:tcPr>
          <w:p w14:paraId="5DF815D9"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937" w:type="dxa"/>
            <w:tcBorders>
              <w:top w:val="nil"/>
              <w:left w:val="nil"/>
              <w:bottom w:val="single" w:sz="4" w:space="0" w:color="auto"/>
              <w:right w:val="single" w:sz="4" w:space="0" w:color="auto"/>
            </w:tcBorders>
            <w:shd w:val="clear" w:color="auto" w:fill="C6EFCE"/>
            <w:noWrap/>
          </w:tcPr>
          <w:p w14:paraId="116B103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2023</w:t>
            </w:r>
          </w:p>
        </w:tc>
        <w:tc>
          <w:tcPr>
            <w:tcW w:w="2738" w:type="dxa"/>
            <w:tcBorders>
              <w:top w:val="nil"/>
              <w:left w:val="nil"/>
              <w:bottom w:val="single" w:sz="4" w:space="0" w:color="auto"/>
              <w:right w:val="single" w:sz="4" w:space="0" w:color="auto"/>
            </w:tcBorders>
            <w:shd w:val="clear" w:color="auto" w:fill="C6EFCE"/>
            <w:noWrap/>
          </w:tcPr>
          <w:p w14:paraId="2FF23E92" w14:textId="6526FCDC" w:rsidR="00CC26EA" w:rsidRPr="00CC26EA" w:rsidRDefault="0041081E">
            <w:pPr>
              <w:pStyle w:val="P68B1DB1-Normal4"/>
              <w:rPr>
                <w:rFonts w:ascii="Times New Roman" w:hAnsi="Times New Roman"/>
                <w:noProof/>
                <w:spacing w:val="-6"/>
                <w:lang w:val="sk-SK"/>
              </w:rPr>
            </w:pPr>
            <w:r w:rsidRPr="00CC26EA">
              <w:rPr>
                <w:rFonts w:ascii="Times New Roman" w:hAnsi="Times New Roman"/>
                <w:noProof/>
                <w:spacing w:val="-6"/>
                <w:lang w:val="sk-SK"/>
              </w:rPr>
              <w:t>Cieľ sa dosiahne, keď aspoň 550 MSP získalo finančné prostriedky na digitálne projekty</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súlade</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kritériami oprávnenosti schémy</w:t>
            </w:r>
            <w:r w:rsidR="00CC26EA" w:rsidRPr="00CC26EA">
              <w:rPr>
                <w:rFonts w:ascii="Times New Roman" w:hAnsi="Times New Roman"/>
                <w:noProof/>
                <w:spacing w:val="-6"/>
                <w:lang w:val="sk-SK"/>
              </w:rPr>
              <w:t>.</w:t>
            </w:r>
          </w:p>
          <w:p w14:paraId="51B6B0C2" w14:textId="445FF2CB" w:rsidR="00F65654" w:rsidRPr="00CC26EA" w:rsidRDefault="00F65654">
            <w:pPr>
              <w:spacing w:after="0"/>
              <w:rPr>
                <w:rFonts w:ascii="Times New Roman" w:eastAsia="Times New Roman" w:hAnsi="Times New Roman"/>
                <w:noProof/>
                <w:color w:val="006100"/>
                <w:spacing w:val="-6"/>
                <w:lang w:val="sk-SK"/>
              </w:rPr>
            </w:pPr>
          </w:p>
        </w:tc>
      </w:tr>
    </w:tbl>
    <w:p w14:paraId="09E72AAC" w14:textId="77777777" w:rsidR="00F65654" w:rsidRPr="00CC26EA" w:rsidRDefault="00F65654">
      <w:pPr>
        <w:pStyle w:val="ManualHeading1"/>
        <w:ind w:firstLine="0"/>
        <w:rPr>
          <w:noProof/>
          <w:spacing w:val="-6"/>
          <w:lang w:val="sk-SK"/>
        </w:rPr>
        <w:sectPr w:rsidR="00F65654" w:rsidRPr="00CC26EA" w:rsidSect="00A61D33">
          <w:headerReference w:type="even" r:id="rId84"/>
          <w:headerReference w:type="default" r:id="rId85"/>
          <w:footerReference w:type="even" r:id="rId86"/>
          <w:footerReference w:type="default" r:id="rId87"/>
          <w:headerReference w:type="first" r:id="rId88"/>
          <w:footerReference w:type="first" r:id="rId89"/>
          <w:pgSz w:w="16839" w:h="11907" w:orient="landscape"/>
          <w:pgMar w:top="1134" w:right="1134" w:bottom="1134" w:left="1134" w:header="567" w:footer="567" w:gutter="0"/>
          <w:cols w:space="720"/>
          <w:docGrid w:linePitch="360"/>
        </w:sectPr>
      </w:pPr>
    </w:p>
    <w:p w14:paraId="045CB991" w14:textId="5BA1E136" w:rsidR="00F65654" w:rsidRPr="00CC26EA" w:rsidRDefault="0041081E">
      <w:pPr>
        <w:pStyle w:val="ManualHeading1"/>
        <w:spacing w:before="120"/>
        <w:ind w:left="0" w:firstLine="0"/>
        <w:rPr>
          <w:noProof/>
          <w:spacing w:val="-6"/>
          <w:lang w:val="sk-SK"/>
        </w:rPr>
      </w:pPr>
      <w:r w:rsidRPr="00CC26EA">
        <w:rPr>
          <w:noProof/>
          <w:spacing w:val="-6"/>
          <w:lang w:val="sk-SK"/>
        </w:rPr>
        <w:t>G. ZLOŽKA 7: Investície do ekologického výskumu</w:t>
      </w:r>
      <w:r w:rsidR="00CC26EA" w:rsidRPr="00CC26EA">
        <w:rPr>
          <w:noProof/>
          <w:spacing w:val="-6"/>
          <w:lang w:val="sk-SK"/>
        </w:rPr>
        <w:t xml:space="preserve"> a </w:t>
      </w:r>
      <w:r w:rsidRPr="00CC26EA">
        <w:rPr>
          <w:noProof/>
          <w:spacing w:val="-6"/>
          <w:lang w:val="sk-SK"/>
        </w:rPr>
        <w:t>vývoja</w:t>
      </w:r>
    </w:p>
    <w:p w14:paraId="319DA3D4" w14:textId="0FC06D19" w:rsidR="00CC26EA" w:rsidRPr="00CC26EA" w:rsidRDefault="0041081E">
      <w:pPr>
        <w:pStyle w:val="Text1"/>
        <w:ind w:left="0"/>
        <w:rPr>
          <w:noProof/>
          <w:spacing w:val="-6"/>
          <w:lang w:val="sk-SK"/>
        </w:rPr>
      </w:pPr>
      <w:r w:rsidRPr="00CC26EA">
        <w:rPr>
          <w:noProof/>
          <w:spacing w:val="-6"/>
          <w:lang w:val="sk-SK"/>
        </w:rPr>
        <w:t>Všeobecným cieľom zložky „Investície do zeleného výskumu</w:t>
      </w:r>
      <w:r w:rsidR="00CC26EA" w:rsidRPr="00CC26EA">
        <w:rPr>
          <w:noProof/>
          <w:spacing w:val="-6"/>
          <w:lang w:val="sk-SK"/>
        </w:rPr>
        <w:t xml:space="preserve"> a </w:t>
      </w:r>
      <w:r w:rsidRPr="00CC26EA">
        <w:rPr>
          <w:noProof/>
          <w:spacing w:val="-6"/>
          <w:lang w:val="sk-SK"/>
        </w:rPr>
        <w:t>vývoja“ dánskeho plánu obnovy</w:t>
      </w:r>
      <w:r w:rsidR="00CC26EA" w:rsidRPr="00CC26EA">
        <w:rPr>
          <w:noProof/>
          <w:spacing w:val="-6"/>
          <w:lang w:val="sk-SK"/>
        </w:rPr>
        <w:t xml:space="preserve"> a </w:t>
      </w:r>
      <w:r w:rsidRPr="00CC26EA">
        <w:rPr>
          <w:noProof/>
          <w:spacing w:val="-6"/>
          <w:lang w:val="sk-SK"/>
        </w:rPr>
        <w:t>odolnosti je riešiť výzvy spojené</w:t>
      </w:r>
      <w:r w:rsidR="00CC26EA" w:rsidRPr="00CC26EA">
        <w:rPr>
          <w:noProof/>
          <w:spacing w:val="-6"/>
          <w:lang w:val="sk-SK"/>
        </w:rPr>
        <w:t xml:space="preserve"> s </w:t>
      </w:r>
      <w:r w:rsidRPr="00CC26EA">
        <w:rPr>
          <w:noProof/>
          <w:spacing w:val="-6"/>
          <w:lang w:val="sk-SK"/>
        </w:rPr>
        <w:t>plnením cieľov Dánska znížiť emisie skleníkových plynov do roku 2030</w:t>
      </w:r>
      <w:r w:rsidR="00CC26EA" w:rsidRPr="00CC26EA">
        <w:rPr>
          <w:noProof/>
          <w:spacing w:val="-6"/>
          <w:lang w:val="sk-SK"/>
        </w:rPr>
        <w:t xml:space="preserve"> o </w:t>
      </w:r>
      <w:r w:rsidRPr="00CC26EA">
        <w:rPr>
          <w:noProof/>
          <w:spacing w:val="-6"/>
          <w:lang w:val="sk-SK"/>
        </w:rPr>
        <w:t>70</w:t>
      </w:r>
      <w:r w:rsidR="00CC26EA" w:rsidRPr="00CC26EA">
        <w:rPr>
          <w:noProof/>
          <w:spacing w:val="-6"/>
          <w:lang w:val="sk-SK"/>
        </w:rPr>
        <w:t> % a </w:t>
      </w:r>
      <w:r w:rsidRPr="00CC26EA">
        <w:rPr>
          <w:noProof/>
          <w:spacing w:val="-6"/>
          <w:lang w:val="sk-SK"/>
        </w:rPr>
        <w:t>dosiahnuť klimatickú neutralitu</w:t>
      </w:r>
      <w:r w:rsidR="00CC26EA" w:rsidRPr="00CC26EA">
        <w:rPr>
          <w:noProof/>
          <w:spacing w:val="-6"/>
          <w:lang w:val="sk-SK"/>
        </w:rPr>
        <w:t xml:space="preserve"> v </w:t>
      </w:r>
      <w:r w:rsidRPr="00CC26EA">
        <w:rPr>
          <w:noProof/>
          <w:spacing w:val="-6"/>
          <w:lang w:val="sk-SK"/>
        </w:rPr>
        <w:t>roku 2050. Na dosiahnutie týchto cieľov dánsky plán zahŕňa investície, ktoré sú potrebné do výskumu</w:t>
      </w:r>
      <w:r w:rsidR="00CC26EA" w:rsidRPr="00CC26EA">
        <w:rPr>
          <w:noProof/>
          <w:spacing w:val="-6"/>
          <w:lang w:val="sk-SK"/>
        </w:rPr>
        <w:t xml:space="preserve"> a </w:t>
      </w:r>
      <w:r w:rsidRPr="00CC26EA">
        <w:rPr>
          <w:noProof/>
          <w:spacing w:val="-6"/>
          <w:lang w:val="sk-SK"/>
        </w:rPr>
        <w:t>vývoja na doplnenie existujúcich politík</w:t>
      </w:r>
      <w:r w:rsidR="00CC26EA" w:rsidRPr="00CC26EA">
        <w:rPr>
          <w:noProof/>
          <w:spacing w:val="-6"/>
          <w:lang w:val="sk-SK"/>
        </w:rPr>
        <w:t xml:space="preserve"> v </w:t>
      </w:r>
      <w:r w:rsidRPr="00CC26EA">
        <w:rPr>
          <w:noProof/>
          <w:spacing w:val="-6"/>
          <w:lang w:val="sk-SK"/>
        </w:rPr>
        <w:t>oblasti klímy</w:t>
      </w:r>
      <w:r w:rsidR="00CC26EA" w:rsidRPr="00CC26EA">
        <w:rPr>
          <w:noProof/>
          <w:spacing w:val="-6"/>
          <w:lang w:val="sk-SK"/>
        </w:rPr>
        <w:t>.</w:t>
      </w:r>
    </w:p>
    <w:p w14:paraId="7B258285" w14:textId="04F6249C" w:rsidR="00F65654" w:rsidRPr="00CC26EA" w:rsidRDefault="0041081E">
      <w:pPr>
        <w:pStyle w:val="Text1"/>
        <w:ind w:left="0"/>
        <w:rPr>
          <w:noProof/>
          <w:spacing w:val="-6"/>
          <w:lang w:val="sk-SK"/>
        </w:rPr>
      </w:pPr>
      <w:r w:rsidRPr="00CC26EA">
        <w:rPr>
          <w:noProof/>
          <w:spacing w:val="-6"/>
          <w:lang w:val="sk-SK"/>
        </w:rPr>
        <w:t>Cieľom opatrení</w:t>
      </w:r>
      <w:r w:rsidR="00CC26EA" w:rsidRPr="00CC26EA">
        <w:rPr>
          <w:noProof/>
          <w:spacing w:val="-6"/>
          <w:lang w:val="sk-SK"/>
        </w:rPr>
        <w:t xml:space="preserve"> v </w:t>
      </w:r>
      <w:r w:rsidRPr="00CC26EA">
        <w:rPr>
          <w:noProof/>
          <w:spacing w:val="-6"/>
          <w:lang w:val="sk-SK"/>
        </w:rPr>
        <w:t>rámci zložky je poskytnúť verejnému</w:t>
      </w:r>
      <w:r w:rsidR="00CC26EA" w:rsidRPr="00CC26EA">
        <w:rPr>
          <w:noProof/>
          <w:spacing w:val="-6"/>
          <w:lang w:val="sk-SK"/>
        </w:rPr>
        <w:t xml:space="preserve"> a </w:t>
      </w:r>
      <w:r w:rsidRPr="00CC26EA">
        <w:rPr>
          <w:noProof/>
          <w:spacing w:val="-6"/>
          <w:lang w:val="sk-SK"/>
        </w:rPr>
        <w:t>súkromnému sektoru stimuly na podporu výskumu</w:t>
      </w:r>
      <w:r w:rsidR="00CC26EA" w:rsidRPr="00CC26EA">
        <w:rPr>
          <w:noProof/>
          <w:spacing w:val="-6"/>
          <w:lang w:val="sk-SK"/>
        </w:rPr>
        <w:t xml:space="preserve"> a </w:t>
      </w:r>
      <w:r w:rsidRPr="00CC26EA">
        <w:rPr>
          <w:noProof/>
          <w:spacing w:val="-6"/>
          <w:lang w:val="sk-SK"/>
        </w:rPr>
        <w:t>vývoja, najmä</w:t>
      </w:r>
      <w:r w:rsidR="00CC26EA" w:rsidRPr="00CC26EA">
        <w:rPr>
          <w:noProof/>
          <w:spacing w:val="-6"/>
          <w:lang w:val="sk-SK"/>
        </w:rPr>
        <w:t xml:space="preserve"> v </w:t>
      </w:r>
      <w:r w:rsidRPr="00CC26EA">
        <w:rPr>
          <w:noProof/>
          <w:spacing w:val="-6"/>
          <w:lang w:val="sk-SK"/>
        </w:rPr>
        <w:t>oblasti inovačných ekologických technológií. Cieľom zložky je vytvoriť dlhodobý rastový potenciál, predsunúť zelenú transformáciu investovaním do nových ekologických technológií</w:t>
      </w:r>
      <w:r w:rsidR="00CC26EA" w:rsidRPr="00CC26EA">
        <w:rPr>
          <w:noProof/>
          <w:spacing w:val="-6"/>
          <w:lang w:val="sk-SK"/>
        </w:rPr>
        <w:t xml:space="preserve"> a </w:t>
      </w:r>
      <w:r w:rsidRPr="00CC26EA">
        <w:rPr>
          <w:noProof/>
          <w:spacing w:val="-6"/>
          <w:lang w:val="sk-SK"/>
        </w:rPr>
        <w:t>diverzifikovať výskum nabádaním súkromných</w:t>
      </w:r>
      <w:r w:rsidR="00CC26EA" w:rsidRPr="00CC26EA">
        <w:rPr>
          <w:noProof/>
          <w:spacing w:val="-6"/>
          <w:lang w:val="sk-SK"/>
        </w:rPr>
        <w:t xml:space="preserve"> a </w:t>
      </w:r>
      <w:r w:rsidRPr="00CC26EA">
        <w:rPr>
          <w:noProof/>
          <w:spacing w:val="-6"/>
          <w:lang w:val="sk-SK"/>
        </w:rPr>
        <w:t>verejných subjektov</w:t>
      </w:r>
      <w:r w:rsidR="00CC26EA" w:rsidRPr="00CC26EA">
        <w:rPr>
          <w:noProof/>
          <w:spacing w:val="-6"/>
          <w:lang w:val="sk-SK"/>
        </w:rPr>
        <w:t xml:space="preserve"> k </w:t>
      </w:r>
      <w:r w:rsidRPr="00CC26EA">
        <w:rPr>
          <w:noProof/>
          <w:spacing w:val="-6"/>
          <w:lang w:val="sk-SK"/>
        </w:rPr>
        <w:t>spolupráci.</w:t>
      </w:r>
    </w:p>
    <w:p w14:paraId="0D93FCFE" w14:textId="5CEF2A0E" w:rsidR="00CC26EA" w:rsidRPr="00CC26EA" w:rsidRDefault="0041081E">
      <w:pPr>
        <w:pStyle w:val="Text1"/>
        <w:ind w:left="0"/>
        <w:rPr>
          <w:noProof/>
          <w:spacing w:val="-6"/>
          <w:lang w:val="sk-SK"/>
        </w:rPr>
      </w:pPr>
      <w:r w:rsidRPr="00CC26EA">
        <w:rPr>
          <w:noProof/>
          <w:spacing w:val="-6"/>
          <w:lang w:val="sk-SK"/>
        </w:rPr>
        <w:t>Zložka pozostáva</w:t>
      </w:r>
      <w:r w:rsidR="00CC26EA" w:rsidRPr="00CC26EA">
        <w:rPr>
          <w:noProof/>
          <w:spacing w:val="-6"/>
          <w:lang w:val="sk-SK"/>
        </w:rPr>
        <w:t xml:space="preserve"> z </w:t>
      </w:r>
      <w:r w:rsidRPr="00CC26EA">
        <w:rPr>
          <w:noProof/>
          <w:spacing w:val="-6"/>
          <w:lang w:val="sk-SK"/>
        </w:rPr>
        <w:t>výskumného programu štruktúrovaného do štyroch investícií</w:t>
      </w:r>
      <w:r w:rsidR="00CC26EA" w:rsidRPr="00CC26EA">
        <w:rPr>
          <w:noProof/>
          <w:spacing w:val="-6"/>
          <w:lang w:val="sk-SK"/>
        </w:rPr>
        <w:t xml:space="preserve"> a </w:t>
      </w:r>
      <w:r w:rsidRPr="00CC26EA">
        <w:rPr>
          <w:noProof/>
          <w:spacing w:val="-6"/>
          <w:lang w:val="sk-SK"/>
        </w:rPr>
        <w:t>jednej reformy zameranej na odvodenie daní zo súkromných výdavkov na výskum</w:t>
      </w:r>
      <w:r w:rsidR="00CC26EA" w:rsidRPr="00CC26EA">
        <w:rPr>
          <w:noProof/>
          <w:spacing w:val="-6"/>
          <w:lang w:val="sk-SK"/>
        </w:rPr>
        <w:t xml:space="preserve"> a </w:t>
      </w:r>
      <w:r w:rsidRPr="00CC26EA">
        <w:rPr>
          <w:noProof/>
          <w:spacing w:val="-6"/>
          <w:lang w:val="sk-SK"/>
        </w:rPr>
        <w:t>vývoj</w:t>
      </w:r>
      <w:r w:rsidR="00CC26EA" w:rsidRPr="00CC26EA">
        <w:rPr>
          <w:noProof/>
          <w:spacing w:val="-6"/>
          <w:lang w:val="sk-SK"/>
        </w:rPr>
        <w:t xml:space="preserve"> v </w:t>
      </w:r>
      <w:r w:rsidRPr="00CC26EA">
        <w:rPr>
          <w:noProof/>
          <w:spacing w:val="-6"/>
          <w:lang w:val="sk-SK"/>
        </w:rPr>
        <w:t>roku 2022</w:t>
      </w:r>
      <w:r w:rsidR="00CC26EA" w:rsidRPr="00CC26EA">
        <w:rPr>
          <w:noProof/>
          <w:spacing w:val="-6"/>
          <w:lang w:val="sk-SK"/>
        </w:rPr>
        <w:t>.</w:t>
      </w:r>
    </w:p>
    <w:p w14:paraId="3551B0AC" w14:textId="0970A176" w:rsidR="00F65654" w:rsidRPr="00CC26EA" w:rsidRDefault="0041081E">
      <w:pPr>
        <w:pStyle w:val="Text1"/>
        <w:ind w:left="0"/>
        <w:rPr>
          <w:noProof/>
          <w:spacing w:val="-6"/>
          <w:lang w:val="sk-SK"/>
        </w:rPr>
      </w:pPr>
      <w:r w:rsidRPr="00CC26EA">
        <w:rPr>
          <w:noProof/>
          <w:spacing w:val="-6"/>
          <w:lang w:val="sk-SK"/>
        </w:rPr>
        <w:t>Výskumný program je štruktúrovaný aspoň do štyroch verejno-súkromných partnerstiev nazývaných „zelené partnerstvá“</w:t>
      </w:r>
      <w:r w:rsidR="00CC26EA" w:rsidRPr="00CC26EA">
        <w:rPr>
          <w:noProof/>
          <w:spacing w:val="-6"/>
          <w:lang w:val="sk-SK"/>
        </w:rPr>
        <w:t xml:space="preserve"> s </w:t>
      </w:r>
      <w:r w:rsidRPr="00CC26EA">
        <w:rPr>
          <w:noProof/>
          <w:spacing w:val="-6"/>
          <w:lang w:val="sk-SK"/>
        </w:rPr>
        <w:t>cieľom vyvinúť riešenia štyroch výziev súvisiacich</w:t>
      </w:r>
      <w:r w:rsidR="00CC26EA" w:rsidRPr="00CC26EA">
        <w:rPr>
          <w:noProof/>
          <w:spacing w:val="-6"/>
          <w:lang w:val="sk-SK"/>
        </w:rPr>
        <w:t xml:space="preserve"> s </w:t>
      </w:r>
      <w:r w:rsidRPr="00CC26EA">
        <w:rPr>
          <w:noProof/>
          <w:spacing w:val="-6"/>
          <w:lang w:val="sk-SK"/>
        </w:rPr>
        <w:t>poslaním znižovania emisií</w:t>
      </w:r>
      <w:r w:rsidR="00CC26EA" w:rsidRPr="00CC26EA">
        <w:rPr>
          <w:noProof/>
          <w:spacing w:val="-6"/>
          <w:lang w:val="sk-SK"/>
        </w:rPr>
        <w:t xml:space="preserve"> v </w:t>
      </w:r>
      <w:r w:rsidRPr="00CC26EA">
        <w:rPr>
          <w:noProof/>
          <w:spacing w:val="-6"/>
          <w:lang w:val="sk-SK"/>
        </w:rPr>
        <w:t>odvetviach dopravy, poľnohospodárstva, potravinárstva</w:t>
      </w:r>
      <w:r w:rsidR="00CC26EA" w:rsidRPr="00CC26EA">
        <w:rPr>
          <w:noProof/>
          <w:spacing w:val="-6"/>
          <w:lang w:val="sk-SK"/>
        </w:rPr>
        <w:t xml:space="preserve"> a </w:t>
      </w:r>
      <w:r w:rsidRPr="00CC26EA">
        <w:rPr>
          <w:noProof/>
          <w:spacing w:val="-6"/>
          <w:lang w:val="sk-SK"/>
        </w:rPr>
        <w:t>odpadového hospodárstva.</w:t>
      </w:r>
    </w:p>
    <w:p w14:paraId="73A10C3B" w14:textId="11FDA565" w:rsidR="00CC26EA" w:rsidRPr="00CC26EA" w:rsidRDefault="0041081E">
      <w:pPr>
        <w:pStyle w:val="Text1"/>
        <w:ind w:left="0"/>
        <w:rPr>
          <w:noProof/>
          <w:spacing w:val="-6"/>
          <w:lang w:val="sk-SK"/>
        </w:rPr>
      </w:pPr>
      <w:r w:rsidRPr="00CC26EA">
        <w:rPr>
          <w:noProof/>
          <w:spacing w:val="-6"/>
          <w:lang w:val="sk-SK"/>
        </w:rPr>
        <w:t>Príjemcovia musia mať možnosť požiadať</w:t>
      </w:r>
      <w:r w:rsidR="00CC26EA" w:rsidRPr="00CC26EA">
        <w:rPr>
          <w:noProof/>
          <w:spacing w:val="-6"/>
          <w:lang w:val="sk-SK"/>
        </w:rPr>
        <w:t xml:space="preserve"> o </w:t>
      </w:r>
      <w:r w:rsidRPr="00CC26EA">
        <w:rPr>
          <w:noProof/>
          <w:spacing w:val="-6"/>
          <w:lang w:val="sk-SK"/>
        </w:rPr>
        <w:t>financovanie projektov</w:t>
      </w:r>
      <w:r w:rsidR="00CC26EA" w:rsidRPr="00CC26EA">
        <w:rPr>
          <w:noProof/>
          <w:spacing w:val="-6"/>
          <w:lang w:val="sk-SK"/>
        </w:rPr>
        <w:t xml:space="preserve"> v </w:t>
      </w:r>
      <w:r w:rsidRPr="00CC26EA">
        <w:rPr>
          <w:noProof/>
          <w:spacing w:val="-6"/>
          <w:lang w:val="sk-SK"/>
        </w:rPr>
        <w:t>celom hodnotovom reťazci, ako aj demonštračných</w:t>
      </w:r>
      <w:r w:rsidR="00CC26EA" w:rsidRPr="00CC26EA">
        <w:rPr>
          <w:noProof/>
          <w:spacing w:val="-6"/>
          <w:lang w:val="sk-SK"/>
        </w:rPr>
        <w:t xml:space="preserve"> a </w:t>
      </w:r>
      <w:r w:rsidRPr="00CC26EA">
        <w:rPr>
          <w:noProof/>
          <w:spacing w:val="-6"/>
          <w:lang w:val="sk-SK"/>
        </w:rPr>
        <w:t>rozvojových projektov. Finančné prostriedky sú určené na pokrytie prvých piatich rokov nákladov na výskum</w:t>
      </w:r>
      <w:r w:rsidR="00CC26EA" w:rsidRPr="00CC26EA">
        <w:rPr>
          <w:noProof/>
          <w:spacing w:val="-6"/>
          <w:lang w:val="sk-SK"/>
        </w:rPr>
        <w:t xml:space="preserve"> a </w:t>
      </w:r>
      <w:r w:rsidRPr="00CC26EA">
        <w:rPr>
          <w:noProof/>
          <w:spacing w:val="-6"/>
          <w:lang w:val="sk-SK"/>
        </w:rPr>
        <w:t>neskôr sa doplnia</w:t>
      </w:r>
      <w:r w:rsidR="00CC26EA" w:rsidRPr="00CC26EA">
        <w:rPr>
          <w:noProof/>
          <w:spacing w:val="-6"/>
          <w:lang w:val="sk-SK"/>
        </w:rPr>
        <w:t xml:space="preserve"> o </w:t>
      </w:r>
      <w:r w:rsidRPr="00CC26EA">
        <w:rPr>
          <w:noProof/>
          <w:spacing w:val="-6"/>
          <w:lang w:val="sk-SK"/>
        </w:rPr>
        <w:t>ďalšie zdroje financovania mimo Mechanizmu na podporu obnovy</w:t>
      </w:r>
      <w:r w:rsidR="00CC26EA" w:rsidRPr="00CC26EA">
        <w:rPr>
          <w:noProof/>
          <w:spacing w:val="-6"/>
          <w:lang w:val="sk-SK"/>
        </w:rPr>
        <w:t xml:space="preserve"> a </w:t>
      </w:r>
      <w:r w:rsidRPr="00CC26EA">
        <w:rPr>
          <w:noProof/>
          <w:spacing w:val="-6"/>
          <w:lang w:val="sk-SK"/>
        </w:rPr>
        <w:t>odolnosti</w:t>
      </w:r>
      <w:r w:rsidR="00CC26EA" w:rsidRPr="00CC26EA">
        <w:rPr>
          <w:noProof/>
          <w:spacing w:val="-6"/>
          <w:lang w:val="sk-SK"/>
        </w:rPr>
        <w:t>.</w:t>
      </w:r>
    </w:p>
    <w:p w14:paraId="2F61F86C" w14:textId="3B4DAC01" w:rsidR="00F65654" w:rsidRPr="00CC26EA" w:rsidRDefault="0041081E">
      <w:pPr>
        <w:pStyle w:val="NormalLeft"/>
        <w:jc w:val="both"/>
        <w:rPr>
          <w:noProof/>
          <w:spacing w:val="-6"/>
          <w:lang w:val="sk-SK"/>
        </w:rPr>
      </w:pPr>
      <w:r w:rsidRPr="00CC26EA">
        <w:rPr>
          <w:noProof/>
          <w:spacing w:val="-6"/>
          <w:lang w:val="sk-SK"/>
        </w:rPr>
        <w:t xml:space="preserve">Výskumný program riadi </w:t>
      </w:r>
      <w:r w:rsidRPr="00CC26EA">
        <w:rPr>
          <w:i/>
          <w:noProof/>
          <w:spacing w:val="-6"/>
          <w:lang w:val="sk-SK"/>
        </w:rPr>
        <w:t xml:space="preserve">inovačný fond Dánska, </w:t>
      </w:r>
      <w:hyperlink r:id="rId90">
        <w:r w:rsidRPr="00CC26EA">
          <w:rPr>
            <w:noProof/>
            <w:spacing w:val="-6"/>
            <w:lang w:val="sk-SK"/>
          </w:rPr>
          <w:t>ktorý je nezávislým orgánom verejnej správy</w:t>
        </w:r>
      </w:hyperlink>
      <w:r w:rsidRPr="00CC26EA">
        <w:rPr>
          <w:noProof/>
          <w:spacing w:val="-6"/>
          <w:lang w:val="sk-SK"/>
        </w:rPr>
        <w:t>. Výber príjemcov sa uskutoční</w:t>
      </w:r>
      <w:r w:rsidR="00CC26EA" w:rsidRPr="00CC26EA">
        <w:rPr>
          <w:noProof/>
          <w:spacing w:val="-6"/>
          <w:lang w:val="sk-SK"/>
        </w:rPr>
        <w:t xml:space="preserve"> v </w:t>
      </w:r>
      <w:r w:rsidRPr="00CC26EA">
        <w:rPr>
          <w:noProof/>
          <w:spacing w:val="-6"/>
          <w:lang w:val="sk-SK"/>
        </w:rPr>
        <w:t>dvojfázovom výberovom konaní. Po prvé, zainteresované subjekty vypracujú plán</w:t>
      </w:r>
      <w:r w:rsidR="00CC26EA" w:rsidRPr="00CC26EA">
        <w:rPr>
          <w:noProof/>
          <w:spacing w:val="-6"/>
          <w:lang w:val="sk-SK"/>
        </w:rPr>
        <w:t xml:space="preserve"> s </w:t>
      </w:r>
      <w:r w:rsidRPr="00CC26EA">
        <w:rPr>
          <w:noProof/>
          <w:spacing w:val="-6"/>
          <w:lang w:val="sk-SK"/>
        </w:rPr>
        <w:t>cieľom navrhnúť nápady pre pracovné okruhy</w:t>
      </w:r>
      <w:r w:rsidR="00CC26EA" w:rsidRPr="00CC26EA">
        <w:rPr>
          <w:noProof/>
          <w:spacing w:val="-6"/>
          <w:lang w:val="sk-SK"/>
        </w:rPr>
        <w:t xml:space="preserve"> a </w:t>
      </w:r>
      <w:r w:rsidRPr="00CC26EA">
        <w:rPr>
          <w:noProof/>
          <w:spacing w:val="-6"/>
          <w:lang w:val="sk-SK"/>
        </w:rPr>
        <w:t>činnosti na prekonanie výziev, ktorým Dánsko čelí</w:t>
      </w:r>
      <w:r w:rsidR="00CC26EA" w:rsidRPr="00CC26EA">
        <w:rPr>
          <w:noProof/>
          <w:spacing w:val="-6"/>
          <w:lang w:val="sk-SK"/>
        </w:rPr>
        <w:t xml:space="preserve"> v </w:t>
      </w:r>
      <w:r w:rsidRPr="00CC26EA">
        <w:rPr>
          <w:noProof/>
          <w:spacing w:val="-6"/>
          <w:lang w:val="sk-SK"/>
        </w:rPr>
        <w:t>oblasti výskumu</w:t>
      </w:r>
      <w:r w:rsidR="00CC26EA" w:rsidRPr="00CC26EA">
        <w:rPr>
          <w:noProof/>
          <w:spacing w:val="-6"/>
          <w:lang w:val="sk-SK"/>
        </w:rPr>
        <w:t xml:space="preserve"> a </w:t>
      </w:r>
      <w:r w:rsidRPr="00CC26EA">
        <w:rPr>
          <w:noProof/>
          <w:spacing w:val="-6"/>
          <w:lang w:val="sk-SK"/>
        </w:rPr>
        <w:t>vývoja. Skupina expertov pomôže inovačnému fondu Dánsku vybrať plán pre každú misiu do 30</w:t>
      </w:r>
      <w:r w:rsidR="00CC26EA" w:rsidRPr="00CC26EA">
        <w:rPr>
          <w:noProof/>
          <w:spacing w:val="-6"/>
          <w:lang w:val="sk-SK"/>
        </w:rPr>
        <w:t>. júna</w:t>
      </w:r>
      <w:r w:rsidRPr="00CC26EA">
        <w:rPr>
          <w:noProof/>
          <w:spacing w:val="-6"/>
          <w:lang w:val="sk-SK"/>
        </w:rPr>
        <w:t xml:space="preserve"> 2021.</w:t>
      </w:r>
    </w:p>
    <w:p w14:paraId="5C840C9E" w14:textId="0A6071BB" w:rsidR="00F65654" w:rsidRPr="00CC26EA" w:rsidRDefault="0041081E">
      <w:pPr>
        <w:pStyle w:val="NormalLeft"/>
        <w:jc w:val="both"/>
        <w:rPr>
          <w:noProof/>
          <w:spacing w:val="-6"/>
          <w:lang w:val="sk-SK"/>
        </w:rPr>
      </w:pPr>
      <w:r w:rsidRPr="00CC26EA">
        <w:rPr>
          <w:noProof/>
          <w:spacing w:val="-6"/>
          <w:lang w:val="sk-SK"/>
        </w:rPr>
        <w:t>Po výbere plánov Inovačný fond Dánsko vyhlási výzvu na predkladanie partnerstiev. Výber partnerstiev sa zakladá na procese hodnotenia, ktorý riadi inovačný fond Dánska.</w:t>
      </w:r>
      <w:r w:rsidR="00CC26EA" w:rsidRPr="00CC26EA">
        <w:rPr>
          <w:noProof/>
          <w:spacing w:val="-6"/>
          <w:lang w:val="sk-SK"/>
        </w:rPr>
        <w:t xml:space="preserve"> V </w:t>
      </w:r>
      <w:r w:rsidRPr="00CC26EA">
        <w:rPr>
          <w:noProof/>
          <w:spacing w:val="-6"/>
          <w:lang w:val="sk-SK"/>
        </w:rPr>
        <w:t>rámci každej misie môže existovať viac ako jedno partnerstvo. Inovačný fond Dánsko vyberie partnerstvá do 31</w:t>
      </w:r>
      <w:r w:rsidR="00CC26EA" w:rsidRPr="00CC26EA">
        <w:rPr>
          <w:noProof/>
          <w:spacing w:val="-6"/>
          <w:lang w:val="sk-SK"/>
        </w:rPr>
        <w:t>. decembra</w:t>
      </w:r>
      <w:r w:rsidRPr="00CC26EA">
        <w:rPr>
          <w:noProof/>
          <w:spacing w:val="-6"/>
          <w:lang w:val="sk-SK"/>
        </w:rPr>
        <w:t xml:space="preserve"> 2021. Finančné prostriedky sa vyplatia zelenému partnerstvu do 31</w:t>
      </w:r>
      <w:r w:rsidR="00CC26EA" w:rsidRPr="00CC26EA">
        <w:rPr>
          <w:noProof/>
          <w:spacing w:val="-6"/>
          <w:lang w:val="sk-SK"/>
        </w:rPr>
        <w:t>. decembra</w:t>
      </w:r>
      <w:r w:rsidRPr="00CC26EA">
        <w:rPr>
          <w:noProof/>
          <w:spacing w:val="-6"/>
          <w:lang w:val="sk-SK"/>
        </w:rPr>
        <w:t xml:space="preserve"> 2022.</w:t>
      </w:r>
    </w:p>
    <w:p w14:paraId="50E4EAE1" w14:textId="255F1E8D" w:rsidR="00F65654" w:rsidRPr="00CC26EA" w:rsidRDefault="0041081E">
      <w:pPr>
        <w:pStyle w:val="Text1"/>
        <w:ind w:left="0"/>
        <w:rPr>
          <w:noProof/>
          <w:spacing w:val="-6"/>
          <w:lang w:val="sk-SK"/>
        </w:rPr>
      </w:pPr>
      <w:r w:rsidRPr="00CC26EA">
        <w:rPr>
          <w:noProof/>
          <w:spacing w:val="-6"/>
          <w:lang w:val="sk-SK"/>
        </w:rPr>
        <w:t>S cieľom ďalej podporiť zelenú transformáciu</w:t>
      </w:r>
      <w:r w:rsidR="00CC26EA" w:rsidRPr="00CC26EA">
        <w:rPr>
          <w:noProof/>
          <w:spacing w:val="-6"/>
          <w:lang w:val="sk-SK"/>
        </w:rPr>
        <w:t xml:space="preserve"> a </w:t>
      </w:r>
      <w:r w:rsidRPr="00CC26EA">
        <w:rPr>
          <w:noProof/>
          <w:spacing w:val="-6"/>
          <w:lang w:val="sk-SK"/>
        </w:rPr>
        <w:t>povzbudiť podniky, aby investovali do inovačných riešení</w:t>
      </w:r>
      <w:r w:rsidR="00CC26EA" w:rsidRPr="00CC26EA">
        <w:rPr>
          <w:noProof/>
          <w:spacing w:val="-6"/>
          <w:lang w:val="sk-SK"/>
        </w:rPr>
        <w:t xml:space="preserve"> v </w:t>
      </w:r>
      <w:r w:rsidRPr="00CC26EA">
        <w:rPr>
          <w:noProof/>
          <w:spacing w:val="-6"/>
          <w:lang w:val="sk-SK"/>
        </w:rPr>
        <w:t>oblasti výskumu</w:t>
      </w:r>
      <w:r w:rsidR="00CC26EA" w:rsidRPr="00CC26EA">
        <w:rPr>
          <w:noProof/>
          <w:spacing w:val="-6"/>
          <w:lang w:val="sk-SK"/>
        </w:rPr>
        <w:t xml:space="preserve"> a </w:t>
      </w:r>
      <w:r w:rsidRPr="00CC26EA">
        <w:rPr>
          <w:noProof/>
          <w:spacing w:val="-6"/>
          <w:lang w:val="sk-SK"/>
        </w:rPr>
        <w:t>vývoja, zložka obsahuje aj opatrenie na rozšírenie základu pre odpisovanie</w:t>
      </w:r>
      <w:r w:rsidR="00CC26EA" w:rsidRPr="00CC26EA">
        <w:rPr>
          <w:noProof/>
          <w:spacing w:val="-6"/>
          <w:lang w:val="sk-SK"/>
        </w:rPr>
        <w:t xml:space="preserve"> a </w:t>
      </w:r>
      <w:r w:rsidRPr="00CC26EA">
        <w:rPr>
          <w:noProof/>
          <w:spacing w:val="-6"/>
          <w:lang w:val="sk-SK"/>
        </w:rPr>
        <w:t>odpočet výdavkov na výskum</w:t>
      </w:r>
      <w:r w:rsidR="00CC26EA" w:rsidRPr="00CC26EA">
        <w:rPr>
          <w:noProof/>
          <w:spacing w:val="-6"/>
          <w:lang w:val="sk-SK"/>
        </w:rPr>
        <w:t xml:space="preserve"> a </w:t>
      </w:r>
      <w:r w:rsidRPr="00CC26EA">
        <w:rPr>
          <w:noProof/>
          <w:spacing w:val="-6"/>
          <w:lang w:val="sk-SK"/>
        </w:rPr>
        <w:t>vývoj</w:t>
      </w:r>
      <w:r w:rsidR="00CC26EA" w:rsidRPr="00CC26EA">
        <w:rPr>
          <w:noProof/>
          <w:spacing w:val="-6"/>
          <w:lang w:val="sk-SK"/>
        </w:rPr>
        <w:t xml:space="preserve"> v </w:t>
      </w:r>
      <w:r w:rsidRPr="00CC26EA">
        <w:rPr>
          <w:noProof/>
          <w:spacing w:val="-6"/>
          <w:lang w:val="sk-SK"/>
        </w:rPr>
        <w:t>súkromných spoločnostiach. Cieľom tohto opatrenia je motivovať spoločnosti, aby zvýšili svoje celkové výdavky na výskum</w:t>
      </w:r>
      <w:r w:rsidR="00CC26EA" w:rsidRPr="00CC26EA">
        <w:rPr>
          <w:noProof/>
          <w:spacing w:val="-6"/>
          <w:lang w:val="sk-SK"/>
        </w:rPr>
        <w:t xml:space="preserve"> a </w:t>
      </w:r>
      <w:r w:rsidRPr="00CC26EA">
        <w:rPr>
          <w:noProof/>
          <w:spacing w:val="-6"/>
          <w:lang w:val="sk-SK"/>
        </w:rPr>
        <w:t>vývoj vrátane podnecovania menších firiem, aby sa zapájali do výskumu</w:t>
      </w:r>
      <w:r w:rsidR="00CC26EA" w:rsidRPr="00CC26EA">
        <w:rPr>
          <w:noProof/>
          <w:spacing w:val="-6"/>
          <w:lang w:val="sk-SK"/>
        </w:rPr>
        <w:t xml:space="preserve"> v </w:t>
      </w:r>
      <w:r w:rsidRPr="00CC26EA">
        <w:rPr>
          <w:noProof/>
          <w:spacing w:val="-6"/>
          <w:lang w:val="sk-SK"/>
        </w:rPr>
        <w:t>oblasti vývoja. Na základe historických údajov dánska vláda očakáva, že 40</w:t>
      </w:r>
      <w:r w:rsidR="00CC26EA" w:rsidRPr="00CC26EA">
        <w:rPr>
          <w:noProof/>
          <w:spacing w:val="-6"/>
          <w:lang w:val="sk-SK"/>
        </w:rPr>
        <w:t> %</w:t>
      </w:r>
      <w:r w:rsidRPr="00CC26EA">
        <w:rPr>
          <w:noProof/>
          <w:spacing w:val="-6"/>
          <w:lang w:val="sk-SK"/>
        </w:rPr>
        <w:t xml:space="preserve"> investícií do výskumu</w:t>
      </w:r>
      <w:r w:rsidR="00CC26EA" w:rsidRPr="00CC26EA">
        <w:rPr>
          <w:noProof/>
          <w:spacing w:val="-6"/>
          <w:lang w:val="sk-SK"/>
        </w:rPr>
        <w:t xml:space="preserve"> a </w:t>
      </w:r>
      <w:r w:rsidRPr="00CC26EA">
        <w:rPr>
          <w:noProof/>
          <w:spacing w:val="-6"/>
          <w:lang w:val="sk-SK"/>
        </w:rPr>
        <w:t>vývoja sa uskutoční</w:t>
      </w:r>
      <w:r w:rsidR="00CC26EA" w:rsidRPr="00CC26EA">
        <w:rPr>
          <w:noProof/>
          <w:spacing w:val="-6"/>
          <w:lang w:val="sk-SK"/>
        </w:rPr>
        <w:t xml:space="preserve"> v </w:t>
      </w:r>
      <w:r w:rsidRPr="00CC26EA">
        <w:rPr>
          <w:noProof/>
          <w:spacing w:val="-6"/>
          <w:lang w:val="sk-SK"/>
        </w:rPr>
        <w:t>jasne digitálnych opatreniach.</w:t>
      </w:r>
    </w:p>
    <w:p w14:paraId="79139FA3" w14:textId="76F31064" w:rsidR="00F65654" w:rsidRPr="00CC26EA" w:rsidRDefault="0041081E">
      <w:pPr>
        <w:pStyle w:val="Text1"/>
        <w:ind w:left="0"/>
        <w:rPr>
          <w:noProof/>
          <w:spacing w:val="-6"/>
          <w:lang w:val="sk-SK"/>
        </w:rPr>
      </w:pPr>
      <w:r w:rsidRPr="00CC26EA">
        <w:rPr>
          <w:noProof/>
          <w:spacing w:val="-6"/>
          <w:lang w:val="sk-SK"/>
        </w:rPr>
        <w:t>Tieto investície</w:t>
      </w:r>
      <w:r w:rsidR="00CC26EA" w:rsidRPr="00CC26EA">
        <w:rPr>
          <w:noProof/>
          <w:spacing w:val="-6"/>
          <w:lang w:val="sk-SK"/>
        </w:rPr>
        <w:t xml:space="preserve"> a </w:t>
      </w:r>
      <w:r w:rsidRPr="00CC26EA">
        <w:rPr>
          <w:noProof/>
          <w:spacing w:val="-6"/>
          <w:lang w:val="sk-SK"/>
        </w:rPr>
        <w:t>reformy prispejú</w:t>
      </w:r>
      <w:r w:rsidR="00CC26EA" w:rsidRPr="00CC26EA">
        <w:rPr>
          <w:noProof/>
          <w:spacing w:val="-6"/>
          <w:lang w:val="sk-SK"/>
        </w:rPr>
        <w:t xml:space="preserve"> k </w:t>
      </w:r>
      <w:r w:rsidRPr="00CC26EA">
        <w:rPr>
          <w:noProof/>
          <w:spacing w:val="-6"/>
          <w:lang w:val="sk-SK"/>
        </w:rPr>
        <w:t>odporúčaniam pre jednotlivé krajiny určeným Dánsku</w:t>
      </w:r>
      <w:r w:rsidR="00CC26EA" w:rsidRPr="00CC26EA">
        <w:rPr>
          <w:noProof/>
          <w:spacing w:val="-6"/>
          <w:lang w:val="sk-SK"/>
        </w:rPr>
        <w:t xml:space="preserve"> v </w:t>
      </w:r>
      <w:r w:rsidRPr="00CC26EA">
        <w:rPr>
          <w:noProof/>
          <w:spacing w:val="-6"/>
          <w:lang w:val="sk-SK"/>
        </w:rPr>
        <w:t>rokoch 2020</w:t>
      </w:r>
      <w:r w:rsidR="00CC26EA" w:rsidRPr="00CC26EA">
        <w:rPr>
          <w:noProof/>
          <w:spacing w:val="-6"/>
          <w:lang w:val="sk-SK"/>
        </w:rPr>
        <w:t xml:space="preserve"> a </w:t>
      </w:r>
      <w:r w:rsidRPr="00CC26EA">
        <w:rPr>
          <w:noProof/>
          <w:spacing w:val="-6"/>
          <w:lang w:val="sk-SK"/>
        </w:rPr>
        <w:t xml:space="preserve">2019, t. j. </w:t>
      </w:r>
      <w:r w:rsidRPr="00CC26EA">
        <w:rPr>
          <w:i/>
          <w:noProof/>
          <w:spacing w:val="-6"/>
          <w:lang w:val="sk-SK"/>
        </w:rPr>
        <w:t>„Podpora integrovanej inovačnej stratégie so širšou investičnou základňou“</w:t>
      </w:r>
      <w:r w:rsidRPr="00CC26EA">
        <w:rPr>
          <w:noProof/>
          <w:spacing w:val="-6"/>
          <w:lang w:val="sk-SK"/>
        </w:rPr>
        <w:t xml:space="preserve"> (odporúčania pre jednotlivé krajiny 1.2, 2019</w:t>
      </w:r>
      <w:r w:rsidR="00CC26EA" w:rsidRPr="00CC26EA">
        <w:rPr>
          <w:noProof/>
          <w:spacing w:val="-6"/>
          <w:lang w:val="sk-SK"/>
        </w:rPr>
        <w:t xml:space="preserve"> a </w:t>
      </w:r>
      <w:r w:rsidRPr="00CC26EA">
        <w:rPr>
          <w:noProof/>
          <w:spacing w:val="-6"/>
          <w:lang w:val="sk-SK"/>
        </w:rPr>
        <w:t>odporúčanie 2.6, 2020)</w:t>
      </w:r>
      <w:r w:rsidR="00CC26EA" w:rsidRPr="00CC26EA">
        <w:rPr>
          <w:noProof/>
          <w:spacing w:val="-6"/>
          <w:lang w:val="sk-SK"/>
        </w:rPr>
        <w:t xml:space="preserve"> a </w:t>
      </w:r>
      <w:r w:rsidRPr="00CC26EA">
        <w:rPr>
          <w:noProof/>
          <w:spacing w:val="-6"/>
          <w:lang w:val="sk-SK"/>
        </w:rPr>
        <w:t>„</w:t>
      </w:r>
      <w:r w:rsidRPr="00CC26EA">
        <w:rPr>
          <w:i/>
          <w:noProof/>
          <w:spacing w:val="-6"/>
          <w:lang w:val="sk-SK"/>
        </w:rPr>
        <w:t xml:space="preserve">Zameranie investícií na zelenú transformáciu“ </w:t>
      </w:r>
      <w:r w:rsidRPr="00CC26EA">
        <w:rPr>
          <w:noProof/>
          <w:spacing w:val="-6"/>
          <w:lang w:val="sk-SK"/>
        </w:rPr>
        <w:t>(odporúčania pre jednotlivé krajiny 2.3, 2020)</w:t>
      </w:r>
      <w:r w:rsidR="00CC26EA" w:rsidRPr="00CC26EA">
        <w:rPr>
          <w:noProof/>
          <w:spacing w:val="-6"/>
          <w:lang w:val="sk-SK"/>
        </w:rPr>
        <w:t xml:space="preserve"> a </w:t>
      </w:r>
      <w:r w:rsidRPr="00CC26EA">
        <w:rPr>
          <w:noProof/>
          <w:spacing w:val="-6"/>
          <w:lang w:val="sk-SK"/>
        </w:rPr>
        <w:t>„</w:t>
      </w:r>
      <w:r w:rsidRPr="00CC26EA">
        <w:rPr>
          <w:i/>
          <w:noProof/>
          <w:spacing w:val="-6"/>
          <w:lang w:val="sk-SK"/>
        </w:rPr>
        <w:t>Zameranie investícií na výskum</w:t>
      </w:r>
      <w:r w:rsidR="00CC26EA" w:rsidRPr="00CC26EA">
        <w:rPr>
          <w:i/>
          <w:noProof/>
          <w:spacing w:val="-6"/>
          <w:lang w:val="sk-SK"/>
        </w:rPr>
        <w:t xml:space="preserve"> a </w:t>
      </w:r>
      <w:r w:rsidRPr="00CC26EA">
        <w:rPr>
          <w:i/>
          <w:noProof/>
          <w:spacing w:val="-6"/>
          <w:lang w:val="sk-SK"/>
        </w:rPr>
        <w:t xml:space="preserve">inovácie“ </w:t>
      </w:r>
      <w:r w:rsidRPr="00CC26EA">
        <w:rPr>
          <w:noProof/>
          <w:spacing w:val="-6"/>
          <w:lang w:val="sk-SK"/>
        </w:rPr>
        <w:t>(odporúčania pre jednotlivé krajiny 2.5, 2020).</w:t>
      </w:r>
    </w:p>
    <w:p w14:paraId="00E0319F" w14:textId="63C5AA4B" w:rsidR="00F65654" w:rsidRPr="00CC26EA" w:rsidRDefault="0041081E">
      <w:pPr>
        <w:pStyle w:val="Text1"/>
        <w:ind w:left="0"/>
        <w:rPr>
          <w:b/>
          <w:i/>
          <w:noProof/>
          <w:color w:val="4F81BD"/>
          <w:spacing w:val="-6"/>
          <w:lang w:val="sk-SK"/>
        </w:rPr>
      </w:pPr>
      <w:r w:rsidRPr="00CC26EA">
        <w:rPr>
          <w:b/>
          <w:noProof/>
          <w:spacing w:val="-6"/>
          <w:u w:val="single"/>
          <w:lang w:val="sk-SK"/>
        </w:rPr>
        <w:t xml:space="preserve">G.1. </w:t>
      </w:r>
      <w:r w:rsidRPr="00CC26EA">
        <w:rPr>
          <w:noProof/>
          <w:spacing w:val="-6"/>
          <w:lang w:val="sk-SK"/>
        </w:rPr>
        <w:tab/>
      </w:r>
      <w:r w:rsidRPr="00CC26EA">
        <w:rPr>
          <w:b/>
          <w:noProof/>
          <w:spacing w:val="-6"/>
          <w:u w:val="single"/>
          <w:lang w:val="sk-SK"/>
        </w:rPr>
        <w:t>Opis reforiem</w:t>
      </w:r>
      <w:r w:rsidR="00CC26EA" w:rsidRPr="00CC26EA">
        <w:rPr>
          <w:b/>
          <w:noProof/>
          <w:spacing w:val="-6"/>
          <w:u w:val="single"/>
          <w:lang w:val="sk-SK"/>
        </w:rPr>
        <w:t xml:space="preserve"> a </w:t>
      </w:r>
      <w:r w:rsidRPr="00CC26EA">
        <w:rPr>
          <w:b/>
          <w:noProof/>
          <w:spacing w:val="-6"/>
          <w:u w:val="single"/>
          <w:lang w:val="sk-SK"/>
        </w:rPr>
        <w:t>investícií</w:t>
      </w:r>
      <w:r w:rsidR="00CC26EA" w:rsidRPr="00CC26EA">
        <w:rPr>
          <w:b/>
          <w:noProof/>
          <w:spacing w:val="-6"/>
          <w:u w:val="single"/>
          <w:lang w:val="sk-SK"/>
        </w:rPr>
        <w:t xml:space="preserve"> v </w:t>
      </w:r>
      <w:r w:rsidRPr="00CC26EA">
        <w:rPr>
          <w:b/>
          <w:noProof/>
          <w:spacing w:val="-6"/>
          <w:u w:val="single"/>
          <w:lang w:val="sk-SK"/>
        </w:rPr>
        <w:t>rámci nenávratnej finančnej podpory</w:t>
      </w:r>
    </w:p>
    <w:p w14:paraId="33DC488D" w14:textId="210311C3" w:rsidR="00F65654" w:rsidRPr="00CC26EA" w:rsidRDefault="0041081E">
      <w:pPr>
        <w:pStyle w:val="P68B1DB1-Normal9"/>
        <w:spacing w:before="120" w:after="120" w:line="240" w:lineRule="auto"/>
        <w:jc w:val="both"/>
        <w:rPr>
          <w:noProof/>
          <w:spacing w:val="-6"/>
          <w:lang w:val="sk-SK"/>
        </w:rPr>
      </w:pPr>
      <w:r w:rsidRPr="00CC26EA">
        <w:rPr>
          <w:noProof/>
          <w:spacing w:val="-6"/>
          <w:lang w:val="sk-SK"/>
        </w:rPr>
        <w:t>Investícia 1: Zachytávanie</w:t>
      </w:r>
      <w:r w:rsidR="00CC26EA" w:rsidRPr="00CC26EA">
        <w:rPr>
          <w:noProof/>
          <w:spacing w:val="-6"/>
          <w:lang w:val="sk-SK"/>
        </w:rPr>
        <w:t xml:space="preserve"> a </w:t>
      </w:r>
      <w:r w:rsidRPr="00CC26EA">
        <w:rPr>
          <w:noProof/>
          <w:spacing w:val="-6"/>
          <w:lang w:val="sk-SK"/>
        </w:rPr>
        <w:t>ukladanie uhlíka alebo využívanie CO2</w:t>
      </w:r>
    </w:p>
    <w:p w14:paraId="50617320" w14:textId="11ACDA74" w:rsidR="00CC26EA" w:rsidRPr="00CC26EA" w:rsidRDefault="0041081E">
      <w:pPr>
        <w:pStyle w:val="NormalLeft"/>
        <w:jc w:val="both"/>
        <w:rPr>
          <w:noProof/>
          <w:spacing w:val="-6"/>
          <w:lang w:val="sk-SK"/>
        </w:rPr>
      </w:pPr>
      <w:r w:rsidRPr="00CC26EA">
        <w:rPr>
          <w:noProof/>
          <w:spacing w:val="-6"/>
          <w:lang w:val="sk-SK"/>
        </w:rPr>
        <w:t>Investícia „zachytávanie</w:t>
      </w:r>
      <w:r w:rsidR="00CC26EA" w:rsidRPr="00CC26EA">
        <w:rPr>
          <w:noProof/>
          <w:spacing w:val="-6"/>
          <w:lang w:val="sk-SK"/>
        </w:rPr>
        <w:t xml:space="preserve"> a </w:t>
      </w:r>
      <w:r w:rsidRPr="00CC26EA">
        <w:rPr>
          <w:noProof/>
          <w:spacing w:val="-6"/>
          <w:lang w:val="sk-SK"/>
        </w:rPr>
        <w:t>ukladanie alebo využívanie CO2“ je prvou zo štyroch úloh výskumného programu na urýchlenie vývoja technologických riešení šetrných ku klíme</w:t>
      </w:r>
      <w:r w:rsidR="00CC26EA" w:rsidRPr="00CC26EA">
        <w:rPr>
          <w:noProof/>
          <w:spacing w:val="-6"/>
          <w:lang w:val="sk-SK"/>
        </w:rPr>
        <w:t>.</w:t>
      </w:r>
    </w:p>
    <w:p w14:paraId="6ADA3E1D" w14:textId="72DD615A" w:rsidR="00CC26EA" w:rsidRPr="00CC26EA" w:rsidRDefault="0041081E">
      <w:pPr>
        <w:pStyle w:val="NormalLeft"/>
        <w:jc w:val="both"/>
        <w:rPr>
          <w:noProof/>
          <w:spacing w:val="-6"/>
          <w:lang w:val="sk-SK"/>
        </w:rPr>
      </w:pPr>
      <w:r w:rsidRPr="00CC26EA">
        <w:rPr>
          <w:noProof/>
          <w:spacing w:val="-6"/>
          <w:lang w:val="sk-SK"/>
        </w:rPr>
        <w:t>Cieľom partnerstiev</w:t>
      </w:r>
      <w:r w:rsidR="00CC26EA" w:rsidRPr="00CC26EA">
        <w:rPr>
          <w:noProof/>
          <w:spacing w:val="-6"/>
          <w:lang w:val="sk-SK"/>
        </w:rPr>
        <w:t xml:space="preserve"> v </w:t>
      </w:r>
      <w:r w:rsidRPr="00CC26EA">
        <w:rPr>
          <w:noProof/>
          <w:spacing w:val="-6"/>
          <w:lang w:val="sk-SK"/>
        </w:rPr>
        <w:t>rámci tejto misie je vyvinúť nákladovo efektívne riešenia zachytávania CO2 od najväčších producentov emisií alebo</w:t>
      </w:r>
      <w:r w:rsidR="00CC26EA" w:rsidRPr="00CC26EA">
        <w:rPr>
          <w:noProof/>
          <w:spacing w:val="-6"/>
          <w:lang w:val="sk-SK"/>
        </w:rPr>
        <w:t xml:space="preserve"> z </w:t>
      </w:r>
      <w:r w:rsidRPr="00CC26EA">
        <w:rPr>
          <w:noProof/>
          <w:spacing w:val="-6"/>
          <w:lang w:val="sk-SK"/>
        </w:rPr>
        <w:t>atmosféry</w:t>
      </w:r>
      <w:r w:rsidR="00CC26EA" w:rsidRPr="00CC26EA">
        <w:rPr>
          <w:noProof/>
          <w:spacing w:val="-6"/>
          <w:lang w:val="sk-SK"/>
        </w:rPr>
        <w:t xml:space="preserve"> a </w:t>
      </w:r>
      <w:r w:rsidRPr="00CC26EA">
        <w:rPr>
          <w:noProof/>
          <w:spacing w:val="-6"/>
          <w:lang w:val="sk-SK"/>
        </w:rPr>
        <w:t>ukladať uhlík alebo ho využívať</w:t>
      </w:r>
      <w:r w:rsidR="00CC26EA" w:rsidRPr="00CC26EA">
        <w:rPr>
          <w:noProof/>
          <w:spacing w:val="-6"/>
          <w:lang w:val="sk-SK"/>
        </w:rPr>
        <w:t xml:space="preserve"> v </w:t>
      </w:r>
      <w:r w:rsidRPr="00CC26EA">
        <w:rPr>
          <w:noProof/>
          <w:spacing w:val="-6"/>
          <w:lang w:val="sk-SK"/>
        </w:rPr>
        <w:t>nových klimaticky neutrálnych zdrojoch energie. Na dosiahnutie týchto cieľov partnerstvá vytvoria hospodárske stimuly na využívanie zachytávania</w:t>
      </w:r>
      <w:r w:rsidR="00CC26EA" w:rsidRPr="00CC26EA">
        <w:rPr>
          <w:noProof/>
          <w:spacing w:val="-6"/>
          <w:lang w:val="sk-SK"/>
        </w:rPr>
        <w:t xml:space="preserve"> a </w:t>
      </w:r>
      <w:r w:rsidRPr="00CC26EA">
        <w:rPr>
          <w:noProof/>
          <w:spacing w:val="-6"/>
          <w:lang w:val="sk-SK"/>
        </w:rPr>
        <w:t>ukladania uhlíka alebo využívania CO2</w:t>
      </w:r>
      <w:r w:rsidR="00CC26EA" w:rsidRPr="00CC26EA">
        <w:rPr>
          <w:noProof/>
          <w:spacing w:val="-6"/>
          <w:lang w:val="sk-SK"/>
        </w:rPr>
        <w:t xml:space="preserve"> a </w:t>
      </w:r>
      <w:r w:rsidRPr="00CC26EA">
        <w:rPr>
          <w:noProof/>
          <w:spacing w:val="-6"/>
          <w:lang w:val="sk-SK"/>
        </w:rPr>
        <w:t>posilnia výskum geologických podmienok ukladania CO2</w:t>
      </w:r>
      <w:r w:rsidR="00CC26EA" w:rsidRPr="00CC26EA">
        <w:rPr>
          <w:noProof/>
          <w:spacing w:val="-6"/>
          <w:lang w:val="sk-SK"/>
        </w:rPr>
        <w:t xml:space="preserve"> v </w:t>
      </w:r>
      <w:r w:rsidRPr="00CC26EA">
        <w:rPr>
          <w:noProof/>
          <w:spacing w:val="-6"/>
          <w:lang w:val="sk-SK"/>
        </w:rPr>
        <w:t>Dánsku, vývoj materiálu na zachytávanie uhlíka</w:t>
      </w:r>
      <w:r w:rsidR="00CC26EA" w:rsidRPr="00CC26EA">
        <w:rPr>
          <w:noProof/>
          <w:spacing w:val="-6"/>
          <w:lang w:val="sk-SK"/>
        </w:rPr>
        <w:t xml:space="preserve"> a </w:t>
      </w:r>
      <w:r w:rsidRPr="00CC26EA">
        <w:rPr>
          <w:noProof/>
          <w:spacing w:val="-6"/>
          <w:lang w:val="sk-SK"/>
        </w:rPr>
        <w:t>vývoj analytických metód, ktoré môžu monitorovať úniky</w:t>
      </w:r>
      <w:r w:rsidR="00CC26EA" w:rsidRPr="00CC26EA">
        <w:rPr>
          <w:noProof/>
          <w:spacing w:val="-6"/>
          <w:lang w:val="sk-SK"/>
        </w:rPr>
        <w:t xml:space="preserve"> a </w:t>
      </w:r>
      <w:r w:rsidRPr="00CC26EA">
        <w:rPr>
          <w:noProof/>
          <w:spacing w:val="-6"/>
          <w:lang w:val="sk-SK"/>
        </w:rPr>
        <w:t>predchádzať mu</w:t>
      </w:r>
      <w:r w:rsidR="00CC26EA" w:rsidRPr="00CC26EA">
        <w:rPr>
          <w:noProof/>
          <w:spacing w:val="-6"/>
          <w:lang w:val="sk-SK"/>
        </w:rPr>
        <w:t>.</w:t>
      </w:r>
    </w:p>
    <w:p w14:paraId="44C9E54F" w14:textId="4EFCB009" w:rsidR="00F65654" w:rsidRPr="00CC26EA" w:rsidRDefault="0041081E">
      <w:pPr>
        <w:pStyle w:val="NormalLeft"/>
        <w:jc w:val="both"/>
        <w:rPr>
          <w:noProof/>
          <w:spacing w:val="-6"/>
          <w:lang w:val="sk-SK"/>
        </w:rPr>
      </w:pPr>
      <w:r w:rsidRPr="00CC26EA">
        <w:rPr>
          <w:noProof/>
          <w:spacing w:val="-6"/>
          <w:lang w:val="sk-SK"/>
        </w:rPr>
        <w:t>Očakáva sa, že inovačný fond vo svojom preskúmaní žiadostí</w:t>
      </w:r>
      <w:r w:rsidR="00CC26EA" w:rsidRPr="00CC26EA">
        <w:rPr>
          <w:noProof/>
          <w:spacing w:val="-6"/>
          <w:lang w:val="sk-SK"/>
        </w:rPr>
        <w:t xml:space="preserve"> o </w:t>
      </w:r>
      <w:r w:rsidRPr="00CC26EA">
        <w:rPr>
          <w:noProof/>
          <w:spacing w:val="-6"/>
          <w:lang w:val="sk-SK"/>
        </w:rPr>
        <w:t>túto misiu zohľadní vzťah</w:t>
      </w:r>
      <w:r w:rsidR="00CC26EA" w:rsidRPr="00CC26EA">
        <w:rPr>
          <w:noProof/>
          <w:spacing w:val="-6"/>
          <w:lang w:val="sk-SK"/>
        </w:rPr>
        <w:t xml:space="preserve"> k </w:t>
      </w:r>
      <w:r w:rsidRPr="00CC26EA">
        <w:rPr>
          <w:noProof/>
          <w:spacing w:val="-6"/>
          <w:lang w:val="sk-SK"/>
        </w:rPr>
        <w:t>vývoju</w:t>
      </w:r>
      <w:r w:rsidR="00CC26EA" w:rsidRPr="00CC26EA">
        <w:rPr>
          <w:noProof/>
          <w:spacing w:val="-6"/>
          <w:lang w:val="sk-SK"/>
        </w:rPr>
        <w:t xml:space="preserve"> a </w:t>
      </w:r>
      <w:r w:rsidRPr="00CC26EA">
        <w:rPr>
          <w:noProof/>
          <w:spacing w:val="-6"/>
          <w:lang w:val="sk-SK"/>
        </w:rPr>
        <w:t>demonštračnému projektu úložísk CO2 na vyčerpaných ropných</w:t>
      </w:r>
      <w:r w:rsidR="00CC26EA" w:rsidRPr="00CC26EA">
        <w:rPr>
          <w:noProof/>
          <w:spacing w:val="-6"/>
          <w:lang w:val="sk-SK"/>
        </w:rPr>
        <w:t xml:space="preserve"> a </w:t>
      </w:r>
      <w:r w:rsidRPr="00CC26EA">
        <w:rPr>
          <w:noProof/>
          <w:spacing w:val="-6"/>
          <w:lang w:val="sk-SK"/>
        </w:rPr>
        <w:t>plynových poliach</w:t>
      </w:r>
      <w:r w:rsidR="00CC26EA" w:rsidRPr="00CC26EA">
        <w:rPr>
          <w:noProof/>
          <w:spacing w:val="-6"/>
          <w:lang w:val="sk-SK"/>
        </w:rPr>
        <w:t xml:space="preserve"> v </w:t>
      </w:r>
      <w:r w:rsidRPr="00CC26EA">
        <w:rPr>
          <w:noProof/>
          <w:spacing w:val="-6"/>
          <w:lang w:val="sk-SK"/>
        </w:rPr>
        <w:t>dánskom sektore Severného mora, ktoré sa začali</w:t>
      </w:r>
      <w:r w:rsidR="00CC26EA" w:rsidRPr="00CC26EA">
        <w:rPr>
          <w:noProof/>
          <w:spacing w:val="-6"/>
          <w:lang w:val="sk-SK"/>
        </w:rPr>
        <w:t xml:space="preserve"> v </w:t>
      </w:r>
      <w:r w:rsidRPr="00CC26EA">
        <w:rPr>
          <w:noProof/>
          <w:spacing w:val="-6"/>
          <w:lang w:val="sk-SK"/>
        </w:rPr>
        <w:t>rámci zložky 2.3 „Energetická účinnosť, ekologické vykurovanie</w:t>
      </w:r>
      <w:r w:rsidR="00CC26EA" w:rsidRPr="00CC26EA">
        <w:rPr>
          <w:noProof/>
          <w:spacing w:val="-6"/>
          <w:lang w:val="sk-SK"/>
        </w:rPr>
        <w:t xml:space="preserve"> a </w:t>
      </w:r>
      <w:r w:rsidRPr="00CC26EA">
        <w:rPr>
          <w:noProof/>
          <w:spacing w:val="-6"/>
          <w:lang w:val="sk-SK"/>
        </w:rPr>
        <w:t>zachytávanie</w:t>
      </w:r>
      <w:r w:rsidR="00CC26EA" w:rsidRPr="00CC26EA">
        <w:rPr>
          <w:noProof/>
          <w:spacing w:val="-6"/>
          <w:lang w:val="sk-SK"/>
        </w:rPr>
        <w:t xml:space="preserve"> a </w:t>
      </w:r>
      <w:r w:rsidRPr="00CC26EA">
        <w:rPr>
          <w:noProof/>
          <w:spacing w:val="-6"/>
          <w:lang w:val="sk-SK"/>
        </w:rPr>
        <w:t>ukladanie oxidu uhličitého“, aby sa predišlo akémukoľvek prekrývaniu.</w:t>
      </w:r>
    </w:p>
    <w:p w14:paraId="106EE028" w14:textId="6F0D44BA" w:rsidR="00F65654" w:rsidRPr="00CC26EA" w:rsidRDefault="0041081E">
      <w:pPr>
        <w:pStyle w:val="P68B1DB1-Normal9"/>
        <w:spacing w:before="120" w:after="120" w:line="240" w:lineRule="auto"/>
        <w:jc w:val="both"/>
        <w:rPr>
          <w:noProof/>
          <w:spacing w:val="-6"/>
          <w:lang w:val="sk-SK"/>
        </w:rPr>
      </w:pPr>
      <w:r w:rsidRPr="00CC26EA">
        <w:rPr>
          <w:noProof/>
          <w:spacing w:val="-6"/>
          <w:lang w:val="sk-SK"/>
        </w:rPr>
        <w:t>Investícia 2: Ekologické palivá pre dopravu</w:t>
      </w:r>
      <w:r w:rsidR="00CC26EA" w:rsidRPr="00CC26EA">
        <w:rPr>
          <w:noProof/>
          <w:spacing w:val="-6"/>
          <w:lang w:val="sk-SK"/>
        </w:rPr>
        <w:t xml:space="preserve"> a </w:t>
      </w:r>
      <w:r w:rsidRPr="00CC26EA">
        <w:rPr>
          <w:noProof/>
          <w:spacing w:val="-6"/>
          <w:lang w:val="sk-SK"/>
        </w:rPr>
        <w:t>priemysel</w:t>
      </w:r>
    </w:p>
    <w:p w14:paraId="4ABAE994" w14:textId="408B5DD2" w:rsidR="00CC26EA" w:rsidRPr="00CC26EA" w:rsidRDefault="0041081E">
      <w:pPr>
        <w:pStyle w:val="NormalLeft"/>
        <w:jc w:val="both"/>
        <w:rPr>
          <w:noProof/>
          <w:spacing w:val="-6"/>
          <w:lang w:val="sk-SK"/>
        </w:rPr>
      </w:pPr>
      <w:r w:rsidRPr="00CC26EA">
        <w:rPr>
          <w:noProof/>
          <w:spacing w:val="-6"/>
          <w:lang w:val="sk-SK"/>
        </w:rPr>
        <w:t>Investícia „ekologické palivá pre dopravu</w:t>
      </w:r>
      <w:r w:rsidR="00CC26EA" w:rsidRPr="00CC26EA">
        <w:rPr>
          <w:noProof/>
          <w:spacing w:val="-6"/>
          <w:lang w:val="sk-SK"/>
        </w:rPr>
        <w:t xml:space="preserve"> a </w:t>
      </w:r>
      <w:r w:rsidRPr="00CC26EA">
        <w:rPr>
          <w:noProof/>
          <w:spacing w:val="-6"/>
          <w:lang w:val="sk-SK"/>
        </w:rPr>
        <w:t>priemysel“ je druhou zo štyroch úloh výskumného programu na urýchlenie vývoja technologických riešení šetrných ku klíme</w:t>
      </w:r>
      <w:r w:rsidR="00CC26EA" w:rsidRPr="00CC26EA">
        <w:rPr>
          <w:noProof/>
          <w:spacing w:val="-6"/>
          <w:lang w:val="sk-SK"/>
        </w:rPr>
        <w:t>.</w:t>
      </w:r>
    </w:p>
    <w:p w14:paraId="2960427E" w14:textId="15F869D9" w:rsidR="00CC26EA" w:rsidRPr="00CC26EA" w:rsidRDefault="0041081E">
      <w:pPr>
        <w:pStyle w:val="NormalLeft"/>
        <w:jc w:val="both"/>
        <w:rPr>
          <w:noProof/>
          <w:spacing w:val="-6"/>
          <w:lang w:val="sk-SK"/>
        </w:rPr>
      </w:pPr>
      <w:r w:rsidRPr="00CC26EA">
        <w:rPr>
          <w:noProof/>
          <w:spacing w:val="-6"/>
          <w:lang w:val="sk-SK"/>
        </w:rPr>
        <w:t>Cieľom tejto misie je vyvinúť nové riešenia na vytvorenie nových ekologických palív vrátane ekologického vodíka</w:t>
      </w:r>
      <w:r w:rsidR="00CC26EA" w:rsidRPr="00CC26EA">
        <w:rPr>
          <w:noProof/>
          <w:spacing w:val="-6"/>
          <w:lang w:val="sk-SK"/>
        </w:rPr>
        <w:t xml:space="preserve"> a </w:t>
      </w:r>
      <w:r w:rsidRPr="00CC26EA">
        <w:rPr>
          <w:noProof/>
          <w:spacing w:val="-6"/>
          <w:lang w:val="sk-SK"/>
        </w:rPr>
        <w:t>preukázať, ako možno systémy Power-to-X integrovať do celkového energetického systému. Očakáva sa, že investície do cieleného výskumu, vývoja</w:t>
      </w:r>
      <w:r w:rsidR="00CC26EA" w:rsidRPr="00CC26EA">
        <w:rPr>
          <w:noProof/>
          <w:spacing w:val="-6"/>
          <w:lang w:val="sk-SK"/>
        </w:rPr>
        <w:t xml:space="preserve"> a </w:t>
      </w:r>
      <w:r w:rsidRPr="00CC26EA">
        <w:rPr>
          <w:noProof/>
          <w:spacing w:val="-6"/>
          <w:lang w:val="sk-SK"/>
        </w:rPr>
        <w:t>demonštračných činností</w:t>
      </w:r>
      <w:r w:rsidR="00CC26EA" w:rsidRPr="00CC26EA">
        <w:rPr>
          <w:noProof/>
          <w:spacing w:val="-6"/>
          <w:lang w:val="sk-SK"/>
        </w:rPr>
        <w:t xml:space="preserve"> s </w:t>
      </w:r>
      <w:r w:rsidRPr="00CC26EA">
        <w:rPr>
          <w:noProof/>
          <w:spacing w:val="-6"/>
          <w:lang w:val="sk-SK"/>
        </w:rPr>
        <w:t>cieľom dosiahnuť</w:t>
      </w:r>
      <w:r w:rsidR="00CC26EA" w:rsidRPr="00CC26EA">
        <w:rPr>
          <w:noProof/>
          <w:spacing w:val="-6"/>
          <w:lang w:val="sk-SK"/>
        </w:rPr>
        <w:t xml:space="preserve"> v </w:t>
      </w:r>
      <w:r w:rsidRPr="00CC26EA">
        <w:rPr>
          <w:noProof/>
          <w:spacing w:val="-6"/>
          <w:lang w:val="sk-SK"/>
        </w:rPr>
        <w:t>súčasnosti nákladné ekologické palivá na úroveň technologickej vyspelosti uľahčia komerčné využívanie</w:t>
      </w:r>
      <w:r w:rsidR="00CC26EA" w:rsidRPr="00CC26EA">
        <w:rPr>
          <w:noProof/>
          <w:spacing w:val="-6"/>
          <w:lang w:val="sk-SK"/>
        </w:rPr>
        <w:t xml:space="preserve"> a </w:t>
      </w:r>
      <w:r w:rsidRPr="00CC26EA">
        <w:rPr>
          <w:noProof/>
          <w:spacing w:val="-6"/>
          <w:lang w:val="sk-SK"/>
        </w:rPr>
        <w:t>zavádzanie takýchto technológií vo väčšom rozsahu</w:t>
      </w:r>
      <w:r w:rsidR="00CC26EA" w:rsidRPr="00CC26EA">
        <w:rPr>
          <w:noProof/>
          <w:spacing w:val="-6"/>
          <w:lang w:val="sk-SK"/>
        </w:rPr>
        <w:t>.</w:t>
      </w:r>
    </w:p>
    <w:p w14:paraId="5F68DC7D" w14:textId="0E4CB8BA" w:rsidR="00F65654" w:rsidRPr="00CC26EA" w:rsidRDefault="0041081E">
      <w:pPr>
        <w:pStyle w:val="P68B1DB1-Normal9"/>
        <w:spacing w:before="120" w:after="120" w:line="240" w:lineRule="auto"/>
        <w:jc w:val="both"/>
        <w:rPr>
          <w:noProof/>
          <w:spacing w:val="-6"/>
          <w:lang w:val="sk-SK"/>
        </w:rPr>
      </w:pPr>
      <w:r w:rsidRPr="00CC26EA">
        <w:rPr>
          <w:noProof/>
          <w:spacing w:val="-6"/>
          <w:lang w:val="sk-SK"/>
        </w:rPr>
        <w:t>Investícia 3: Poľnohospodárstvo šetrné ku klíme</w:t>
      </w:r>
      <w:r w:rsidR="00CC26EA" w:rsidRPr="00CC26EA">
        <w:rPr>
          <w:noProof/>
          <w:spacing w:val="-6"/>
          <w:lang w:val="sk-SK"/>
        </w:rPr>
        <w:t xml:space="preserve"> a </w:t>
      </w:r>
      <w:r w:rsidRPr="00CC26EA">
        <w:rPr>
          <w:noProof/>
          <w:spacing w:val="-6"/>
          <w:lang w:val="sk-SK"/>
        </w:rPr>
        <w:t>životnému prostrediu</w:t>
      </w:r>
      <w:r w:rsidR="00CC26EA" w:rsidRPr="00CC26EA">
        <w:rPr>
          <w:noProof/>
          <w:spacing w:val="-6"/>
          <w:lang w:val="sk-SK"/>
        </w:rPr>
        <w:t xml:space="preserve"> a </w:t>
      </w:r>
      <w:r w:rsidRPr="00CC26EA">
        <w:rPr>
          <w:noProof/>
          <w:spacing w:val="-6"/>
          <w:lang w:val="sk-SK"/>
        </w:rPr>
        <w:t>výroba potravín</w:t>
      </w:r>
    </w:p>
    <w:p w14:paraId="76CC58EE" w14:textId="01E3B47F" w:rsidR="00CC26EA" w:rsidRPr="00CC26EA" w:rsidRDefault="0041081E">
      <w:pPr>
        <w:pStyle w:val="NormalLeft"/>
        <w:jc w:val="both"/>
        <w:rPr>
          <w:noProof/>
          <w:spacing w:val="-6"/>
          <w:lang w:val="sk-SK"/>
        </w:rPr>
      </w:pPr>
      <w:r w:rsidRPr="00CC26EA">
        <w:rPr>
          <w:noProof/>
          <w:spacing w:val="-6"/>
          <w:lang w:val="sk-SK"/>
        </w:rPr>
        <w:t>Investícia „poľnohospodárstvo</w:t>
      </w:r>
      <w:r w:rsidR="00CC26EA" w:rsidRPr="00CC26EA">
        <w:rPr>
          <w:noProof/>
          <w:spacing w:val="-6"/>
          <w:lang w:val="sk-SK"/>
        </w:rPr>
        <w:t xml:space="preserve"> a </w:t>
      </w:r>
      <w:r w:rsidRPr="00CC26EA">
        <w:rPr>
          <w:noProof/>
          <w:spacing w:val="-6"/>
          <w:lang w:val="sk-SK"/>
        </w:rPr>
        <w:t>potravinárska výroba šetrná ku klíme</w:t>
      </w:r>
      <w:r w:rsidR="00CC26EA" w:rsidRPr="00CC26EA">
        <w:rPr>
          <w:noProof/>
          <w:spacing w:val="-6"/>
          <w:lang w:val="sk-SK"/>
        </w:rPr>
        <w:t xml:space="preserve"> a </w:t>
      </w:r>
      <w:r w:rsidRPr="00CC26EA">
        <w:rPr>
          <w:noProof/>
          <w:spacing w:val="-6"/>
          <w:lang w:val="sk-SK"/>
        </w:rPr>
        <w:t>životnému prostrediu“ je treťou zo štyroch úloh výskumného programu na urýchlenie vývoja technologických riešení šetrných ku klíme</w:t>
      </w:r>
      <w:r w:rsidR="00CC26EA" w:rsidRPr="00CC26EA">
        <w:rPr>
          <w:noProof/>
          <w:spacing w:val="-6"/>
          <w:lang w:val="sk-SK"/>
        </w:rPr>
        <w:t>.</w:t>
      </w:r>
    </w:p>
    <w:p w14:paraId="1F5CAFAE" w14:textId="1827BF2D" w:rsidR="00F65654" w:rsidRPr="00CC26EA" w:rsidRDefault="0041081E">
      <w:pPr>
        <w:pStyle w:val="NormalLeft"/>
        <w:jc w:val="both"/>
        <w:rPr>
          <w:noProof/>
          <w:spacing w:val="-6"/>
          <w:lang w:val="sk-SK"/>
        </w:rPr>
      </w:pPr>
      <w:r w:rsidRPr="00CC26EA">
        <w:rPr>
          <w:noProof/>
          <w:spacing w:val="-6"/>
          <w:lang w:val="sk-SK"/>
        </w:rPr>
        <w:t>Cieľom tejto misie je zvýšiť investície do nových technológií, aby sa ďalej posúvali hranice znižovania emisií</w:t>
      </w:r>
      <w:r w:rsidR="00CC26EA" w:rsidRPr="00CC26EA">
        <w:rPr>
          <w:noProof/>
          <w:spacing w:val="-6"/>
          <w:lang w:val="sk-SK"/>
        </w:rPr>
        <w:t xml:space="preserve"> v </w:t>
      </w:r>
      <w:r w:rsidRPr="00CC26EA">
        <w:rPr>
          <w:noProof/>
          <w:spacing w:val="-6"/>
          <w:lang w:val="sk-SK"/>
        </w:rPr>
        <w:t>odvetví poľnohospodárstva</w:t>
      </w:r>
      <w:r w:rsidR="00CC26EA" w:rsidRPr="00CC26EA">
        <w:rPr>
          <w:noProof/>
          <w:spacing w:val="-6"/>
          <w:lang w:val="sk-SK"/>
        </w:rPr>
        <w:t xml:space="preserve"> a </w:t>
      </w:r>
      <w:r w:rsidRPr="00CC26EA">
        <w:rPr>
          <w:noProof/>
          <w:spacing w:val="-6"/>
          <w:lang w:val="sk-SK"/>
        </w:rPr>
        <w:t>potravinárstva</w:t>
      </w:r>
      <w:r w:rsidR="00CC26EA" w:rsidRPr="00CC26EA">
        <w:rPr>
          <w:noProof/>
          <w:spacing w:val="-6"/>
          <w:lang w:val="sk-SK"/>
        </w:rPr>
        <w:t xml:space="preserve"> a </w:t>
      </w:r>
      <w:r w:rsidRPr="00CC26EA">
        <w:rPr>
          <w:noProof/>
          <w:spacing w:val="-6"/>
          <w:lang w:val="sk-SK"/>
        </w:rPr>
        <w:t>zároveň sa zachovala udržateľná výroba</w:t>
      </w:r>
      <w:r w:rsidR="00CC26EA" w:rsidRPr="00CC26EA">
        <w:rPr>
          <w:noProof/>
          <w:spacing w:val="-6"/>
          <w:lang w:val="sk-SK"/>
        </w:rPr>
        <w:t xml:space="preserve"> a </w:t>
      </w:r>
      <w:r w:rsidRPr="00CC26EA">
        <w:rPr>
          <w:noProof/>
          <w:spacing w:val="-6"/>
          <w:lang w:val="sk-SK"/>
        </w:rPr>
        <w:t>príjmy. Typ financovaných činností zahŕňa výskum</w:t>
      </w:r>
      <w:r w:rsidR="00CC26EA" w:rsidRPr="00CC26EA">
        <w:rPr>
          <w:noProof/>
          <w:spacing w:val="-6"/>
          <w:lang w:val="sk-SK"/>
        </w:rPr>
        <w:t xml:space="preserve"> a </w:t>
      </w:r>
      <w:r w:rsidRPr="00CC26EA">
        <w:rPr>
          <w:noProof/>
          <w:spacing w:val="-6"/>
          <w:lang w:val="sk-SK"/>
        </w:rPr>
        <w:t>inovácie</w:t>
      </w:r>
      <w:r w:rsidR="00CC26EA" w:rsidRPr="00CC26EA">
        <w:rPr>
          <w:noProof/>
          <w:spacing w:val="-6"/>
          <w:lang w:val="sk-SK"/>
        </w:rPr>
        <w:t xml:space="preserve"> v </w:t>
      </w:r>
      <w:r w:rsidRPr="00CC26EA">
        <w:rPr>
          <w:noProof/>
          <w:spacing w:val="-6"/>
          <w:lang w:val="sk-SK"/>
        </w:rPr>
        <w:t>oblasti nových šľachtiteľských techník, rozvoj presného poľnohospodárstva</w:t>
      </w:r>
      <w:r w:rsidR="00CC26EA" w:rsidRPr="00CC26EA">
        <w:rPr>
          <w:noProof/>
          <w:spacing w:val="-6"/>
          <w:lang w:val="sk-SK"/>
        </w:rPr>
        <w:t xml:space="preserve"> a </w:t>
      </w:r>
      <w:r w:rsidRPr="00CC26EA">
        <w:rPr>
          <w:noProof/>
          <w:spacing w:val="-6"/>
          <w:lang w:val="sk-SK"/>
        </w:rPr>
        <w:t>vytvorenie účinnejších systémov pestovania</w:t>
      </w:r>
      <w:r w:rsidR="00CC26EA" w:rsidRPr="00CC26EA">
        <w:rPr>
          <w:noProof/>
          <w:spacing w:val="-6"/>
          <w:lang w:val="sk-SK"/>
        </w:rPr>
        <w:t xml:space="preserve"> a </w:t>
      </w:r>
      <w:r w:rsidRPr="00CC26EA">
        <w:rPr>
          <w:noProof/>
          <w:spacing w:val="-6"/>
          <w:lang w:val="sk-SK"/>
        </w:rPr>
        <w:t>hnojenia.</w:t>
      </w:r>
    </w:p>
    <w:p w14:paraId="41CC6D51" w14:textId="79B4B483" w:rsidR="00F65654" w:rsidRPr="00CC26EA" w:rsidRDefault="0041081E">
      <w:pPr>
        <w:pStyle w:val="P68B1DB1-Normal9"/>
        <w:spacing w:before="120" w:after="120" w:line="240" w:lineRule="auto"/>
        <w:jc w:val="both"/>
        <w:rPr>
          <w:noProof/>
          <w:spacing w:val="-6"/>
          <w:lang w:val="sk-SK"/>
        </w:rPr>
      </w:pPr>
      <w:r w:rsidRPr="00CC26EA">
        <w:rPr>
          <w:noProof/>
          <w:spacing w:val="-6"/>
          <w:lang w:val="sk-SK"/>
        </w:rPr>
        <w:t>Investícia 4: Obehové hospodárstvo zamerané na opätovné použitie</w:t>
      </w:r>
      <w:r w:rsidR="00CC26EA" w:rsidRPr="00CC26EA">
        <w:rPr>
          <w:noProof/>
          <w:spacing w:val="-6"/>
          <w:lang w:val="sk-SK"/>
        </w:rPr>
        <w:t xml:space="preserve"> a </w:t>
      </w:r>
      <w:r w:rsidRPr="00CC26EA">
        <w:rPr>
          <w:noProof/>
          <w:spacing w:val="-6"/>
          <w:lang w:val="sk-SK"/>
        </w:rPr>
        <w:t>znižovanie plastového</w:t>
      </w:r>
      <w:r w:rsidR="00CC26EA" w:rsidRPr="00CC26EA">
        <w:rPr>
          <w:noProof/>
          <w:spacing w:val="-6"/>
          <w:lang w:val="sk-SK"/>
        </w:rPr>
        <w:t xml:space="preserve"> a </w:t>
      </w:r>
      <w:r w:rsidRPr="00CC26EA">
        <w:rPr>
          <w:noProof/>
          <w:spacing w:val="-6"/>
          <w:lang w:val="sk-SK"/>
        </w:rPr>
        <w:t>textilného odpadu</w:t>
      </w:r>
    </w:p>
    <w:p w14:paraId="7CB350F4" w14:textId="07D812E5" w:rsidR="00CC26EA" w:rsidRPr="00CC26EA" w:rsidRDefault="0041081E">
      <w:pPr>
        <w:pStyle w:val="NormalLeft"/>
        <w:jc w:val="both"/>
        <w:rPr>
          <w:noProof/>
          <w:spacing w:val="-6"/>
          <w:lang w:val="sk-SK"/>
        </w:rPr>
      </w:pPr>
      <w:r w:rsidRPr="00CC26EA">
        <w:rPr>
          <w:noProof/>
          <w:spacing w:val="-6"/>
          <w:lang w:val="sk-SK"/>
        </w:rPr>
        <w:t>Investície „obehové hospodárstvo zamerané na opätovné použitie</w:t>
      </w:r>
      <w:r w:rsidR="00CC26EA" w:rsidRPr="00CC26EA">
        <w:rPr>
          <w:noProof/>
          <w:spacing w:val="-6"/>
          <w:lang w:val="sk-SK"/>
        </w:rPr>
        <w:t xml:space="preserve"> a </w:t>
      </w:r>
      <w:r w:rsidRPr="00CC26EA">
        <w:rPr>
          <w:noProof/>
          <w:spacing w:val="-6"/>
          <w:lang w:val="sk-SK"/>
        </w:rPr>
        <w:t>znižovanie množstva plastového</w:t>
      </w:r>
      <w:r w:rsidR="00CC26EA" w:rsidRPr="00CC26EA">
        <w:rPr>
          <w:noProof/>
          <w:spacing w:val="-6"/>
          <w:lang w:val="sk-SK"/>
        </w:rPr>
        <w:t xml:space="preserve"> a </w:t>
      </w:r>
      <w:r w:rsidRPr="00CC26EA">
        <w:rPr>
          <w:noProof/>
          <w:spacing w:val="-6"/>
          <w:lang w:val="sk-SK"/>
        </w:rPr>
        <w:t>textilného odpadu“ je štvrtou zo štyroch úloh výskumného programu na urýchlenie vývoja technologických riešení šetrných ku klíme</w:t>
      </w:r>
      <w:r w:rsidR="00CC26EA" w:rsidRPr="00CC26EA">
        <w:rPr>
          <w:noProof/>
          <w:spacing w:val="-6"/>
          <w:lang w:val="sk-SK"/>
        </w:rPr>
        <w:t>.</w:t>
      </w:r>
    </w:p>
    <w:p w14:paraId="53EC5ED5" w14:textId="399F580E" w:rsidR="00CC26EA" w:rsidRPr="00CC26EA" w:rsidRDefault="0041081E">
      <w:pPr>
        <w:pStyle w:val="NormalLeft"/>
        <w:jc w:val="both"/>
        <w:rPr>
          <w:noProof/>
          <w:spacing w:val="-6"/>
          <w:lang w:val="sk-SK"/>
        </w:rPr>
      </w:pPr>
      <w:r w:rsidRPr="00CC26EA">
        <w:rPr>
          <w:noProof/>
          <w:spacing w:val="-6"/>
          <w:lang w:val="sk-SK"/>
        </w:rPr>
        <w:t>Cieľom tejto misie je vyvinúť riešenia na zvýšenie produktivity zdrojov, zníženie množstva plastového</w:t>
      </w:r>
      <w:r w:rsidR="00CC26EA" w:rsidRPr="00CC26EA">
        <w:rPr>
          <w:noProof/>
          <w:spacing w:val="-6"/>
          <w:lang w:val="sk-SK"/>
        </w:rPr>
        <w:t xml:space="preserve"> a </w:t>
      </w:r>
      <w:r w:rsidRPr="00CC26EA">
        <w:rPr>
          <w:noProof/>
          <w:spacing w:val="-6"/>
          <w:lang w:val="sk-SK"/>
        </w:rPr>
        <w:t>textilného odpadu</w:t>
      </w:r>
      <w:r w:rsidR="00CC26EA" w:rsidRPr="00CC26EA">
        <w:rPr>
          <w:noProof/>
          <w:spacing w:val="-6"/>
          <w:lang w:val="sk-SK"/>
        </w:rPr>
        <w:t xml:space="preserve"> a </w:t>
      </w:r>
      <w:r w:rsidRPr="00CC26EA">
        <w:rPr>
          <w:noProof/>
          <w:spacing w:val="-6"/>
          <w:lang w:val="sk-SK"/>
        </w:rPr>
        <w:t>zvýšenie využívania opätovne použiteľných materiálov. Misia financuje výskumné projekty zamerané na riešenie všetkých krokov</w:t>
      </w:r>
      <w:r w:rsidR="00CC26EA" w:rsidRPr="00CC26EA">
        <w:rPr>
          <w:noProof/>
          <w:spacing w:val="-6"/>
          <w:lang w:val="sk-SK"/>
        </w:rPr>
        <w:t xml:space="preserve"> v </w:t>
      </w:r>
      <w:r w:rsidRPr="00CC26EA">
        <w:rPr>
          <w:noProof/>
          <w:spacing w:val="-6"/>
          <w:lang w:val="sk-SK"/>
        </w:rPr>
        <w:t>hodnotovom reťazci</w:t>
      </w:r>
      <w:r w:rsidR="00CC26EA" w:rsidRPr="00CC26EA">
        <w:rPr>
          <w:noProof/>
          <w:spacing w:val="-6"/>
          <w:lang w:val="sk-SK"/>
        </w:rPr>
        <w:t xml:space="preserve"> s </w:t>
      </w:r>
      <w:r w:rsidRPr="00CC26EA">
        <w:rPr>
          <w:noProof/>
          <w:spacing w:val="-6"/>
          <w:lang w:val="sk-SK"/>
        </w:rPr>
        <w:t>cieľom znížiť objem odpadu, od dizajnu výrobkov až po správanie spotrebiteľov</w:t>
      </w:r>
      <w:r w:rsidR="00CC26EA" w:rsidRPr="00CC26EA">
        <w:rPr>
          <w:noProof/>
          <w:spacing w:val="-6"/>
          <w:lang w:val="sk-SK"/>
        </w:rPr>
        <w:t>.</w:t>
      </w:r>
    </w:p>
    <w:p w14:paraId="51669129" w14:textId="321FB1F3" w:rsidR="00F65654" w:rsidRPr="00CC26EA" w:rsidRDefault="0041081E">
      <w:pPr>
        <w:pStyle w:val="P68B1DB1-Normal9"/>
        <w:spacing w:before="120" w:after="120" w:line="240" w:lineRule="auto"/>
        <w:jc w:val="both"/>
        <w:rPr>
          <w:noProof/>
          <w:spacing w:val="-6"/>
          <w:lang w:val="sk-SK"/>
        </w:rPr>
      </w:pPr>
      <w:r w:rsidRPr="00CC26EA">
        <w:rPr>
          <w:noProof/>
          <w:spacing w:val="-6"/>
          <w:lang w:val="sk-SK"/>
        </w:rPr>
        <w:t>Investícia 5: Stimuly na podporu výskumu</w:t>
      </w:r>
      <w:r w:rsidR="00CC26EA" w:rsidRPr="00CC26EA">
        <w:rPr>
          <w:noProof/>
          <w:spacing w:val="-6"/>
          <w:lang w:val="sk-SK"/>
        </w:rPr>
        <w:t xml:space="preserve"> a </w:t>
      </w:r>
      <w:r w:rsidRPr="00CC26EA">
        <w:rPr>
          <w:noProof/>
          <w:spacing w:val="-6"/>
          <w:lang w:val="sk-SK"/>
        </w:rPr>
        <w:t>vývoja</w:t>
      </w:r>
      <w:r w:rsidR="00CC26EA" w:rsidRPr="00CC26EA">
        <w:rPr>
          <w:noProof/>
          <w:spacing w:val="-6"/>
          <w:lang w:val="sk-SK"/>
        </w:rPr>
        <w:t xml:space="preserve"> v </w:t>
      </w:r>
      <w:r w:rsidRPr="00CC26EA">
        <w:rPr>
          <w:noProof/>
          <w:spacing w:val="-6"/>
          <w:lang w:val="sk-SK"/>
        </w:rPr>
        <w:t>podnikoch</w:t>
      </w:r>
    </w:p>
    <w:p w14:paraId="66DBC20F" w14:textId="70BDDFAD" w:rsidR="00F65654" w:rsidRPr="00CC26EA" w:rsidRDefault="0041081E">
      <w:pPr>
        <w:pStyle w:val="Text1"/>
        <w:ind w:left="0"/>
        <w:rPr>
          <w:noProof/>
          <w:spacing w:val="-6"/>
          <w:lang w:val="sk-SK"/>
        </w:rPr>
      </w:pPr>
      <w:r w:rsidRPr="00CC26EA">
        <w:rPr>
          <w:noProof/>
          <w:spacing w:val="-6"/>
          <w:lang w:val="sk-SK"/>
        </w:rPr>
        <w:t>Opatrenie spočíva</w:t>
      </w:r>
      <w:r w:rsidR="00CC26EA" w:rsidRPr="00CC26EA">
        <w:rPr>
          <w:noProof/>
          <w:spacing w:val="-6"/>
          <w:lang w:val="sk-SK"/>
        </w:rPr>
        <w:t xml:space="preserve"> v </w:t>
      </w:r>
      <w:r w:rsidRPr="00CC26EA">
        <w:rPr>
          <w:noProof/>
          <w:spacing w:val="-6"/>
          <w:lang w:val="sk-SK"/>
        </w:rPr>
        <w:t>predĺžení základu pre odpisovanie</w:t>
      </w:r>
      <w:r w:rsidR="00CC26EA" w:rsidRPr="00CC26EA">
        <w:rPr>
          <w:noProof/>
          <w:spacing w:val="-6"/>
          <w:lang w:val="sk-SK"/>
        </w:rPr>
        <w:t xml:space="preserve"> a </w:t>
      </w:r>
      <w:r w:rsidRPr="00CC26EA">
        <w:rPr>
          <w:noProof/>
          <w:spacing w:val="-6"/>
          <w:lang w:val="sk-SK"/>
        </w:rPr>
        <w:t>základu pre odpočet všetkých výdavkov súkromného sektora na výskum</w:t>
      </w:r>
      <w:r w:rsidR="00CC26EA" w:rsidRPr="00CC26EA">
        <w:rPr>
          <w:noProof/>
          <w:spacing w:val="-6"/>
          <w:lang w:val="sk-SK"/>
        </w:rPr>
        <w:t xml:space="preserve"> a </w:t>
      </w:r>
      <w:r w:rsidRPr="00CC26EA">
        <w:rPr>
          <w:noProof/>
          <w:spacing w:val="-6"/>
          <w:lang w:val="sk-SK"/>
        </w:rPr>
        <w:t>vývoj</w:t>
      </w:r>
      <w:r w:rsidR="00CC26EA" w:rsidRPr="00CC26EA">
        <w:rPr>
          <w:noProof/>
          <w:spacing w:val="-6"/>
          <w:lang w:val="sk-SK"/>
        </w:rPr>
        <w:t xml:space="preserve"> o </w:t>
      </w:r>
      <w:r w:rsidRPr="00CC26EA">
        <w:rPr>
          <w:noProof/>
          <w:spacing w:val="-6"/>
          <w:lang w:val="sk-SK"/>
        </w:rPr>
        <w:t>130</w:t>
      </w:r>
      <w:r w:rsidR="00CC26EA" w:rsidRPr="00CC26EA">
        <w:rPr>
          <w:noProof/>
          <w:spacing w:val="-6"/>
          <w:lang w:val="sk-SK"/>
        </w:rPr>
        <w:t> % v </w:t>
      </w:r>
      <w:r w:rsidRPr="00CC26EA">
        <w:rPr>
          <w:noProof/>
          <w:spacing w:val="-6"/>
          <w:lang w:val="sk-SK"/>
        </w:rPr>
        <w:t>rozpočtovom roku 2022. Zákon, ktorým sa stanovuje odpočet, sa prijme</w:t>
      </w:r>
      <w:r w:rsidR="00CC26EA" w:rsidRPr="00CC26EA">
        <w:rPr>
          <w:noProof/>
          <w:spacing w:val="-6"/>
          <w:lang w:val="sk-SK"/>
        </w:rPr>
        <w:t xml:space="preserve"> a </w:t>
      </w:r>
      <w:r w:rsidRPr="00CC26EA">
        <w:rPr>
          <w:noProof/>
          <w:spacing w:val="-6"/>
          <w:lang w:val="sk-SK"/>
        </w:rPr>
        <w:t>nadobudne účinnosť</w:t>
      </w:r>
      <w:r w:rsidR="00CC26EA" w:rsidRPr="00CC26EA">
        <w:rPr>
          <w:noProof/>
          <w:spacing w:val="-6"/>
          <w:lang w:val="sk-SK"/>
        </w:rPr>
        <w:t xml:space="preserve"> v </w:t>
      </w:r>
      <w:r w:rsidRPr="00CC26EA">
        <w:rPr>
          <w:noProof/>
          <w:spacing w:val="-6"/>
          <w:lang w:val="sk-SK"/>
        </w:rPr>
        <w:t>rozpočtovom roku 2022.</w:t>
      </w:r>
    </w:p>
    <w:p w14:paraId="17B0B66F" w14:textId="2AA0FEC1" w:rsidR="00F65654" w:rsidRPr="00CC26EA" w:rsidRDefault="0041081E">
      <w:pPr>
        <w:pStyle w:val="Text1"/>
        <w:ind w:left="0"/>
        <w:rPr>
          <w:noProof/>
          <w:spacing w:val="-6"/>
          <w:lang w:val="sk-SK"/>
        </w:rPr>
      </w:pPr>
      <w:r w:rsidRPr="00CC26EA">
        <w:rPr>
          <w:noProof/>
          <w:spacing w:val="-6"/>
          <w:lang w:val="sk-SK"/>
        </w:rPr>
        <w:t>Cieľom tohto opatrenia je predsunúť investície do výskumu</w:t>
      </w:r>
      <w:r w:rsidR="00CC26EA" w:rsidRPr="00CC26EA">
        <w:rPr>
          <w:noProof/>
          <w:spacing w:val="-6"/>
          <w:lang w:val="sk-SK"/>
        </w:rPr>
        <w:t xml:space="preserve"> a </w:t>
      </w:r>
      <w:r w:rsidRPr="00CC26EA">
        <w:rPr>
          <w:noProof/>
          <w:spacing w:val="-6"/>
          <w:lang w:val="sk-SK"/>
        </w:rPr>
        <w:t>vývoja,</w:t>
      </w:r>
      <w:r w:rsidR="00CC26EA" w:rsidRPr="00CC26EA">
        <w:rPr>
          <w:noProof/>
          <w:spacing w:val="-6"/>
          <w:lang w:val="sk-SK"/>
        </w:rPr>
        <w:t xml:space="preserve"> a </w:t>
      </w:r>
      <w:r w:rsidRPr="00CC26EA">
        <w:rPr>
          <w:noProof/>
          <w:spacing w:val="-6"/>
          <w:lang w:val="sk-SK"/>
        </w:rPr>
        <w:t>to tak</w:t>
      </w:r>
      <w:r w:rsidR="00CC26EA" w:rsidRPr="00CC26EA">
        <w:rPr>
          <w:noProof/>
          <w:spacing w:val="-6"/>
          <w:lang w:val="sk-SK"/>
        </w:rPr>
        <w:t xml:space="preserve"> v </w:t>
      </w:r>
      <w:r w:rsidRPr="00CC26EA">
        <w:rPr>
          <w:noProof/>
          <w:spacing w:val="-6"/>
          <w:lang w:val="sk-SK"/>
        </w:rPr>
        <w:t>kontexte oživenia, ako aj</w:t>
      </w:r>
      <w:r w:rsidR="00CC26EA" w:rsidRPr="00CC26EA">
        <w:rPr>
          <w:noProof/>
          <w:spacing w:val="-6"/>
          <w:lang w:val="sk-SK"/>
        </w:rPr>
        <w:t xml:space="preserve"> v </w:t>
      </w:r>
      <w:r w:rsidRPr="00CC26EA">
        <w:rPr>
          <w:noProof/>
          <w:spacing w:val="-6"/>
          <w:lang w:val="sk-SK"/>
        </w:rPr>
        <w:t>nadchádzajúcich rokoch stimulovaním spoločností, aby zvýšili svoje celkové výdavky na výskum</w:t>
      </w:r>
      <w:r w:rsidR="00CC26EA" w:rsidRPr="00CC26EA">
        <w:rPr>
          <w:noProof/>
          <w:spacing w:val="-6"/>
          <w:lang w:val="sk-SK"/>
        </w:rPr>
        <w:t xml:space="preserve"> a </w:t>
      </w:r>
      <w:r w:rsidRPr="00CC26EA">
        <w:rPr>
          <w:noProof/>
          <w:spacing w:val="-6"/>
          <w:lang w:val="sk-SK"/>
        </w:rPr>
        <w:t>vývoj.</w:t>
      </w:r>
    </w:p>
    <w:p w14:paraId="715372E6" w14:textId="7E00158F" w:rsidR="00F65654" w:rsidRPr="00CC26EA" w:rsidRDefault="0041081E">
      <w:pPr>
        <w:pStyle w:val="Text1"/>
        <w:ind w:left="0"/>
        <w:rPr>
          <w:noProof/>
          <w:spacing w:val="-6"/>
          <w:lang w:val="sk-SK"/>
        </w:rPr>
      </w:pPr>
      <w:r w:rsidRPr="00CC26EA">
        <w:rPr>
          <w:noProof/>
          <w:spacing w:val="-6"/>
          <w:lang w:val="sk-SK"/>
        </w:rPr>
        <w:t>Očakáva sa tiež, že odpočet podnieti menšie firmy, aby sa čoraz viac zapájali do výskumu</w:t>
      </w:r>
      <w:r w:rsidR="00CC26EA" w:rsidRPr="00CC26EA">
        <w:rPr>
          <w:noProof/>
          <w:spacing w:val="-6"/>
          <w:lang w:val="sk-SK"/>
        </w:rPr>
        <w:t xml:space="preserve"> a </w:t>
      </w:r>
      <w:r w:rsidRPr="00CC26EA">
        <w:rPr>
          <w:noProof/>
          <w:spacing w:val="-6"/>
          <w:lang w:val="sk-SK"/>
        </w:rPr>
        <w:t>vývoja, keďže majú nárok aj na odpočet.</w:t>
      </w:r>
    </w:p>
    <w:p w14:paraId="26B53EFA" w14:textId="1CB6CC8B" w:rsidR="00CC26EA" w:rsidRPr="00CC26EA" w:rsidRDefault="0041081E">
      <w:pPr>
        <w:pStyle w:val="Text1"/>
        <w:ind w:left="0"/>
        <w:rPr>
          <w:noProof/>
          <w:spacing w:val="-6"/>
          <w:lang w:val="sk-SK"/>
        </w:rPr>
      </w:pPr>
      <w:r w:rsidRPr="00CC26EA">
        <w:rPr>
          <w:noProof/>
          <w:spacing w:val="-6"/>
          <w:lang w:val="sk-SK"/>
        </w:rPr>
        <w:t>Výskum</w:t>
      </w:r>
      <w:r w:rsidR="00CC26EA" w:rsidRPr="00CC26EA">
        <w:rPr>
          <w:noProof/>
          <w:spacing w:val="-6"/>
          <w:lang w:val="sk-SK"/>
        </w:rPr>
        <w:t xml:space="preserve"> a </w:t>
      </w:r>
      <w:r w:rsidRPr="00CC26EA">
        <w:rPr>
          <w:noProof/>
          <w:spacing w:val="-6"/>
          <w:lang w:val="sk-SK"/>
        </w:rPr>
        <w:t>vývoj súvisiaci</w:t>
      </w:r>
      <w:r w:rsidR="00CC26EA" w:rsidRPr="00CC26EA">
        <w:rPr>
          <w:noProof/>
          <w:spacing w:val="-6"/>
          <w:lang w:val="sk-SK"/>
        </w:rPr>
        <w:t xml:space="preserve"> s </w:t>
      </w:r>
      <w:r w:rsidRPr="00CC26EA">
        <w:rPr>
          <w:noProof/>
          <w:spacing w:val="-6"/>
          <w:lang w:val="sk-SK"/>
        </w:rPr>
        <w:t>prieskumom</w:t>
      </w:r>
      <w:r w:rsidR="00CC26EA" w:rsidRPr="00CC26EA">
        <w:rPr>
          <w:noProof/>
          <w:spacing w:val="-6"/>
          <w:lang w:val="sk-SK"/>
        </w:rPr>
        <w:t xml:space="preserve"> a </w:t>
      </w:r>
      <w:r w:rsidRPr="00CC26EA">
        <w:rPr>
          <w:noProof/>
          <w:spacing w:val="-6"/>
          <w:lang w:val="sk-SK"/>
        </w:rPr>
        <w:t>ťažbou fosílnych palív</w:t>
      </w:r>
      <w:r w:rsidR="00CC26EA" w:rsidRPr="00CC26EA">
        <w:rPr>
          <w:noProof/>
          <w:spacing w:val="-6"/>
          <w:lang w:val="sk-SK"/>
        </w:rPr>
        <w:t xml:space="preserve"> a </w:t>
      </w:r>
      <w:r w:rsidRPr="00CC26EA">
        <w:rPr>
          <w:noProof/>
          <w:spacing w:val="-6"/>
          <w:lang w:val="sk-SK"/>
        </w:rPr>
        <w:t>surovín nie je oprávnený na odpočet dane</w:t>
      </w:r>
      <w:r w:rsidR="00CC26EA" w:rsidRPr="00CC26EA">
        <w:rPr>
          <w:noProof/>
          <w:spacing w:val="-6"/>
          <w:lang w:val="sk-SK"/>
        </w:rPr>
        <w:t>.</w:t>
      </w:r>
    </w:p>
    <w:p w14:paraId="287EDB4B" w14:textId="4E1BD718" w:rsidR="00F65654" w:rsidRPr="00CC26EA" w:rsidRDefault="0041081E">
      <w:pPr>
        <w:pStyle w:val="Text1"/>
        <w:ind w:left="0"/>
        <w:rPr>
          <w:b/>
          <w:noProof/>
          <w:spacing w:val="-6"/>
          <w:u w:val="single"/>
          <w:lang w:val="sk-SK"/>
        </w:rPr>
      </w:pPr>
      <w:r w:rsidRPr="00CC26EA">
        <w:rPr>
          <w:b/>
          <w:noProof/>
          <w:spacing w:val="-6"/>
          <w:u w:val="single"/>
          <w:lang w:val="sk-SK"/>
        </w:rPr>
        <w:t xml:space="preserve">G.2. </w:t>
      </w:r>
      <w:r w:rsidRPr="00CC26EA">
        <w:rPr>
          <w:noProof/>
          <w:spacing w:val="-6"/>
          <w:lang w:val="sk-SK"/>
        </w:rPr>
        <w:tab/>
      </w:r>
      <w:r w:rsidRPr="00CC26EA">
        <w:rPr>
          <w:b/>
          <w:noProof/>
          <w:spacing w:val="-6"/>
          <w:u w:val="single"/>
          <w:lang w:val="sk-SK"/>
        </w:rPr>
        <w:t>Míľniky, ciele, ukazovatele</w:t>
      </w:r>
      <w:r w:rsidR="00CC26EA" w:rsidRPr="00CC26EA">
        <w:rPr>
          <w:b/>
          <w:noProof/>
          <w:spacing w:val="-6"/>
          <w:u w:val="single"/>
          <w:lang w:val="sk-SK"/>
        </w:rPr>
        <w:t xml:space="preserve"> a </w:t>
      </w:r>
      <w:r w:rsidRPr="00CC26EA">
        <w:rPr>
          <w:b/>
          <w:noProof/>
          <w:spacing w:val="-6"/>
          <w:u w:val="single"/>
          <w:lang w:val="sk-SK"/>
        </w:rPr>
        <w:t>harmonogram monitorovania</w:t>
      </w:r>
      <w:r w:rsidR="00CC26EA" w:rsidRPr="00CC26EA">
        <w:rPr>
          <w:b/>
          <w:noProof/>
          <w:spacing w:val="-6"/>
          <w:u w:val="single"/>
          <w:lang w:val="sk-SK"/>
        </w:rPr>
        <w:t xml:space="preserve"> a </w:t>
      </w:r>
      <w:r w:rsidRPr="00CC26EA">
        <w:rPr>
          <w:b/>
          <w:noProof/>
          <w:spacing w:val="-6"/>
          <w:u w:val="single"/>
          <w:lang w:val="sk-SK"/>
        </w:rPr>
        <w:t>realizácie pre nenávratnú finančnú podporu</w:t>
      </w:r>
    </w:p>
    <w:p w14:paraId="25AFA3EA" w14:textId="77777777" w:rsidR="00F65654" w:rsidRPr="00CC26EA" w:rsidRDefault="00F65654">
      <w:pPr>
        <w:pStyle w:val="Text1"/>
        <w:rPr>
          <w:rStyle w:val="IntenseEmphasis"/>
          <w:noProof/>
          <w:spacing w:val="-6"/>
          <w:lang w:val="sk-SK"/>
        </w:rPr>
      </w:pPr>
    </w:p>
    <w:p w14:paraId="5E300F6A" w14:textId="77777777" w:rsidR="00F65654" w:rsidRPr="00CC26EA" w:rsidRDefault="00F65654">
      <w:pPr>
        <w:pStyle w:val="Text1"/>
        <w:rPr>
          <w:rStyle w:val="IntenseEmphasis"/>
          <w:b/>
          <w:i w:val="0"/>
          <w:noProof/>
          <w:spacing w:val="-6"/>
          <w:u w:val="single"/>
          <w:lang w:val="sk-SK"/>
        </w:rPr>
      </w:pPr>
    </w:p>
    <w:p w14:paraId="74CC3351" w14:textId="77777777" w:rsidR="00F65654" w:rsidRPr="00CC26EA" w:rsidRDefault="00F65654">
      <w:pPr>
        <w:pStyle w:val="Text1"/>
        <w:rPr>
          <w:rStyle w:val="IntenseEmphasis"/>
          <w:noProof/>
          <w:spacing w:val="-6"/>
          <w:lang w:val="sk-SK"/>
        </w:rPr>
      </w:pPr>
    </w:p>
    <w:p w14:paraId="58D99426" w14:textId="77777777" w:rsidR="00F65654" w:rsidRPr="00CC26EA" w:rsidRDefault="00F65654">
      <w:pPr>
        <w:pStyle w:val="Text1"/>
        <w:rPr>
          <w:rStyle w:val="IntenseEmphasis"/>
          <w:noProof/>
          <w:spacing w:val="-6"/>
          <w:lang w:val="sk-SK"/>
        </w:rPr>
      </w:pPr>
    </w:p>
    <w:p w14:paraId="2E155B09" w14:textId="77777777" w:rsidR="00F65654" w:rsidRPr="00CC26EA" w:rsidRDefault="00F65654">
      <w:pPr>
        <w:rPr>
          <w:rFonts w:ascii="Times New Roman" w:hAnsi="Times New Roman"/>
          <w:noProof/>
          <w:spacing w:val="-6"/>
          <w:lang w:val="sk-SK"/>
        </w:rPr>
      </w:pPr>
    </w:p>
    <w:p w14:paraId="04522AF6" w14:textId="77777777" w:rsidR="00F65654" w:rsidRPr="00CC26EA" w:rsidRDefault="00F65654">
      <w:pPr>
        <w:rPr>
          <w:rFonts w:ascii="Times New Roman" w:hAnsi="Times New Roman"/>
          <w:noProof/>
          <w:spacing w:val="-6"/>
          <w:lang w:val="sk-SK"/>
        </w:rPr>
        <w:sectPr w:rsidR="00F65654" w:rsidRPr="00CC26EA" w:rsidSect="00A61D33">
          <w:headerReference w:type="even" r:id="rId91"/>
          <w:headerReference w:type="default" r:id="rId92"/>
          <w:footerReference w:type="even" r:id="rId93"/>
          <w:footerReference w:type="default" r:id="rId94"/>
          <w:headerReference w:type="first" r:id="rId95"/>
          <w:footerReference w:type="first" r:id="rId96"/>
          <w:pgSz w:w="11907" w:h="16839"/>
          <w:pgMar w:top="1134" w:right="1134" w:bottom="1134" w:left="1134" w:header="567" w:footer="567" w:gutter="0"/>
          <w:cols w:space="720"/>
          <w:docGrid w:linePitch="360"/>
        </w:sectPr>
      </w:pPr>
    </w:p>
    <w:tbl>
      <w:tblPr>
        <w:tblW w:w="15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829"/>
        <w:gridCol w:w="1595"/>
        <w:gridCol w:w="1946"/>
        <w:gridCol w:w="1909"/>
        <w:gridCol w:w="1471"/>
        <w:gridCol w:w="1073"/>
        <w:gridCol w:w="735"/>
        <w:gridCol w:w="1379"/>
        <w:gridCol w:w="876"/>
        <w:gridCol w:w="2043"/>
      </w:tblGrid>
      <w:tr w:rsidR="00F65654" w:rsidRPr="00CC26EA" w14:paraId="72D4B983" w14:textId="77777777">
        <w:trPr>
          <w:trHeight w:val="917"/>
          <w:tblHeader/>
          <w:jc w:val="center"/>
        </w:trPr>
        <w:tc>
          <w:tcPr>
            <w:tcW w:w="1747" w:type="dxa"/>
            <w:vMerge w:val="restart"/>
            <w:shd w:val="clear" w:color="auto" w:fill="BDD7EE"/>
            <w:vAlign w:val="center"/>
            <w:hideMark/>
          </w:tcPr>
          <w:p w14:paraId="5F46C5CE"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Poradové číslo</w:t>
            </w:r>
          </w:p>
        </w:tc>
        <w:tc>
          <w:tcPr>
            <w:tcW w:w="1609" w:type="dxa"/>
            <w:vMerge w:val="restart"/>
            <w:shd w:val="clear" w:color="auto" w:fill="BDD7EE"/>
            <w:vAlign w:val="center"/>
            <w:hideMark/>
          </w:tcPr>
          <w:p w14:paraId="391F50A5"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Súvisiace opatrenie (reforma alebo investícia)</w:t>
            </w:r>
          </w:p>
        </w:tc>
        <w:tc>
          <w:tcPr>
            <w:tcW w:w="1595" w:type="dxa"/>
            <w:vMerge w:val="restart"/>
            <w:shd w:val="clear" w:color="auto" w:fill="BDD7EE"/>
            <w:vAlign w:val="center"/>
            <w:hideMark/>
          </w:tcPr>
          <w:p w14:paraId="0165977F"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Míľnik/cieľ</w:t>
            </w:r>
          </w:p>
        </w:tc>
        <w:tc>
          <w:tcPr>
            <w:tcW w:w="1946" w:type="dxa"/>
            <w:vMerge w:val="restart"/>
            <w:shd w:val="clear" w:color="auto" w:fill="BDD7EE"/>
            <w:vAlign w:val="center"/>
            <w:hideMark/>
          </w:tcPr>
          <w:p w14:paraId="3171968A"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Názov</w:t>
            </w:r>
          </w:p>
        </w:tc>
        <w:tc>
          <w:tcPr>
            <w:tcW w:w="1787" w:type="dxa"/>
            <w:vMerge w:val="restart"/>
            <w:shd w:val="clear" w:color="auto" w:fill="BDD7EE"/>
            <w:vAlign w:val="center"/>
            <w:hideMark/>
          </w:tcPr>
          <w:p w14:paraId="6DA8F6D6" w14:textId="77777777" w:rsidR="00F65654" w:rsidRPr="00CC26EA" w:rsidRDefault="0041081E">
            <w:pPr>
              <w:spacing w:after="0"/>
              <w:jc w:val="center"/>
              <w:rPr>
                <w:rFonts w:ascii="Times New Roman" w:eastAsia="Times New Roman" w:hAnsi="Times New Roman"/>
                <w:b/>
                <w:noProof/>
                <w:spacing w:val="-6"/>
                <w:lang w:val="sk-SK"/>
              </w:rPr>
            </w:pPr>
            <w:r w:rsidRPr="00CC26EA">
              <w:rPr>
                <w:rFonts w:ascii="Times New Roman" w:hAnsi="Times New Roman"/>
                <w:b/>
                <w:noProof/>
                <w:spacing w:val="-6"/>
                <w:lang w:val="sk-SK"/>
              </w:rPr>
              <w:t xml:space="preserve">Kvalitatívne ukazovatele </w:t>
            </w:r>
            <w:r w:rsidRPr="00CC26EA">
              <w:rPr>
                <w:rFonts w:ascii="Times New Roman" w:hAnsi="Times New Roman"/>
                <w:noProof/>
                <w:spacing w:val="-6"/>
                <w:lang w:val="sk-SK"/>
              </w:rPr>
              <w:t xml:space="preserve"> </w:t>
            </w:r>
            <w:r w:rsidRPr="00CC26EA">
              <w:rPr>
                <w:rFonts w:ascii="Times New Roman" w:hAnsi="Times New Roman"/>
                <w:b/>
                <w:noProof/>
                <w:spacing w:val="-6"/>
                <w:lang w:val="sk-SK"/>
              </w:rPr>
              <w:t>(pre míľniky)</w:t>
            </w:r>
          </w:p>
        </w:tc>
        <w:tc>
          <w:tcPr>
            <w:tcW w:w="3235" w:type="dxa"/>
            <w:gridSpan w:val="3"/>
            <w:shd w:val="clear" w:color="auto" w:fill="BDD7EE"/>
            <w:vAlign w:val="center"/>
            <w:hideMark/>
          </w:tcPr>
          <w:p w14:paraId="061258C2" w14:textId="77777777" w:rsidR="00F65654" w:rsidRPr="00CC26EA" w:rsidRDefault="0041081E">
            <w:pPr>
              <w:spacing w:after="0"/>
              <w:jc w:val="center"/>
              <w:rPr>
                <w:rFonts w:ascii="Times New Roman" w:eastAsia="Times New Roman" w:hAnsi="Times New Roman"/>
                <w:b/>
                <w:noProof/>
                <w:spacing w:val="-6"/>
                <w:lang w:val="sk-SK"/>
              </w:rPr>
            </w:pPr>
            <w:r w:rsidRPr="00CC26EA">
              <w:rPr>
                <w:rFonts w:ascii="Times New Roman" w:hAnsi="Times New Roman"/>
                <w:b/>
                <w:noProof/>
                <w:spacing w:val="-6"/>
                <w:lang w:val="sk-SK"/>
              </w:rPr>
              <w:t xml:space="preserve">Kvantitatívne ukazovatele </w:t>
            </w:r>
            <w:r w:rsidRPr="00CC26EA">
              <w:rPr>
                <w:rFonts w:ascii="Times New Roman" w:hAnsi="Times New Roman"/>
                <w:noProof/>
                <w:spacing w:val="-6"/>
                <w:lang w:val="sk-SK"/>
              </w:rPr>
              <w:t xml:space="preserve"> </w:t>
            </w:r>
            <w:r w:rsidRPr="00CC26EA">
              <w:rPr>
                <w:rFonts w:ascii="Times New Roman" w:hAnsi="Times New Roman"/>
                <w:b/>
                <w:noProof/>
                <w:spacing w:val="-6"/>
                <w:lang w:val="sk-SK"/>
              </w:rPr>
              <w:t>(pre ciele)</w:t>
            </w:r>
          </w:p>
        </w:tc>
        <w:tc>
          <w:tcPr>
            <w:tcW w:w="1942" w:type="dxa"/>
            <w:gridSpan w:val="2"/>
            <w:shd w:val="clear" w:color="auto" w:fill="BDD7EE"/>
            <w:vAlign w:val="center"/>
            <w:hideMark/>
          </w:tcPr>
          <w:p w14:paraId="08E3C0A7"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Orientačný harmonogram splnenia </w:t>
            </w:r>
          </w:p>
        </w:tc>
        <w:tc>
          <w:tcPr>
            <w:tcW w:w="2043" w:type="dxa"/>
            <w:vMerge w:val="restart"/>
            <w:shd w:val="clear" w:color="auto" w:fill="BDD7EE"/>
            <w:vAlign w:val="center"/>
            <w:hideMark/>
          </w:tcPr>
          <w:p w14:paraId="246286A9" w14:textId="3EC9D7D6"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Opis každého míľnika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cieľa</w:t>
            </w:r>
          </w:p>
        </w:tc>
      </w:tr>
      <w:tr w:rsidR="00F65654" w:rsidRPr="00CC26EA" w14:paraId="5FC116CA" w14:textId="77777777">
        <w:trPr>
          <w:trHeight w:val="1003"/>
          <w:tblHeader/>
          <w:jc w:val="center"/>
        </w:trPr>
        <w:tc>
          <w:tcPr>
            <w:tcW w:w="1747" w:type="dxa"/>
            <w:vMerge/>
            <w:vAlign w:val="center"/>
            <w:hideMark/>
          </w:tcPr>
          <w:p w14:paraId="65DDD8AA" w14:textId="77777777" w:rsidR="00F65654" w:rsidRPr="00CC26EA" w:rsidRDefault="00F65654">
            <w:pPr>
              <w:spacing w:after="0"/>
              <w:rPr>
                <w:rFonts w:ascii="Times New Roman" w:eastAsia="Times New Roman" w:hAnsi="Times New Roman"/>
                <w:b/>
                <w:noProof/>
                <w:spacing w:val="-6"/>
                <w:lang w:val="sk-SK"/>
              </w:rPr>
            </w:pPr>
          </w:p>
        </w:tc>
        <w:tc>
          <w:tcPr>
            <w:tcW w:w="1609" w:type="dxa"/>
            <w:vMerge/>
            <w:vAlign w:val="center"/>
            <w:hideMark/>
          </w:tcPr>
          <w:p w14:paraId="0ACDD830" w14:textId="77777777" w:rsidR="00F65654" w:rsidRPr="00CC26EA" w:rsidRDefault="00F65654">
            <w:pPr>
              <w:spacing w:after="0"/>
              <w:rPr>
                <w:rFonts w:ascii="Times New Roman" w:eastAsia="Times New Roman" w:hAnsi="Times New Roman"/>
                <w:b/>
                <w:noProof/>
                <w:spacing w:val="-6"/>
                <w:lang w:val="sk-SK"/>
              </w:rPr>
            </w:pPr>
          </w:p>
        </w:tc>
        <w:tc>
          <w:tcPr>
            <w:tcW w:w="1595" w:type="dxa"/>
            <w:vMerge/>
            <w:vAlign w:val="center"/>
            <w:hideMark/>
          </w:tcPr>
          <w:p w14:paraId="15EB6888" w14:textId="77777777" w:rsidR="00F65654" w:rsidRPr="00CC26EA" w:rsidRDefault="00F65654">
            <w:pPr>
              <w:spacing w:after="0"/>
              <w:rPr>
                <w:rFonts w:ascii="Times New Roman" w:eastAsia="Times New Roman" w:hAnsi="Times New Roman"/>
                <w:b/>
                <w:noProof/>
                <w:spacing w:val="-6"/>
                <w:lang w:val="sk-SK"/>
              </w:rPr>
            </w:pPr>
          </w:p>
        </w:tc>
        <w:tc>
          <w:tcPr>
            <w:tcW w:w="1946" w:type="dxa"/>
            <w:vMerge/>
            <w:vAlign w:val="center"/>
            <w:hideMark/>
          </w:tcPr>
          <w:p w14:paraId="0315DAA3" w14:textId="77777777" w:rsidR="00F65654" w:rsidRPr="00CC26EA" w:rsidRDefault="00F65654">
            <w:pPr>
              <w:spacing w:after="0"/>
              <w:rPr>
                <w:rFonts w:ascii="Times New Roman" w:eastAsia="Times New Roman" w:hAnsi="Times New Roman"/>
                <w:b/>
                <w:noProof/>
                <w:spacing w:val="-6"/>
                <w:lang w:val="sk-SK"/>
              </w:rPr>
            </w:pPr>
          </w:p>
        </w:tc>
        <w:tc>
          <w:tcPr>
            <w:tcW w:w="1787" w:type="dxa"/>
            <w:vMerge/>
            <w:vAlign w:val="center"/>
            <w:hideMark/>
          </w:tcPr>
          <w:p w14:paraId="78715FA6" w14:textId="77777777" w:rsidR="00F65654" w:rsidRPr="00CC26EA" w:rsidRDefault="00F65654">
            <w:pPr>
              <w:spacing w:after="0"/>
              <w:rPr>
                <w:rFonts w:ascii="Times New Roman" w:eastAsia="Times New Roman" w:hAnsi="Times New Roman"/>
                <w:b/>
                <w:noProof/>
                <w:spacing w:val="-6"/>
                <w:lang w:val="sk-SK"/>
              </w:rPr>
            </w:pPr>
          </w:p>
        </w:tc>
        <w:tc>
          <w:tcPr>
            <w:tcW w:w="1471" w:type="dxa"/>
            <w:shd w:val="clear" w:color="auto" w:fill="BDD7EE"/>
            <w:vAlign w:val="center"/>
            <w:hideMark/>
          </w:tcPr>
          <w:p w14:paraId="306F6B9A"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Merná jednotka</w:t>
            </w:r>
          </w:p>
        </w:tc>
        <w:tc>
          <w:tcPr>
            <w:tcW w:w="1029" w:type="dxa"/>
            <w:shd w:val="clear" w:color="auto" w:fill="BDD7EE"/>
            <w:vAlign w:val="center"/>
            <w:hideMark/>
          </w:tcPr>
          <w:p w14:paraId="3D7FCCEF"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Základná </w:t>
            </w:r>
          </w:p>
        </w:tc>
        <w:tc>
          <w:tcPr>
            <w:tcW w:w="735" w:type="dxa"/>
            <w:shd w:val="clear" w:color="auto" w:fill="BDD7EE"/>
            <w:vAlign w:val="center"/>
            <w:hideMark/>
          </w:tcPr>
          <w:p w14:paraId="6AE5CC6E"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 xml:space="preserve">Cieľ </w:t>
            </w:r>
          </w:p>
        </w:tc>
        <w:tc>
          <w:tcPr>
            <w:tcW w:w="1066" w:type="dxa"/>
            <w:shd w:val="clear" w:color="auto" w:fill="BDD7EE"/>
            <w:vAlign w:val="center"/>
            <w:hideMark/>
          </w:tcPr>
          <w:p w14:paraId="0CE08F7A"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Štvrťrok</w:t>
            </w:r>
          </w:p>
        </w:tc>
        <w:tc>
          <w:tcPr>
            <w:tcW w:w="876" w:type="dxa"/>
            <w:shd w:val="clear" w:color="auto" w:fill="BDD7EE"/>
            <w:vAlign w:val="center"/>
            <w:hideMark/>
          </w:tcPr>
          <w:p w14:paraId="1DECE402"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Rok</w:t>
            </w:r>
          </w:p>
        </w:tc>
        <w:tc>
          <w:tcPr>
            <w:tcW w:w="2043" w:type="dxa"/>
            <w:vMerge/>
            <w:vAlign w:val="center"/>
            <w:hideMark/>
          </w:tcPr>
          <w:p w14:paraId="23F3EC68" w14:textId="77777777" w:rsidR="00F65654" w:rsidRPr="00CC26EA" w:rsidRDefault="00F65654">
            <w:pPr>
              <w:spacing w:after="0"/>
              <w:rPr>
                <w:rFonts w:ascii="Times New Roman" w:eastAsia="Times New Roman" w:hAnsi="Times New Roman"/>
                <w:b/>
                <w:noProof/>
                <w:spacing w:val="-6"/>
                <w:lang w:val="sk-SK"/>
              </w:rPr>
            </w:pPr>
          </w:p>
        </w:tc>
      </w:tr>
      <w:tr w:rsidR="00F65654" w:rsidRPr="00CC26EA" w14:paraId="3D9DD430" w14:textId="77777777">
        <w:trPr>
          <w:trHeight w:val="305"/>
          <w:jc w:val="center"/>
        </w:trPr>
        <w:tc>
          <w:tcPr>
            <w:tcW w:w="1747" w:type="dxa"/>
            <w:shd w:val="clear" w:color="auto" w:fill="C6EFCE"/>
            <w:noWrap/>
            <w:hideMark/>
          </w:tcPr>
          <w:p w14:paraId="0D94286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64</w:t>
            </w:r>
          </w:p>
        </w:tc>
        <w:tc>
          <w:tcPr>
            <w:tcW w:w="1609" w:type="dxa"/>
            <w:shd w:val="clear" w:color="auto" w:fill="C6EFCE"/>
            <w:noWrap/>
            <w:hideMark/>
          </w:tcPr>
          <w:p w14:paraId="07DE321D" w14:textId="5E3AD76C"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uhlíka alebo využívanie CO2</w:t>
            </w:r>
          </w:p>
        </w:tc>
        <w:tc>
          <w:tcPr>
            <w:tcW w:w="1595" w:type="dxa"/>
            <w:shd w:val="clear" w:color="auto" w:fill="C6EFCE"/>
            <w:noWrap/>
            <w:hideMark/>
          </w:tcPr>
          <w:p w14:paraId="7235355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946" w:type="dxa"/>
            <w:shd w:val="clear" w:color="auto" w:fill="C6EFCE"/>
            <w:noWrap/>
            <w:hideMark/>
          </w:tcPr>
          <w:p w14:paraId="7E4C03EC" w14:textId="19D9FED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Výber plánov misie pre „zachytávanie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alebo využívanie CO2“.</w:t>
            </w:r>
          </w:p>
        </w:tc>
        <w:tc>
          <w:tcPr>
            <w:tcW w:w="1787" w:type="dxa"/>
            <w:shd w:val="clear" w:color="auto" w:fill="C6EFCE"/>
            <w:noWrap/>
            <w:hideMark/>
          </w:tcPr>
          <w:p w14:paraId="453F734A" w14:textId="5F702790"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Inovačný fond Dánsko vybralo plány misie „zachytávanie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alebo využívanie CO2“.</w:t>
            </w:r>
          </w:p>
        </w:tc>
        <w:tc>
          <w:tcPr>
            <w:tcW w:w="1471" w:type="dxa"/>
            <w:shd w:val="clear" w:color="auto" w:fill="C6EFCE"/>
            <w:noWrap/>
          </w:tcPr>
          <w:p w14:paraId="2E36AFC8" w14:textId="77777777" w:rsidR="00F65654" w:rsidRPr="00CC26EA" w:rsidRDefault="00F65654">
            <w:pPr>
              <w:spacing w:after="0"/>
              <w:rPr>
                <w:rFonts w:ascii="Times New Roman" w:eastAsia="Times New Roman" w:hAnsi="Times New Roman"/>
                <w:noProof/>
                <w:color w:val="006100"/>
                <w:spacing w:val="-6"/>
                <w:lang w:val="sk-SK"/>
              </w:rPr>
            </w:pPr>
          </w:p>
        </w:tc>
        <w:tc>
          <w:tcPr>
            <w:tcW w:w="1029" w:type="dxa"/>
            <w:shd w:val="clear" w:color="auto" w:fill="C6EFCE"/>
            <w:noWrap/>
          </w:tcPr>
          <w:p w14:paraId="03025397" w14:textId="77777777" w:rsidR="00F65654" w:rsidRPr="00CC26EA" w:rsidRDefault="00F65654">
            <w:pPr>
              <w:spacing w:after="0"/>
              <w:rPr>
                <w:rFonts w:ascii="Times New Roman" w:eastAsia="Times New Roman" w:hAnsi="Times New Roman"/>
                <w:noProof/>
                <w:color w:val="006100"/>
                <w:spacing w:val="-6"/>
                <w:lang w:val="sk-SK"/>
              </w:rPr>
            </w:pPr>
          </w:p>
        </w:tc>
        <w:tc>
          <w:tcPr>
            <w:tcW w:w="735" w:type="dxa"/>
            <w:shd w:val="clear" w:color="auto" w:fill="C6EFCE"/>
            <w:noWrap/>
          </w:tcPr>
          <w:p w14:paraId="0B4D89B9" w14:textId="77777777" w:rsidR="00F65654" w:rsidRPr="00CC26EA" w:rsidRDefault="00F65654">
            <w:pPr>
              <w:spacing w:after="0"/>
              <w:rPr>
                <w:rFonts w:ascii="Times New Roman" w:eastAsia="Times New Roman" w:hAnsi="Times New Roman"/>
                <w:noProof/>
                <w:color w:val="006100"/>
                <w:spacing w:val="-6"/>
                <w:lang w:val="sk-SK"/>
              </w:rPr>
            </w:pPr>
          </w:p>
        </w:tc>
        <w:tc>
          <w:tcPr>
            <w:tcW w:w="1066" w:type="dxa"/>
            <w:shd w:val="clear" w:color="auto" w:fill="C6EFCE"/>
            <w:noWrap/>
          </w:tcPr>
          <w:p w14:paraId="38A924B9"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OTÁZKA Č. 3</w:t>
            </w:r>
          </w:p>
        </w:tc>
        <w:tc>
          <w:tcPr>
            <w:tcW w:w="876" w:type="dxa"/>
            <w:shd w:val="clear" w:color="auto" w:fill="C6EFCE"/>
            <w:noWrap/>
          </w:tcPr>
          <w:p w14:paraId="4BF2A59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2043" w:type="dxa"/>
            <w:shd w:val="clear" w:color="auto" w:fill="C6EFCE"/>
            <w:noWrap/>
          </w:tcPr>
          <w:p w14:paraId="36C84F7A" w14:textId="64860AE4"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Inovačný fond Dánsko vybralo plány na navrhovanie nápadov na pracovné okruhy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činnosti na prekonanie výziev, ktorým Dánsko čelí, pokiaľ ide</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výskum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 pre misiu „zachytávanie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alebo využívanie CO2“ na základe otvorenej výzvy.</w:t>
            </w:r>
          </w:p>
        </w:tc>
      </w:tr>
      <w:tr w:rsidR="00F65654" w:rsidRPr="00CC26EA" w14:paraId="3C01230A" w14:textId="77777777">
        <w:trPr>
          <w:trHeight w:val="305"/>
          <w:jc w:val="center"/>
        </w:trPr>
        <w:tc>
          <w:tcPr>
            <w:tcW w:w="1747" w:type="dxa"/>
            <w:tcBorders>
              <w:top w:val="single" w:sz="4" w:space="0" w:color="auto"/>
              <w:left w:val="single" w:sz="4" w:space="0" w:color="auto"/>
              <w:bottom w:val="single" w:sz="4" w:space="0" w:color="auto"/>
              <w:right w:val="single" w:sz="4" w:space="0" w:color="auto"/>
            </w:tcBorders>
            <w:shd w:val="clear" w:color="auto" w:fill="C6EFCE"/>
            <w:noWrap/>
            <w:hideMark/>
          </w:tcPr>
          <w:p w14:paraId="6AE1F93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65</w:t>
            </w:r>
          </w:p>
        </w:tc>
        <w:tc>
          <w:tcPr>
            <w:tcW w:w="1609" w:type="dxa"/>
            <w:tcBorders>
              <w:top w:val="single" w:sz="4" w:space="0" w:color="auto"/>
              <w:left w:val="single" w:sz="4" w:space="0" w:color="auto"/>
              <w:bottom w:val="single" w:sz="4" w:space="0" w:color="auto"/>
              <w:right w:val="single" w:sz="4" w:space="0" w:color="auto"/>
            </w:tcBorders>
            <w:shd w:val="clear" w:color="auto" w:fill="C6EFCE"/>
            <w:noWrap/>
            <w:hideMark/>
          </w:tcPr>
          <w:p w14:paraId="7A23CE7C" w14:textId="51EAF7D5"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uhlíka alebo využívanie CO2</w:t>
            </w:r>
          </w:p>
        </w:tc>
        <w:tc>
          <w:tcPr>
            <w:tcW w:w="1595" w:type="dxa"/>
            <w:tcBorders>
              <w:top w:val="single" w:sz="4" w:space="0" w:color="auto"/>
              <w:left w:val="single" w:sz="4" w:space="0" w:color="auto"/>
              <w:bottom w:val="single" w:sz="4" w:space="0" w:color="auto"/>
              <w:right w:val="single" w:sz="4" w:space="0" w:color="auto"/>
            </w:tcBorders>
            <w:shd w:val="clear" w:color="auto" w:fill="C6EFCE"/>
            <w:noWrap/>
            <w:hideMark/>
          </w:tcPr>
          <w:p w14:paraId="4AB55AC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946" w:type="dxa"/>
            <w:tcBorders>
              <w:top w:val="single" w:sz="4" w:space="0" w:color="auto"/>
              <w:left w:val="single" w:sz="4" w:space="0" w:color="auto"/>
              <w:bottom w:val="single" w:sz="4" w:space="0" w:color="auto"/>
              <w:right w:val="single" w:sz="4" w:space="0" w:color="auto"/>
            </w:tcBorders>
            <w:shd w:val="clear" w:color="auto" w:fill="C6EFCE"/>
            <w:noWrap/>
            <w:hideMark/>
          </w:tcPr>
          <w:p w14:paraId="2A67E473" w14:textId="313FE399"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Výber partnerstiev pre „zachytávanie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alebo využívanie CO2“.</w:t>
            </w:r>
          </w:p>
        </w:tc>
        <w:tc>
          <w:tcPr>
            <w:tcW w:w="1787" w:type="dxa"/>
            <w:tcBorders>
              <w:top w:val="single" w:sz="4" w:space="0" w:color="auto"/>
              <w:left w:val="single" w:sz="4" w:space="0" w:color="auto"/>
              <w:bottom w:val="single" w:sz="4" w:space="0" w:color="auto"/>
              <w:right w:val="single" w:sz="4" w:space="0" w:color="auto"/>
            </w:tcBorders>
            <w:shd w:val="clear" w:color="auto" w:fill="C6EFCE"/>
            <w:noWrap/>
          </w:tcPr>
          <w:p w14:paraId="6EB3E20C" w14:textId="77777777" w:rsidR="00F65654" w:rsidRPr="00CC26EA" w:rsidRDefault="00F65654">
            <w:pPr>
              <w:spacing w:after="0"/>
              <w:rPr>
                <w:rFonts w:ascii="Times New Roman" w:eastAsia="Times New Roman" w:hAnsi="Times New Roman"/>
                <w:noProof/>
                <w:color w:val="006100"/>
                <w:spacing w:val="-6"/>
                <w:lang w:val="sk-SK"/>
              </w:rPr>
            </w:pPr>
          </w:p>
        </w:tc>
        <w:tc>
          <w:tcPr>
            <w:tcW w:w="1471" w:type="dxa"/>
            <w:tcBorders>
              <w:top w:val="single" w:sz="4" w:space="0" w:color="auto"/>
              <w:left w:val="single" w:sz="4" w:space="0" w:color="auto"/>
              <w:bottom w:val="single" w:sz="4" w:space="0" w:color="auto"/>
              <w:right w:val="single" w:sz="4" w:space="0" w:color="auto"/>
            </w:tcBorders>
            <w:shd w:val="clear" w:color="auto" w:fill="C6EFCE"/>
            <w:noWrap/>
          </w:tcPr>
          <w:p w14:paraId="05F3D12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1029" w:type="dxa"/>
            <w:tcBorders>
              <w:top w:val="single" w:sz="4" w:space="0" w:color="auto"/>
              <w:left w:val="single" w:sz="4" w:space="0" w:color="auto"/>
              <w:bottom w:val="single" w:sz="4" w:space="0" w:color="auto"/>
              <w:right w:val="single" w:sz="4" w:space="0" w:color="auto"/>
            </w:tcBorders>
            <w:shd w:val="clear" w:color="auto" w:fill="C6EFCE"/>
            <w:noWrap/>
          </w:tcPr>
          <w:p w14:paraId="75AAD90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735" w:type="dxa"/>
            <w:tcBorders>
              <w:top w:val="single" w:sz="4" w:space="0" w:color="auto"/>
              <w:left w:val="single" w:sz="4" w:space="0" w:color="auto"/>
              <w:bottom w:val="single" w:sz="4" w:space="0" w:color="auto"/>
              <w:right w:val="single" w:sz="4" w:space="0" w:color="auto"/>
            </w:tcBorders>
            <w:shd w:val="clear" w:color="auto" w:fill="C6EFCE"/>
            <w:noWrap/>
          </w:tcPr>
          <w:p w14:paraId="3655771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w:t>
            </w:r>
          </w:p>
        </w:tc>
        <w:tc>
          <w:tcPr>
            <w:tcW w:w="1066" w:type="dxa"/>
            <w:tcBorders>
              <w:top w:val="single" w:sz="4" w:space="0" w:color="auto"/>
              <w:left w:val="single" w:sz="4" w:space="0" w:color="auto"/>
              <w:bottom w:val="single" w:sz="4" w:space="0" w:color="auto"/>
              <w:right w:val="single" w:sz="4" w:space="0" w:color="auto"/>
            </w:tcBorders>
            <w:shd w:val="clear" w:color="auto" w:fill="C6EFCE"/>
            <w:noWrap/>
          </w:tcPr>
          <w:p w14:paraId="07C60C5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OTÁZKA Č. 1</w:t>
            </w:r>
          </w:p>
        </w:tc>
        <w:tc>
          <w:tcPr>
            <w:tcW w:w="876" w:type="dxa"/>
            <w:tcBorders>
              <w:top w:val="single" w:sz="4" w:space="0" w:color="auto"/>
              <w:left w:val="single" w:sz="4" w:space="0" w:color="auto"/>
              <w:bottom w:val="single" w:sz="4" w:space="0" w:color="auto"/>
              <w:right w:val="single" w:sz="4" w:space="0" w:color="auto"/>
            </w:tcBorders>
            <w:shd w:val="clear" w:color="auto" w:fill="C6EFCE"/>
            <w:noWrap/>
          </w:tcPr>
          <w:p w14:paraId="53D32EE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2022</w:t>
            </w:r>
          </w:p>
        </w:tc>
        <w:tc>
          <w:tcPr>
            <w:tcW w:w="2043" w:type="dxa"/>
            <w:tcBorders>
              <w:top w:val="single" w:sz="4" w:space="0" w:color="auto"/>
              <w:left w:val="single" w:sz="4" w:space="0" w:color="auto"/>
              <w:bottom w:val="single" w:sz="4" w:space="0" w:color="auto"/>
              <w:right w:val="single" w:sz="4" w:space="0" w:color="auto"/>
            </w:tcBorders>
            <w:shd w:val="clear" w:color="auto" w:fill="C6EFCE"/>
            <w:noWrap/>
          </w:tcPr>
          <w:p w14:paraId="67BC4071" w14:textId="45CAC72B"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Inovačný fond Dánsko vybralo jedno alebo viacero verejno-súkromných partnerstiev na misiu „zachytávanie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alebo využívanie CO2“ na základe otvorenej výzvy po výbere plánov uvedených</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míľniku 64. Referenčný rámec otvorenej výzvy na predkladanie návrhov zahŕňa kritériá oprávnenosti, ktorými sa zabezpečí, aby vybrané projekty spĺňali technické usmernenie „nespôsobovať významnú škodu“ (2021/C58/01) prostredníctvom použitia zoznamu vylúčených subjektov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požiadavky súladu</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príslušnými právnymi predpismi EÚ</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vnútroštátnymi právnymi predpismi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 xml:space="preserve">oblasti životného prostredia. </w:t>
            </w:r>
          </w:p>
        </w:tc>
      </w:tr>
      <w:tr w:rsidR="00F65654" w:rsidRPr="00CC26EA" w14:paraId="425947EC" w14:textId="77777777">
        <w:trPr>
          <w:trHeight w:val="305"/>
          <w:jc w:val="center"/>
        </w:trPr>
        <w:tc>
          <w:tcPr>
            <w:tcW w:w="1747" w:type="dxa"/>
            <w:shd w:val="clear" w:color="auto" w:fill="C6EFCE"/>
            <w:noWrap/>
            <w:hideMark/>
          </w:tcPr>
          <w:p w14:paraId="12AA175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66</w:t>
            </w:r>
          </w:p>
        </w:tc>
        <w:tc>
          <w:tcPr>
            <w:tcW w:w="1609" w:type="dxa"/>
            <w:shd w:val="clear" w:color="auto" w:fill="C6EFCE"/>
            <w:noWrap/>
            <w:hideMark/>
          </w:tcPr>
          <w:p w14:paraId="224F37BC" w14:textId="47334C3F"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uhlíka alebo využívanie CO2</w:t>
            </w:r>
          </w:p>
        </w:tc>
        <w:tc>
          <w:tcPr>
            <w:tcW w:w="1595" w:type="dxa"/>
            <w:shd w:val="clear" w:color="auto" w:fill="C6EFCE"/>
            <w:noWrap/>
            <w:hideMark/>
          </w:tcPr>
          <w:p w14:paraId="5419DED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946" w:type="dxa"/>
            <w:shd w:val="clear" w:color="auto" w:fill="C6EFCE"/>
            <w:noWrap/>
            <w:hideMark/>
          </w:tcPr>
          <w:p w14:paraId="7F85E89D" w14:textId="54FD342A"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Aspoň jedno výskumné</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inovačné partnerstvo (partnerstvá) získalo finančné prostriedky na „zachytávanie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alebo využívanie CO2“.</w:t>
            </w:r>
          </w:p>
        </w:tc>
        <w:tc>
          <w:tcPr>
            <w:tcW w:w="1787" w:type="dxa"/>
            <w:shd w:val="clear" w:color="auto" w:fill="C6EFCE"/>
            <w:noWrap/>
            <w:hideMark/>
          </w:tcPr>
          <w:p w14:paraId="4F39D66E" w14:textId="77777777" w:rsidR="00F65654" w:rsidRPr="00CC26EA" w:rsidRDefault="00F65654">
            <w:pPr>
              <w:spacing w:after="0"/>
              <w:rPr>
                <w:rFonts w:ascii="Times New Roman" w:eastAsia="Times New Roman" w:hAnsi="Times New Roman"/>
                <w:noProof/>
                <w:color w:val="006100"/>
                <w:spacing w:val="-6"/>
                <w:lang w:val="sk-SK"/>
              </w:rPr>
            </w:pPr>
          </w:p>
        </w:tc>
        <w:tc>
          <w:tcPr>
            <w:tcW w:w="1471" w:type="dxa"/>
            <w:shd w:val="clear" w:color="auto" w:fill="C6EFCE"/>
            <w:noWrap/>
            <w:hideMark/>
          </w:tcPr>
          <w:p w14:paraId="78E41C7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Počet </w:t>
            </w:r>
          </w:p>
        </w:tc>
        <w:tc>
          <w:tcPr>
            <w:tcW w:w="1029" w:type="dxa"/>
            <w:shd w:val="clear" w:color="auto" w:fill="C6EFCE"/>
            <w:noWrap/>
            <w:hideMark/>
          </w:tcPr>
          <w:p w14:paraId="6225E22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0</w:t>
            </w:r>
          </w:p>
        </w:tc>
        <w:tc>
          <w:tcPr>
            <w:tcW w:w="735" w:type="dxa"/>
            <w:shd w:val="clear" w:color="auto" w:fill="C6EFCE"/>
            <w:noWrap/>
            <w:hideMark/>
          </w:tcPr>
          <w:p w14:paraId="62616D4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w:t>
            </w:r>
          </w:p>
        </w:tc>
        <w:tc>
          <w:tcPr>
            <w:tcW w:w="1066" w:type="dxa"/>
            <w:shd w:val="clear" w:color="auto" w:fill="C6EFCE"/>
            <w:noWrap/>
            <w:hideMark/>
          </w:tcPr>
          <w:p w14:paraId="4EAADDD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 </w:t>
            </w:r>
          </w:p>
        </w:tc>
        <w:tc>
          <w:tcPr>
            <w:tcW w:w="876" w:type="dxa"/>
            <w:shd w:val="clear" w:color="auto" w:fill="C6EFCE"/>
            <w:noWrap/>
            <w:hideMark/>
          </w:tcPr>
          <w:p w14:paraId="0C0E5EA6"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2022</w:t>
            </w:r>
          </w:p>
        </w:tc>
        <w:tc>
          <w:tcPr>
            <w:tcW w:w="2043" w:type="dxa"/>
            <w:shd w:val="clear" w:color="auto" w:fill="C6EFCE"/>
            <w:noWrap/>
          </w:tcPr>
          <w:p w14:paraId="1E51C758" w14:textId="61F831E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Bolo vytvorené aspoň jedno verejno-súkromné partnerstvo zamerané na „zachytávanie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alebo využívanie CO2“</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účasťou príslušných verejných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súkromných partnerov, ktoré získalo finančné prostriedky</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Inovačného fondu Dánska.</w:t>
            </w:r>
          </w:p>
        </w:tc>
      </w:tr>
      <w:tr w:rsidR="00F65654" w:rsidRPr="00CC26EA" w14:paraId="47497195" w14:textId="77777777">
        <w:trPr>
          <w:trHeight w:val="305"/>
          <w:jc w:val="center"/>
        </w:trPr>
        <w:tc>
          <w:tcPr>
            <w:tcW w:w="1747" w:type="dxa"/>
            <w:shd w:val="clear" w:color="auto" w:fill="C6EFCE"/>
            <w:noWrap/>
            <w:hideMark/>
          </w:tcPr>
          <w:p w14:paraId="7628F11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67</w:t>
            </w:r>
          </w:p>
        </w:tc>
        <w:tc>
          <w:tcPr>
            <w:tcW w:w="1609" w:type="dxa"/>
            <w:shd w:val="clear" w:color="auto" w:fill="C6EFCE"/>
            <w:noWrap/>
            <w:hideMark/>
          </w:tcPr>
          <w:p w14:paraId="1BB6D136" w14:textId="39E4C8C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Ekologické palivá pre dopravu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priemysel</w:t>
            </w:r>
          </w:p>
        </w:tc>
        <w:tc>
          <w:tcPr>
            <w:tcW w:w="1595" w:type="dxa"/>
            <w:shd w:val="clear" w:color="auto" w:fill="C6EFCE"/>
            <w:noWrap/>
            <w:hideMark/>
          </w:tcPr>
          <w:p w14:paraId="4F84B8D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946" w:type="dxa"/>
            <w:shd w:val="clear" w:color="auto" w:fill="C6EFCE"/>
            <w:noWrap/>
            <w:hideMark/>
          </w:tcPr>
          <w:p w14:paraId="31B40119" w14:textId="5FD1572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Výber plánov služobných ciest pre „zelené palivá pre dopravu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priemysel“.</w:t>
            </w:r>
          </w:p>
        </w:tc>
        <w:tc>
          <w:tcPr>
            <w:tcW w:w="1787" w:type="dxa"/>
            <w:shd w:val="clear" w:color="auto" w:fill="C6EFCE"/>
            <w:noWrap/>
            <w:hideMark/>
          </w:tcPr>
          <w:p w14:paraId="619AF29F" w14:textId="63F6CFC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Inovačný fond Dánsko vybralo plány misie „zelené palivá pre dopravu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priemysel“.</w:t>
            </w:r>
          </w:p>
        </w:tc>
        <w:tc>
          <w:tcPr>
            <w:tcW w:w="1471" w:type="dxa"/>
            <w:shd w:val="clear" w:color="auto" w:fill="C6EFCE"/>
            <w:noWrap/>
            <w:hideMark/>
          </w:tcPr>
          <w:p w14:paraId="105AB61A" w14:textId="77777777" w:rsidR="00F65654" w:rsidRPr="00CC26EA" w:rsidRDefault="00F65654">
            <w:pPr>
              <w:spacing w:after="0"/>
              <w:rPr>
                <w:rFonts w:ascii="Times New Roman" w:eastAsia="Times New Roman" w:hAnsi="Times New Roman"/>
                <w:noProof/>
                <w:color w:val="006100"/>
                <w:spacing w:val="-6"/>
                <w:lang w:val="sk-SK"/>
              </w:rPr>
            </w:pPr>
          </w:p>
        </w:tc>
        <w:tc>
          <w:tcPr>
            <w:tcW w:w="1029" w:type="dxa"/>
            <w:shd w:val="clear" w:color="auto" w:fill="C6EFCE"/>
            <w:noWrap/>
            <w:hideMark/>
          </w:tcPr>
          <w:p w14:paraId="0308ABFC" w14:textId="77777777" w:rsidR="00F65654" w:rsidRPr="00CC26EA" w:rsidRDefault="00F65654">
            <w:pPr>
              <w:spacing w:after="0"/>
              <w:rPr>
                <w:rFonts w:ascii="Times New Roman" w:eastAsia="Times New Roman" w:hAnsi="Times New Roman"/>
                <w:noProof/>
                <w:color w:val="006100"/>
                <w:spacing w:val="-6"/>
                <w:lang w:val="sk-SK"/>
              </w:rPr>
            </w:pPr>
          </w:p>
        </w:tc>
        <w:tc>
          <w:tcPr>
            <w:tcW w:w="735" w:type="dxa"/>
            <w:shd w:val="clear" w:color="auto" w:fill="C6EFCE"/>
            <w:noWrap/>
            <w:hideMark/>
          </w:tcPr>
          <w:p w14:paraId="7EBAA049" w14:textId="77777777" w:rsidR="00F65654" w:rsidRPr="00CC26EA" w:rsidRDefault="00F65654">
            <w:pPr>
              <w:spacing w:after="0"/>
              <w:rPr>
                <w:rFonts w:ascii="Times New Roman" w:eastAsia="Times New Roman" w:hAnsi="Times New Roman"/>
                <w:noProof/>
                <w:color w:val="006100"/>
                <w:spacing w:val="-6"/>
                <w:lang w:val="sk-SK"/>
              </w:rPr>
            </w:pPr>
          </w:p>
        </w:tc>
        <w:tc>
          <w:tcPr>
            <w:tcW w:w="1066" w:type="dxa"/>
            <w:shd w:val="clear" w:color="auto" w:fill="C6EFCE"/>
            <w:noWrap/>
            <w:hideMark/>
          </w:tcPr>
          <w:p w14:paraId="58A4042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OTÁZKA Č. 3</w:t>
            </w:r>
          </w:p>
        </w:tc>
        <w:tc>
          <w:tcPr>
            <w:tcW w:w="876" w:type="dxa"/>
            <w:shd w:val="clear" w:color="auto" w:fill="C6EFCE"/>
            <w:noWrap/>
            <w:hideMark/>
          </w:tcPr>
          <w:p w14:paraId="273F879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2043" w:type="dxa"/>
            <w:shd w:val="clear" w:color="auto" w:fill="C6EFCE"/>
            <w:noWrap/>
          </w:tcPr>
          <w:p w14:paraId="4B423DCB" w14:textId="75D789CC"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Inovačný fond Dánsko si na základe otvorenej výzvy vybralo plány</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cieľom navrhnúť nápady pre pracovné okruhy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činnosti na prekonanie výziev, ktorým Dánsko čelí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oblasti výskumu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vývoja, pokiaľ ide</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misiu „zelené palivá pre dopravu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priemysel“. </w:t>
            </w:r>
          </w:p>
        </w:tc>
      </w:tr>
      <w:tr w:rsidR="00F65654" w:rsidRPr="00CC26EA" w14:paraId="2C2910E1" w14:textId="77777777">
        <w:trPr>
          <w:trHeight w:val="305"/>
          <w:jc w:val="center"/>
        </w:trPr>
        <w:tc>
          <w:tcPr>
            <w:tcW w:w="1747" w:type="dxa"/>
            <w:tcBorders>
              <w:top w:val="single" w:sz="4" w:space="0" w:color="auto"/>
              <w:left w:val="single" w:sz="4" w:space="0" w:color="auto"/>
              <w:bottom w:val="single" w:sz="4" w:space="0" w:color="auto"/>
              <w:right w:val="single" w:sz="4" w:space="0" w:color="auto"/>
            </w:tcBorders>
            <w:shd w:val="clear" w:color="auto" w:fill="C6EFCE"/>
            <w:noWrap/>
            <w:hideMark/>
          </w:tcPr>
          <w:p w14:paraId="67973CF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68</w:t>
            </w:r>
          </w:p>
        </w:tc>
        <w:tc>
          <w:tcPr>
            <w:tcW w:w="1609" w:type="dxa"/>
            <w:tcBorders>
              <w:top w:val="single" w:sz="4" w:space="0" w:color="auto"/>
              <w:left w:val="single" w:sz="4" w:space="0" w:color="auto"/>
              <w:bottom w:val="single" w:sz="4" w:space="0" w:color="auto"/>
              <w:right w:val="single" w:sz="4" w:space="0" w:color="auto"/>
            </w:tcBorders>
            <w:shd w:val="clear" w:color="auto" w:fill="C6EFCE"/>
            <w:noWrap/>
            <w:hideMark/>
          </w:tcPr>
          <w:p w14:paraId="300BAA46" w14:textId="4E62F089"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Ekologické palivá pre dopravu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priemysel</w:t>
            </w:r>
          </w:p>
        </w:tc>
        <w:tc>
          <w:tcPr>
            <w:tcW w:w="1595" w:type="dxa"/>
            <w:tcBorders>
              <w:top w:val="single" w:sz="4" w:space="0" w:color="auto"/>
              <w:left w:val="single" w:sz="4" w:space="0" w:color="auto"/>
              <w:bottom w:val="single" w:sz="4" w:space="0" w:color="auto"/>
              <w:right w:val="single" w:sz="4" w:space="0" w:color="auto"/>
            </w:tcBorders>
            <w:shd w:val="clear" w:color="auto" w:fill="C6EFCE"/>
            <w:noWrap/>
            <w:hideMark/>
          </w:tcPr>
          <w:p w14:paraId="4A901CA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946" w:type="dxa"/>
            <w:tcBorders>
              <w:top w:val="single" w:sz="4" w:space="0" w:color="auto"/>
              <w:left w:val="single" w:sz="4" w:space="0" w:color="auto"/>
              <w:bottom w:val="single" w:sz="4" w:space="0" w:color="auto"/>
              <w:right w:val="single" w:sz="4" w:space="0" w:color="auto"/>
            </w:tcBorders>
            <w:shd w:val="clear" w:color="auto" w:fill="C6EFCE"/>
            <w:noWrap/>
            <w:hideMark/>
          </w:tcPr>
          <w:p w14:paraId="15A797EC" w14:textId="10218F83"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Výber partnerstiev pre „ekologické palivá pre dopravu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priemysel“.</w:t>
            </w:r>
          </w:p>
        </w:tc>
        <w:tc>
          <w:tcPr>
            <w:tcW w:w="1787" w:type="dxa"/>
            <w:tcBorders>
              <w:top w:val="single" w:sz="4" w:space="0" w:color="auto"/>
              <w:left w:val="single" w:sz="4" w:space="0" w:color="auto"/>
              <w:bottom w:val="single" w:sz="4" w:space="0" w:color="auto"/>
              <w:right w:val="single" w:sz="4" w:space="0" w:color="auto"/>
            </w:tcBorders>
            <w:shd w:val="clear" w:color="auto" w:fill="C6EFCE"/>
            <w:noWrap/>
          </w:tcPr>
          <w:p w14:paraId="597BF221" w14:textId="77777777" w:rsidR="00F65654" w:rsidRPr="00CC26EA" w:rsidRDefault="00F65654">
            <w:pPr>
              <w:spacing w:after="0"/>
              <w:rPr>
                <w:rFonts w:ascii="Times New Roman" w:eastAsia="Times New Roman" w:hAnsi="Times New Roman"/>
                <w:noProof/>
                <w:color w:val="006100"/>
                <w:spacing w:val="-6"/>
                <w:lang w:val="sk-SK"/>
              </w:rPr>
            </w:pPr>
          </w:p>
        </w:tc>
        <w:tc>
          <w:tcPr>
            <w:tcW w:w="1471" w:type="dxa"/>
            <w:tcBorders>
              <w:top w:val="single" w:sz="4" w:space="0" w:color="auto"/>
              <w:left w:val="single" w:sz="4" w:space="0" w:color="auto"/>
              <w:bottom w:val="single" w:sz="4" w:space="0" w:color="auto"/>
              <w:right w:val="single" w:sz="4" w:space="0" w:color="auto"/>
            </w:tcBorders>
            <w:shd w:val="clear" w:color="auto" w:fill="C6EFCE"/>
            <w:noWrap/>
            <w:hideMark/>
          </w:tcPr>
          <w:p w14:paraId="0304BB1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1029" w:type="dxa"/>
            <w:tcBorders>
              <w:top w:val="single" w:sz="4" w:space="0" w:color="auto"/>
              <w:left w:val="single" w:sz="4" w:space="0" w:color="auto"/>
              <w:bottom w:val="single" w:sz="4" w:space="0" w:color="auto"/>
              <w:right w:val="single" w:sz="4" w:space="0" w:color="auto"/>
            </w:tcBorders>
            <w:shd w:val="clear" w:color="auto" w:fill="C6EFCE"/>
            <w:noWrap/>
            <w:hideMark/>
          </w:tcPr>
          <w:p w14:paraId="67898EA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735" w:type="dxa"/>
            <w:tcBorders>
              <w:top w:val="single" w:sz="4" w:space="0" w:color="auto"/>
              <w:left w:val="single" w:sz="4" w:space="0" w:color="auto"/>
              <w:bottom w:val="single" w:sz="4" w:space="0" w:color="auto"/>
              <w:right w:val="single" w:sz="4" w:space="0" w:color="auto"/>
            </w:tcBorders>
            <w:shd w:val="clear" w:color="auto" w:fill="C6EFCE"/>
            <w:noWrap/>
            <w:hideMark/>
          </w:tcPr>
          <w:p w14:paraId="2331C8A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w:t>
            </w:r>
          </w:p>
        </w:tc>
        <w:tc>
          <w:tcPr>
            <w:tcW w:w="1066" w:type="dxa"/>
            <w:tcBorders>
              <w:top w:val="single" w:sz="4" w:space="0" w:color="auto"/>
              <w:left w:val="single" w:sz="4" w:space="0" w:color="auto"/>
              <w:bottom w:val="single" w:sz="4" w:space="0" w:color="auto"/>
              <w:right w:val="single" w:sz="4" w:space="0" w:color="auto"/>
            </w:tcBorders>
            <w:shd w:val="clear" w:color="auto" w:fill="C6EFCE"/>
            <w:noWrap/>
            <w:hideMark/>
          </w:tcPr>
          <w:p w14:paraId="47EC6DF0"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OTÁZKA Č. 1</w:t>
            </w:r>
          </w:p>
        </w:tc>
        <w:tc>
          <w:tcPr>
            <w:tcW w:w="876" w:type="dxa"/>
            <w:tcBorders>
              <w:top w:val="single" w:sz="4" w:space="0" w:color="auto"/>
              <w:left w:val="single" w:sz="4" w:space="0" w:color="auto"/>
              <w:bottom w:val="single" w:sz="4" w:space="0" w:color="auto"/>
              <w:right w:val="single" w:sz="4" w:space="0" w:color="auto"/>
            </w:tcBorders>
            <w:shd w:val="clear" w:color="auto" w:fill="C6EFCE"/>
            <w:noWrap/>
            <w:hideMark/>
          </w:tcPr>
          <w:p w14:paraId="544268E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2022</w:t>
            </w:r>
          </w:p>
        </w:tc>
        <w:tc>
          <w:tcPr>
            <w:tcW w:w="2043" w:type="dxa"/>
            <w:tcBorders>
              <w:top w:val="single" w:sz="4" w:space="0" w:color="auto"/>
              <w:left w:val="single" w:sz="4" w:space="0" w:color="auto"/>
              <w:bottom w:val="single" w:sz="4" w:space="0" w:color="auto"/>
              <w:right w:val="single" w:sz="4" w:space="0" w:color="auto"/>
            </w:tcBorders>
            <w:shd w:val="clear" w:color="auto" w:fill="C6EFCE"/>
            <w:noWrap/>
          </w:tcPr>
          <w:p w14:paraId="7866B80D" w14:textId="66BCCA4D" w:rsidR="00CC26EA" w:rsidRPr="00CC26EA" w:rsidRDefault="0041081E">
            <w:pPr>
              <w:pStyle w:val="P68B1DB1-Normal4"/>
              <w:spacing w:after="0"/>
              <w:rPr>
                <w:rFonts w:ascii="Times New Roman" w:hAnsi="Times New Roman"/>
                <w:noProof/>
                <w:spacing w:val="-6"/>
                <w:lang w:val="sk-SK"/>
              </w:rPr>
            </w:pPr>
            <w:r w:rsidRPr="00CC26EA">
              <w:rPr>
                <w:rFonts w:ascii="Times New Roman" w:hAnsi="Times New Roman"/>
                <w:noProof/>
                <w:spacing w:val="-6"/>
                <w:lang w:val="sk-SK"/>
              </w:rPr>
              <w:t>Inovačný fond Dánsko vybralo jedno alebo viacero verejno-súkromných partnerstiev na misiu „zachytávanie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alebo využívanie CO2“ na základe otvorenej výzvy po výbere plánov uvedených</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míľniku 67</w:t>
            </w:r>
            <w:r w:rsidR="00CC26EA" w:rsidRPr="00CC26EA">
              <w:rPr>
                <w:rFonts w:ascii="Times New Roman" w:hAnsi="Times New Roman"/>
                <w:noProof/>
                <w:spacing w:val="-6"/>
                <w:lang w:val="sk-SK"/>
              </w:rPr>
              <w:t>.</w:t>
            </w:r>
          </w:p>
          <w:p w14:paraId="4E59C302" w14:textId="02B51802" w:rsidR="00F65654" w:rsidRPr="00CC26EA" w:rsidRDefault="00F65654">
            <w:pPr>
              <w:spacing w:after="0"/>
              <w:rPr>
                <w:rFonts w:ascii="Times New Roman" w:eastAsia="Times New Roman" w:hAnsi="Times New Roman"/>
                <w:noProof/>
                <w:color w:val="006100"/>
                <w:spacing w:val="-6"/>
                <w:lang w:val="sk-SK"/>
              </w:rPr>
            </w:pPr>
          </w:p>
          <w:p w14:paraId="649B12B2" w14:textId="3E2FE3C2"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Referenčný rámec otvorenej výzvy na predkladanie návrhov zahŕňa kritériá oprávnenosti, ktorými sa zabezpečí, aby vybrané projekty spĺňali technické usmernenie „nespôsobovať významnú škodu“ (2021/C58/01) prostredníctvom použitia zoznamu vylúčených subjektov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požiadavky súladu</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príslušnými právnymi predpismi EÚ</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vnútroštátnymi právnymi predpismi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 xml:space="preserve">oblasti životného prostredia. </w:t>
            </w:r>
          </w:p>
        </w:tc>
      </w:tr>
      <w:tr w:rsidR="00F65654" w:rsidRPr="00CC26EA" w14:paraId="2D0E1C40" w14:textId="77777777">
        <w:trPr>
          <w:trHeight w:val="305"/>
          <w:jc w:val="center"/>
        </w:trPr>
        <w:tc>
          <w:tcPr>
            <w:tcW w:w="1747" w:type="dxa"/>
            <w:shd w:val="clear" w:color="auto" w:fill="C6EFCE"/>
            <w:noWrap/>
          </w:tcPr>
          <w:p w14:paraId="3E7955E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69</w:t>
            </w:r>
          </w:p>
        </w:tc>
        <w:tc>
          <w:tcPr>
            <w:tcW w:w="1609" w:type="dxa"/>
            <w:shd w:val="clear" w:color="auto" w:fill="C6EFCE"/>
            <w:noWrap/>
          </w:tcPr>
          <w:p w14:paraId="4FE0D09D" w14:textId="3F2419BC"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Ekologické palivá pre dopravu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priemysel</w:t>
            </w:r>
          </w:p>
        </w:tc>
        <w:tc>
          <w:tcPr>
            <w:tcW w:w="1595" w:type="dxa"/>
            <w:shd w:val="clear" w:color="auto" w:fill="C6EFCE"/>
            <w:noWrap/>
          </w:tcPr>
          <w:p w14:paraId="7EAFE72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946" w:type="dxa"/>
            <w:shd w:val="clear" w:color="auto" w:fill="C6EFCE"/>
            <w:noWrap/>
          </w:tcPr>
          <w:p w14:paraId="3D42E3DC" w14:textId="0F9B7FC9"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Aspoň jedno partnerstvo (partnerstvá)</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oblasti výskumu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inovácií získalo finančné prostriedky na ekologické palivá pre dopravu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priemysel.</w:t>
            </w:r>
          </w:p>
        </w:tc>
        <w:tc>
          <w:tcPr>
            <w:tcW w:w="1787" w:type="dxa"/>
            <w:shd w:val="clear" w:color="auto" w:fill="C6EFCE"/>
            <w:noWrap/>
          </w:tcPr>
          <w:p w14:paraId="4A2C46F6" w14:textId="77777777" w:rsidR="00F65654" w:rsidRPr="00CC26EA" w:rsidRDefault="00F65654">
            <w:pPr>
              <w:spacing w:after="0"/>
              <w:rPr>
                <w:rFonts w:ascii="Times New Roman" w:eastAsia="Times New Roman" w:hAnsi="Times New Roman"/>
                <w:noProof/>
                <w:color w:val="006100"/>
                <w:spacing w:val="-6"/>
                <w:lang w:val="sk-SK"/>
              </w:rPr>
            </w:pPr>
          </w:p>
        </w:tc>
        <w:tc>
          <w:tcPr>
            <w:tcW w:w="1471" w:type="dxa"/>
            <w:shd w:val="clear" w:color="auto" w:fill="C6EFCE"/>
            <w:noWrap/>
          </w:tcPr>
          <w:p w14:paraId="1FAB359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Počet </w:t>
            </w:r>
          </w:p>
        </w:tc>
        <w:tc>
          <w:tcPr>
            <w:tcW w:w="1029" w:type="dxa"/>
            <w:shd w:val="clear" w:color="auto" w:fill="C6EFCE"/>
            <w:noWrap/>
          </w:tcPr>
          <w:p w14:paraId="0634B79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0</w:t>
            </w:r>
          </w:p>
        </w:tc>
        <w:tc>
          <w:tcPr>
            <w:tcW w:w="735" w:type="dxa"/>
            <w:shd w:val="clear" w:color="auto" w:fill="C6EFCE"/>
            <w:noWrap/>
          </w:tcPr>
          <w:p w14:paraId="2F747A8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w:t>
            </w:r>
          </w:p>
        </w:tc>
        <w:tc>
          <w:tcPr>
            <w:tcW w:w="1066" w:type="dxa"/>
            <w:shd w:val="clear" w:color="auto" w:fill="C6EFCE"/>
            <w:noWrap/>
          </w:tcPr>
          <w:p w14:paraId="228DFA0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 </w:t>
            </w:r>
          </w:p>
        </w:tc>
        <w:tc>
          <w:tcPr>
            <w:tcW w:w="876" w:type="dxa"/>
            <w:shd w:val="clear" w:color="auto" w:fill="C6EFCE"/>
            <w:noWrap/>
          </w:tcPr>
          <w:p w14:paraId="3BBE3FC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2022</w:t>
            </w:r>
          </w:p>
        </w:tc>
        <w:tc>
          <w:tcPr>
            <w:tcW w:w="2043" w:type="dxa"/>
            <w:shd w:val="clear" w:color="auto" w:fill="C6EFCE"/>
            <w:noWrap/>
          </w:tcPr>
          <w:p w14:paraId="0CA18F96" w14:textId="6BCB2E1A"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Bolo vytvorené aspoň jedno verejno-súkromné partnerstvo zamerané na „zachytávanie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alebo využívanie CO2“</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účasťou príslušných verejných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súkromných partnerov, ktoré získalo finančné prostriedky</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Inovačného fondu Dánska.</w:t>
            </w:r>
          </w:p>
        </w:tc>
      </w:tr>
      <w:tr w:rsidR="00F65654" w:rsidRPr="00CC26EA" w14:paraId="310E1586" w14:textId="77777777">
        <w:trPr>
          <w:trHeight w:val="305"/>
          <w:jc w:val="center"/>
        </w:trPr>
        <w:tc>
          <w:tcPr>
            <w:tcW w:w="1747" w:type="dxa"/>
            <w:shd w:val="clear" w:color="auto" w:fill="C6EFCE"/>
            <w:noWrap/>
          </w:tcPr>
          <w:p w14:paraId="115E83E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70</w:t>
            </w:r>
          </w:p>
        </w:tc>
        <w:tc>
          <w:tcPr>
            <w:tcW w:w="1609" w:type="dxa"/>
            <w:shd w:val="clear" w:color="auto" w:fill="C6EFCE"/>
            <w:noWrap/>
          </w:tcPr>
          <w:p w14:paraId="71F7787A" w14:textId="693CBAED"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Poľnohospodárstvo šetrné ku klíme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životnému prostrediu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výroba potravín</w:t>
            </w:r>
          </w:p>
        </w:tc>
        <w:tc>
          <w:tcPr>
            <w:tcW w:w="1595" w:type="dxa"/>
            <w:shd w:val="clear" w:color="auto" w:fill="C6EFCE"/>
            <w:noWrap/>
          </w:tcPr>
          <w:p w14:paraId="3DD5E3A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946" w:type="dxa"/>
            <w:shd w:val="clear" w:color="auto" w:fill="C6EFCE"/>
            <w:noWrap/>
          </w:tcPr>
          <w:p w14:paraId="518C00FE" w14:textId="3C59316D"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Výber plánov služobných ciest pre „poľnohospodárstvo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potravinársku výrobu šetrné ku klíme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životnému prostrediu“.</w:t>
            </w:r>
          </w:p>
        </w:tc>
        <w:tc>
          <w:tcPr>
            <w:tcW w:w="1787" w:type="dxa"/>
            <w:shd w:val="clear" w:color="auto" w:fill="C6EFCE"/>
            <w:noWrap/>
          </w:tcPr>
          <w:p w14:paraId="030F035E" w14:textId="59782281"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Inovačný fond Dánsko vybralo plány misie „poľnohospodárstvo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potravinárska výroba šetrná ku klíme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životnému prostrediu“.</w:t>
            </w:r>
          </w:p>
        </w:tc>
        <w:tc>
          <w:tcPr>
            <w:tcW w:w="1471" w:type="dxa"/>
            <w:shd w:val="clear" w:color="auto" w:fill="C6EFCE"/>
            <w:noWrap/>
          </w:tcPr>
          <w:p w14:paraId="7200E09F" w14:textId="77777777" w:rsidR="00F65654" w:rsidRPr="00CC26EA" w:rsidRDefault="00F65654">
            <w:pPr>
              <w:spacing w:after="0"/>
              <w:rPr>
                <w:rFonts w:ascii="Times New Roman" w:eastAsia="Times New Roman" w:hAnsi="Times New Roman"/>
                <w:noProof/>
                <w:color w:val="006100"/>
                <w:spacing w:val="-6"/>
                <w:lang w:val="sk-SK"/>
              </w:rPr>
            </w:pPr>
          </w:p>
        </w:tc>
        <w:tc>
          <w:tcPr>
            <w:tcW w:w="1029" w:type="dxa"/>
            <w:shd w:val="clear" w:color="auto" w:fill="C6EFCE"/>
            <w:noWrap/>
          </w:tcPr>
          <w:p w14:paraId="26B62BCD" w14:textId="77777777" w:rsidR="00F65654" w:rsidRPr="00CC26EA" w:rsidRDefault="00F65654">
            <w:pPr>
              <w:spacing w:after="0"/>
              <w:rPr>
                <w:rFonts w:ascii="Times New Roman" w:eastAsia="Times New Roman" w:hAnsi="Times New Roman"/>
                <w:noProof/>
                <w:color w:val="006100"/>
                <w:spacing w:val="-6"/>
                <w:lang w:val="sk-SK"/>
              </w:rPr>
            </w:pPr>
          </w:p>
        </w:tc>
        <w:tc>
          <w:tcPr>
            <w:tcW w:w="735" w:type="dxa"/>
            <w:shd w:val="clear" w:color="auto" w:fill="C6EFCE"/>
            <w:noWrap/>
          </w:tcPr>
          <w:p w14:paraId="35BB2194" w14:textId="77777777" w:rsidR="00F65654" w:rsidRPr="00CC26EA" w:rsidRDefault="00F65654">
            <w:pPr>
              <w:spacing w:after="0"/>
              <w:rPr>
                <w:rFonts w:ascii="Times New Roman" w:eastAsia="Times New Roman" w:hAnsi="Times New Roman"/>
                <w:noProof/>
                <w:color w:val="006100"/>
                <w:spacing w:val="-6"/>
                <w:lang w:val="sk-SK"/>
              </w:rPr>
            </w:pPr>
          </w:p>
        </w:tc>
        <w:tc>
          <w:tcPr>
            <w:tcW w:w="1066" w:type="dxa"/>
            <w:shd w:val="clear" w:color="auto" w:fill="C6EFCE"/>
            <w:noWrap/>
          </w:tcPr>
          <w:p w14:paraId="6703F6E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OTÁZKA Č. 3</w:t>
            </w:r>
          </w:p>
        </w:tc>
        <w:tc>
          <w:tcPr>
            <w:tcW w:w="876" w:type="dxa"/>
            <w:shd w:val="clear" w:color="auto" w:fill="C6EFCE"/>
            <w:noWrap/>
          </w:tcPr>
          <w:p w14:paraId="1E2377A6"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2043" w:type="dxa"/>
            <w:shd w:val="clear" w:color="auto" w:fill="C6EFCE"/>
            <w:noWrap/>
          </w:tcPr>
          <w:p w14:paraId="51B1E795" w14:textId="0BDD9CC5"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Inovačný fond Dánsko vybralo plány</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cieľom navrhnúť nápady pre pracovné okruhy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činnosti na prekonanie výziev, ktorým Dánsko čelí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súvislosti</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výskumom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vývojom misie „poľnohospodárstvo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potravinárska výroba šetrné ku klíme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životnému prostrediu“,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to na základe otvorenej výzvy.</w:t>
            </w:r>
          </w:p>
        </w:tc>
      </w:tr>
      <w:tr w:rsidR="00F65654" w:rsidRPr="00CC26EA" w14:paraId="7E56B3C4" w14:textId="77777777">
        <w:trPr>
          <w:trHeight w:val="305"/>
          <w:jc w:val="center"/>
        </w:trPr>
        <w:tc>
          <w:tcPr>
            <w:tcW w:w="1747" w:type="dxa"/>
            <w:shd w:val="clear" w:color="auto" w:fill="C6EFCE"/>
            <w:noWrap/>
          </w:tcPr>
          <w:p w14:paraId="045C79B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71</w:t>
            </w:r>
          </w:p>
        </w:tc>
        <w:tc>
          <w:tcPr>
            <w:tcW w:w="1609" w:type="dxa"/>
            <w:shd w:val="clear" w:color="auto" w:fill="C6EFCE"/>
            <w:noWrap/>
          </w:tcPr>
          <w:p w14:paraId="6AB6389F" w14:textId="35E4E513"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Poľnohospodárstvo šetrné ku klíme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životnému prostrediu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výroba potravín</w:t>
            </w:r>
          </w:p>
        </w:tc>
        <w:tc>
          <w:tcPr>
            <w:tcW w:w="1595" w:type="dxa"/>
            <w:shd w:val="clear" w:color="auto" w:fill="C6EFCE"/>
            <w:noWrap/>
          </w:tcPr>
          <w:p w14:paraId="6BA70F1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946" w:type="dxa"/>
            <w:shd w:val="clear" w:color="auto" w:fill="C6EFCE"/>
            <w:noWrap/>
          </w:tcPr>
          <w:p w14:paraId="02FBC632" w14:textId="1A7FF775"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Výber partnerstiev pre „poľnohospodárstvo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potravinársku výrobu šetrné ku klíme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životnému prostrediu“.</w:t>
            </w:r>
          </w:p>
        </w:tc>
        <w:tc>
          <w:tcPr>
            <w:tcW w:w="1787" w:type="dxa"/>
            <w:shd w:val="clear" w:color="auto" w:fill="C6EFCE"/>
            <w:noWrap/>
          </w:tcPr>
          <w:p w14:paraId="0FEF2CFB" w14:textId="77777777" w:rsidR="00F65654" w:rsidRPr="00CC26EA" w:rsidRDefault="00F65654">
            <w:pPr>
              <w:spacing w:after="0"/>
              <w:rPr>
                <w:rFonts w:ascii="Times New Roman" w:eastAsia="Times New Roman" w:hAnsi="Times New Roman"/>
                <w:noProof/>
                <w:color w:val="006100"/>
                <w:spacing w:val="-6"/>
                <w:lang w:val="sk-SK"/>
              </w:rPr>
            </w:pPr>
          </w:p>
        </w:tc>
        <w:tc>
          <w:tcPr>
            <w:tcW w:w="1471" w:type="dxa"/>
            <w:shd w:val="clear" w:color="auto" w:fill="C6EFCE"/>
            <w:noWrap/>
          </w:tcPr>
          <w:p w14:paraId="659D513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1029" w:type="dxa"/>
            <w:shd w:val="clear" w:color="auto" w:fill="C6EFCE"/>
            <w:noWrap/>
          </w:tcPr>
          <w:p w14:paraId="5F42302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735" w:type="dxa"/>
            <w:shd w:val="clear" w:color="auto" w:fill="C6EFCE"/>
            <w:noWrap/>
          </w:tcPr>
          <w:p w14:paraId="093F363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w:t>
            </w:r>
          </w:p>
        </w:tc>
        <w:tc>
          <w:tcPr>
            <w:tcW w:w="1066" w:type="dxa"/>
            <w:shd w:val="clear" w:color="auto" w:fill="C6EFCE"/>
            <w:noWrap/>
          </w:tcPr>
          <w:p w14:paraId="590EDBB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OTÁZKA Č. 1</w:t>
            </w:r>
          </w:p>
        </w:tc>
        <w:tc>
          <w:tcPr>
            <w:tcW w:w="876" w:type="dxa"/>
            <w:shd w:val="clear" w:color="auto" w:fill="C6EFCE"/>
            <w:noWrap/>
          </w:tcPr>
          <w:p w14:paraId="2A0F636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2022</w:t>
            </w:r>
          </w:p>
        </w:tc>
        <w:tc>
          <w:tcPr>
            <w:tcW w:w="2043" w:type="dxa"/>
            <w:shd w:val="clear" w:color="auto" w:fill="C6EFCE"/>
            <w:noWrap/>
          </w:tcPr>
          <w:p w14:paraId="2B66410A" w14:textId="156DA421"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Inovačný fond Dánsko vybralo jedno alebo viacero verejno-súkromných partnerstiev na misiu „poľnohospodárstvo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potravinárska výroba šetrná ku klíme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životnému prostrediu“ na základe otvorenej výzvy po výbere plánov uvedených</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míľniku 70.</w:t>
            </w:r>
          </w:p>
          <w:p w14:paraId="0CD9DA74" w14:textId="77777777" w:rsidR="00F65654" w:rsidRPr="00CC26EA" w:rsidRDefault="00F65654">
            <w:pPr>
              <w:spacing w:after="0"/>
              <w:rPr>
                <w:rFonts w:ascii="Times New Roman" w:eastAsia="Times New Roman" w:hAnsi="Times New Roman"/>
                <w:noProof/>
                <w:color w:val="006100"/>
                <w:spacing w:val="-6"/>
                <w:lang w:val="sk-SK"/>
              </w:rPr>
            </w:pPr>
          </w:p>
          <w:p w14:paraId="1C9E4200" w14:textId="1316E0B2"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Referenčný rámec otvorenej výzvy na predkladanie návrhov zahŕňa kritériá oprávnenosti, ktorými sa zabezpečí, aby vybrané projekty spĺňali technické usmernenie „nespôsobovať významnú škodu“ (2021/C58/01) prostredníctvom použitia zoznamu vylúčených subjektov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požiadavky súladu</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príslušnými právnymi predpismi EÚ</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vnútroštátnymi právnymi predpismi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 xml:space="preserve">oblasti životného prostredia. </w:t>
            </w:r>
          </w:p>
        </w:tc>
      </w:tr>
      <w:tr w:rsidR="00F65654" w:rsidRPr="00CC26EA" w14:paraId="432EE8E5" w14:textId="77777777">
        <w:trPr>
          <w:trHeight w:val="305"/>
          <w:jc w:val="center"/>
        </w:trPr>
        <w:tc>
          <w:tcPr>
            <w:tcW w:w="1747" w:type="dxa"/>
            <w:shd w:val="clear" w:color="auto" w:fill="C6EFCE"/>
            <w:noWrap/>
          </w:tcPr>
          <w:p w14:paraId="5F3B682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72</w:t>
            </w:r>
          </w:p>
        </w:tc>
        <w:tc>
          <w:tcPr>
            <w:tcW w:w="1609" w:type="dxa"/>
            <w:shd w:val="clear" w:color="auto" w:fill="C6EFCE"/>
            <w:noWrap/>
          </w:tcPr>
          <w:p w14:paraId="051692A2" w14:textId="159D0EE3"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Poľnohospodárstvo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výroba potravín šetrné ku klíme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životnému prostrediu.</w:t>
            </w:r>
          </w:p>
        </w:tc>
        <w:tc>
          <w:tcPr>
            <w:tcW w:w="1595" w:type="dxa"/>
            <w:shd w:val="clear" w:color="auto" w:fill="C6EFCE"/>
            <w:noWrap/>
          </w:tcPr>
          <w:p w14:paraId="4E03FFC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946" w:type="dxa"/>
            <w:shd w:val="clear" w:color="auto" w:fill="C6EFCE"/>
            <w:noWrap/>
          </w:tcPr>
          <w:p w14:paraId="0A778414" w14:textId="7D84FBA9"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Aspoň jedno partnerstvo (partnerstvá)</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oblasti výskumu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inovácií získalo finančné prostriedky na „poľnohospodárstvo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potravinársku výrobu šetrné ku klíme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životnému prostrediu“.</w:t>
            </w:r>
          </w:p>
        </w:tc>
        <w:tc>
          <w:tcPr>
            <w:tcW w:w="1787" w:type="dxa"/>
            <w:shd w:val="clear" w:color="auto" w:fill="C6EFCE"/>
            <w:noWrap/>
          </w:tcPr>
          <w:p w14:paraId="2612BB80" w14:textId="77777777" w:rsidR="00F65654" w:rsidRPr="00CC26EA" w:rsidRDefault="00F65654">
            <w:pPr>
              <w:spacing w:after="0"/>
              <w:rPr>
                <w:rFonts w:ascii="Times New Roman" w:eastAsia="Times New Roman" w:hAnsi="Times New Roman"/>
                <w:noProof/>
                <w:color w:val="006100"/>
                <w:spacing w:val="-6"/>
                <w:lang w:val="sk-SK"/>
              </w:rPr>
            </w:pPr>
          </w:p>
        </w:tc>
        <w:tc>
          <w:tcPr>
            <w:tcW w:w="1471" w:type="dxa"/>
            <w:shd w:val="clear" w:color="auto" w:fill="C6EFCE"/>
            <w:noWrap/>
          </w:tcPr>
          <w:p w14:paraId="37AFD4D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Počet </w:t>
            </w:r>
          </w:p>
        </w:tc>
        <w:tc>
          <w:tcPr>
            <w:tcW w:w="1029" w:type="dxa"/>
            <w:shd w:val="clear" w:color="auto" w:fill="C6EFCE"/>
            <w:noWrap/>
          </w:tcPr>
          <w:p w14:paraId="6F8651C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0</w:t>
            </w:r>
          </w:p>
        </w:tc>
        <w:tc>
          <w:tcPr>
            <w:tcW w:w="735" w:type="dxa"/>
            <w:shd w:val="clear" w:color="auto" w:fill="C6EFCE"/>
            <w:noWrap/>
          </w:tcPr>
          <w:p w14:paraId="0EFBB57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w:t>
            </w:r>
          </w:p>
        </w:tc>
        <w:tc>
          <w:tcPr>
            <w:tcW w:w="1066" w:type="dxa"/>
            <w:shd w:val="clear" w:color="auto" w:fill="C6EFCE"/>
            <w:noWrap/>
          </w:tcPr>
          <w:p w14:paraId="696DEB19"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 </w:t>
            </w:r>
          </w:p>
        </w:tc>
        <w:tc>
          <w:tcPr>
            <w:tcW w:w="876" w:type="dxa"/>
            <w:shd w:val="clear" w:color="auto" w:fill="C6EFCE"/>
            <w:noWrap/>
          </w:tcPr>
          <w:p w14:paraId="38E11FD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2022</w:t>
            </w:r>
          </w:p>
        </w:tc>
        <w:tc>
          <w:tcPr>
            <w:tcW w:w="2043" w:type="dxa"/>
            <w:shd w:val="clear" w:color="auto" w:fill="C6EFCE"/>
            <w:noWrap/>
          </w:tcPr>
          <w:p w14:paraId="2F90057A" w14:textId="6431B534"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Vytvorilo sa aspoň jedno verejno-súkromné partnerstvo</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oblasti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výroby potravín šetrnej ku klíme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životnému prostrediu</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účasťou príslušných verejných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súkromných partnerov, ktoré získalo finančné prostriedky</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Inovačného fondu Dánska.</w:t>
            </w:r>
          </w:p>
        </w:tc>
      </w:tr>
      <w:tr w:rsidR="00F65654" w:rsidRPr="00CC26EA" w14:paraId="00FF29B9" w14:textId="77777777">
        <w:trPr>
          <w:trHeight w:val="305"/>
          <w:jc w:val="center"/>
        </w:trPr>
        <w:tc>
          <w:tcPr>
            <w:tcW w:w="1747" w:type="dxa"/>
            <w:shd w:val="clear" w:color="auto" w:fill="C6EFCE"/>
            <w:noWrap/>
          </w:tcPr>
          <w:p w14:paraId="79A96F4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73</w:t>
            </w:r>
          </w:p>
        </w:tc>
        <w:tc>
          <w:tcPr>
            <w:tcW w:w="1609" w:type="dxa"/>
            <w:shd w:val="clear" w:color="auto" w:fill="C6EFCE"/>
            <w:noWrap/>
          </w:tcPr>
          <w:p w14:paraId="741F120B" w14:textId="1FF9298C"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Obehové hospodárstvo zamerané na opätovné použitie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znižovanie množstva plastového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textilného odpadu. </w:t>
            </w:r>
          </w:p>
        </w:tc>
        <w:tc>
          <w:tcPr>
            <w:tcW w:w="1595" w:type="dxa"/>
            <w:shd w:val="clear" w:color="auto" w:fill="C6EFCE"/>
            <w:noWrap/>
          </w:tcPr>
          <w:p w14:paraId="6704179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946" w:type="dxa"/>
            <w:shd w:val="clear" w:color="auto" w:fill="C6EFCE"/>
            <w:noWrap/>
          </w:tcPr>
          <w:p w14:paraId="230B10B2" w14:textId="2C844848"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Výber plánov služobných ciest pre „obehové hospodárstvo zamerané na opätovné použitie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znižovanie plastového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textilného odpadu“.</w:t>
            </w:r>
          </w:p>
        </w:tc>
        <w:tc>
          <w:tcPr>
            <w:tcW w:w="1787" w:type="dxa"/>
            <w:shd w:val="clear" w:color="auto" w:fill="C6EFCE"/>
            <w:noWrap/>
          </w:tcPr>
          <w:p w14:paraId="7A8C3FA6" w14:textId="48593A52"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Inovačný fond Dánsko vybralo plány misie „zachytávanie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alebo využívanie CO2“.</w:t>
            </w:r>
          </w:p>
        </w:tc>
        <w:tc>
          <w:tcPr>
            <w:tcW w:w="1471" w:type="dxa"/>
            <w:shd w:val="clear" w:color="auto" w:fill="C6EFCE"/>
            <w:noWrap/>
          </w:tcPr>
          <w:p w14:paraId="7172ABFA" w14:textId="77777777" w:rsidR="00F65654" w:rsidRPr="00CC26EA" w:rsidRDefault="00F65654">
            <w:pPr>
              <w:spacing w:after="0"/>
              <w:rPr>
                <w:rFonts w:ascii="Times New Roman" w:eastAsia="Times New Roman" w:hAnsi="Times New Roman"/>
                <w:noProof/>
                <w:color w:val="006100"/>
                <w:spacing w:val="-6"/>
                <w:lang w:val="sk-SK"/>
              </w:rPr>
            </w:pPr>
          </w:p>
        </w:tc>
        <w:tc>
          <w:tcPr>
            <w:tcW w:w="1029" w:type="dxa"/>
            <w:shd w:val="clear" w:color="auto" w:fill="C6EFCE"/>
            <w:noWrap/>
          </w:tcPr>
          <w:p w14:paraId="573C8C95" w14:textId="77777777" w:rsidR="00F65654" w:rsidRPr="00CC26EA" w:rsidRDefault="00F65654">
            <w:pPr>
              <w:spacing w:after="0"/>
              <w:rPr>
                <w:rFonts w:ascii="Times New Roman" w:eastAsia="Times New Roman" w:hAnsi="Times New Roman"/>
                <w:noProof/>
                <w:color w:val="006100"/>
                <w:spacing w:val="-6"/>
                <w:lang w:val="sk-SK"/>
              </w:rPr>
            </w:pPr>
          </w:p>
        </w:tc>
        <w:tc>
          <w:tcPr>
            <w:tcW w:w="735" w:type="dxa"/>
            <w:shd w:val="clear" w:color="auto" w:fill="C6EFCE"/>
            <w:noWrap/>
          </w:tcPr>
          <w:p w14:paraId="48EA0639" w14:textId="77777777" w:rsidR="00F65654" w:rsidRPr="00CC26EA" w:rsidRDefault="00F65654">
            <w:pPr>
              <w:spacing w:after="0"/>
              <w:rPr>
                <w:rFonts w:ascii="Times New Roman" w:eastAsia="Times New Roman" w:hAnsi="Times New Roman"/>
                <w:noProof/>
                <w:color w:val="006100"/>
                <w:spacing w:val="-6"/>
                <w:lang w:val="sk-SK"/>
              </w:rPr>
            </w:pPr>
          </w:p>
        </w:tc>
        <w:tc>
          <w:tcPr>
            <w:tcW w:w="1066" w:type="dxa"/>
            <w:shd w:val="clear" w:color="auto" w:fill="C6EFCE"/>
            <w:noWrap/>
          </w:tcPr>
          <w:p w14:paraId="54FD873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OTÁZKA Č. 3</w:t>
            </w:r>
          </w:p>
        </w:tc>
        <w:tc>
          <w:tcPr>
            <w:tcW w:w="876" w:type="dxa"/>
            <w:shd w:val="clear" w:color="auto" w:fill="C6EFCE"/>
            <w:noWrap/>
          </w:tcPr>
          <w:p w14:paraId="1D39CA10"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2043" w:type="dxa"/>
            <w:shd w:val="clear" w:color="auto" w:fill="C6EFCE"/>
            <w:noWrap/>
          </w:tcPr>
          <w:p w14:paraId="4D09834E" w14:textId="6AD8DA91"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Inovačný fond Dánsko vybralo plány</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cieľom navrhnúť nápady pre pracovné okruhy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činnosti na prekonanie výziev, ktorým Dánsko čelí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súvislosti</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výskumom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vývojom misie „obehového hospodárstva zameraného na opätovné použitie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znižovanie plastového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textilného odpadu“,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to na základe otvorenej výzvy.</w:t>
            </w:r>
          </w:p>
        </w:tc>
      </w:tr>
      <w:tr w:rsidR="00F65654" w:rsidRPr="00CC26EA" w14:paraId="4CB4FBDD" w14:textId="77777777">
        <w:trPr>
          <w:trHeight w:val="305"/>
          <w:jc w:val="center"/>
        </w:trPr>
        <w:tc>
          <w:tcPr>
            <w:tcW w:w="1747" w:type="dxa"/>
            <w:shd w:val="clear" w:color="auto" w:fill="C6EFCE"/>
            <w:noWrap/>
          </w:tcPr>
          <w:p w14:paraId="57F03E46"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74</w:t>
            </w:r>
          </w:p>
        </w:tc>
        <w:tc>
          <w:tcPr>
            <w:tcW w:w="1609" w:type="dxa"/>
            <w:shd w:val="clear" w:color="auto" w:fill="C6EFCE"/>
            <w:noWrap/>
          </w:tcPr>
          <w:p w14:paraId="3691F9BE" w14:textId="62CE2E72"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Obehové hospodárstvo zamerané na opätovné použitie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znižovanie množstva plastového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textilného odpadu. </w:t>
            </w:r>
          </w:p>
        </w:tc>
        <w:tc>
          <w:tcPr>
            <w:tcW w:w="1595" w:type="dxa"/>
            <w:shd w:val="clear" w:color="auto" w:fill="C6EFCE"/>
            <w:noWrap/>
          </w:tcPr>
          <w:p w14:paraId="1926CC10"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946" w:type="dxa"/>
            <w:shd w:val="clear" w:color="auto" w:fill="C6EFCE"/>
            <w:noWrap/>
          </w:tcPr>
          <w:p w14:paraId="006F33B8" w14:textId="27455A3E"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Výber partnerstiev pre „obehové hospodárstvo zamerané na opätovné použitie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znižovanie plastového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textilného odpadu“.</w:t>
            </w:r>
          </w:p>
        </w:tc>
        <w:tc>
          <w:tcPr>
            <w:tcW w:w="1787" w:type="dxa"/>
            <w:shd w:val="clear" w:color="auto" w:fill="C6EFCE"/>
            <w:noWrap/>
          </w:tcPr>
          <w:p w14:paraId="451FCC45" w14:textId="77777777" w:rsidR="00F65654" w:rsidRPr="00CC26EA" w:rsidRDefault="00F65654">
            <w:pPr>
              <w:spacing w:after="0"/>
              <w:rPr>
                <w:rFonts w:ascii="Times New Roman" w:eastAsia="Times New Roman" w:hAnsi="Times New Roman"/>
                <w:noProof/>
                <w:color w:val="006100"/>
                <w:spacing w:val="-6"/>
                <w:lang w:val="sk-SK"/>
              </w:rPr>
            </w:pPr>
          </w:p>
        </w:tc>
        <w:tc>
          <w:tcPr>
            <w:tcW w:w="1471" w:type="dxa"/>
            <w:shd w:val="clear" w:color="auto" w:fill="C6EFCE"/>
            <w:noWrap/>
          </w:tcPr>
          <w:p w14:paraId="6FEC564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1029" w:type="dxa"/>
            <w:shd w:val="clear" w:color="auto" w:fill="C6EFCE"/>
            <w:noWrap/>
          </w:tcPr>
          <w:p w14:paraId="58B68D40"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735" w:type="dxa"/>
            <w:shd w:val="clear" w:color="auto" w:fill="C6EFCE"/>
            <w:noWrap/>
          </w:tcPr>
          <w:p w14:paraId="6E55B79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w:t>
            </w:r>
          </w:p>
        </w:tc>
        <w:tc>
          <w:tcPr>
            <w:tcW w:w="1066" w:type="dxa"/>
            <w:shd w:val="clear" w:color="auto" w:fill="C6EFCE"/>
            <w:noWrap/>
          </w:tcPr>
          <w:p w14:paraId="69706EB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OTÁZKA Č. 1</w:t>
            </w:r>
          </w:p>
        </w:tc>
        <w:tc>
          <w:tcPr>
            <w:tcW w:w="876" w:type="dxa"/>
            <w:shd w:val="clear" w:color="auto" w:fill="C6EFCE"/>
            <w:noWrap/>
          </w:tcPr>
          <w:p w14:paraId="1955886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2022</w:t>
            </w:r>
          </w:p>
        </w:tc>
        <w:tc>
          <w:tcPr>
            <w:tcW w:w="2043" w:type="dxa"/>
            <w:shd w:val="clear" w:color="auto" w:fill="C6EFCE"/>
            <w:noWrap/>
          </w:tcPr>
          <w:p w14:paraId="4AB8D500" w14:textId="54F0FF0C" w:rsidR="00CC26EA" w:rsidRPr="00CC26EA" w:rsidRDefault="0041081E">
            <w:pPr>
              <w:pStyle w:val="P68B1DB1-Normal4"/>
              <w:spacing w:after="0"/>
              <w:rPr>
                <w:rFonts w:ascii="Times New Roman" w:hAnsi="Times New Roman"/>
                <w:noProof/>
                <w:spacing w:val="-6"/>
                <w:lang w:val="sk-SK"/>
              </w:rPr>
            </w:pPr>
            <w:r w:rsidRPr="00CC26EA">
              <w:rPr>
                <w:rFonts w:ascii="Times New Roman" w:hAnsi="Times New Roman"/>
                <w:noProof/>
                <w:spacing w:val="-6"/>
                <w:lang w:val="sk-SK"/>
              </w:rPr>
              <w:t>Inovačný fond Dánsko vybralo jedno alebo viacero verejno-súkromných partnerstiev na misiu „obehové hospodárstvo zamerané na opätovné použitie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znižovanie plastového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textilného odpadu“ na základe otvorenej výzvy po výbere plánov uvedených</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míľniku 73</w:t>
            </w:r>
            <w:r w:rsidR="00CC26EA" w:rsidRPr="00CC26EA">
              <w:rPr>
                <w:rFonts w:ascii="Times New Roman" w:hAnsi="Times New Roman"/>
                <w:noProof/>
                <w:spacing w:val="-6"/>
                <w:lang w:val="sk-SK"/>
              </w:rPr>
              <w:t>.</w:t>
            </w:r>
          </w:p>
          <w:p w14:paraId="27B7AEAD" w14:textId="58B8193F"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Referenčný rámec otvorenej výzvy na predkladanie návrhov zahŕňa kritériá oprávnenosti, ktorými sa zabezpečí, aby vybrané projekty spĺňali technické usmernenie „nespôsobovať významnú škodu“ (2021/C58/01) prostredníctvom použitia zoznamu vylúčených subjektov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požiadavky súladu</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príslušnými právnymi predpismi EÚ</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vnútroštátnymi právnymi predpismi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 xml:space="preserve">oblasti životného prostredia. </w:t>
            </w:r>
          </w:p>
        </w:tc>
      </w:tr>
      <w:tr w:rsidR="00F65654" w:rsidRPr="00CC26EA" w14:paraId="3942454E" w14:textId="77777777">
        <w:trPr>
          <w:trHeight w:val="305"/>
          <w:jc w:val="center"/>
        </w:trPr>
        <w:tc>
          <w:tcPr>
            <w:tcW w:w="1747" w:type="dxa"/>
            <w:shd w:val="clear" w:color="auto" w:fill="C6EFCE"/>
            <w:noWrap/>
          </w:tcPr>
          <w:p w14:paraId="562F2A8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75</w:t>
            </w:r>
          </w:p>
        </w:tc>
        <w:tc>
          <w:tcPr>
            <w:tcW w:w="1609" w:type="dxa"/>
            <w:shd w:val="clear" w:color="auto" w:fill="C6EFCE"/>
            <w:noWrap/>
          </w:tcPr>
          <w:p w14:paraId="6A7F9273" w14:textId="2F77E8C3"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Obehové hospodárstvo zamerané na opätovné použitie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znižovanie množstva plastového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textilného odpadu.</w:t>
            </w:r>
          </w:p>
        </w:tc>
        <w:tc>
          <w:tcPr>
            <w:tcW w:w="1595" w:type="dxa"/>
            <w:shd w:val="clear" w:color="auto" w:fill="C6EFCE"/>
            <w:noWrap/>
          </w:tcPr>
          <w:p w14:paraId="3B2226F6"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946" w:type="dxa"/>
            <w:shd w:val="clear" w:color="auto" w:fill="C6EFCE"/>
            <w:noWrap/>
          </w:tcPr>
          <w:p w14:paraId="283D7566" w14:textId="6AA14513"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Aspoň jedno výskumné</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inovačné partnerstvo (partnerstvá) získalo finančné prostriedky na „obehové hospodárstvo zamerané na opätovné použitie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obmedzenie plastového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textilného odpadu“.</w:t>
            </w:r>
          </w:p>
        </w:tc>
        <w:tc>
          <w:tcPr>
            <w:tcW w:w="1787" w:type="dxa"/>
            <w:shd w:val="clear" w:color="auto" w:fill="C6EFCE"/>
            <w:noWrap/>
          </w:tcPr>
          <w:p w14:paraId="58CD8F36" w14:textId="77777777" w:rsidR="00F65654" w:rsidRPr="00CC26EA" w:rsidRDefault="00F65654">
            <w:pPr>
              <w:spacing w:after="0"/>
              <w:rPr>
                <w:rFonts w:ascii="Times New Roman" w:eastAsia="Times New Roman" w:hAnsi="Times New Roman"/>
                <w:noProof/>
                <w:color w:val="006100"/>
                <w:spacing w:val="-6"/>
                <w:lang w:val="sk-SK"/>
              </w:rPr>
            </w:pPr>
          </w:p>
        </w:tc>
        <w:tc>
          <w:tcPr>
            <w:tcW w:w="1471" w:type="dxa"/>
            <w:shd w:val="clear" w:color="auto" w:fill="C6EFCE"/>
            <w:noWrap/>
          </w:tcPr>
          <w:p w14:paraId="60FBFD8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Počet </w:t>
            </w:r>
          </w:p>
        </w:tc>
        <w:tc>
          <w:tcPr>
            <w:tcW w:w="1029" w:type="dxa"/>
            <w:shd w:val="clear" w:color="auto" w:fill="C6EFCE"/>
            <w:noWrap/>
          </w:tcPr>
          <w:p w14:paraId="3E3B22DA"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0</w:t>
            </w:r>
          </w:p>
        </w:tc>
        <w:tc>
          <w:tcPr>
            <w:tcW w:w="735" w:type="dxa"/>
            <w:shd w:val="clear" w:color="auto" w:fill="C6EFCE"/>
            <w:noWrap/>
          </w:tcPr>
          <w:p w14:paraId="7DB4DF1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w:t>
            </w:r>
          </w:p>
        </w:tc>
        <w:tc>
          <w:tcPr>
            <w:tcW w:w="1066" w:type="dxa"/>
            <w:shd w:val="clear" w:color="auto" w:fill="C6EFCE"/>
            <w:noWrap/>
          </w:tcPr>
          <w:p w14:paraId="1EE00DD0"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ŠTVRTÝ ŠTVRŤROK </w:t>
            </w:r>
          </w:p>
        </w:tc>
        <w:tc>
          <w:tcPr>
            <w:tcW w:w="876" w:type="dxa"/>
            <w:shd w:val="clear" w:color="auto" w:fill="C6EFCE"/>
            <w:noWrap/>
          </w:tcPr>
          <w:p w14:paraId="147EB9E9"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2022</w:t>
            </w:r>
          </w:p>
        </w:tc>
        <w:tc>
          <w:tcPr>
            <w:tcW w:w="2043" w:type="dxa"/>
            <w:shd w:val="clear" w:color="auto" w:fill="C6EFCE"/>
            <w:noWrap/>
          </w:tcPr>
          <w:p w14:paraId="5CAECED9" w14:textId="211C92F1"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Bolo vytvorené aspoň jedno verejno-súkromné partnerstvo zamerané na „obehové hospodárstvo zamerané na opätovné použitie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obmedzenie plastového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textilného odpadu“</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účasťou príslušných verejných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súkromných partnerov, ktoré získalo finančné prostriedky</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Inovačného fondu Dánska.</w:t>
            </w:r>
          </w:p>
        </w:tc>
      </w:tr>
      <w:tr w:rsidR="00F65654" w:rsidRPr="00CC26EA" w14:paraId="74C0BACC" w14:textId="77777777">
        <w:trPr>
          <w:trHeight w:val="305"/>
          <w:jc w:val="center"/>
        </w:trPr>
        <w:tc>
          <w:tcPr>
            <w:tcW w:w="1747" w:type="dxa"/>
            <w:shd w:val="clear" w:color="auto" w:fill="C6EFCE"/>
            <w:noWrap/>
          </w:tcPr>
          <w:p w14:paraId="3E699F7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76</w:t>
            </w:r>
          </w:p>
        </w:tc>
        <w:tc>
          <w:tcPr>
            <w:tcW w:w="1609" w:type="dxa"/>
            <w:shd w:val="clear" w:color="auto" w:fill="C6EFCE"/>
            <w:noWrap/>
          </w:tcPr>
          <w:p w14:paraId="7516B7A5" w14:textId="2153A57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Zelený výskum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 – stimuly na podporu výskumu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podnikoch</w:t>
            </w:r>
          </w:p>
        </w:tc>
        <w:tc>
          <w:tcPr>
            <w:tcW w:w="1595" w:type="dxa"/>
            <w:shd w:val="clear" w:color="auto" w:fill="C6EFCE"/>
            <w:noWrap/>
          </w:tcPr>
          <w:p w14:paraId="03902FFA"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1946" w:type="dxa"/>
            <w:shd w:val="clear" w:color="auto" w:fill="C6EFCE"/>
            <w:noWrap/>
          </w:tcPr>
          <w:p w14:paraId="4D8D4730" w14:textId="7DDCAC42"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Zákon</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odpočtoch na výskum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 nadobúda účinnosť</w:t>
            </w:r>
          </w:p>
        </w:tc>
        <w:tc>
          <w:tcPr>
            <w:tcW w:w="1787" w:type="dxa"/>
            <w:shd w:val="clear" w:color="auto" w:fill="C6EFCE"/>
            <w:noWrap/>
          </w:tcPr>
          <w:p w14:paraId="3FF0CD36" w14:textId="6975D6B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Dánsky parlament prijal návrh zákona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zrážkach na výskum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vývoj, ktorý nadobudol účinnosť. </w:t>
            </w:r>
          </w:p>
        </w:tc>
        <w:tc>
          <w:tcPr>
            <w:tcW w:w="1471" w:type="dxa"/>
            <w:shd w:val="clear" w:color="auto" w:fill="C6EFCE"/>
            <w:noWrap/>
          </w:tcPr>
          <w:p w14:paraId="13FD631E" w14:textId="77777777" w:rsidR="00F65654" w:rsidRPr="00CC26EA" w:rsidRDefault="00F65654">
            <w:pPr>
              <w:spacing w:after="0"/>
              <w:rPr>
                <w:rFonts w:ascii="Times New Roman" w:eastAsia="Times New Roman" w:hAnsi="Times New Roman"/>
                <w:noProof/>
                <w:color w:val="006100"/>
                <w:spacing w:val="-6"/>
                <w:lang w:val="sk-SK"/>
              </w:rPr>
            </w:pPr>
          </w:p>
        </w:tc>
        <w:tc>
          <w:tcPr>
            <w:tcW w:w="1029" w:type="dxa"/>
            <w:shd w:val="clear" w:color="auto" w:fill="C6EFCE"/>
            <w:noWrap/>
          </w:tcPr>
          <w:p w14:paraId="7AD028D9" w14:textId="77777777" w:rsidR="00F65654" w:rsidRPr="00CC26EA" w:rsidRDefault="00F65654">
            <w:pPr>
              <w:spacing w:after="0"/>
              <w:rPr>
                <w:rFonts w:ascii="Times New Roman" w:eastAsia="Times New Roman" w:hAnsi="Times New Roman"/>
                <w:noProof/>
                <w:color w:val="006100"/>
                <w:spacing w:val="-6"/>
                <w:lang w:val="sk-SK"/>
              </w:rPr>
            </w:pPr>
          </w:p>
        </w:tc>
        <w:tc>
          <w:tcPr>
            <w:tcW w:w="735" w:type="dxa"/>
            <w:shd w:val="clear" w:color="auto" w:fill="C6EFCE"/>
            <w:noWrap/>
          </w:tcPr>
          <w:p w14:paraId="1EBBFA74" w14:textId="77777777" w:rsidR="00F65654" w:rsidRPr="00CC26EA" w:rsidRDefault="00F65654">
            <w:pPr>
              <w:spacing w:after="0"/>
              <w:rPr>
                <w:rFonts w:ascii="Times New Roman" w:eastAsia="Times New Roman" w:hAnsi="Times New Roman"/>
                <w:noProof/>
                <w:color w:val="006100"/>
                <w:spacing w:val="-6"/>
                <w:lang w:val="sk-SK"/>
              </w:rPr>
            </w:pPr>
          </w:p>
        </w:tc>
        <w:tc>
          <w:tcPr>
            <w:tcW w:w="1066" w:type="dxa"/>
            <w:shd w:val="clear" w:color="auto" w:fill="C6EFCE"/>
            <w:noWrap/>
          </w:tcPr>
          <w:p w14:paraId="2C84041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OTÁZKA 2</w:t>
            </w:r>
          </w:p>
        </w:tc>
        <w:tc>
          <w:tcPr>
            <w:tcW w:w="876" w:type="dxa"/>
            <w:shd w:val="clear" w:color="auto" w:fill="C6EFCE"/>
            <w:noWrap/>
          </w:tcPr>
          <w:p w14:paraId="5F9DB8E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2021</w:t>
            </w:r>
          </w:p>
        </w:tc>
        <w:tc>
          <w:tcPr>
            <w:tcW w:w="2043" w:type="dxa"/>
            <w:shd w:val="clear" w:color="auto" w:fill="C6EFCE"/>
            <w:noWrap/>
          </w:tcPr>
          <w:p w14:paraId="40CC3C61" w14:textId="6E84194B"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Návrh zákona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zrážkach za výskum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 prijal dánsky parlament</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nadobudol účinnosť.</w:t>
            </w:r>
          </w:p>
          <w:p w14:paraId="604354BC" w14:textId="22962FF5" w:rsidR="00CC26EA" w:rsidRPr="00CC26EA" w:rsidRDefault="0041081E">
            <w:pPr>
              <w:pStyle w:val="P68B1DB1-Normal4"/>
              <w:rPr>
                <w:rFonts w:ascii="Times New Roman" w:hAnsi="Times New Roman"/>
                <w:noProof/>
                <w:spacing w:val="-6"/>
                <w:lang w:val="sk-SK"/>
              </w:rPr>
            </w:pPr>
            <w:r w:rsidRPr="00CC26EA">
              <w:rPr>
                <w:rFonts w:ascii="Times New Roman" w:hAnsi="Times New Roman"/>
                <w:noProof/>
                <w:spacing w:val="-6"/>
                <w:lang w:val="sk-SK"/>
              </w:rPr>
              <w:t>Opatrením sa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rozpočtovom roku 2022 predĺži základ pre odpisovanie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základ pre odpočet všetkých výdavkov súkromného sektora na výskum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130</w:t>
            </w:r>
            <w:r w:rsidR="00CC26EA" w:rsidRPr="00CC26EA">
              <w:rPr>
                <w:rFonts w:ascii="Times New Roman" w:hAnsi="Times New Roman"/>
                <w:noProof/>
                <w:spacing w:val="-6"/>
                <w:lang w:val="sk-SK"/>
              </w:rPr>
              <w:t> %.</w:t>
            </w:r>
          </w:p>
          <w:p w14:paraId="73B4A8E8" w14:textId="03227D34" w:rsidR="00F65654" w:rsidRPr="00CC26EA" w:rsidRDefault="0041081E">
            <w:pPr>
              <w:pStyle w:val="P68B1DB1-Normal4"/>
              <w:rPr>
                <w:rFonts w:ascii="Times New Roman" w:eastAsia="Times New Roman" w:hAnsi="Times New Roman"/>
                <w:noProof/>
                <w:spacing w:val="-6"/>
                <w:lang w:val="sk-SK"/>
              </w:rPr>
            </w:pPr>
            <w:r w:rsidRPr="00CC26EA">
              <w:rPr>
                <w:rFonts w:ascii="Times New Roman" w:hAnsi="Times New Roman"/>
                <w:noProof/>
                <w:spacing w:val="-6"/>
                <w:lang w:val="sk-SK"/>
              </w:rPr>
              <w:t>Zrážky za výskumné</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vývojové práce nadobúdajú účinnosť od dátumu podľa zákona.</w:t>
            </w:r>
          </w:p>
        </w:tc>
      </w:tr>
      <w:tr w:rsidR="00F65654" w:rsidRPr="00CC26EA" w14:paraId="1BCEBE0B" w14:textId="77777777">
        <w:trPr>
          <w:trHeight w:val="305"/>
          <w:jc w:val="center"/>
        </w:trPr>
        <w:tc>
          <w:tcPr>
            <w:tcW w:w="1747" w:type="dxa"/>
            <w:shd w:val="clear" w:color="auto" w:fill="C6EFCE"/>
            <w:noWrap/>
          </w:tcPr>
          <w:p w14:paraId="20CB215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77</w:t>
            </w:r>
          </w:p>
        </w:tc>
        <w:tc>
          <w:tcPr>
            <w:tcW w:w="1609" w:type="dxa"/>
            <w:shd w:val="clear" w:color="auto" w:fill="C6EFCE"/>
            <w:noWrap/>
          </w:tcPr>
          <w:p w14:paraId="2BC9E7FC" w14:textId="0F3DB1A4"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Zelený výskum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 – stimuly na podporu výskumu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podnikoch</w:t>
            </w:r>
          </w:p>
        </w:tc>
        <w:tc>
          <w:tcPr>
            <w:tcW w:w="1595" w:type="dxa"/>
            <w:shd w:val="clear" w:color="auto" w:fill="C6EFCE"/>
            <w:noWrap/>
          </w:tcPr>
          <w:p w14:paraId="7BD573E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946" w:type="dxa"/>
            <w:shd w:val="clear" w:color="auto" w:fill="C6EFCE"/>
            <w:noWrap/>
          </w:tcPr>
          <w:p w14:paraId="46CD52F1" w14:textId="117D378E"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500 firiem využilo daňový odpočet stanovený odpočtami na výskum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w:t>
            </w:r>
          </w:p>
        </w:tc>
        <w:tc>
          <w:tcPr>
            <w:tcW w:w="1787" w:type="dxa"/>
            <w:shd w:val="clear" w:color="auto" w:fill="C6EFCE"/>
            <w:noWrap/>
          </w:tcPr>
          <w:p w14:paraId="4DF3CD87" w14:textId="77777777" w:rsidR="00F65654" w:rsidRPr="00CC26EA" w:rsidRDefault="00F65654">
            <w:pPr>
              <w:spacing w:after="0"/>
              <w:rPr>
                <w:rFonts w:ascii="Times New Roman" w:eastAsia="Times New Roman" w:hAnsi="Times New Roman"/>
                <w:noProof/>
                <w:color w:val="006100"/>
                <w:spacing w:val="-6"/>
                <w:lang w:val="sk-SK"/>
              </w:rPr>
            </w:pPr>
          </w:p>
        </w:tc>
        <w:tc>
          <w:tcPr>
            <w:tcW w:w="1471" w:type="dxa"/>
            <w:shd w:val="clear" w:color="auto" w:fill="C6EFCE"/>
            <w:noWrap/>
          </w:tcPr>
          <w:p w14:paraId="1D20960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Počet</w:t>
            </w:r>
          </w:p>
        </w:tc>
        <w:tc>
          <w:tcPr>
            <w:tcW w:w="1029" w:type="dxa"/>
            <w:shd w:val="clear" w:color="auto" w:fill="C6EFCE"/>
            <w:noWrap/>
          </w:tcPr>
          <w:p w14:paraId="06293AA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0</w:t>
            </w:r>
          </w:p>
        </w:tc>
        <w:tc>
          <w:tcPr>
            <w:tcW w:w="735" w:type="dxa"/>
            <w:shd w:val="clear" w:color="auto" w:fill="C6EFCE"/>
            <w:noWrap/>
          </w:tcPr>
          <w:p w14:paraId="76BCE366"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500</w:t>
            </w:r>
          </w:p>
        </w:tc>
        <w:tc>
          <w:tcPr>
            <w:tcW w:w="1066" w:type="dxa"/>
            <w:shd w:val="clear" w:color="auto" w:fill="C6EFCE"/>
            <w:noWrap/>
          </w:tcPr>
          <w:p w14:paraId="476CB71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OTÁZKA Č. 3</w:t>
            </w:r>
          </w:p>
        </w:tc>
        <w:tc>
          <w:tcPr>
            <w:tcW w:w="876" w:type="dxa"/>
            <w:shd w:val="clear" w:color="auto" w:fill="C6EFCE"/>
            <w:noWrap/>
          </w:tcPr>
          <w:p w14:paraId="30B9C58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2023</w:t>
            </w:r>
          </w:p>
        </w:tc>
        <w:tc>
          <w:tcPr>
            <w:tcW w:w="2043" w:type="dxa"/>
            <w:shd w:val="clear" w:color="auto" w:fill="C6EFCE"/>
            <w:noWrap/>
          </w:tcPr>
          <w:p w14:paraId="61DAA3E7" w14:textId="3943C21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Výpis</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údajov,</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ktorého vyplýva, že 500 firiem použilo odpočet na výskum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vývoj. </w:t>
            </w:r>
          </w:p>
        </w:tc>
      </w:tr>
    </w:tbl>
    <w:p w14:paraId="2274DF9D" w14:textId="77777777" w:rsidR="00F65654" w:rsidRPr="00CC26EA" w:rsidRDefault="00F65654">
      <w:pPr>
        <w:rPr>
          <w:rFonts w:ascii="Times New Roman" w:hAnsi="Times New Roman"/>
          <w:noProof/>
          <w:spacing w:val="-6"/>
          <w:lang w:val="sk-SK"/>
        </w:rPr>
      </w:pPr>
    </w:p>
    <w:p w14:paraId="67EEC7A4" w14:textId="77777777" w:rsidR="00F65654" w:rsidRPr="00CC26EA" w:rsidRDefault="00F65654">
      <w:pPr>
        <w:rPr>
          <w:rFonts w:ascii="Times New Roman" w:hAnsi="Times New Roman"/>
          <w:noProof/>
          <w:spacing w:val="-6"/>
          <w:lang w:val="sk-SK"/>
        </w:rPr>
      </w:pPr>
    </w:p>
    <w:p w14:paraId="655D7FC4" w14:textId="13697035" w:rsidR="00F65654" w:rsidRPr="00CC26EA" w:rsidRDefault="00F65654">
      <w:pPr>
        <w:rPr>
          <w:rFonts w:ascii="Times New Roman" w:hAnsi="Times New Roman"/>
          <w:noProof/>
          <w:spacing w:val="-6"/>
          <w:lang w:val="sk-SK"/>
        </w:rPr>
      </w:pPr>
    </w:p>
    <w:p w14:paraId="07377E99" w14:textId="6DD0D1F4" w:rsidR="00F65654" w:rsidRPr="00CC26EA" w:rsidRDefault="00F65654">
      <w:pPr>
        <w:rPr>
          <w:rFonts w:ascii="Times New Roman" w:hAnsi="Times New Roman"/>
          <w:noProof/>
          <w:spacing w:val="-6"/>
          <w:lang w:val="sk-SK"/>
        </w:rPr>
        <w:sectPr w:rsidR="00F65654" w:rsidRPr="00CC26EA" w:rsidSect="00DD48D1">
          <w:headerReference w:type="even" r:id="rId97"/>
          <w:headerReference w:type="default" r:id="rId98"/>
          <w:footerReference w:type="even" r:id="rId99"/>
          <w:footerReference w:type="default" r:id="rId100"/>
          <w:headerReference w:type="first" r:id="rId101"/>
          <w:footerReference w:type="first" r:id="rId102"/>
          <w:pgSz w:w="16839" w:h="11907" w:orient="landscape"/>
          <w:pgMar w:top="1134" w:right="1134" w:bottom="1134" w:left="1134" w:header="567" w:footer="567" w:gutter="0"/>
          <w:cols w:space="720"/>
          <w:docGrid w:linePitch="360"/>
        </w:sectPr>
      </w:pPr>
    </w:p>
    <w:p w14:paraId="0BEB1050" w14:textId="77777777" w:rsidR="00F65654" w:rsidRPr="00CC26EA" w:rsidRDefault="0041081E">
      <w:pPr>
        <w:pStyle w:val="P68B1DB1-Normal10"/>
        <w:spacing w:before="120" w:after="120" w:line="240" w:lineRule="auto"/>
        <w:jc w:val="both"/>
        <w:rPr>
          <w:noProof/>
          <w:spacing w:val="-6"/>
          <w:lang w:val="sk-SK"/>
        </w:rPr>
      </w:pPr>
      <w:r w:rsidRPr="00CC26EA">
        <w:rPr>
          <w:noProof/>
          <w:spacing w:val="-6"/>
          <w:shd w:val="clear" w:color="auto" w:fill="FFFFFF"/>
          <w:lang w:val="sk-SK"/>
        </w:rPr>
        <w:t>H.</w:t>
      </w:r>
      <w:r w:rsidRPr="00CC26EA">
        <w:rPr>
          <w:noProof/>
          <w:spacing w:val="-6"/>
          <w:lang w:val="sk-SK"/>
        </w:rPr>
        <w:t xml:space="preserve"> ZLOŽKA 8: REPowerEU</w:t>
      </w:r>
    </w:p>
    <w:p w14:paraId="0C61E11C" w14:textId="039E4FB1" w:rsidR="00CC26EA" w:rsidRPr="00CC26EA" w:rsidRDefault="0041081E">
      <w:pPr>
        <w:pStyle w:val="NormalLeft"/>
        <w:jc w:val="both"/>
        <w:rPr>
          <w:noProof/>
          <w:spacing w:val="-6"/>
          <w:lang w:val="sk-SK"/>
        </w:rPr>
      </w:pPr>
      <w:r w:rsidRPr="00CC26EA">
        <w:rPr>
          <w:noProof/>
          <w:spacing w:val="-6"/>
          <w:lang w:val="sk-SK"/>
        </w:rPr>
        <w:t>Kapitola plánu REPowerEU dánskeho plánu obnovy</w:t>
      </w:r>
      <w:r w:rsidR="00CC26EA" w:rsidRPr="00CC26EA">
        <w:rPr>
          <w:noProof/>
          <w:spacing w:val="-6"/>
          <w:lang w:val="sk-SK"/>
        </w:rPr>
        <w:t xml:space="preserve"> a </w:t>
      </w:r>
      <w:r w:rsidRPr="00CC26EA">
        <w:rPr>
          <w:noProof/>
          <w:spacing w:val="-6"/>
          <w:lang w:val="sk-SK"/>
        </w:rPr>
        <w:t>odolnosti je rozdelená na päť hlavných opatrení</w:t>
      </w:r>
      <w:r w:rsidR="00CC26EA" w:rsidRPr="00CC26EA">
        <w:rPr>
          <w:noProof/>
          <w:spacing w:val="-6"/>
          <w:lang w:val="sk-SK"/>
        </w:rPr>
        <w:t xml:space="preserve"> a </w:t>
      </w:r>
      <w:r w:rsidRPr="00CC26EA">
        <w:rPr>
          <w:noProof/>
          <w:spacing w:val="-6"/>
          <w:lang w:val="sk-SK"/>
        </w:rPr>
        <w:t>jej cieľom je posilniť dánske odvetvie energetiky</w:t>
      </w:r>
      <w:r w:rsidR="00CC26EA" w:rsidRPr="00CC26EA">
        <w:rPr>
          <w:noProof/>
          <w:spacing w:val="-6"/>
          <w:lang w:val="sk-SK"/>
        </w:rPr>
        <w:t xml:space="preserve"> a </w:t>
      </w:r>
      <w:r w:rsidRPr="00CC26EA">
        <w:rPr>
          <w:noProof/>
          <w:spacing w:val="-6"/>
          <w:lang w:val="sk-SK"/>
        </w:rPr>
        <w:t>znížiť závislosť od fosílnych palív</w:t>
      </w:r>
      <w:r w:rsidR="00CC26EA" w:rsidRPr="00CC26EA">
        <w:rPr>
          <w:noProof/>
          <w:spacing w:val="-6"/>
          <w:lang w:val="sk-SK"/>
        </w:rPr>
        <w:t>.</w:t>
      </w:r>
    </w:p>
    <w:p w14:paraId="3EB0EA18" w14:textId="604792CD" w:rsidR="00F65654" w:rsidRPr="00CC26EA" w:rsidRDefault="0041081E">
      <w:pPr>
        <w:pStyle w:val="NormalLeft"/>
        <w:jc w:val="both"/>
        <w:rPr>
          <w:noProof/>
          <w:spacing w:val="-6"/>
          <w:lang w:val="sk-SK"/>
        </w:rPr>
      </w:pPr>
      <w:r w:rsidRPr="00CC26EA">
        <w:rPr>
          <w:noProof/>
          <w:spacing w:val="-6"/>
          <w:lang w:val="sk-SK"/>
        </w:rPr>
        <w:t>Očakáva sa, že táto kapitola dánskeho plánu obnovy</w:t>
      </w:r>
      <w:r w:rsidR="00CC26EA" w:rsidRPr="00CC26EA">
        <w:rPr>
          <w:noProof/>
          <w:spacing w:val="-6"/>
          <w:lang w:val="sk-SK"/>
        </w:rPr>
        <w:t xml:space="preserve"> a </w:t>
      </w:r>
      <w:r w:rsidRPr="00CC26EA">
        <w:rPr>
          <w:noProof/>
          <w:spacing w:val="-6"/>
          <w:lang w:val="sk-SK"/>
        </w:rPr>
        <w:t>odolnosti prispeje</w:t>
      </w:r>
      <w:r w:rsidR="00CC26EA" w:rsidRPr="00CC26EA">
        <w:rPr>
          <w:noProof/>
          <w:spacing w:val="-6"/>
          <w:lang w:val="sk-SK"/>
        </w:rPr>
        <w:t xml:space="preserve"> k </w:t>
      </w:r>
      <w:r w:rsidRPr="00CC26EA">
        <w:rPr>
          <w:noProof/>
          <w:spacing w:val="-6"/>
          <w:lang w:val="sk-SK"/>
        </w:rPr>
        <w:t>dosiahnutiu ambicióznych cieľov Európskej zelenej dohody, ako aj národného cieľa znížiť do roku 2030 emisie skleníkových plynov</w:t>
      </w:r>
      <w:r w:rsidR="00CC26EA" w:rsidRPr="00CC26EA">
        <w:rPr>
          <w:noProof/>
          <w:spacing w:val="-6"/>
          <w:lang w:val="sk-SK"/>
        </w:rPr>
        <w:t xml:space="preserve"> v </w:t>
      </w:r>
      <w:r w:rsidRPr="00CC26EA">
        <w:rPr>
          <w:noProof/>
          <w:spacing w:val="-6"/>
          <w:lang w:val="sk-SK"/>
        </w:rPr>
        <w:t>Dánsku</w:t>
      </w:r>
      <w:r w:rsidR="00CC26EA" w:rsidRPr="00CC26EA">
        <w:rPr>
          <w:noProof/>
          <w:spacing w:val="-6"/>
          <w:lang w:val="sk-SK"/>
        </w:rPr>
        <w:t xml:space="preserve"> o </w:t>
      </w:r>
      <w:r w:rsidRPr="00CC26EA">
        <w:rPr>
          <w:noProof/>
          <w:spacing w:val="-6"/>
          <w:lang w:val="sk-SK"/>
        </w:rPr>
        <w:t>70</w:t>
      </w:r>
      <w:r w:rsidR="00CC26EA" w:rsidRPr="00CC26EA">
        <w:rPr>
          <w:noProof/>
          <w:spacing w:val="-6"/>
          <w:lang w:val="sk-SK"/>
        </w:rPr>
        <w:t> %</w:t>
      </w:r>
      <w:r w:rsidRPr="00CC26EA">
        <w:rPr>
          <w:noProof/>
          <w:spacing w:val="-6"/>
          <w:lang w:val="sk-SK"/>
        </w:rPr>
        <w:t xml:space="preserve"> (v porovnaní</w:t>
      </w:r>
      <w:r w:rsidR="00CC26EA" w:rsidRPr="00CC26EA">
        <w:rPr>
          <w:noProof/>
          <w:spacing w:val="-6"/>
          <w:lang w:val="sk-SK"/>
        </w:rPr>
        <w:t xml:space="preserve"> s </w:t>
      </w:r>
      <w:r w:rsidRPr="00CC26EA">
        <w:rPr>
          <w:noProof/>
          <w:spacing w:val="-6"/>
          <w:lang w:val="sk-SK"/>
        </w:rPr>
        <w:t>úrovňou</w:t>
      </w:r>
      <w:r w:rsidR="00CC26EA" w:rsidRPr="00CC26EA">
        <w:rPr>
          <w:noProof/>
          <w:spacing w:val="-6"/>
          <w:lang w:val="sk-SK"/>
        </w:rPr>
        <w:t xml:space="preserve"> v </w:t>
      </w:r>
      <w:r w:rsidRPr="00CC26EA">
        <w:rPr>
          <w:noProof/>
          <w:spacing w:val="-6"/>
          <w:lang w:val="sk-SK"/>
        </w:rPr>
        <w:t>roku 1990). Táto kapitola prispieva</w:t>
      </w:r>
      <w:r w:rsidR="00CC26EA" w:rsidRPr="00CC26EA">
        <w:rPr>
          <w:noProof/>
          <w:spacing w:val="-6"/>
          <w:lang w:val="sk-SK"/>
        </w:rPr>
        <w:t xml:space="preserve"> k </w:t>
      </w:r>
      <w:r w:rsidRPr="00CC26EA">
        <w:rPr>
          <w:noProof/>
          <w:spacing w:val="-6"/>
          <w:lang w:val="sk-SK"/>
        </w:rPr>
        <w:t>napredovaniu</w:t>
      </w:r>
      <w:r w:rsidR="00CC26EA" w:rsidRPr="00CC26EA">
        <w:rPr>
          <w:noProof/>
          <w:spacing w:val="-6"/>
          <w:lang w:val="sk-SK"/>
        </w:rPr>
        <w:t xml:space="preserve"> v </w:t>
      </w:r>
      <w:r w:rsidRPr="00CC26EA">
        <w:rPr>
          <w:noProof/>
          <w:spacing w:val="-6"/>
          <w:lang w:val="sk-SK"/>
        </w:rPr>
        <w:t>pláne Dánska na dosiahnutie klimatickej neutrality do roku 2045. Iniciatívy</w:t>
      </w:r>
      <w:r w:rsidR="00CC26EA" w:rsidRPr="00CC26EA">
        <w:rPr>
          <w:noProof/>
          <w:spacing w:val="-6"/>
          <w:lang w:val="sk-SK"/>
        </w:rPr>
        <w:t xml:space="preserve"> v </w:t>
      </w:r>
      <w:r w:rsidRPr="00CC26EA">
        <w:rPr>
          <w:noProof/>
          <w:spacing w:val="-6"/>
          <w:lang w:val="sk-SK"/>
        </w:rPr>
        <w:t>rámci tejto kapitoly dopĺňajú</w:t>
      </w:r>
      <w:r w:rsidR="00CC26EA" w:rsidRPr="00CC26EA">
        <w:rPr>
          <w:noProof/>
          <w:spacing w:val="-6"/>
          <w:lang w:val="sk-SK"/>
        </w:rPr>
        <w:t xml:space="preserve"> a </w:t>
      </w:r>
      <w:r w:rsidRPr="00CC26EA">
        <w:rPr>
          <w:noProof/>
          <w:spacing w:val="-6"/>
          <w:lang w:val="sk-SK"/>
        </w:rPr>
        <w:t>posilňujú niektoré opatrenia zahrnuté</w:t>
      </w:r>
      <w:r w:rsidR="00CC26EA" w:rsidRPr="00CC26EA">
        <w:rPr>
          <w:noProof/>
          <w:spacing w:val="-6"/>
          <w:lang w:val="sk-SK"/>
        </w:rPr>
        <w:t xml:space="preserve"> v </w:t>
      </w:r>
      <w:r w:rsidRPr="00CC26EA">
        <w:rPr>
          <w:noProof/>
          <w:spacing w:val="-6"/>
          <w:lang w:val="sk-SK"/>
        </w:rPr>
        <w:t>pôvodnom dánskom pláne obnovy</w:t>
      </w:r>
      <w:r w:rsidR="00CC26EA" w:rsidRPr="00CC26EA">
        <w:rPr>
          <w:noProof/>
          <w:spacing w:val="-6"/>
          <w:lang w:val="sk-SK"/>
        </w:rPr>
        <w:t xml:space="preserve"> a </w:t>
      </w:r>
      <w:r w:rsidRPr="00CC26EA">
        <w:rPr>
          <w:noProof/>
          <w:spacing w:val="-6"/>
          <w:lang w:val="sk-SK"/>
        </w:rPr>
        <w:t>odolnosti.</w:t>
      </w:r>
    </w:p>
    <w:p w14:paraId="241172E9" w14:textId="77777777" w:rsidR="00F65654" w:rsidRPr="00CC26EA" w:rsidRDefault="0041081E">
      <w:pPr>
        <w:pStyle w:val="NormalLeft"/>
        <w:jc w:val="both"/>
        <w:rPr>
          <w:noProof/>
          <w:spacing w:val="-6"/>
          <w:lang w:val="sk-SK"/>
        </w:rPr>
      </w:pPr>
      <w:r w:rsidRPr="00CC26EA">
        <w:rPr>
          <w:noProof/>
          <w:spacing w:val="-6"/>
          <w:lang w:val="sk-SK"/>
        </w:rPr>
        <w:t>Ciele kapitoly REPowerEU sú:</w:t>
      </w:r>
    </w:p>
    <w:p w14:paraId="4C722677" w14:textId="4B5ABBCA" w:rsidR="00F65654" w:rsidRPr="00CC26EA" w:rsidRDefault="0041081E">
      <w:pPr>
        <w:pStyle w:val="P68B1DB1-ListParagraph11"/>
        <w:numPr>
          <w:ilvl w:val="0"/>
          <w:numId w:val="44"/>
        </w:numPr>
        <w:spacing w:before="120" w:after="120" w:line="240" w:lineRule="auto"/>
        <w:jc w:val="both"/>
        <w:rPr>
          <w:noProof/>
          <w:spacing w:val="-6"/>
          <w:lang w:val="sk-SK"/>
        </w:rPr>
      </w:pPr>
      <w:r w:rsidRPr="00CC26EA">
        <w:rPr>
          <w:noProof/>
          <w:spacing w:val="-6"/>
          <w:lang w:val="sk-SK"/>
        </w:rPr>
        <w:t>Zvýšiť energetickú účinnosť i) zjednodušením</w:t>
      </w:r>
      <w:r w:rsidR="00CC26EA" w:rsidRPr="00CC26EA">
        <w:rPr>
          <w:noProof/>
          <w:spacing w:val="-6"/>
          <w:lang w:val="sk-SK"/>
        </w:rPr>
        <w:t xml:space="preserve"> a </w:t>
      </w:r>
      <w:r w:rsidRPr="00CC26EA">
        <w:rPr>
          <w:noProof/>
          <w:spacing w:val="-6"/>
          <w:lang w:val="sk-SK"/>
        </w:rPr>
        <w:t>urýchlením administratívnych</w:t>
      </w:r>
      <w:r w:rsidR="00CC26EA" w:rsidRPr="00CC26EA">
        <w:rPr>
          <w:noProof/>
          <w:spacing w:val="-6"/>
          <w:lang w:val="sk-SK"/>
        </w:rPr>
        <w:t xml:space="preserve"> a </w:t>
      </w:r>
      <w:r w:rsidRPr="00CC26EA">
        <w:rPr>
          <w:noProof/>
          <w:spacing w:val="-6"/>
          <w:lang w:val="sk-SK"/>
        </w:rPr>
        <w:t>povoľovacích postupov pre zavádzanie projektov diaľkového vykurovania</w:t>
      </w:r>
      <w:r w:rsidR="00CC26EA" w:rsidRPr="00CC26EA">
        <w:rPr>
          <w:noProof/>
          <w:spacing w:val="-6"/>
          <w:lang w:val="sk-SK"/>
        </w:rPr>
        <w:t xml:space="preserve"> a </w:t>
      </w:r>
      <w:r w:rsidRPr="00CC26EA">
        <w:rPr>
          <w:noProof/>
          <w:spacing w:val="-6"/>
          <w:lang w:val="sk-SK"/>
        </w:rPr>
        <w:t>ii) dotovaním výmeny ropných horákov</w:t>
      </w:r>
      <w:r w:rsidR="00CC26EA" w:rsidRPr="00CC26EA">
        <w:rPr>
          <w:noProof/>
          <w:spacing w:val="-6"/>
          <w:lang w:val="sk-SK"/>
        </w:rPr>
        <w:t xml:space="preserve"> a </w:t>
      </w:r>
      <w:r w:rsidRPr="00CC26EA">
        <w:rPr>
          <w:noProof/>
          <w:spacing w:val="-6"/>
          <w:lang w:val="sk-SK"/>
        </w:rPr>
        <w:t>plynových pecí riešeniami ekologického vykurovania</w:t>
      </w:r>
      <w:r w:rsidR="00CC26EA" w:rsidRPr="00CC26EA">
        <w:rPr>
          <w:noProof/>
          <w:spacing w:val="-6"/>
          <w:lang w:val="sk-SK"/>
        </w:rPr>
        <w:t xml:space="preserve"> z </w:t>
      </w:r>
      <w:r w:rsidRPr="00CC26EA">
        <w:rPr>
          <w:noProof/>
          <w:spacing w:val="-6"/>
          <w:lang w:val="sk-SK"/>
        </w:rPr>
        <w:t>obnoviteľných zdrojov;</w:t>
      </w:r>
    </w:p>
    <w:p w14:paraId="523A8A8E" w14:textId="5231E0FC" w:rsidR="00F65654" w:rsidRPr="00CC26EA" w:rsidRDefault="0041081E">
      <w:pPr>
        <w:pStyle w:val="P68B1DB1-ListParagraph11"/>
        <w:numPr>
          <w:ilvl w:val="0"/>
          <w:numId w:val="44"/>
        </w:numPr>
        <w:spacing w:before="120" w:after="120" w:line="240" w:lineRule="auto"/>
        <w:jc w:val="both"/>
        <w:rPr>
          <w:noProof/>
          <w:spacing w:val="-6"/>
          <w:lang w:val="sk-SK"/>
        </w:rPr>
      </w:pPr>
      <w:r w:rsidRPr="00CC26EA">
        <w:rPr>
          <w:noProof/>
          <w:spacing w:val="-6"/>
          <w:lang w:val="sk-SK"/>
        </w:rPr>
        <w:t>Zvýšiť podiel</w:t>
      </w:r>
      <w:r w:rsidR="00CC26EA" w:rsidRPr="00CC26EA">
        <w:rPr>
          <w:noProof/>
          <w:spacing w:val="-6"/>
          <w:lang w:val="sk-SK"/>
        </w:rPr>
        <w:t xml:space="preserve"> a </w:t>
      </w:r>
      <w:r w:rsidRPr="00CC26EA">
        <w:rPr>
          <w:noProof/>
          <w:spacing w:val="-6"/>
          <w:lang w:val="sk-SK"/>
        </w:rPr>
        <w:t>urýchliť zavádzanie energie</w:t>
      </w:r>
      <w:r w:rsidR="00CC26EA" w:rsidRPr="00CC26EA">
        <w:rPr>
          <w:noProof/>
          <w:spacing w:val="-6"/>
          <w:lang w:val="sk-SK"/>
        </w:rPr>
        <w:t xml:space="preserve"> z </w:t>
      </w:r>
      <w:r w:rsidRPr="00CC26EA">
        <w:rPr>
          <w:noProof/>
          <w:spacing w:val="-6"/>
          <w:lang w:val="sk-SK"/>
        </w:rPr>
        <w:t>obnoviteľných zdrojov i) zjednodušením</w:t>
      </w:r>
      <w:r w:rsidR="00CC26EA" w:rsidRPr="00CC26EA">
        <w:rPr>
          <w:noProof/>
          <w:spacing w:val="-6"/>
          <w:lang w:val="sk-SK"/>
        </w:rPr>
        <w:t xml:space="preserve"> a </w:t>
      </w:r>
      <w:r w:rsidRPr="00CC26EA">
        <w:rPr>
          <w:noProof/>
          <w:spacing w:val="-6"/>
          <w:lang w:val="sk-SK"/>
        </w:rPr>
        <w:t>urýchlením povoľovania projektov</w:t>
      </w:r>
      <w:r w:rsidR="00CC26EA" w:rsidRPr="00CC26EA">
        <w:rPr>
          <w:noProof/>
          <w:spacing w:val="-6"/>
          <w:lang w:val="sk-SK"/>
        </w:rPr>
        <w:t xml:space="preserve"> v </w:t>
      </w:r>
      <w:r w:rsidRPr="00CC26EA">
        <w:rPr>
          <w:noProof/>
          <w:spacing w:val="-6"/>
          <w:lang w:val="sk-SK"/>
        </w:rPr>
        <w:t>oblasti obnoviteľných zdrojov energie, ii) podporou rozvoja kapacity veternej energie na mori</w:t>
      </w:r>
      <w:r w:rsidR="00CC26EA" w:rsidRPr="00CC26EA">
        <w:rPr>
          <w:noProof/>
          <w:spacing w:val="-6"/>
          <w:lang w:val="sk-SK"/>
        </w:rPr>
        <w:t xml:space="preserve"> a </w:t>
      </w:r>
      <w:r w:rsidRPr="00CC26EA">
        <w:rPr>
          <w:noProof/>
          <w:spacing w:val="-6"/>
          <w:lang w:val="sk-SK"/>
        </w:rPr>
        <w:t>podporou testovania experimentálnych veterných turbín;</w:t>
      </w:r>
    </w:p>
    <w:p w14:paraId="2AE255EF" w14:textId="7DD693CB" w:rsidR="00F65654" w:rsidRPr="00CC26EA" w:rsidRDefault="0041081E">
      <w:pPr>
        <w:pStyle w:val="P68B1DB1-ListParagraph11"/>
        <w:numPr>
          <w:ilvl w:val="0"/>
          <w:numId w:val="44"/>
        </w:numPr>
        <w:spacing w:before="120" w:after="120" w:line="240" w:lineRule="auto"/>
        <w:jc w:val="both"/>
        <w:rPr>
          <w:noProof/>
          <w:spacing w:val="-6"/>
          <w:lang w:val="sk-SK"/>
        </w:rPr>
      </w:pPr>
      <w:r w:rsidRPr="00CC26EA">
        <w:rPr>
          <w:noProof/>
          <w:spacing w:val="-6"/>
          <w:lang w:val="sk-SK"/>
        </w:rPr>
        <w:t>Dekarbonizovať priemysel podporou inovačných technológií zachytávania</w:t>
      </w:r>
      <w:r w:rsidR="00CC26EA" w:rsidRPr="00CC26EA">
        <w:rPr>
          <w:noProof/>
          <w:spacing w:val="-6"/>
          <w:lang w:val="sk-SK"/>
        </w:rPr>
        <w:t xml:space="preserve"> a </w:t>
      </w:r>
      <w:r w:rsidRPr="00CC26EA">
        <w:rPr>
          <w:noProof/>
          <w:spacing w:val="-6"/>
          <w:lang w:val="sk-SK"/>
        </w:rPr>
        <w:t>ukladania oxidu uhličitého (CCS);</w:t>
      </w:r>
    </w:p>
    <w:p w14:paraId="61329F9B" w14:textId="77777777" w:rsidR="00CC26EA" w:rsidRPr="00CC26EA" w:rsidRDefault="0041081E">
      <w:pPr>
        <w:pStyle w:val="P68B1DB1-ListParagraph11"/>
        <w:numPr>
          <w:ilvl w:val="0"/>
          <w:numId w:val="44"/>
        </w:numPr>
        <w:spacing w:before="120" w:after="120" w:line="240" w:lineRule="auto"/>
        <w:jc w:val="both"/>
        <w:rPr>
          <w:noProof/>
          <w:spacing w:val="-6"/>
          <w:lang w:val="sk-SK"/>
        </w:rPr>
      </w:pPr>
      <w:r w:rsidRPr="00CC26EA">
        <w:rPr>
          <w:noProof/>
          <w:spacing w:val="-6"/>
          <w:lang w:val="sk-SK"/>
        </w:rPr>
        <w:t>Riešiť energetickú chudobu dotovaním zavádzania riešení ekologického vykurovania</w:t>
      </w:r>
      <w:r w:rsidR="00CC26EA" w:rsidRPr="00CC26EA">
        <w:rPr>
          <w:noProof/>
          <w:spacing w:val="-6"/>
          <w:lang w:val="sk-SK"/>
        </w:rPr>
        <w:t xml:space="preserve"> a </w:t>
      </w:r>
      <w:r w:rsidRPr="00CC26EA">
        <w:rPr>
          <w:noProof/>
          <w:spacing w:val="-6"/>
          <w:lang w:val="sk-SK"/>
        </w:rPr>
        <w:t>zjednodušením postupov pre takéto zariadenia;</w:t>
      </w:r>
      <w:r w:rsidR="00CC26EA" w:rsidRPr="00CC26EA">
        <w:rPr>
          <w:noProof/>
          <w:spacing w:val="-6"/>
          <w:lang w:val="sk-SK"/>
        </w:rPr>
        <w:t xml:space="preserve"> a </w:t>
      </w:r>
      <w:r w:rsidRPr="00CC26EA">
        <w:rPr>
          <w:noProof/>
          <w:spacing w:val="-6"/>
          <w:lang w:val="sk-SK"/>
        </w:rPr>
        <w:t>zároveň</w:t>
      </w:r>
    </w:p>
    <w:p w14:paraId="4BDBFBE2" w14:textId="0CDBA416" w:rsidR="00CC26EA" w:rsidRPr="00CC26EA" w:rsidRDefault="0041081E">
      <w:pPr>
        <w:pStyle w:val="P68B1DB1-ListParagraph11"/>
        <w:numPr>
          <w:ilvl w:val="0"/>
          <w:numId w:val="44"/>
        </w:numPr>
        <w:spacing w:before="120" w:after="120" w:line="240" w:lineRule="auto"/>
        <w:jc w:val="both"/>
        <w:rPr>
          <w:noProof/>
          <w:spacing w:val="-6"/>
          <w:lang w:val="sk-SK"/>
        </w:rPr>
      </w:pPr>
      <w:r w:rsidRPr="00CC26EA">
        <w:rPr>
          <w:noProof/>
          <w:spacing w:val="-6"/>
          <w:lang w:val="sk-SK"/>
        </w:rPr>
        <w:t>Vybaviť pracovnú silu zručnosťami</w:t>
      </w:r>
      <w:r w:rsidR="00CC26EA" w:rsidRPr="00CC26EA">
        <w:rPr>
          <w:noProof/>
          <w:spacing w:val="-6"/>
          <w:lang w:val="sk-SK"/>
        </w:rPr>
        <w:t xml:space="preserve"> a </w:t>
      </w:r>
      <w:r w:rsidRPr="00CC26EA">
        <w:rPr>
          <w:noProof/>
          <w:spacing w:val="-6"/>
          <w:lang w:val="sk-SK"/>
        </w:rPr>
        <w:t>kompetenciami potrebnými na dosiahnutie cieľov</w:t>
      </w:r>
      <w:r w:rsidR="00CC26EA" w:rsidRPr="00CC26EA">
        <w:rPr>
          <w:noProof/>
          <w:spacing w:val="-6"/>
          <w:lang w:val="sk-SK"/>
        </w:rPr>
        <w:t xml:space="preserve"> v </w:t>
      </w:r>
      <w:r w:rsidRPr="00CC26EA">
        <w:rPr>
          <w:noProof/>
          <w:spacing w:val="-6"/>
          <w:lang w:val="sk-SK"/>
        </w:rPr>
        <w:t>oblasti energetiky</w:t>
      </w:r>
      <w:r w:rsidR="00CC26EA" w:rsidRPr="00CC26EA">
        <w:rPr>
          <w:noProof/>
          <w:spacing w:val="-6"/>
          <w:lang w:val="sk-SK"/>
        </w:rPr>
        <w:t xml:space="preserve"> a </w:t>
      </w:r>
      <w:r w:rsidRPr="00CC26EA">
        <w:rPr>
          <w:noProof/>
          <w:spacing w:val="-6"/>
          <w:lang w:val="sk-SK"/>
        </w:rPr>
        <w:t>klímy podporou iniciatív zameraných na zelené zvyšovanie úrovne zručností</w:t>
      </w:r>
      <w:r w:rsidR="00CC26EA" w:rsidRPr="00CC26EA">
        <w:rPr>
          <w:noProof/>
          <w:spacing w:val="-6"/>
          <w:lang w:val="sk-SK"/>
        </w:rPr>
        <w:t>.</w:t>
      </w:r>
    </w:p>
    <w:p w14:paraId="28828FE7" w14:textId="3FE8A062" w:rsidR="00CC26EA" w:rsidRPr="00CC26EA" w:rsidRDefault="0041081E">
      <w:pPr>
        <w:pStyle w:val="NormalLeft"/>
        <w:jc w:val="both"/>
        <w:rPr>
          <w:noProof/>
          <w:spacing w:val="-6"/>
          <w:lang w:val="sk-SK"/>
        </w:rPr>
      </w:pPr>
      <w:r w:rsidRPr="00CC26EA">
        <w:rPr>
          <w:noProof/>
          <w:spacing w:val="-6"/>
          <w:lang w:val="sk-SK"/>
        </w:rPr>
        <w:t>Tri</w:t>
      </w:r>
      <w:r w:rsidR="00CC26EA" w:rsidRPr="00CC26EA">
        <w:rPr>
          <w:noProof/>
          <w:spacing w:val="-6"/>
          <w:lang w:val="sk-SK"/>
        </w:rPr>
        <w:t xml:space="preserve"> z </w:t>
      </w:r>
      <w:r w:rsidRPr="00CC26EA">
        <w:rPr>
          <w:noProof/>
          <w:spacing w:val="-6"/>
          <w:lang w:val="sk-SK"/>
        </w:rPr>
        <w:t>piatich opatrení</w:t>
      </w:r>
      <w:r w:rsidR="00CC26EA" w:rsidRPr="00CC26EA">
        <w:rPr>
          <w:noProof/>
          <w:spacing w:val="-6"/>
          <w:lang w:val="sk-SK"/>
        </w:rPr>
        <w:t xml:space="preserve"> v </w:t>
      </w:r>
      <w:r w:rsidRPr="00CC26EA">
        <w:rPr>
          <w:noProof/>
          <w:spacing w:val="-6"/>
          <w:lang w:val="sk-SK"/>
        </w:rPr>
        <w:t>rámci tejto kapitoly sa vyznačujú cezhraničným</w:t>
      </w:r>
      <w:r w:rsidR="00CC26EA" w:rsidRPr="00CC26EA">
        <w:rPr>
          <w:noProof/>
          <w:spacing w:val="-6"/>
          <w:lang w:val="sk-SK"/>
        </w:rPr>
        <w:t xml:space="preserve"> a </w:t>
      </w:r>
      <w:r w:rsidRPr="00CC26EA">
        <w:rPr>
          <w:noProof/>
          <w:spacing w:val="-6"/>
          <w:lang w:val="sk-SK"/>
        </w:rPr>
        <w:t>viacnárodným rozmerom alebo účinkom. Očakáva sa, že opatrenia týkajúce sa energie</w:t>
      </w:r>
      <w:r w:rsidR="00CC26EA" w:rsidRPr="00CC26EA">
        <w:rPr>
          <w:noProof/>
          <w:spacing w:val="-6"/>
          <w:lang w:val="sk-SK"/>
        </w:rPr>
        <w:t xml:space="preserve"> z </w:t>
      </w:r>
      <w:r w:rsidRPr="00CC26EA">
        <w:rPr>
          <w:noProof/>
          <w:spacing w:val="-6"/>
          <w:lang w:val="sk-SK"/>
        </w:rPr>
        <w:t>obnoviteľných zdrojov, nahradenia ropných horákov</w:t>
      </w:r>
      <w:r w:rsidR="00CC26EA" w:rsidRPr="00CC26EA">
        <w:rPr>
          <w:noProof/>
          <w:spacing w:val="-6"/>
          <w:lang w:val="sk-SK"/>
        </w:rPr>
        <w:t xml:space="preserve"> a </w:t>
      </w:r>
      <w:r w:rsidRPr="00CC26EA">
        <w:rPr>
          <w:noProof/>
          <w:spacing w:val="-6"/>
          <w:lang w:val="sk-SK"/>
        </w:rPr>
        <w:t>plynových pecí</w:t>
      </w:r>
      <w:r w:rsidR="00CC26EA" w:rsidRPr="00CC26EA">
        <w:rPr>
          <w:noProof/>
          <w:spacing w:val="-6"/>
          <w:lang w:val="sk-SK"/>
        </w:rPr>
        <w:t xml:space="preserve"> a </w:t>
      </w:r>
      <w:r w:rsidRPr="00CC26EA">
        <w:rPr>
          <w:noProof/>
          <w:spacing w:val="-6"/>
          <w:lang w:val="sk-SK"/>
        </w:rPr>
        <w:t>zachytávania</w:t>
      </w:r>
      <w:r w:rsidR="00CC26EA" w:rsidRPr="00CC26EA">
        <w:rPr>
          <w:noProof/>
          <w:spacing w:val="-6"/>
          <w:lang w:val="sk-SK"/>
        </w:rPr>
        <w:t xml:space="preserve"> a </w:t>
      </w:r>
      <w:r w:rsidRPr="00CC26EA">
        <w:rPr>
          <w:noProof/>
          <w:spacing w:val="-6"/>
          <w:lang w:val="sk-SK"/>
        </w:rPr>
        <w:t>ukladania biogénneho</w:t>
      </w:r>
      <w:r w:rsidR="00CC26EA" w:rsidRPr="00CC26EA">
        <w:rPr>
          <w:noProof/>
          <w:spacing w:val="-6"/>
          <w:lang w:val="sk-SK"/>
        </w:rPr>
        <w:t xml:space="preserve"> a </w:t>
      </w:r>
      <w:r w:rsidRPr="00CC26EA">
        <w:rPr>
          <w:noProof/>
          <w:spacing w:val="-6"/>
          <w:lang w:val="sk-SK"/>
        </w:rPr>
        <w:t>atmosférického CO2 prispejú</w:t>
      </w:r>
      <w:r w:rsidR="00CC26EA" w:rsidRPr="00CC26EA">
        <w:rPr>
          <w:noProof/>
          <w:spacing w:val="-6"/>
          <w:lang w:val="sk-SK"/>
        </w:rPr>
        <w:t xml:space="preserve"> k </w:t>
      </w:r>
      <w:r w:rsidRPr="00CC26EA">
        <w:rPr>
          <w:noProof/>
          <w:spacing w:val="-6"/>
          <w:lang w:val="sk-SK"/>
        </w:rPr>
        <w:t>zníženiu závislosti Únie od fosílnych palív, zabezpečeniu dodávok energie</w:t>
      </w:r>
      <w:r w:rsidR="00CC26EA" w:rsidRPr="00CC26EA">
        <w:rPr>
          <w:noProof/>
          <w:spacing w:val="-6"/>
          <w:lang w:val="sk-SK"/>
        </w:rPr>
        <w:t xml:space="preserve"> v </w:t>
      </w:r>
      <w:r w:rsidRPr="00CC26EA">
        <w:rPr>
          <w:noProof/>
          <w:spacing w:val="-6"/>
          <w:lang w:val="sk-SK"/>
        </w:rPr>
        <w:t>Únii</w:t>
      </w:r>
      <w:r w:rsidR="00CC26EA" w:rsidRPr="00CC26EA">
        <w:rPr>
          <w:noProof/>
          <w:spacing w:val="-6"/>
          <w:lang w:val="sk-SK"/>
        </w:rPr>
        <w:t xml:space="preserve"> a </w:t>
      </w:r>
      <w:r w:rsidRPr="00CC26EA">
        <w:rPr>
          <w:noProof/>
          <w:spacing w:val="-6"/>
          <w:lang w:val="sk-SK"/>
        </w:rPr>
        <w:t>pozitívnemu zlepšeniu rovnováhy dopytu</w:t>
      </w:r>
      <w:r w:rsidR="00CC26EA" w:rsidRPr="00CC26EA">
        <w:rPr>
          <w:noProof/>
          <w:spacing w:val="-6"/>
          <w:lang w:val="sk-SK"/>
        </w:rPr>
        <w:t xml:space="preserve"> a </w:t>
      </w:r>
      <w:r w:rsidRPr="00CC26EA">
        <w:rPr>
          <w:noProof/>
          <w:spacing w:val="-6"/>
          <w:lang w:val="sk-SK"/>
        </w:rPr>
        <w:t>ponuky</w:t>
      </w:r>
      <w:r w:rsidR="00CC26EA" w:rsidRPr="00CC26EA">
        <w:rPr>
          <w:noProof/>
          <w:spacing w:val="-6"/>
          <w:lang w:val="sk-SK"/>
        </w:rPr>
        <w:t xml:space="preserve"> s </w:t>
      </w:r>
      <w:r w:rsidRPr="00CC26EA">
        <w:rPr>
          <w:noProof/>
          <w:spacing w:val="-6"/>
          <w:lang w:val="sk-SK"/>
        </w:rPr>
        <w:t>možnými cezhraničnými účinkami</w:t>
      </w:r>
      <w:r w:rsidR="00CC26EA" w:rsidRPr="00CC26EA">
        <w:rPr>
          <w:noProof/>
          <w:spacing w:val="-6"/>
          <w:lang w:val="sk-SK"/>
        </w:rPr>
        <w:t>.</w:t>
      </w:r>
    </w:p>
    <w:p w14:paraId="6D7E01D3" w14:textId="554B9075" w:rsidR="00F65654" w:rsidRPr="00CC26EA" w:rsidRDefault="0041081E">
      <w:pPr>
        <w:pStyle w:val="NormalLeft"/>
        <w:jc w:val="both"/>
        <w:rPr>
          <w:noProof/>
          <w:spacing w:val="-6"/>
          <w:lang w:val="sk-SK"/>
        </w:rPr>
      </w:pPr>
      <w:r w:rsidRPr="00CC26EA">
        <w:rPr>
          <w:noProof/>
          <w:spacing w:val="-6"/>
          <w:lang w:val="sk-SK"/>
        </w:rPr>
        <w:t>Kapitola REPowerEU prispieva najmä</w:t>
      </w:r>
      <w:r w:rsidR="00CC26EA" w:rsidRPr="00CC26EA">
        <w:rPr>
          <w:noProof/>
          <w:spacing w:val="-6"/>
          <w:lang w:val="sk-SK"/>
        </w:rPr>
        <w:t xml:space="preserve"> k </w:t>
      </w:r>
      <w:r w:rsidRPr="00CC26EA">
        <w:rPr>
          <w:noProof/>
          <w:spacing w:val="-6"/>
          <w:lang w:val="sk-SK"/>
        </w:rPr>
        <w:t>plneniu odporúčaní pre jednotlivé krajiny 2022.1, 2022.4</w:t>
      </w:r>
      <w:r w:rsidR="00CC26EA" w:rsidRPr="00CC26EA">
        <w:rPr>
          <w:noProof/>
          <w:spacing w:val="-6"/>
          <w:lang w:val="sk-SK"/>
        </w:rPr>
        <w:t xml:space="preserve"> a </w:t>
      </w:r>
      <w:r w:rsidRPr="00CC26EA">
        <w:rPr>
          <w:noProof/>
          <w:spacing w:val="-6"/>
          <w:lang w:val="sk-SK"/>
        </w:rPr>
        <w:t>2023.4:</w:t>
      </w:r>
    </w:p>
    <w:p w14:paraId="1618FACF" w14:textId="2B22C942" w:rsidR="00F65654" w:rsidRPr="00CC26EA" w:rsidRDefault="0041081E">
      <w:pPr>
        <w:pStyle w:val="P68B1DB1-ListParagraph11"/>
        <w:numPr>
          <w:ilvl w:val="0"/>
          <w:numId w:val="47"/>
        </w:numPr>
        <w:spacing w:before="120" w:after="120" w:line="240" w:lineRule="auto"/>
        <w:jc w:val="both"/>
        <w:rPr>
          <w:noProof/>
          <w:spacing w:val="-6"/>
          <w:lang w:val="sk-SK"/>
        </w:rPr>
      </w:pPr>
      <w:r w:rsidRPr="00CC26EA">
        <w:rPr>
          <w:noProof/>
          <w:spacing w:val="-6"/>
          <w:lang w:val="sk-SK"/>
        </w:rPr>
        <w:t>ODPORÚČANIE 2022.1.2: Odporúčanie zvýšiť verejné investície do zelenej</w:t>
      </w:r>
      <w:r w:rsidR="00CC26EA" w:rsidRPr="00CC26EA">
        <w:rPr>
          <w:noProof/>
          <w:spacing w:val="-6"/>
          <w:lang w:val="sk-SK"/>
        </w:rPr>
        <w:t xml:space="preserve"> a </w:t>
      </w:r>
      <w:r w:rsidRPr="00CC26EA">
        <w:rPr>
          <w:noProof/>
          <w:spacing w:val="-6"/>
          <w:lang w:val="sk-SK"/>
        </w:rPr>
        <w:t>digitálnej transformácie</w:t>
      </w:r>
      <w:r w:rsidR="00CC26EA" w:rsidRPr="00CC26EA">
        <w:rPr>
          <w:noProof/>
          <w:spacing w:val="-6"/>
          <w:lang w:val="sk-SK"/>
        </w:rPr>
        <w:t xml:space="preserve"> a </w:t>
      </w:r>
      <w:r w:rsidRPr="00CC26EA">
        <w:rPr>
          <w:noProof/>
          <w:spacing w:val="-6"/>
          <w:lang w:val="sk-SK"/>
        </w:rPr>
        <w:t>energetickej bezpečnosti</w:t>
      </w:r>
      <w:r w:rsidR="00CC26EA" w:rsidRPr="00CC26EA">
        <w:rPr>
          <w:noProof/>
          <w:spacing w:val="-6"/>
          <w:lang w:val="sk-SK"/>
        </w:rPr>
        <w:t xml:space="preserve"> s </w:t>
      </w:r>
      <w:r w:rsidRPr="00CC26EA">
        <w:rPr>
          <w:noProof/>
          <w:spacing w:val="-6"/>
          <w:lang w:val="sk-SK"/>
        </w:rPr>
        <w:t>prihliadnutím na iniciatívu REPowerEU,</w:t>
      </w:r>
      <w:r w:rsidR="00CC26EA" w:rsidRPr="00CC26EA">
        <w:rPr>
          <w:noProof/>
          <w:spacing w:val="-6"/>
          <w:lang w:val="sk-SK"/>
        </w:rPr>
        <w:t xml:space="preserve"> a </w:t>
      </w:r>
      <w:r w:rsidRPr="00CC26EA">
        <w:rPr>
          <w:noProof/>
          <w:spacing w:val="-6"/>
          <w:lang w:val="sk-SK"/>
        </w:rPr>
        <w:t>to aj využitím Mechanizmu na podporu obnovy</w:t>
      </w:r>
      <w:r w:rsidR="00CC26EA" w:rsidRPr="00CC26EA">
        <w:rPr>
          <w:noProof/>
          <w:spacing w:val="-6"/>
          <w:lang w:val="sk-SK"/>
        </w:rPr>
        <w:t xml:space="preserve"> a </w:t>
      </w:r>
      <w:r w:rsidRPr="00CC26EA">
        <w:rPr>
          <w:noProof/>
          <w:spacing w:val="-6"/>
          <w:lang w:val="sk-SK"/>
        </w:rPr>
        <w:t>odolnosti</w:t>
      </w:r>
      <w:r w:rsidR="00CC26EA" w:rsidRPr="00CC26EA">
        <w:rPr>
          <w:noProof/>
          <w:spacing w:val="-6"/>
          <w:lang w:val="sk-SK"/>
        </w:rPr>
        <w:t xml:space="preserve"> a </w:t>
      </w:r>
      <w:r w:rsidRPr="00CC26EA">
        <w:rPr>
          <w:noProof/>
          <w:spacing w:val="-6"/>
          <w:lang w:val="sk-SK"/>
        </w:rPr>
        <w:t>iných fondov Únie;</w:t>
      </w:r>
    </w:p>
    <w:p w14:paraId="575A941D" w14:textId="4B1C6A55" w:rsidR="00F65654" w:rsidRPr="00CC26EA" w:rsidRDefault="0041081E">
      <w:pPr>
        <w:pStyle w:val="P68B1DB1-ListParagraph11"/>
        <w:numPr>
          <w:ilvl w:val="0"/>
          <w:numId w:val="47"/>
        </w:numPr>
        <w:spacing w:before="120" w:after="120" w:line="240" w:lineRule="auto"/>
        <w:jc w:val="both"/>
        <w:rPr>
          <w:noProof/>
          <w:spacing w:val="-6"/>
          <w:lang w:val="sk-SK"/>
        </w:rPr>
      </w:pPr>
      <w:r w:rsidRPr="00CC26EA">
        <w:rPr>
          <w:noProof/>
          <w:spacing w:val="-6"/>
          <w:lang w:val="sk-SK"/>
        </w:rPr>
        <w:t>Odporúčania 2022.4.1</w:t>
      </w:r>
      <w:r w:rsidR="00CC26EA" w:rsidRPr="00CC26EA">
        <w:rPr>
          <w:noProof/>
          <w:spacing w:val="-6"/>
          <w:lang w:val="sk-SK"/>
        </w:rPr>
        <w:t xml:space="preserve"> a </w:t>
      </w:r>
      <w:r w:rsidRPr="00CC26EA">
        <w:rPr>
          <w:noProof/>
          <w:spacing w:val="-6"/>
          <w:lang w:val="sk-SK"/>
        </w:rPr>
        <w:t>odporúčania 2023.4.1</w:t>
      </w:r>
      <w:r w:rsidR="00CC26EA" w:rsidRPr="00CC26EA">
        <w:rPr>
          <w:noProof/>
          <w:spacing w:val="-6"/>
          <w:lang w:val="sk-SK"/>
        </w:rPr>
        <w:t xml:space="preserve"> a </w:t>
      </w:r>
      <w:r w:rsidRPr="00CC26EA">
        <w:rPr>
          <w:noProof/>
          <w:spacing w:val="-6"/>
          <w:lang w:val="sk-SK"/>
        </w:rPr>
        <w:t>2: Odporúčanie znížiť celkovú závislosť od fosílnych palív</w:t>
      </w:r>
      <w:r w:rsidR="00CC26EA" w:rsidRPr="00CC26EA">
        <w:rPr>
          <w:noProof/>
          <w:spacing w:val="-6"/>
          <w:lang w:val="sk-SK"/>
        </w:rPr>
        <w:t xml:space="preserve"> a </w:t>
      </w:r>
      <w:r w:rsidRPr="00CC26EA">
        <w:rPr>
          <w:noProof/>
          <w:spacing w:val="-6"/>
          <w:lang w:val="sk-SK"/>
        </w:rPr>
        <w:t>ďalej diverzifikovať dodávky energie;</w:t>
      </w:r>
    </w:p>
    <w:p w14:paraId="48F11039" w14:textId="2843C9B1" w:rsidR="00F65654" w:rsidRPr="00CC26EA" w:rsidRDefault="0041081E">
      <w:pPr>
        <w:pStyle w:val="P68B1DB1-ListParagraph11"/>
        <w:numPr>
          <w:ilvl w:val="0"/>
          <w:numId w:val="47"/>
        </w:numPr>
        <w:spacing w:before="120" w:after="120" w:line="240" w:lineRule="auto"/>
        <w:jc w:val="both"/>
        <w:rPr>
          <w:noProof/>
          <w:spacing w:val="-6"/>
          <w:lang w:val="sk-SK"/>
        </w:rPr>
      </w:pPr>
      <w:r w:rsidRPr="00CC26EA">
        <w:rPr>
          <w:noProof/>
          <w:spacing w:val="-6"/>
          <w:lang w:val="sk-SK"/>
        </w:rPr>
        <w:t>Odporúčanie 2022.4.2</w:t>
      </w:r>
      <w:r w:rsidR="00CC26EA" w:rsidRPr="00CC26EA">
        <w:rPr>
          <w:noProof/>
          <w:spacing w:val="-6"/>
          <w:lang w:val="sk-SK"/>
        </w:rPr>
        <w:t xml:space="preserve"> a </w:t>
      </w:r>
      <w:r w:rsidRPr="00CC26EA">
        <w:rPr>
          <w:noProof/>
          <w:spacing w:val="-6"/>
          <w:lang w:val="sk-SK"/>
        </w:rPr>
        <w:t>odporúčanie 2023.4.4: Odporúčanie pomôcť dekarbonizovať hospodárstvo urýchlením zavádzania obnoviteľných zdrojov energie,</w:t>
      </w:r>
      <w:r w:rsidR="00CC26EA" w:rsidRPr="00CC26EA">
        <w:rPr>
          <w:noProof/>
          <w:spacing w:val="-6"/>
          <w:lang w:val="sk-SK"/>
        </w:rPr>
        <w:t xml:space="preserve"> a </w:t>
      </w:r>
      <w:r w:rsidRPr="00CC26EA">
        <w:rPr>
          <w:noProof/>
          <w:spacing w:val="-6"/>
          <w:lang w:val="sk-SK"/>
        </w:rPr>
        <w:t>to aj zavedením reforiem na zjednodušenie</w:t>
      </w:r>
      <w:r w:rsidR="00CC26EA" w:rsidRPr="00CC26EA">
        <w:rPr>
          <w:noProof/>
          <w:spacing w:val="-6"/>
          <w:lang w:val="sk-SK"/>
        </w:rPr>
        <w:t xml:space="preserve"> a </w:t>
      </w:r>
      <w:r w:rsidRPr="00CC26EA">
        <w:rPr>
          <w:noProof/>
          <w:spacing w:val="-6"/>
          <w:lang w:val="sk-SK"/>
        </w:rPr>
        <w:t>urýchlenie administratívnych</w:t>
      </w:r>
      <w:r w:rsidR="00CC26EA" w:rsidRPr="00CC26EA">
        <w:rPr>
          <w:noProof/>
          <w:spacing w:val="-6"/>
          <w:lang w:val="sk-SK"/>
        </w:rPr>
        <w:t xml:space="preserve"> a </w:t>
      </w:r>
      <w:r w:rsidRPr="00CC26EA">
        <w:rPr>
          <w:noProof/>
          <w:spacing w:val="-6"/>
          <w:lang w:val="sk-SK"/>
        </w:rPr>
        <w:t>povoľovacích postupov, modernizáciou energetických prenosových sietí, zvýšením prepojení so susednými krajinami</w:t>
      </w:r>
      <w:r w:rsidR="00CC26EA" w:rsidRPr="00CC26EA">
        <w:rPr>
          <w:noProof/>
          <w:spacing w:val="-6"/>
          <w:lang w:val="sk-SK"/>
        </w:rPr>
        <w:t xml:space="preserve"> a </w:t>
      </w:r>
      <w:r w:rsidRPr="00CC26EA">
        <w:rPr>
          <w:noProof/>
          <w:spacing w:val="-6"/>
          <w:lang w:val="sk-SK"/>
        </w:rPr>
        <w:t>zlepšením energetickej efektívnosti;</w:t>
      </w:r>
    </w:p>
    <w:p w14:paraId="630845ED" w14:textId="6D7507D2" w:rsidR="00F65654" w:rsidRPr="00CC26EA" w:rsidRDefault="0041081E">
      <w:pPr>
        <w:pStyle w:val="P68B1DB1-ListParagraph11"/>
        <w:numPr>
          <w:ilvl w:val="0"/>
          <w:numId w:val="47"/>
        </w:numPr>
        <w:spacing w:before="120" w:after="120" w:line="240" w:lineRule="auto"/>
        <w:jc w:val="both"/>
        <w:rPr>
          <w:noProof/>
          <w:spacing w:val="-6"/>
          <w:lang w:val="sk-SK"/>
        </w:rPr>
      </w:pPr>
      <w:r w:rsidRPr="00CC26EA">
        <w:rPr>
          <w:noProof/>
          <w:spacing w:val="-6"/>
          <w:lang w:val="sk-SK"/>
        </w:rPr>
        <w:t>ODPORÚČANIE 2022.4.4: Odporúčanie na zlepšenie energetickej efektívnosti;</w:t>
      </w:r>
      <w:r w:rsidR="00CC26EA" w:rsidRPr="00CC26EA">
        <w:rPr>
          <w:noProof/>
          <w:spacing w:val="-6"/>
          <w:lang w:val="sk-SK"/>
        </w:rPr>
        <w:t xml:space="preserve"> a </w:t>
      </w:r>
      <w:r w:rsidRPr="00CC26EA">
        <w:rPr>
          <w:noProof/>
          <w:spacing w:val="-6"/>
          <w:lang w:val="sk-SK"/>
        </w:rPr>
        <w:t>zároveň</w:t>
      </w:r>
    </w:p>
    <w:p w14:paraId="564FD951" w14:textId="4580E7CC" w:rsidR="00F65654" w:rsidRPr="00CC26EA" w:rsidRDefault="0041081E">
      <w:pPr>
        <w:pStyle w:val="P68B1DB1-ListParagraph11"/>
        <w:numPr>
          <w:ilvl w:val="0"/>
          <w:numId w:val="47"/>
        </w:numPr>
        <w:spacing w:before="120" w:after="120" w:line="240" w:lineRule="auto"/>
        <w:jc w:val="both"/>
        <w:rPr>
          <w:noProof/>
          <w:spacing w:val="-6"/>
          <w:lang w:val="sk-SK"/>
        </w:rPr>
      </w:pPr>
      <w:r w:rsidRPr="00CC26EA">
        <w:rPr>
          <w:noProof/>
          <w:spacing w:val="-6"/>
          <w:lang w:val="sk-SK"/>
        </w:rPr>
        <w:t>Odporúčania 2023.4.6</w:t>
      </w:r>
      <w:r w:rsidR="00CC26EA" w:rsidRPr="00CC26EA">
        <w:rPr>
          <w:noProof/>
          <w:spacing w:val="-6"/>
          <w:lang w:val="sk-SK"/>
        </w:rPr>
        <w:t xml:space="preserve"> a </w:t>
      </w:r>
      <w:r w:rsidRPr="00CC26EA">
        <w:rPr>
          <w:noProof/>
          <w:spacing w:val="-6"/>
          <w:lang w:val="sk-SK"/>
        </w:rPr>
        <w:t>7: Odporúčanie týkajúce sa zabezpečenia lepšieho zavádzania dekarbonizovaných zdrojov vykurovania</w:t>
      </w:r>
      <w:r w:rsidR="00CC26EA" w:rsidRPr="00CC26EA">
        <w:rPr>
          <w:noProof/>
          <w:spacing w:val="-6"/>
          <w:lang w:val="sk-SK"/>
        </w:rPr>
        <w:t xml:space="preserve"> a </w:t>
      </w:r>
      <w:r w:rsidRPr="00CC26EA">
        <w:rPr>
          <w:noProof/>
          <w:spacing w:val="-6"/>
          <w:lang w:val="sk-SK"/>
        </w:rPr>
        <w:t>zintenzívnenia politického úsilia zameraného na poskytovanie</w:t>
      </w:r>
      <w:r w:rsidR="00CC26EA" w:rsidRPr="00CC26EA">
        <w:rPr>
          <w:noProof/>
          <w:spacing w:val="-6"/>
          <w:lang w:val="sk-SK"/>
        </w:rPr>
        <w:t xml:space="preserve"> a </w:t>
      </w:r>
      <w:r w:rsidRPr="00CC26EA">
        <w:rPr>
          <w:noProof/>
          <w:spacing w:val="-6"/>
          <w:lang w:val="sk-SK"/>
        </w:rPr>
        <w:t>získavanie zručností potrebných na zelenú transformáciu.</w:t>
      </w:r>
    </w:p>
    <w:p w14:paraId="503C0A33" w14:textId="3E2B9032" w:rsidR="00F65654" w:rsidRPr="00CC26EA" w:rsidRDefault="0041081E">
      <w:pPr>
        <w:pStyle w:val="NormalLeft"/>
        <w:jc w:val="both"/>
        <w:rPr>
          <w:noProof/>
          <w:spacing w:val="-6"/>
          <w:lang w:val="sk-SK"/>
        </w:rPr>
      </w:pPr>
      <w:r w:rsidRPr="00CC26EA">
        <w:rPr>
          <w:noProof/>
          <w:spacing w:val="-6"/>
          <w:lang w:val="sk-SK"/>
        </w:rPr>
        <w:t>Očakáva sa, že žiadne opatrenie</w:t>
      </w:r>
      <w:r w:rsidR="00CC26EA" w:rsidRPr="00CC26EA">
        <w:rPr>
          <w:noProof/>
          <w:spacing w:val="-6"/>
          <w:lang w:val="sk-SK"/>
        </w:rPr>
        <w:t xml:space="preserve"> v </w:t>
      </w:r>
      <w:r w:rsidRPr="00CC26EA">
        <w:rPr>
          <w:noProof/>
          <w:spacing w:val="-6"/>
          <w:lang w:val="sk-SK"/>
        </w:rPr>
        <w:t>tomto komponente výrazne nenaruší environmentálne ciele</w:t>
      </w:r>
      <w:r w:rsidR="00CC26EA" w:rsidRPr="00CC26EA">
        <w:rPr>
          <w:noProof/>
          <w:spacing w:val="-6"/>
          <w:lang w:val="sk-SK"/>
        </w:rPr>
        <w:t xml:space="preserve"> v </w:t>
      </w:r>
      <w:r w:rsidRPr="00CC26EA">
        <w:rPr>
          <w:noProof/>
          <w:spacing w:val="-6"/>
          <w:lang w:val="sk-SK"/>
        </w:rPr>
        <w:t>zmysle článku 17 nariadenia Európskeho parlamentu</w:t>
      </w:r>
      <w:r w:rsidR="00CC26EA" w:rsidRPr="00CC26EA">
        <w:rPr>
          <w:noProof/>
          <w:spacing w:val="-6"/>
          <w:lang w:val="sk-SK"/>
        </w:rPr>
        <w:t xml:space="preserve"> a </w:t>
      </w:r>
      <w:r w:rsidRPr="00CC26EA">
        <w:rPr>
          <w:noProof/>
          <w:spacing w:val="-6"/>
          <w:lang w:val="sk-SK"/>
        </w:rPr>
        <w:t>Rady (EÚ) 2020/852 berúc do úvahy opis opatrení</w:t>
      </w:r>
      <w:r w:rsidR="00CC26EA" w:rsidRPr="00CC26EA">
        <w:rPr>
          <w:noProof/>
          <w:spacing w:val="-6"/>
          <w:lang w:val="sk-SK"/>
        </w:rPr>
        <w:t xml:space="preserve"> a </w:t>
      </w:r>
      <w:r w:rsidRPr="00CC26EA">
        <w:rPr>
          <w:noProof/>
          <w:spacing w:val="-6"/>
          <w:lang w:val="sk-SK"/>
        </w:rPr>
        <w:t>zmierňujúce kroky stanovené</w:t>
      </w:r>
      <w:r w:rsidR="00CC26EA" w:rsidRPr="00CC26EA">
        <w:rPr>
          <w:noProof/>
          <w:spacing w:val="-6"/>
          <w:lang w:val="sk-SK"/>
        </w:rPr>
        <w:t xml:space="preserve"> v </w:t>
      </w:r>
      <w:r w:rsidRPr="00CC26EA">
        <w:rPr>
          <w:noProof/>
          <w:spacing w:val="-6"/>
          <w:lang w:val="sk-SK"/>
        </w:rPr>
        <w:t>pláne obnovy</w:t>
      </w:r>
      <w:r w:rsidR="00CC26EA" w:rsidRPr="00CC26EA">
        <w:rPr>
          <w:noProof/>
          <w:spacing w:val="-6"/>
          <w:lang w:val="sk-SK"/>
        </w:rPr>
        <w:t xml:space="preserve"> a </w:t>
      </w:r>
      <w:r w:rsidRPr="00CC26EA">
        <w:rPr>
          <w:noProof/>
          <w:spacing w:val="-6"/>
          <w:lang w:val="sk-SK"/>
        </w:rPr>
        <w:t>odolnosti</w:t>
      </w:r>
      <w:r w:rsidR="00CC26EA" w:rsidRPr="00CC26EA">
        <w:rPr>
          <w:noProof/>
          <w:spacing w:val="-6"/>
          <w:lang w:val="sk-SK"/>
        </w:rPr>
        <w:t xml:space="preserve"> v </w:t>
      </w:r>
      <w:r w:rsidRPr="00CC26EA">
        <w:rPr>
          <w:noProof/>
          <w:spacing w:val="-6"/>
          <w:lang w:val="sk-SK"/>
        </w:rPr>
        <w:t>súlade so zásadou technického usmernia týkajúceho sa uplatňovania zásady „výrazne nenarušiť“ (DNHS) (2021/C58/01).</w:t>
      </w:r>
    </w:p>
    <w:p w14:paraId="454AC1DF" w14:textId="77777777" w:rsidR="00F65654" w:rsidRPr="00CC26EA" w:rsidRDefault="00F65654">
      <w:pPr>
        <w:spacing w:before="120" w:after="120" w:line="240" w:lineRule="auto"/>
        <w:jc w:val="both"/>
        <w:rPr>
          <w:rFonts w:ascii="Times New Roman" w:hAnsi="Times New Roman"/>
          <w:noProof/>
          <w:spacing w:val="-6"/>
          <w:sz w:val="24"/>
          <w:lang w:val="sk-SK"/>
        </w:rPr>
      </w:pPr>
    </w:p>
    <w:p w14:paraId="2480F062" w14:textId="77777777" w:rsidR="00CC26EA" w:rsidRPr="00CC26EA" w:rsidRDefault="0041081E">
      <w:pPr>
        <w:pStyle w:val="P68B1DB1-Normal12"/>
        <w:spacing w:before="120" w:after="120" w:line="240" w:lineRule="auto"/>
        <w:jc w:val="both"/>
        <w:rPr>
          <w:noProof/>
          <w:spacing w:val="-6"/>
          <w:lang w:val="sk-SK"/>
        </w:rPr>
      </w:pPr>
      <w:r w:rsidRPr="00CC26EA">
        <w:rPr>
          <w:noProof/>
          <w:spacing w:val="-6"/>
          <w:lang w:val="sk-SK"/>
        </w:rPr>
        <w:t>H.1. Opis reforiem</w:t>
      </w:r>
      <w:r w:rsidR="00CC26EA" w:rsidRPr="00CC26EA">
        <w:rPr>
          <w:noProof/>
          <w:spacing w:val="-6"/>
          <w:lang w:val="sk-SK"/>
        </w:rPr>
        <w:t xml:space="preserve"> a </w:t>
      </w:r>
      <w:r w:rsidRPr="00CC26EA">
        <w:rPr>
          <w:noProof/>
          <w:spacing w:val="-6"/>
          <w:lang w:val="sk-SK"/>
        </w:rPr>
        <w:t>investícií</w:t>
      </w:r>
      <w:r w:rsidR="00CC26EA" w:rsidRPr="00CC26EA">
        <w:rPr>
          <w:noProof/>
          <w:spacing w:val="-6"/>
          <w:lang w:val="sk-SK"/>
        </w:rPr>
        <w:t xml:space="preserve"> v </w:t>
      </w:r>
      <w:r w:rsidRPr="00CC26EA">
        <w:rPr>
          <w:noProof/>
          <w:spacing w:val="-6"/>
          <w:lang w:val="sk-SK"/>
        </w:rPr>
        <w:t>rámci nenávratnej finančnej podpory</w:t>
      </w:r>
    </w:p>
    <w:p w14:paraId="406EB69A" w14:textId="6E21DF50" w:rsidR="00F65654" w:rsidRPr="00CC26EA" w:rsidRDefault="0041081E">
      <w:pPr>
        <w:pStyle w:val="P68B1DB1-Normal9"/>
        <w:spacing w:before="120" w:after="120" w:line="240" w:lineRule="auto"/>
        <w:jc w:val="both"/>
        <w:rPr>
          <w:noProof/>
          <w:spacing w:val="-6"/>
          <w:lang w:val="sk-SK"/>
        </w:rPr>
      </w:pPr>
      <w:r w:rsidRPr="00CC26EA">
        <w:rPr>
          <w:noProof/>
          <w:spacing w:val="-6"/>
          <w:lang w:val="sk-SK"/>
        </w:rPr>
        <w:t>Reforma 1:  Národní zamestnanci energetickej krízy (NEKST)</w:t>
      </w:r>
    </w:p>
    <w:p w14:paraId="70BF2550" w14:textId="77777777" w:rsidR="00CC26EA" w:rsidRPr="00CC26EA" w:rsidRDefault="0041081E">
      <w:pPr>
        <w:pStyle w:val="NormalLeft"/>
        <w:jc w:val="both"/>
        <w:rPr>
          <w:noProof/>
          <w:spacing w:val="-6"/>
          <w:lang w:val="sk-SK"/>
        </w:rPr>
      </w:pPr>
      <w:r w:rsidRPr="00CC26EA">
        <w:rPr>
          <w:noProof/>
          <w:spacing w:val="-6"/>
          <w:lang w:val="sk-SK"/>
        </w:rPr>
        <w:t>Dánska vláda zriadi národnú pracovnú skupinu pre energetickú krízu (NEKST), ktorej úlohou bude riadiť program reforiem prostredníctvom identifikácie problémov, navrhovania</w:t>
      </w:r>
      <w:r w:rsidR="00CC26EA" w:rsidRPr="00CC26EA">
        <w:rPr>
          <w:noProof/>
          <w:spacing w:val="-6"/>
          <w:lang w:val="sk-SK"/>
        </w:rPr>
        <w:t xml:space="preserve"> a </w:t>
      </w:r>
      <w:r w:rsidRPr="00CC26EA">
        <w:rPr>
          <w:noProof/>
          <w:spacing w:val="-6"/>
          <w:lang w:val="sk-SK"/>
        </w:rPr>
        <w:t>vykonávania riešení</w:t>
      </w:r>
      <w:r w:rsidR="00CC26EA" w:rsidRPr="00CC26EA">
        <w:rPr>
          <w:noProof/>
          <w:spacing w:val="-6"/>
          <w:lang w:val="sk-SK"/>
        </w:rPr>
        <w:t xml:space="preserve"> a </w:t>
      </w:r>
      <w:r w:rsidRPr="00CC26EA">
        <w:rPr>
          <w:noProof/>
          <w:spacing w:val="-6"/>
          <w:lang w:val="sk-SK"/>
        </w:rPr>
        <w:t>koordinácie opatrení na riešenie výziev pri vykonávaní zelenej transformácie. Očakáva sa, že opatrenia prispejú</w:t>
      </w:r>
      <w:r w:rsidR="00CC26EA" w:rsidRPr="00CC26EA">
        <w:rPr>
          <w:noProof/>
          <w:spacing w:val="-6"/>
          <w:lang w:val="sk-SK"/>
        </w:rPr>
        <w:t xml:space="preserve"> k </w:t>
      </w:r>
      <w:r w:rsidRPr="00CC26EA">
        <w:rPr>
          <w:noProof/>
          <w:spacing w:val="-6"/>
          <w:lang w:val="sk-SK"/>
        </w:rPr>
        <w:t>zjednodušeniu</w:t>
      </w:r>
      <w:r w:rsidR="00CC26EA" w:rsidRPr="00CC26EA">
        <w:rPr>
          <w:noProof/>
          <w:spacing w:val="-6"/>
          <w:lang w:val="sk-SK"/>
        </w:rPr>
        <w:t xml:space="preserve"> a </w:t>
      </w:r>
      <w:r w:rsidRPr="00CC26EA">
        <w:rPr>
          <w:noProof/>
          <w:spacing w:val="-6"/>
          <w:lang w:val="sk-SK"/>
        </w:rPr>
        <w:t>urýchleniu administratívnych</w:t>
      </w:r>
      <w:r w:rsidR="00CC26EA" w:rsidRPr="00CC26EA">
        <w:rPr>
          <w:noProof/>
          <w:spacing w:val="-6"/>
          <w:lang w:val="sk-SK"/>
        </w:rPr>
        <w:t xml:space="preserve"> a </w:t>
      </w:r>
      <w:r w:rsidRPr="00CC26EA">
        <w:rPr>
          <w:noProof/>
          <w:spacing w:val="-6"/>
          <w:lang w:val="sk-SK"/>
        </w:rPr>
        <w:t>povoľovacích postupov pre zavádzanie riešení ekologického vykurovania</w:t>
      </w:r>
      <w:r w:rsidR="00CC26EA" w:rsidRPr="00CC26EA">
        <w:rPr>
          <w:noProof/>
          <w:spacing w:val="-6"/>
          <w:lang w:val="sk-SK"/>
        </w:rPr>
        <w:t xml:space="preserve"> a </w:t>
      </w:r>
      <w:r w:rsidRPr="00CC26EA">
        <w:rPr>
          <w:noProof/>
          <w:spacing w:val="-6"/>
          <w:lang w:val="sk-SK"/>
        </w:rPr>
        <w:t>zavádzanie projektov</w:t>
      </w:r>
      <w:r w:rsidR="00CC26EA" w:rsidRPr="00CC26EA">
        <w:rPr>
          <w:noProof/>
          <w:spacing w:val="-6"/>
          <w:lang w:val="sk-SK"/>
        </w:rPr>
        <w:t xml:space="preserve"> v </w:t>
      </w:r>
      <w:r w:rsidRPr="00CC26EA">
        <w:rPr>
          <w:noProof/>
          <w:spacing w:val="-6"/>
          <w:lang w:val="sk-SK"/>
        </w:rPr>
        <w:t>oblasti slnečnej energie</w:t>
      </w:r>
      <w:r w:rsidR="00CC26EA" w:rsidRPr="00CC26EA">
        <w:rPr>
          <w:noProof/>
          <w:spacing w:val="-6"/>
          <w:lang w:val="sk-SK"/>
        </w:rPr>
        <w:t xml:space="preserve"> a </w:t>
      </w:r>
      <w:r w:rsidRPr="00CC26EA">
        <w:rPr>
          <w:noProof/>
          <w:spacing w:val="-6"/>
          <w:lang w:val="sk-SK"/>
        </w:rPr>
        <w:t>veternej energie na pevnine. NEKST je poverený konať na základe svojich zistení bez potreby ďalšieho politického zapojenia,</w:t>
      </w:r>
      <w:r w:rsidR="00CC26EA" w:rsidRPr="00CC26EA">
        <w:rPr>
          <w:noProof/>
          <w:spacing w:val="-6"/>
          <w:lang w:val="sk-SK"/>
        </w:rPr>
        <w:t xml:space="preserve"> a </w:t>
      </w:r>
      <w:r w:rsidRPr="00CC26EA">
        <w:rPr>
          <w:noProof/>
          <w:spacing w:val="-6"/>
          <w:lang w:val="sk-SK"/>
        </w:rPr>
        <w:t>to aj odstránením alebo zmenou postupov miestnych, regionálnych</w:t>
      </w:r>
      <w:r w:rsidR="00CC26EA" w:rsidRPr="00CC26EA">
        <w:rPr>
          <w:noProof/>
          <w:spacing w:val="-6"/>
          <w:lang w:val="sk-SK"/>
        </w:rPr>
        <w:t xml:space="preserve"> a </w:t>
      </w:r>
      <w:r w:rsidRPr="00CC26EA">
        <w:rPr>
          <w:noProof/>
          <w:spacing w:val="-6"/>
          <w:lang w:val="sk-SK"/>
        </w:rPr>
        <w:t>vnútroštátnych správnych orgánov, pokiaľ tieto zistenia nemajú legislatívne dôsledky alebo vplyv na rozpočet.</w:t>
      </w:r>
      <w:r w:rsidR="00CC26EA" w:rsidRPr="00CC26EA">
        <w:rPr>
          <w:noProof/>
          <w:spacing w:val="-6"/>
          <w:lang w:val="sk-SK"/>
        </w:rPr>
        <w:t xml:space="preserve"> V </w:t>
      </w:r>
      <w:r w:rsidRPr="00CC26EA">
        <w:rPr>
          <w:noProof/>
          <w:spacing w:val="-6"/>
          <w:lang w:val="sk-SK"/>
        </w:rPr>
        <w:t>druhom prípade je spoločnosť NEKST poverená iniciovaním príslušných politických krokov. Pracovnej skupine pomáha sekretariát, za ktorý zodpovedá ministerstvo pre klímu, energetiku</w:t>
      </w:r>
      <w:r w:rsidR="00CC26EA" w:rsidRPr="00CC26EA">
        <w:rPr>
          <w:noProof/>
          <w:spacing w:val="-6"/>
          <w:lang w:val="sk-SK"/>
        </w:rPr>
        <w:t xml:space="preserve"> a </w:t>
      </w:r>
      <w:r w:rsidRPr="00CC26EA">
        <w:rPr>
          <w:noProof/>
          <w:spacing w:val="-6"/>
          <w:lang w:val="sk-SK"/>
        </w:rPr>
        <w:t>verejnoprospešné služby. NEKST sa zameriava na prierezovú koordináciu, do ktorej sú zapojené príslušné orgány</w:t>
      </w:r>
      <w:r w:rsidR="00CC26EA" w:rsidRPr="00CC26EA">
        <w:rPr>
          <w:noProof/>
          <w:spacing w:val="-6"/>
          <w:lang w:val="sk-SK"/>
        </w:rPr>
        <w:t xml:space="preserve"> a </w:t>
      </w:r>
      <w:r w:rsidRPr="00CC26EA">
        <w:rPr>
          <w:noProof/>
          <w:spacing w:val="-6"/>
          <w:lang w:val="sk-SK"/>
        </w:rPr>
        <w:t>odborníci</w:t>
      </w:r>
      <w:r w:rsidR="00CC26EA" w:rsidRPr="00CC26EA">
        <w:rPr>
          <w:noProof/>
          <w:spacing w:val="-6"/>
          <w:lang w:val="sk-SK"/>
        </w:rPr>
        <w:t xml:space="preserve"> s </w:t>
      </w:r>
      <w:r w:rsidRPr="00CC26EA">
        <w:rPr>
          <w:noProof/>
          <w:spacing w:val="-6"/>
          <w:lang w:val="sk-SK"/>
        </w:rPr>
        <w:t>cieľom konať rýchlo</w:t>
      </w:r>
      <w:r w:rsidR="00CC26EA" w:rsidRPr="00CC26EA">
        <w:rPr>
          <w:noProof/>
          <w:spacing w:val="-6"/>
          <w:lang w:val="sk-SK"/>
        </w:rPr>
        <w:t xml:space="preserve"> a </w:t>
      </w:r>
      <w:r w:rsidRPr="00CC26EA">
        <w:rPr>
          <w:noProof/>
          <w:spacing w:val="-6"/>
          <w:lang w:val="sk-SK"/>
        </w:rPr>
        <w:t>operatívne. Pracovnú skupinu podporujú podskupiny zložené zo zainteresovaných strán, ktoré sa zaoberajú konkrétnymi otázkami, na ktoré sa každá skupina zameriava.</w:t>
      </w:r>
    </w:p>
    <w:p w14:paraId="69DC0DC0" w14:textId="01929DDF" w:rsidR="00F65654" w:rsidRPr="00CC26EA" w:rsidRDefault="0041081E">
      <w:pPr>
        <w:pStyle w:val="P68B1DB1-ListParagraph11"/>
        <w:numPr>
          <w:ilvl w:val="0"/>
          <w:numId w:val="48"/>
        </w:numPr>
        <w:spacing w:before="120" w:after="120" w:line="240" w:lineRule="auto"/>
        <w:jc w:val="both"/>
        <w:rPr>
          <w:noProof/>
          <w:spacing w:val="-6"/>
          <w:lang w:val="sk-SK"/>
        </w:rPr>
      </w:pPr>
      <w:r w:rsidRPr="00CC26EA">
        <w:rPr>
          <w:b/>
          <w:noProof/>
          <w:spacing w:val="-6"/>
          <w:lang w:val="sk-SK"/>
        </w:rPr>
        <w:t>Čiastková reforma 1:</w:t>
      </w:r>
      <w:r w:rsidRPr="00CC26EA">
        <w:rPr>
          <w:noProof/>
          <w:spacing w:val="-6"/>
          <w:lang w:val="sk-SK"/>
        </w:rPr>
        <w:t xml:space="preserve"> NEKST podporuje postupné vyraďovanie plynu na vykurovanie</w:t>
      </w:r>
      <w:r w:rsidR="00CC26EA" w:rsidRPr="00CC26EA">
        <w:rPr>
          <w:noProof/>
          <w:spacing w:val="-6"/>
          <w:lang w:val="sk-SK"/>
        </w:rPr>
        <w:t xml:space="preserve"> a </w:t>
      </w:r>
      <w:r w:rsidRPr="00CC26EA">
        <w:rPr>
          <w:noProof/>
          <w:spacing w:val="-6"/>
          <w:lang w:val="sk-SK"/>
        </w:rPr>
        <w:t>prispieva</w:t>
      </w:r>
      <w:r w:rsidR="00CC26EA" w:rsidRPr="00CC26EA">
        <w:rPr>
          <w:noProof/>
          <w:spacing w:val="-6"/>
          <w:lang w:val="sk-SK"/>
        </w:rPr>
        <w:t xml:space="preserve"> k </w:t>
      </w:r>
      <w:r w:rsidRPr="00CC26EA">
        <w:rPr>
          <w:noProof/>
          <w:spacing w:val="-6"/>
          <w:lang w:val="sk-SK"/>
        </w:rPr>
        <w:t>jeho nahradeniu obnoviteľnými zdrojmi energie. Táto čiastková reforma 1 je dvojaká:</w:t>
      </w:r>
    </w:p>
    <w:p w14:paraId="69B74B31" w14:textId="3F5CF75E" w:rsidR="00CC26EA" w:rsidRPr="00CC26EA" w:rsidRDefault="0041081E">
      <w:pPr>
        <w:pStyle w:val="NormalLeft"/>
        <w:ind w:left="720"/>
        <w:jc w:val="both"/>
        <w:rPr>
          <w:noProof/>
          <w:spacing w:val="-6"/>
          <w:lang w:val="sk-SK"/>
        </w:rPr>
      </w:pPr>
      <w:r w:rsidRPr="00CC26EA">
        <w:rPr>
          <w:noProof/>
          <w:spacing w:val="-6"/>
          <w:lang w:val="sk-SK"/>
        </w:rPr>
        <w:t>Čiastková reforma 1a:  NEKST preskúma osobitné opatrenia na odstránenie prekážok</w:t>
      </w:r>
      <w:r w:rsidR="00CC26EA" w:rsidRPr="00CC26EA">
        <w:rPr>
          <w:noProof/>
          <w:spacing w:val="-6"/>
          <w:lang w:val="sk-SK"/>
        </w:rPr>
        <w:t xml:space="preserve"> a </w:t>
      </w:r>
      <w:r w:rsidRPr="00CC26EA">
        <w:rPr>
          <w:noProof/>
          <w:spacing w:val="-6"/>
          <w:lang w:val="sk-SK"/>
        </w:rPr>
        <w:t>skrátenie administratívnych postupov prípravy</w:t>
      </w:r>
      <w:r w:rsidR="00CC26EA" w:rsidRPr="00CC26EA">
        <w:rPr>
          <w:noProof/>
          <w:spacing w:val="-6"/>
          <w:lang w:val="sk-SK"/>
        </w:rPr>
        <w:t xml:space="preserve"> a </w:t>
      </w:r>
      <w:r w:rsidRPr="00CC26EA">
        <w:rPr>
          <w:noProof/>
          <w:spacing w:val="-6"/>
          <w:lang w:val="sk-SK"/>
        </w:rPr>
        <w:t>schvaľovania projektov diaľkového vykurovania</w:t>
      </w:r>
      <w:r w:rsidR="00CC26EA" w:rsidRPr="00CC26EA">
        <w:rPr>
          <w:noProof/>
          <w:spacing w:val="-6"/>
          <w:lang w:val="sk-SK"/>
        </w:rPr>
        <w:t>.</w:t>
      </w:r>
    </w:p>
    <w:p w14:paraId="6F69116F" w14:textId="1BECD829" w:rsidR="00F65654" w:rsidRPr="00CC26EA" w:rsidRDefault="0041081E">
      <w:pPr>
        <w:pStyle w:val="NormalLeft"/>
        <w:ind w:left="720"/>
        <w:jc w:val="both"/>
        <w:rPr>
          <w:noProof/>
          <w:spacing w:val="-6"/>
          <w:lang w:val="sk-SK"/>
        </w:rPr>
      </w:pPr>
      <w:r w:rsidRPr="00CC26EA">
        <w:rPr>
          <w:noProof/>
          <w:spacing w:val="-6"/>
          <w:lang w:val="sk-SK"/>
        </w:rPr>
        <w:t>Čiastková reforma 1b:</w:t>
      </w:r>
      <w:r w:rsidR="00CC26EA" w:rsidRPr="00CC26EA">
        <w:rPr>
          <w:noProof/>
          <w:spacing w:val="-6"/>
          <w:lang w:val="sk-SK"/>
        </w:rPr>
        <w:t xml:space="preserve"> V </w:t>
      </w:r>
      <w:r w:rsidRPr="00CC26EA">
        <w:rPr>
          <w:noProof/>
          <w:spacing w:val="-6"/>
          <w:lang w:val="sk-SK"/>
        </w:rPr>
        <w:t>oblastiach, kde diaľkové vykurovanie nie je ekonomicky životaschopné, NEKST zabezpečí, aby občania dostávali relevantné informácie</w:t>
      </w:r>
      <w:r w:rsidR="00CC26EA" w:rsidRPr="00CC26EA">
        <w:rPr>
          <w:noProof/>
          <w:spacing w:val="-6"/>
          <w:lang w:val="sk-SK"/>
        </w:rPr>
        <w:t xml:space="preserve"> o </w:t>
      </w:r>
      <w:r w:rsidRPr="00CC26EA">
        <w:rPr>
          <w:noProof/>
          <w:spacing w:val="-6"/>
          <w:lang w:val="sk-SK"/>
        </w:rPr>
        <w:t>ekologických riešeniach postupného vyraďovania plynu na vykurovanie domácností. NEKST identifikuje prekážky prechodu na iné ekologické riešenia vykurovania.</w:t>
      </w:r>
    </w:p>
    <w:p w14:paraId="2CCED539" w14:textId="33513948" w:rsidR="00F65654" w:rsidRPr="00CC26EA" w:rsidRDefault="0041081E">
      <w:pPr>
        <w:pStyle w:val="P68B1DB1-ListParagraph11"/>
        <w:numPr>
          <w:ilvl w:val="0"/>
          <w:numId w:val="48"/>
        </w:numPr>
        <w:spacing w:before="120" w:after="120" w:line="240" w:lineRule="auto"/>
        <w:jc w:val="both"/>
        <w:rPr>
          <w:noProof/>
          <w:spacing w:val="-6"/>
          <w:lang w:val="sk-SK"/>
        </w:rPr>
      </w:pPr>
      <w:r w:rsidRPr="00CC26EA">
        <w:rPr>
          <w:b/>
          <w:noProof/>
          <w:spacing w:val="-6"/>
          <w:lang w:val="sk-SK"/>
        </w:rPr>
        <w:t>Čiastková reforma 2</w:t>
      </w:r>
      <w:r w:rsidRPr="00CC26EA">
        <w:rPr>
          <w:noProof/>
          <w:spacing w:val="-6"/>
          <w:lang w:val="sk-SK"/>
        </w:rPr>
        <w:t>: NEKST identifikuje</w:t>
      </w:r>
      <w:r w:rsidR="00CC26EA" w:rsidRPr="00CC26EA">
        <w:rPr>
          <w:noProof/>
          <w:spacing w:val="-6"/>
          <w:lang w:val="sk-SK"/>
        </w:rPr>
        <w:t xml:space="preserve"> a </w:t>
      </w:r>
      <w:r w:rsidRPr="00CC26EA">
        <w:rPr>
          <w:noProof/>
          <w:spacing w:val="-6"/>
          <w:lang w:val="sk-SK"/>
        </w:rPr>
        <w:t>odstraňuje prekážky rozširovania slnečnej</w:t>
      </w:r>
      <w:r w:rsidR="00CC26EA" w:rsidRPr="00CC26EA">
        <w:rPr>
          <w:noProof/>
          <w:spacing w:val="-6"/>
          <w:lang w:val="sk-SK"/>
        </w:rPr>
        <w:t xml:space="preserve"> a </w:t>
      </w:r>
      <w:r w:rsidRPr="00CC26EA">
        <w:rPr>
          <w:noProof/>
          <w:spacing w:val="-6"/>
          <w:lang w:val="sk-SK"/>
        </w:rPr>
        <w:t>veternej energie na pevnine. To zahŕňa, hoci nie vyčerpávajúce, skrátenie času postupu udeľovania povolení, rozdelenie úloh medzi štátne</w:t>
      </w:r>
      <w:r w:rsidR="00CC26EA" w:rsidRPr="00CC26EA">
        <w:rPr>
          <w:noProof/>
          <w:spacing w:val="-6"/>
          <w:lang w:val="sk-SK"/>
        </w:rPr>
        <w:t xml:space="preserve"> a </w:t>
      </w:r>
      <w:r w:rsidRPr="00CC26EA">
        <w:rPr>
          <w:noProof/>
          <w:spacing w:val="-6"/>
          <w:lang w:val="sk-SK"/>
        </w:rPr>
        <w:t>obecné orgány, efektívnosť zavedených pravidiel, účinnosť zdrojov</w:t>
      </w:r>
      <w:r w:rsidR="00CC26EA" w:rsidRPr="00CC26EA">
        <w:rPr>
          <w:noProof/>
          <w:spacing w:val="-6"/>
          <w:lang w:val="sk-SK"/>
        </w:rPr>
        <w:t xml:space="preserve"> a </w:t>
      </w:r>
      <w:r w:rsidRPr="00CC26EA">
        <w:rPr>
          <w:noProof/>
          <w:spacing w:val="-6"/>
          <w:lang w:val="sk-SK"/>
        </w:rPr>
        <w:t>právomocí, ktoré majú príslušné orgány</w:t>
      </w:r>
      <w:r w:rsidR="00CC26EA" w:rsidRPr="00CC26EA">
        <w:rPr>
          <w:noProof/>
          <w:spacing w:val="-6"/>
          <w:lang w:val="sk-SK"/>
        </w:rPr>
        <w:t xml:space="preserve"> k </w:t>
      </w:r>
      <w:r w:rsidRPr="00CC26EA">
        <w:rPr>
          <w:noProof/>
          <w:spacing w:val="-6"/>
          <w:lang w:val="sk-SK"/>
        </w:rPr>
        <w:t>dispozícii.</w:t>
      </w:r>
    </w:p>
    <w:p w14:paraId="15D6B5F7" w14:textId="77777777" w:rsidR="00F65654" w:rsidRPr="00CC26EA" w:rsidRDefault="00F65654">
      <w:pPr>
        <w:spacing w:before="120" w:after="120" w:line="240" w:lineRule="auto"/>
        <w:jc w:val="both"/>
        <w:rPr>
          <w:rFonts w:ascii="Times New Roman" w:hAnsi="Times New Roman"/>
          <w:noProof/>
          <w:spacing w:val="-6"/>
          <w:sz w:val="24"/>
          <w:u w:val="single"/>
          <w:lang w:val="sk-SK"/>
        </w:rPr>
      </w:pPr>
    </w:p>
    <w:p w14:paraId="690F786E" w14:textId="77777777" w:rsidR="00F65654" w:rsidRPr="00CC26EA" w:rsidRDefault="0041081E">
      <w:pPr>
        <w:pStyle w:val="P68B1DB1-Normal9"/>
        <w:spacing w:before="120" w:after="120" w:line="240" w:lineRule="auto"/>
        <w:jc w:val="both"/>
        <w:rPr>
          <w:noProof/>
          <w:spacing w:val="-6"/>
          <w:lang w:val="sk-SK"/>
        </w:rPr>
      </w:pPr>
      <w:r w:rsidRPr="00CC26EA">
        <w:rPr>
          <w:noProof/>
          <w:spacing w:val="-6"/>
          <w:lang w:val="sk-SK"/>
        </w:rPr>
        <w:t>Investícia 1: Podpora zavádzania veternej energie</w:t>
      </w:r>
    </w:p>
    <w:p w14:paraId="42174D29" w14:textId="3E4ED1E1" w:rsidR="00F65654" w:rsidRPr="00CC26EA" w:rsidRDefault="0041081E">
      <w:pPr>
        <w:pStyle w:val="NormalLeft"/>
        <w:jc w:val="both"/>
        <w:rPr>
          <w:noProof/>
          <w:spacing w:val="-6"/>
          <w:lang w:val="sk-SK"/>
        </w:rPr>
      </w:pPr>
      <w:r w:rsidRPr="00CC26EA">
        <w:rPr>
          <w:noProof/>
          <w:spacing w:val="-6"/>
          <w:lang w:val="sk-SK"/>
        </w:rPr>
        <w:t>Táto investícia pozostáva</w:t>
      </w:r>
      <w:r w:rsidR="00CC26EA" w:rsidRPr="00CC26EA">
        <w:rPr>
          <w:noProof/>
          <w:spacing w:val="-6"/>
          <w:lang w:val="sk-SK"/>
        </w:rPr>
        <w:t xml:space="preserve"> z </w:t>
      </w:r>
      <w:r w:rsidRPr="00CC26EA">
        <w:rPr>
          <w:noProof/>
          <w:spacing w:val="-6"/>
          <w:lang w:val="sk-SK"/>
        </w:rPr>
        <w:t>troch čiastkových opatrení. Celkovým cieľom je podporiť zavádzanie veternej energie</w:t>
      </w:r>
      <w:r w:rsidR="00CC26EA" w:rsidRPr="00CC26EA">
        <w:rPr>
          <w:noProof/>
          <w:spacing w:val="-6"/>
          <w:lang w:val="sk-SK"/>
        </w:rPr>
        <w:t xml:space="preserve"> a </w:t>
      </w:r>
      <w:r w:rsidRPr="00CC26EA">
        <w:rPr>
          <w:noProof/>
          <w:spacing w:val="-6"/>
          <w:lang w:val="sk-SK"/>
        </w:rPr>
        <w:t>prispieť</w:t>
      </w:r>
      <w:r w:rsidR="00CC26EA" w:rsidRPr="00CC26EA">
        <w:rPr>
          <w:noProof/>
          <w:spacing w:val="-6"/>
          <w:lang w:val="sk-SK"/>
        </w:rPr>
        <w:t xml:space="preserve"> k </w:t>
      </w:r>
      <w:r w:rsidRPr="00CC26EA">
        <w:rPr>
          <w:noProof/>
          <w:spacing w:val="-6"/>
          <w:lang w:val="sk-SK"/>
        </w:rPr>
        <w:t>dosiahnutiu cieľa EÚ, ktorým je 300 gigaWatt (GW) veternej energie na mori</w:t>
      </w:r>
      <w:r w:rsidR="00CC26EA" w:rsidRPr="00CC26EA">
        <w:rPr>
          <w:noProof/>
          <w:spacing w:val="-6"/>
          <w:lang w:val="sk-SK"/>
        </w:rPr>
        <w:t xml:space="preserve"> v </w:t>
      </w:r>
      <w:r w:rsidRPr="00CC26EA">
        <w:rPr>
          <w:noProof/>
          <w:spacing w:val="-6"/>
          <w:lang w:val="sk-SK"/>
        </w:rPr>
        <w:t>Európe do roku 2050.</w:t>
      </w:r>
    </w:p>
    <w:p w14:paraId="12F7ED3F" w14:textId="76EABD60" w:rsidR="00F65654" w:rsidRPr="00CC26EA" w:rsidRDefault="0041081E">
      <w:pPr>
        <w:pStyle w:val="P68B1DB1-ListParagraph11"/>
        <w:numPr>
          <w:ilvl w:val="0"/>
          <w:numId w:val="49"/>
        </w:numPr>
        <w:spacing w:before="120" w:after="120" w:line="240" w:lineRule="auto"/>
        <w:jc w:val="both"/>
        <w:rPr>
          <w:noProof/>
          <w:spacing w:val="-6"/>
          <w:lang w:val="sk-SK"/>
        </w:rPr>
      </w:pPr>
      <w:r w:rsidRPr="00CC26EA">
        <w:rPr>
          <w:b/>
          <w:noProof/>
          <w:spacing w:val="-6"/>
          <w:lang w:val="sk-SK"/>
        </w:rPr>
        <w:t>Čiastkové opatrenie 1</w:t>
      </w:r>
      <w:r w:rsidRPr="00CC26EA">
        <w:rPr>
          <w:noProof/>
          <w:spacing w:val="-6"/>
          <w:lang w:val="sk-SK"/>
        </w:rPr>
        <w:t>: Prípravy na rozšírenie veternej energie na mori</w:t>
      </w:r>
      <w:r w:rsidR="00CC26EA" w:rsidRPr="00CC26EA">
        <w:rPr>
          <w:noProof/>
          <w:spacing w:val="-6"/>
          <w:lang w:val="sk-SK"/>
        </w:rPr>
        <w:t xml:space="preserve"> o </w:t>
      </w:r>
      <w:r w:rsidRPr="00CC26EA">
        <w:rPr>
          <w:noProof/>
          <w:spacing w:val="-6"/>
          <w:lang w:val="sk-SK"/>
        </w:rPr>
        <w:t>4 gigawatty (GW). Očakáva sa, že toto opatrenie uľahčí rozšírenie výroby veternej energie na mori</w:t>
      </w:r>
      <w:r w:rsidR="00CC26EA" w:rsidRPr="00CC26EA">
        <w:rPr>
          <w:noProof/>
          <w:spacing w:val="-6"/>
          <w:lang w:val="sk-SK"/>
        </w:rPr>
        <w:t xml:space="preserve"> v </w:t>
      </w:r>
      <w:r w:rsidRPr="00CC26EA">
        <w:rPr>
          <w:noProof/>
          <w:spacing w:val="-6"/>
          <w:lang w:val="sk-SK"/>
        </w:rPr>
        <w:t>Dánsku. Pokrýva náklady na prípravu výzvy na predkladanie ponúk na veternú energiu na mori</w:t>
      </w:r>
      <w:r w:rsidR="00CC26EA" w:rsidRPr="00CC26EA">
        <w:rPr>
          <w:noProof/>
          <w:spacing w:val="-6"/>
          <w:lang w:val="sk-SK"/>
        </w:rPr>
        <w:t xml:space="preserve"> s </w:t>
      </w:r>
      <w:r w:rsidRPr="00CC26EA">
        <w:rPr>
          <w:noProof/>
          <w:spacing w:val="-6"/>
          <w:lang w:val="sk-SK"/>
        </w:rPr>
        <w:t>výkonom 4 GW</w:t>
      </w:r>
      <w:r w:rsidR="00CC26EA" w:rsidRPr="00CC26EA">
        <w:rPr>
          <w:noProof/>
          <w:spacing w:val="-6"/>
          <w:lang w:val="sk-SK"/>
        </w:rPr>
        <w:t xml:space="preserve"> a </w:t>
      </w:r>
      <w:r w:rsidRPr="00CC26EA">
        <w:rPr>
          <w:noProof/>
          <w:spacing w:val="-6"/>
          <w:lang w:val="sk-SK"/>
        </w:rPr>
        <w:t>na uverejnenie aspoň jednej výzvy. Vzhľadom na rozsah výzvy</w:t>
      </w:r>
      <w:r w:rsidR="00CC26EA" w:rsidRPr="00CC26EA">
        <w:rPr>
          <w:noProof/>
          <w:spacing w:val="-6"/>
          <w:lang w:val="sk-SK"/>
        </w:rPr>
        <w:t xml:space="preserve"> a </w:t>
      </w:r>
      <w:r w:rsidRPr="00CC26EA">
        <w:rPr>
          <w:noProof/>
          <w:spacing w:val="-6"/>
          <w:lang w:val="sk-SK"/>
        </w:rPr>
        <w:t>neistú reakciu trhu by mohlo byť potrebné viac ako jedno kolo výziev na predkladanie ponúk.</w:t>
      </w:r>
      <w:r w:rsidR="00CC26EA" w:rsidRPr="00CC26EA">
        <w:rPr>
          <w:noProof/>
          <w:spacing w:val="-6"/>
          <w:lang w:val="sk-SK"/>
        </w:rPr>
        <w:t xml:space="preserve"> V </w:t>
      </w:r>
      <w:r w:rsidRPr="00CC26EA">
        <w:rPr>
          <w:noProof/>
          <w:spacing w:val="-6"/>
          <w:lang w:val="sk-SK"/>
        </w:rPr>
        <w:t>tomto prípade sa termín míľnika vzťahuje na prvé kolo výzvy. Opatrenie vykoná dánska energetická agentúra.</w:t>
      </w:r>
    </w:p>
    <w:p w14:paraId="3A0FA97B" w14:textId="2A276B5E" w:rsidR="00CC26EA" w:rsidRPr="00CC26EA" w:rsidRDefault="0041081E">
      <w:pPr>
        <w:pStyle w:val="P68B1DB1-ListParagraph11"/>
        <w:numPr>
          <w:ilvl w:val="0"/>
          <w:numId w:val="49"/>
        </w:numPr>
        <w:spacing w:before="120" w:after="120" w:line="240" w:lineRule="auto"/>
        <w:jc w:val="both"/>
        <w:rPr>
          <w:noProof/>
          <w:spacing w:val="-6"/>
          <w:lang w:val="sk-SK"/>
        </w:rPr>
      </w:pPr>
      <w:r w:rsidRPr="00CC26EA">
        <w:rPr>
          <w:b/>
          <w:noProof/>
          <w:spacing w:val="-6"/>
          <w:lang w:val="sk-SK"/>
        </w:rPr>
        <w:t>Čiastkové opatrenie 2</w:t>
      </w:r>
      <w:r w:rsidRPr="00CC26EA">
        <w:rPr>
          <w:noProof/>
          <w:spacing w:val="-6"/>
          <w:lang w:val="sk-SK"/>
        </w:rPr>
        <w:t>: Kontrola kapacity Dánska</w:t>
      </w:r>
      <w:r w:rsidR="00CC26EA" w:rsidRPr="00CC26EA">
        <w:rPr>
          <w:noProof/>
          <w:spacing w:val="-6"/>
          <w:lang w:val="sk-SK"/>
        </w:rPr>
        <w:t xml:space="preserve"> v </w:t>
      </w:r>
      <w:r w:rsidRPr="00CC26EA">
        <w:rPr>
          <w:noProof/>
          <w:spacing w:val="-6"/>
          <w:lang w:val="sk-SK"/>
        </w:rPr>
        <w:t>oblasti veternej energie na mori: Očakáva sa, že opatrením sa podporí rozšírenie dánskej výroby veternej energie na mori. Opatrenie vykonáva pracovná skupina</w:t>
      </w:r>
      <w:r w:rsidR="00CC26EA" w:rsidRPr="00CC26EA">
        <w:rPr>
          <w:noProof/>
          <w:spacing w:val="-6"/>
          <w:lang w:val="sk-SK"/>
        </w:rPr>
        <w:t xml:space="preserve"> v </w:t>
      </w:r>
      <w:r w:rsidRPr="00CC26EA">
        <w:rPr>
          <w:noProof/>
          <w:spacing w:val="-6"/>
          <w:lang w:val="sk-SK"/>
        </w:rPr>
        <w:t>rámci dánskej energetickej agentúry. Opatrenie sa okrem iného zameriava na uskutočnenie hĺbkového preverovania</w:t>
      </w:r>
      <w:r w:rsidR="00CC26EA" w:rsidRPr="00CC26EA">
        <w:rPr>
          <w:noProof/>
          <w:spacing w:val="-6"/>
          <w:lang w:val="sk-SK"/>
        </w:rPr>
        <w:t xml:space="preserve"> a </w:t>
      </w:r>
      <w:r w:rsidRPr="00CC26EA">
        <w:rPr>
          <w:noProof/>
          <w:spacing w:val="-6"/>
          <w:lang w:val="sk-SK"/>
        </w:rPr>
        <w:t>posúdenia vnútroštátneho potenciálu veternej energie na mori, zber údajov na podporu plánovania</w:t>
      </w:r>
      <w:r w:rsidR="00CC26EA" w:rsidRPr="00CC26EA">
        <w:rPr>
          <w:noProof/>
          <w:spacing w:val="-6"/>
          <w:lang w:val="sk-SK"/>
        </w:rPr>
        <w:t xml:space="preserve"> a </w:t>
      </w:r>
      <w:r w:rsidRPr="00CC26EA">
        <w:rPr>
          <w:noProof/>
          <w:spacing w:val="-6"/>
          <w:lang w:val="sk-SK"/>
        </w:rPr>
        <w:t>zavádzania projektov</w:t>
      </w:r>
      <w:r w:rsidR="00CC26EA" w:rsidRPr="00CC26EA">
        <w:rPr>
          <w:noProof/>
          <w:spacing w:val="-6"/>
          <w:lang w:val="sk-SK"/>
        </w:rPr>
        <w:t xml:space="preserve"> v </w:t>
      </w:r>
      <w:r w:rsidRPr="00CC26EA">
        <w:rPr>
          <w:noProof/>
          <w:spacing w:val="-6"/>
          <w:lang w:val="sk-SK"/>
        </w:rPr>
        <w:t>oblasti veternej energie na mori, posúdenie možných kumulatívnych účinkov rozsiahleho rozšírenia výroby veternej energie na mori</w:t>
      </w:r>
      <w:r w:rsidR="00CC26EA" w:rsidRPr="00CC26EA">
        <w:rPr>
          <w:noProof/>
          <w:spacing w:val="-6"/>
          <w:lang w:val="sk-SK"/>
        </w:rPr>
        <w:t xml:space="preserve"> v </w:t>
      </w:r>
      <w:r w:rsidRPr="00CC26EA">
        <w:rPr>
          <w:noProof/>
          <w:spacing w:val="-6"/>
          <w:lang w:val="sk-SK"/>
        </w:rPr>
        <w:t>Dánsku, ako aj</w:t>
      </w:r>
      <w:r w:rsidR="00CC26EA" w:rsidRPr="00CC26EA">
        <w:rPr>
          <w:noProof/>
          <w:spacing w:val="-6"/>
          <w:lang w:val="sk-SK"/>
        </w:rPr>
        <w:t xml:space="preserve"> v </w:t>
      </w:r>
      <w:r w:rsidRPr="00CC26EA">
        <w:rPr>
          <w:noProof/>
          <w:spacing w:val="-6"/>
          <w:lang w:val="sk-SK"/>
        </w:rPr>
        <w:t>susedných krajinách</w:t>
      </w:r>
      <w:r w:rsidR="00CC26EA" w:rsidRPr="00CC26EA">
        <w:rPr>
          <w:noProof/>
          <w:spacing w:val="-6"/>
          <w:lang w:val="sk-SK"/>
        </w:rPr>
        <w:t>.</w:t>
      </w:r>
    </w:p>
    <w:p w14:paraId="58781141" w14:textId="37180A8F" w:rsidR="00CC26EA" w:rsidRPr="00CC26EA" w:rsidRDefault="0041081E">
      <w:pPr>
        <w:pStyle w:val="P68B1DB1-ListParagraph11"/>
        <w:numPr>
          <w:ilvl w:val="0"/>
          <w:numId w:val="49"/>
        </w:numPr>
        <w:spacing w:before="120" w:after="120" w:line="240" w:lineRule="auto"/>
        <w:jc w:val="both"/>
        <w:rPr>
          <w:noProof/>
          <w:spacing w:val="-6"/>
          <w:lang w:val="sk-SK"/>
        </w:rPr>
      </w:pPr>
      <w:r w:rsidRPr="00CC26EA">
        <w:rPr>
          <w:b/>
          <w:noProof/>
          <w:spacing w:val="-6"/>
          <w:lang w:val="sk-SK"/>
        </w:rPr>
        <w:t>Čiastkové opatrenie 3</w:t>
      </w:r>
      <w:r w:rsidRPr="00CC26EA">
        <w:rPr>
          <w:noProof/>
          <w:spacing w:val="-6"/>
          <w:lang w:val="sk-SK"/>
        </w:rPr>
        <w:t>: Podpora uvedenia experimentálnych veterných turbín do prevádzky: Očakáva sa, že opatrenie bude rozvíjať vnútroštátnu výrobu veternej energie tým, že sa účastníkom trhu poskytne investičná podpora pri zadávaní experimentálnych veterných turbín na pevnine alebo na mori. Experimentálna veterná turbína sa uvedie do prevádzky, keď je buď pripojená</w:t>
      </w:r>
      <w:r w:rsidR="00CC26EA" w:rsidRPr="00CC26EA">
        <w:rPr>
          <w:noProof/>
          <w:spacing w:val="-6"/>
          <w:lang w:val="sk-SK"/>
        </w:rPr>
        <w:t xml:space="preserve"> k </w:t>
      </w:r>
      <w:r w:rsidRPr="00CC26EA">
        <w:rPr>
          <w:noProof/>
          <w:spacing w:val="-6"/>
          <w:lang w:val="sk-SK"/>
        </w:rPr>
        <w:t>vnútroštátnej elektrizačnej sústave, alebo</w:t>
      </w:r>
      <w:r w:rsidR="00CC26EA" w:rsidRPr="00CC26EA">
        <w:rPr>
          <w:noProof/>
          <w:spacing w:val="-6"/>
          <w:lang w:val="sk-SK"/>
        </w:rPr>
        <w:t xml:space="preserve"> v </w:t>
      </w:r>
      <w:r w:rsidRPr="00CC26EA">
        <w:rPr>
          <w:noProof/>
          <w:spacing w:val="-6"/>
          <w:lang w:val="sk-SK"/>
        </w:rPr>
        <w:t>prípade veterných turbín, ktoré nie sú pripojené</w:t>
      </w:r>
      <w:r w:rsidR="00CC26EA" w:rsidRPr="00CC26EA">
        <w:rPr>
          <w:noProof/>
          <w:spacing w:val="-6"/>
          <w:lang w:val="sk-SK"/>
        </w:rPr>
        <w:t xml:space="preserve"> k </w:t>
      </w:r>
      <w:r w:rsidRPr="00CC26EA">
        <w:rPr>
          <w:noProof/>
          <w:spacing w:val="-6"/>
          <w:lang w:val="sk-SK"/>
        </w:rPr>
        <w:t>vnútroštátnej elektrizačnej sústave, uvedené do automatizovanej prevádzky. Opatrenie vykoná dánska energetická agentúra</w:t>
      </w:r>
      <w:r w:rsidR="00CC26EA" w:rsidRPr="00CC26EA">
        <w:rPr>
          <w:noProof/>
          <w:spacing w:val="-6"/>
          <w:lang w:val="sk-SK"/>
        </w:rPr>
        <w:t>.</w:t>
      </w:r>
    </w:p>
    <w:p w14:paraId="20C815E3" w14:textId="05E5B5B2" w:rsidR="00F65654" w:rsidRPr="00CC26EA" w:rsidRDefault="00F65654">
      <w:pPr>
        <w:spacing w:before="120" w:after="120" w:line="240" w:lineRule="auto"/>
        <w:jc w:val="both"/>
        <w:rPr>
          <w:rFonts w:ascii="Times New Roman" w:hAnsi="Times New Roman"/>
          <w:noProof/>
          <w:spacing w:val="-6"/>
          <w:sz w:val="24"/>
          <w:lang w:val="sk-SK"/>
        </w:rPr>
      </w:pPr>
    </w:p>
    <w:p w14:paraId="36FC6B86" w14:textId="77777777" w:rsidR="00F65654" w:rsidRPr="00CC26EA" w:rsidRDefault="0041081E">
      <w:pPr>
        <w:pStyle w:val="P68B1DB1-Normal9"/>
        <w:spacing w:before="120" w:after="120" w:line="240" w:lineRule="auto"/>
        <w:jc w:val="both"/>
        <w:rPr>
          <w:noProof/>
          <w:spacing w:val="-6"/>
          <w:lang w:val="sk-SK"/>
        </w:rPr>
      </w:pPr>
      <w:r w:rsidRPr="00CC26EA">
        <w:rPr>
          <w:noProof/>
          <w:spacing w:val="-6"/>
          <w:lang w:val="sk-SK"/>
        </w:rPr>
        <w:t>Investícia 2: Zelené zvyšovanie úrovne zručností</w:t>
      </w:r>
    </w:p>
    <w:p w14:paraId="182A7552" w14:textId="5B6EEB38" w:rsidR="00CC26EA" w:rsidRPr="00CC26EA" w:rsidRDefault="0041081E">
      <w:pPr>
        <w:pStyle w:val="NormalLeft"/>
        <w:jc w:val="both"/>
        <w:rPr>
          <w:noProof/>
          <w:spacing w:val="-6"/>
          <w:lang w:val="sk-SK"/>
        </w:rPr>
      </w:pPr>
      <w:r w:rsidRPr="00CC26EA">
        <w:rPr>
          <w:noProof/>
          <w:spacing w:val="-6"/>
          <w:lang w:val="sk-SK"/>
        </w:rPr>
        <w:t>Cieľom opatrenia je zlepšiť podmienky zeleného zvyšovania úrovne zručností pracovnej sily, pričom zelené zvyšovanie úrovne zručností je rozvoj zručností</w:t>
      </w:r>
      <w:r w:rsidR="00CC26EA" w:rsidRPr="00CC26EA">
        <w:rPr>
          <w:noProof/>
          <w:spacing w:val="-6"/>
          <w:lang w:val="sk-SK"/>
        </w:rPr>
        <w:t xml:space="preserve"> a </w:t>
      </w:r>
      <w:r w:rsidRPr="00CC26EA">
        <w:rPr>
          <w:noProof/>
          <w:spacing w:val="-6"/>
          <w:lang w:val="sk-SK"/>
        </w:rPr>
        <w:t>znalostí súvisiacich so zelenými technológiami</w:t>
      </w:r>
      <w:r w:rsidR="00CC26EA" w:rsidRPr="00CC26EA">
        <w:rPr>
          <w:noProof/>
          <w:spacing w:val="-6"/>
          <w:lang w:val="sk-SK"/>
        </w:rPr>
        <w:t xml:space="preserve"> a </w:t>
      </w:r>
      <w:r w:rsidRPr="00CC26EA">
        <w:rPr>
          <w:noProof/>
          <w:spacing w:val="-6"/>
          <w:lang w:val="sk-SK"/>
        </w:rPr>
        <w:t>udržateľnosťou. Investície sú zamerané na poskytovateľov odborného vzdelávania</w:t>
      </w:r>
      <w:r w:rsidR="00CC26EA" w:rsidRPr="00CC26EA">
        <w:rPr>
          <w:noProof/>
          <w:spacing w:val="-6"/>
          <w:lang w:val="sk-SK"/>
        </w:rPr>
        <w:t xml:space="preserve"> a </w:t>
      </w:r>
      <w:r w:rsidRPr="00CC26EA">
        <w:rPr>
          <w:noProof/>
          <w:spacing w:val="-6"/>
          <w:lang w:val="sk-SK"/>
        </w:rPr>
        <w:t>prípravy</w:t>
      </w:r>
      <w:r w:rsidR="00CC26EA" w:rsidRPr="00CC26EA">
        <w:rPr>
          <w:noProof/>
          <w:spacing w:val="-6"/>
          <w:lang w:val="sk-SK"/>
        </w:rPr>
        <w:t xml:space="preserve"> a </w:t>
      </w:r>
      <w:r w:rsidRPr="00CC26EA">
        <w:rPr>
          <w:noProof/>
          <w:spacing w:val="-6"/>
          <w:lang w:val="sk-SK"/>
        </w:rPr>
        <w:t>odbornej prípravy dospelých. Finančné prostriedky sa použijú i) na nákup vybavenia prispievajúceho</w:t>
      </w:r>
      <w:r w:rsidR="00CC26EA" w:rsidRPr="00CC26EA">
        <w:rPr>
          <w:noProof/>
          <w:spacing w:val="-6"/>
          <w:lang w:val="sk-SK"/>
        </w:rPr>
        <w:t xml:space="preserve"> k </w:t>
      </w:r>
      <w:r w:rsidRPr="00CC26EA">
        <w:rPr>
          <w:noProof/>
          <w:spacing w:val="-6"/>
          <w:lang w:val="sk-SK"/>
        </w:rPr>
        <w:t>rozvoju zručností</w:t>
      </w:r>
      <w:r w:rsidR="00CC26EA" w:rsidRPr="00CC26EA">
        <w:rPr>
          <w:noProof/>
          <w:spacing w:val="-6"/>
          <w:lang w:val="sk-SK"/>
        </w:rPr>
        <w:t xml:space="preserve"> a </w:t>
      </w:r>
      <w:r w:rsidRPr="00CC26EA">
        <w:rPr>
          <w:noProof/>
          <w:spacing w:val="-6"/>
          <w:lang w:val="sk-SK"/>
        </w:rPr>
        <w:t>znalostí súvisiacich so zelenými technológiami</w:t>
      </w:r>
      <w:r w:rsidR="00CC26EA" w:rsidRPr="00CC26EA">
        <w:rPr>
          <w:noProof/>
          <w:spacing w:val="-6"/>
          <w:lang w:val="sk-SK"/>
        </w:rPr>
        <w:t xml:space="preserve"> a </w:t>
      </w:r>
      <w:r w:rsidRPr="00CC26EA">
        <w:rPr>
          <w:noProof/>
          <w:spacing w:val="-6"/>
          <w:lang w:val="sk-SK"/>
        </w:rPr>
        <w:t>udržateľnosťou, ii) na rozvoj zručností učiteľov súvisiacich so zelenými technológiami</w:t>
      </w:r>
      <w:r w:rsidR="00CC26EA" w:rsidRPr="00CC26EA">
        <w:rPr>
          <w:noProof/>
          <w:spacing w:val="-6"/>
          <w:lang w:val="sk-SK"/>
        </w:rPr>
        <w:t xml:space="preserve"> a </w:t>
      </w:r>
      <w:r w:rsidRPr="00CC26EA">
        <w:rPr>
          <w:noProof/>
          <w:spacing w:val="-6"/>
          <w:lang w:val="sk-SK"/>
        </w:rPr>
        <w:t>udržateľnosťou, iii) na rozvoj</w:t>
      </w:r>
      <w:r w:rsidR="00CC26EA" w:rsidRPr="00CC26EA">
        <w:rPr>
          <w:noProof/>
          <w:spacing w:val="-6"/>
          <w:lang w:val="sk-SK"/>
        </w:rPr>
        <w:t xml:space="preserve"> a </w:t>
      </w:r>
      <w:r w:rsidRPr="00CC26EA">
        <w:rPr>
          <w:noProof/>
          <w:spacing w:val="-6"/>
          <w:lang w:val="sk-SK"/>
        </w:rPr>
        <w:t>testovanie kurzov odbornej prípravy prispievajúcich</w:t>
      </w:r>
      <w:r w:rsidR="00CC26EA" w:rsidRPr="00CC26EA">
        <w:rPr>
          <w:noProof/>
          <w:spacing w:val="-6"/>
          <w:lang w:val="sk-SK"/>
        </w:rPr>
        <w:t xml:space="preserve"> k </w:t>
      </w:r>
      <w:r w:rsidRPr="00CC26EA">
        <w:rPr>
          <w:noProof/>
          <w:spacing w:val="-6"/>
          <w:lang w:val="sk-SK"/>
        </w:rPr>
        <w:t>zvyšovaniu úrovne zelených zručností</w:t>
      </w:r>
      <w:r w:rsidR="00CC26EA" w:rsidRPr="00CC26EA">
        <w:rPr>
          <w:noProof/>
          <w:spacing w:val="-6"/>
          <w:lang w:val="sk-SK"/>
        </w:rPr>
        <w:t>.</w:t>
      </w:r>
    </w:p>
    <w:p w14:paraId="603AD8D2" w14:textId="113ACF2C" w:rsidR="00F65654" w:rsidRPr="00CC26EA" w:rsidRDefault="00F65654">
      <w:pPr>
        <w:spacing w:before="120" w:after="120" w:line="240" w:lineRule="auto"/>
        <w:jc w:val="both"/>
        <w:rPr>
          <w:rFonts w:ascii="Times New Roman" w:hAnsi="Times New Roman"/>
          <w:noProof/>
          <w:spacing w:val="-6"/>
          <w:sz w:val="24"/>
          <w:lang w:val="sk-SK"/>
        </w:rPr>
      </w:pPr>
    </w:p>
    <w:p w14:paraId="655AE3CD" w14:textId="77777777" w:rsidR="00CC26EA" w:rsidRPr="00CC26EA" w:rsidRDefault="0041081E">
      <w:pPr>
        <w:pStyle w:val="P68B1DB1-Normal9"/>
        <w:spacing w:before="120" w:after="120" w:line="240" w:lineRule="auto"/>
        <w:jc w:val="both"/>
        <w:rPr>
          <w:noProof/>
          <w:spacing w:val="-6"/>
          <w:lang w:val="sk-SK"/>
        </w:rPr>
      </w:pPr>
      <w:r w:rsidRPr="00CC26EA">
        <w:rPr>
          <w:noProof/>
          <w:spacing w:val="-6"/>
          <w:lang w:val="sk-SK"/>
        </w:rPr>
        <w:t>Investícia 3: Rozšírené opatrenie: Výmena ropných horákov</w:t>
      </w:r>
      <w:r w:rsidR="00CC26EA" w:rsidRPr="00CC26EA">
        <w:rPr>
          <w:noProof/>
          <w:spacing w:val="-6"/>
          <w:lang w:val="sk-SK"/>
        </w:rPr>
        <w:t xml:space="preserve"> a </w:t>
      </w:r>
      <w:r w:rsidRPr="00CC26EA">
        <w:rPr>
          <w:noProof/>
          <w:spacing w:val="-6"/>
          <w:lang w:val="sk-SK"/>
        </w:rPr>
        <w:t>plynových pecí</w:t>
      </w:r>
    </w:p>
    <w:p w14:paraId="0C99576F" w14:textId="70075BD5" w:rsidR="00F65654" w:rsidRPr="00CC26EA" w:rsidRDefault="0041081E">
      <w:pPr>
        <w:pStyle w:val="NormalLeft"/>
        <w:jc w:val="both"/>
        <w:rPr>
          <w:noProof/>
          <w:spacing w:val="-6"/>
          <w:lang w:val="sk-SK"/>
        </w:rPr>
      </w:pPr>
      <w:r w:rsidRPr="00CC26EA">
        <w:rPr>
          <w:noProof/>
          <w:spacing w:val="-6"/>
          <w:lang w:val="sk-SK"/>
        </w:rPr>
        <w:t>Cieľom tohto opatrenia je zvýšiť investície 1: Nahradenie ropných horákov</w:t>
      </w:r>
      <w:r w:rsidR="00CC26EA" w:rsidRPr="00CC26EA">
        <w:rPr>
          <w:noProof/>
          <w:spacing w:val="-6"/>
          <w:lang w:val="sk-SK"/>
        </w:rPr>
        <w:t xml:space="preserve"> a </w:t>
      </w:r>
      <w:r w:rsidRPr="00CC26EA">
        <w:rPr>
          <w:noProof/>
          <w:spacing w:val="-6"/>
          <w:lang w:val="sk-SK"/>
        </w:rPr>
        <w:t>povrchov plynu</w:t>
      </w:r>
      <w:r w:rsidR="00CC26EA" w:rsidRPr="00CC26EA">
        <w:rPr>
          <w:noProof/>
          <w:spacing w:val="-6"/>
          <w:lang w:val="sk-SK"/>
        </w:rPr>
        <w:t xml:space="preserve"> v </w:t>
      </w:r>
      <w:r w:rsidRPr="00CC26EA">
        <w:rPr>
          <w:noProof/>
          <w:spacing w:val="-6"/>
          <w:lang w:val="sk-SK"/>
        </w:rPr>
        <w:t>rámci zložky 3 existujúceho dánskeho plánu obnovy</w:t>
      </w:r>
      <w:r w:rsidR="00CC26EA" w:rsidRPr="00CC26EA">
        <w:rPr>
          <w:noProof/>
          <w:spacing w:val="-6"/>
          <w:lang w:val="sk-SK"/>
        </w:rPr>
        <w:t xml:space="preserve"> a </w:t>
      </w:r>
      <w:r w:rsidRPr="00CC26EA">
        <w:rPr>
          <w:noProof/>
          <w:spacing w:val="-6"/>
          <w:lang w:val="sk-SK"/>
        </w:rPr>
        <w:t>odolnosti. Rozšírená časť opatrení zvýši ambície súčasného opatrenia tým, že sa zameria na vyšší počet ropných horákov</w:t>
      </w:r>
      <w:r w:rsidR="00CC26EA" w:rsidRPr="00CC26EA">
        <w:rPr>
          <w:noProof/>
          <w:spacing w:val="-6"/>
          <w:lang w:val="sk-SK"/>
        </w:rPr>
        <w:t xml:space="preserve"> a </w:t>
      </w:r>
      <w:r w:rsidRPr="00CC26EA">
        <w:rPr>
          <w:noProof/>
          <w:spacing w:val="-6"/>
          <w:lang w:val="sk-SK"/>
        </w:rPr>
        <w:t>plynových pecí, ktoré sa majú nahradiť tepelnými čerpadlami alebo diaľkovým vykurovaním</w:t>
      </w:r>
      <w:r w:rsidR="00CC26EA" w:rsidRPr="00CC26EA">
        <w:rPr>
          <w:noProof/>
          <w:spacing w:val="-6"/>
          <w:lang w:val="sk-SK"/>
        </w:rPr>
        <w:t xml:space="preserve"> z </w:t>
      </w:r>
      <w:r w:rsidRPr="00CC26EA">
        <w:rPr>
          <w:noProof/>
          <w:spacing w:val="-6"/>
          <w:lang w:val="sk-SK"/>
        </w:rPr>
        <w:t>obnoviteľných zdrojov.</w:t>
      </w:r>
    </w:p>
    <w:p w14:paraId="38BDA63C" w14:textId="77777777" w:rsidR="00F65654" w:rsidRPr="00CC26EA" w:rsidRDefault="00F65654">
      <w:pPr>
        <w:spacing w:before="120" w:after="120" w:line="240" w:lineRule="auto"/>
        <w:jc w:val="both"/>
        <w:rPr>
          <w:rFonts w:ascii="Times New Roman" w:hAnsi="Times New Roman"/>
          <w:noProof/>
          <w:spacing w:val="-6"/>
          <w:sz w:val="24"/>
          <w:lang w:val="sk-SK"/>
        </w:rPr>
      </w:pPr>
    </w:p>
    <w:p w14:paraId="7FD36DF8" w14:textId="77777777" w:rsidR="00CC26EA" w:rsidRPr="00CC26EA" w:rsidRDefault="0041081E">
      <w:pPr>
        <w:pStyle w:val="P68B1DB1-Normal9"/>
        <w:spacing w:before="120" w:after="120" w:line="240" w:lineRule="auto"/>
        <w:jc w:val="both"/>
        <w:rPr>
          <w:noProof/>
          <w:spacing w:val="-6"/>
          <w:lang w:val="sk-SK"/>
        </w:rPr>
      </w:pPr>
      <w:r w:rsidRPr="00CC26EA">
        <w:rPr>
          <w:noProof/>
          <w:spacing w:val="-6"/>
          <w:lang w:val="sk-SK"/>
        </w:rPr>
        <w:t>Investícia 4: Rozšírené opatrenie: Potenciál zachytávania</w:t>
      </w:r>
      <w:r w:rsidR="00CC26EA" w:rsidRPr="00CC26EA">
        <w:rPr>
          <w:noProof/>
          <w:spacing w:val="-6"/>
          <w:lang w:val="sk-SK"/>
        </w:rPr>
        <w:t xml:space="preserve"> a </w:t>
      </w:r>
      <w:r w:rsidRPr="00CC26EA">
        <w:rPr>
          <w:noProof/>
          <w:spacing w:val="-6"/>
          <w:lang w:val="sk-SK"/>
        </w:rPr>
        <w:t>ukladania oxidu uhličitého (CCS)</w:t>
      </w:r>
    </w:p>
    <w:p w14:paraId="2A71CAC5" w14:textId="6AE21F30" w:rsidR="00F65654" w:rsidRPr="00CC26EA" w:rsidRDefault="0041081E">
      <w:pPr>
        <w:pStyle w:val="NormalLeft"/>
        <w:jc w:val="both"/>
        <w:rPr>
          <w:noProof/>
          <w:spacing w:val="-6"/>
          <w:lang w:val="sk-SK"/>
        </w:rPr>
      </w:pPr>
      <w:r w:rsidRPr="00CC26EA">
        <w:rPr>
          <w:noProof/>
          <w:spacing w:val="-6"/>
          <w:lang w:val="sk-SK"/>
        </w:rPr>
        <w:t>Cieľom opatrenia je zvýšiť investície 5: Potenciál zachytávania uhlíka (CCS)</w:t>
      </w:r>
      <w:r w:rsidR="00CC26EA" w:rsidRPr="00CC26EA">
        <w:rPr>
          <w:noProof/>
          <w:spacing w:val="-6"/>
          <w:lang w:val="sk-SK"/>
        </w:rPr>
        <w:t xml:space="preserve"> v </w:t>
      </w:r>
      <w:r w:rsidRPr="00CC26EA">
        <w:rPr>
          <w:noProof/>
          <w:spacing w:val="-6"/>
          <w:lang w:val="sk-SK"/>
        </w:rPr>
        <w:t>rámci zložky 3 existujúceho dánskeho plánu obnovy</w:t>
      </w:r>
      <w:r w:rsidR="00CC26EA" w:rsidRPr="00CC26EA">
        <w:rPr>
          <w:noProof/>
          <w:spacing w:val="-6"/>
          <w:lang w:val="sk-SK"/>
        </w:rPr>
        <w:t xml:space="preserve"> a </w:t>
      </w:r>
      <w:r w:rsidRPr="00CC26EA">
        <w:rPr>
          <w:noProof/>
          <w:spacing w:val="-6"/>
          <w:lang w:val="sk-SK"/>
        </w:rPr>
        <w:t>odolnosti. Opatrenie je kvalitatívnym zvýšením počiatočnej investície, keďže predstavuje ďalší krok pri zavádzaní CCS. Opatrením sa poskytne prevádzková pomoc na záporné emisie CO2 zástupcom, ktorí manipulujú</w:t>
      </w:r>
      <w:r w:rsidR="00CC26EA" w:rsidRPr="00CC26EA">
        <w:rPr>
          <w:noProof/>
          <w:spacing w:val="-6"/>
          <w:lang w:val="sk-SK"/>
        </w:rPr>
        <w:t xml:space="preserve"> s </w:t>
      </w:r>
      <w:r w:rsidRPr="00CC26EA">
        <w:rPr>
          <w:noProof/>
          <w:spacing w:val="-6"/>
          <w:lang w:val="sk-SK"/>
        </w:rPr>
        <w:t>identifikovaným hodnotovým reťazcom prostredníctvom postupu verejného obstarávania. Finančné prostriedky sa poskytujú prostredníctvom fondu pre záporné emisie CCS (fond NECCS), ktorý spravuje Dánska agentúra pre energiu.</w:t>
      </w:r>
      <w:r w:rsidR="00CC26EA" w:rsidRPr="00CC26EA">
        <w:rPr>
          <w:noProof/>
          <w:spacing w:val="-6"/>
          <w:lang w:val="sk-SK"/>
        </w:rPr>
        <w:t xml:space="preserve"> V </w:t>
      </w:r>
      <w:r w:rsidRPr="00CC26EA">
        <w:rPr>
          <w:noProof/>
          <w:spacing w:val="-6"/>
          <w:lang w:val="sk-SK"/>
        </w:rPr>
        <w:t>postupe verejného obstarávania sa stanoví, že prevádzková pomoc sa poskytuje len na zachytávanie</w:t>
      </w:r>
      <w:r w:rsidR="00CC26EA" w:rsidRPr="00CC26EA">
        <w:rPr>
          <w:noProof/>
          <w:spacing w:val="-6"/>
          <w:lang w:val="sk-SK"/>
        </w:rPr>
        <w:t xml:space="preserve"> a </w:t>
      </w:r>
      <w:r w:rsidRPr="00CC26EA">
        <w:rPr>
          <w:noProof/>
          <w:spacing w:val="-6"/>
          <w:lang w:val="sk-SK"/>
        </w:rPr>
        <w:t>geologické ukladanie biogénneho alebo atmosférického CO2.  Fond NECCS podporuje len zachytávanie emisií CO2</w:t>
      </w:r>
      <w:r w:rsidR="00CC26EA" w:rsidRPr="00CC26EA">
        <w:rPr>
          <w:noProof/>
          <w:spacing w:val="-6"/>
          <w:lang w:val="sk-SK"/>
        </w:rPr>
        <w:t xml:space="preserve"> z </w:t>
      </w:r>
      <w:r w:rsidRPr="00CC26EA">
        <w:rPr>
          <w:noProof/>
          <w:spacing w:val="-6"/>
          <w:lang w:val="sk-SK"/>
        </w:rPr>
        <w:t>činností, ktoré nepatria do rozsahu pôsobnosti smernice EÚ 2003/87/ES (smernica</w:t>
      </w:r>
      <w:r w:rsidR="00CC26EA" w:rsidRPr="00CC26EA">
        <w:rPr>
          <w:noProof/>
          <w:spacing w:val="-6"/>
          <w:lang w:val="sk-SK"/>
        </w:rPr>
        <w:t xml:space="preserve"> o </w:t>
      </w:r>
      <w:r w:rsidRPr="00CC26EA">
        <w:rPr>
          <w:noProof/>
          <w:spacing w:val="-6"/>
          <w:lang w:val="sk-SK"/>
        </w:rPr>
        <w:t>EU ETS).</w:t>
      </w:r>
    </w:p>
    <w:p w14:paraId="7330DB9D" w14:textId="35CE1C87" w:rsidR="00F65654" w:rsidRPr="00CC26EA" w:rsidRDefault="0041081E">
      <w:pPr>
        <w:spacing w:before="120" w:after="120" w:line="240" w:lineRule="auto"/>
        <w:jc w:val="both"/>
        <w:rPr>
          <w:rFonts w:ascii="Times New Roman" w:hAnsi="Times New Roman"/>
          <w:noProof/>
          <w:spacing w:val="-6"/>
          <w:sz w:val="24"/>
          <w:lang w:val="sk-SK"/>
        </w:rPr>
        <w:sectPr w:rsidR="00F65654" w:rsidRPr="00CC26EA" w:rsidSect="00A61D33">
          <w:headerReference w:type="even" r:id="rId103"/>
          <w:headerReference w:type="default" r:id="rId104"/>
          <w:footerReference w:type="even" r:id="rId105"/>
          <w:footerReference w:type="default" r:id="rId106"/>
          <w:headerReference w:type="first" r:id="rId107"/>
          <w:footerReference w:type="first" r:id="rId108"/>
          <w:pgSz w:w="11907" w:h="16839"/>
          <w:pgMar w:top="1134" w:right="1134" w:bottom="1134" w:left="1134" w:header="567" w:footer="567" w:gutter="0"/>
          <w:cols w:space="720"/>
          <w:docGrid w:linePitch="360"/>
        </w:sectPr>
      </w:pPr>
      <w:r w:rsidRPr="00CC26EA">
        <w:rPr>
          <w:rFonts w:ascii="Times New Roman" w:hAnsi="Times New Roman"/>
          <w:b/>
          <w:noProof/>
          <w:spacing w:val="-6"/>
          <w:sz w:val="24"/>
          <w:u w:val="single"/>
          <w:lang w:val="sk-SK"/>
        </w:rPr>
        <w:t xml:space="preserve">H.2. </w:t>
      </w:r>
      <w:r w:rsidRPr="00CC26EA">
        <w:rPr>
          <w:rFonts w:ascii="Times New Roman" w:hAnsi="Times New Roman"/>
          <w:noProof/>
          <w:spacing w:val="-6"/>
          <w:lang w:val="sk-SK"/>
        </w:rPr>
        <w:tab/>
      </w:r>
      <w:r w:rsidRPr="00CC26EA">
        <w:rPr>
          <w:rFonts w:ascii="Times New Roman" w:hAnsi="Times New Roman"/>
          <w:b/>
          <w:noProof/>
          <w:spacing w:val="-6"/>
          <w:sz w:val="24"/>
          <w:u w:val="single"/>
          <w:lang w:val="sk-SK"/>
        </w:rPr>
        <w:t>Míľniky, ciele, ukazovatele</w:t>
      </w:r>
      <w:r w:rsidR="00CC26EA" w:rsidRPr="00CC26EA">
        <w:rPr>
          <w:rFonts w:ascii="Times New Roman" w:hAnsi="Times New Roman"/>
          <w:b/>
          <w:noProof/>
          <w:spacing w:val="-6"/>
          <w:sz w:val="24"/>
          <w:u w:val="single"/>
          <w:lang w:val="sk-SK"/>
        </w:rPr>
        <w:t xml:space="preserve"> a </w:t>
      </w:r>
      <w:r w:rsidRPr="00CC26EA">
        <w:rPr>
          <w:rFonts w:ascii="Times New Roman" w:hAnsi="Times New Roman"/>
          <w:b/>
          <w:noProof/>
          <w:spacing w:val="-6"/>
          <w:sz w:val="24"/>
          <w:u w:val="single"/>
          <w:lang w:val="sk-SK"/>
        </w:rPr>
        <w:t>harmonogram monitorovania</w:t>
      </w:r>
      <w:r w:rsidR="00CC26EA" w:rsidRPr="00CC26EA">
        <w:rPr>
          <w:rFonts w:ascii="Times New Roman" w:hAnsi="Times New Roman"/>
          <w:b/>
          <w:noProof/>
          <w:spacing w:val="-6"/>
          <w:sz w:val="24"/>
          <w:u w:val="single"/>
          <w:lang w:val="sk-SK"/>
        </w:rPr>
        <w:t xml:space="preserve"> a </w:t>
      </w:r>
      <w:r w:rsidRPr="00CC26EA">
        <w:rPr>
          <w:rFonts w:ascii="Times New Roman" w:hAnsi="Times New Roman"/>
          <w:b/>
          <w:noProof/>
          <w:spacing w:val="-6"/>
          <w:sz w:val="24"/>
          <w:u w:val="single"/>
          <w:lang w:val="sk-SK"/>
        </w:rPr>
        <w:t>realizácie pre nenávratnú finančnú podporu</w:t>
      </w:r>
    </w:p>
    <w:p w14:paraId="0171C2E6" w14:textId="2DE80455" w:rsidR="00F65654" w:rsidRPr="00CC26EA" w:rsidRDefault="00F65654">
      <w:pPr>
        <w:rPr>
          <w:rFonts w:ascii="Times New Roman" w:eastAsia="Times New Roman" w:hAnsi="Times New Roman"/>
          <w:b/>
          <w:noProof/>
          <w:spacing w:val="-6"/>
          <w:u w:val="single"/>
          <w:lang w:val="sk-SK"/>
        </w:rPr>
      </w:pPr>
    </w:p>
    <w:tbl>
      <w:tblPr>
        <w:tblW w:w="14674" w:type="dxa"/>
        <w:tblInd w:w="-289" w:type="dxa"/>
        <w:tblLayout w:type="fixed"/>
        <w:tblLook w:val="04A0" w:firstRow="1" w:lastRow="0" w:firstColumn="1" w:lastColumn="0" w:noHBand="0" w:noVBand="1"/>
      </w:tblPr>
      <w:tblGrid>
        <w:gridCol w:w="1381"/>
        <w:gridCol w:w="1113"/>
        <w:gridCol w:w="1361"/>
        <w:gridCol w:w="1140"/>
        <w:gridCol w:w="1304"/>
        <w:gridCol w:w="1322"/>
        <w:gridCol w:w="1061"/>
        <w:gridCol w:w="910"/>
        <w:gridCol w:w="1066"/>
        <w:gridCol w:w="1090"/>
        <w:gridCol w:w="2926"/>
      </w:tblGrid>
      <w:tr w:rsidR="00F65654" w:rsidRPr="00CC26EA" w14:paraId="6F3D19AC" w14:textId="77777777">
        <w:trPr>
          <w:trHeight w:val="930"/>
          <w:tblHeader/>
        </w:trPr>
        <w:tc>
          <w:tcPr>
            <w:tcW w:w="1381" w:type="dxa"/>
            <w:vMerge w:val="restart"/>
            <w:tcBorders>
              <w:top w:val="single" w:sz="4" w:space="0" w:color="auto"/>
              <w:left w:val="single" w:sz="4" w:space="0" w:color="auto"/>
              <w:bottom w:val="single" w:sz="4" w:space="0" w:color="auto"/>
              <w:right w:val="single" w:sz="4" w:space="0" w:color="auto"/>
            </w:tcBorders>
            <w:shd w:val="clear" w:color="auto" w:fill="BDD7EE"/>
            <w:tcMar>
              <w:left w:w="108" w:type="dxa"/>
              <w:right w:w="108" w:type="dxa"/>
            </w:tcMar>
            <w:vAlign w:val="center"/>
          </w:tcPr>
          <w:p w14:paraId="5A5CDBB6" w14:textId="77777777" w:rsidR="00F65654" w:rsidRPr="00CC26EA" w:rsidRDefault="0041081E">
            <w:pPr>
              <w:pStyle w:val="P68B1DB1-Normal1"/>
              <w:jc w:val="center"/>
              <w:rPr>
                <w:rFonts w:ascii="Times New Roman" w:eastAsia="Times New Roman" w:hAnsi="Times New Roman"/>
                <w:noProof/>
                <w:spacing w:val="-6"/>
                <w:lang w:val="sk-SK"/>
              </w:rPr>
            </w:pPr>
            <w:r w:rsidRPr="00CC26EA">
              <w:rPr>
                <w:rFonts w:ascii="Times New Roman" w:hAnsi="Times New Roman"/>
                <w:noProof/>
                <w:spacing w:val="-6"/>
                <w:lang w:val="sk-SK"/>
              </w:rPr>
              <w:t>Poradové číslo</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BDD7EE"/>
            <w:tcMar>
              <w:left w:w="108" w:type="dxa"/>
              <w:right w:w="108" w:type="dxa"/>
            </w:tcMar>
            <w:vAlign w:val="center"/>
          </w:tcPr>
          <w:p w14:paraId="3765CDC9" w14:textId="77777777" w:rsidR="00F65654" w:rsidRPr="00CC26EA" w:rsidRDefault="0041081E">
            <w:pPr>
              <w:pStyle w:val="P68B1DB1-Normal1"/>
              <w:jc w:val="center"/>
              <w:rPr>
                <w:rFonts w:ascii="Times New Roman" w:eastAsia="Times New Roman" w:hAnsi="Times New Roman"/>
                <w:noProof/>
                <w:spacing w:val="-6"/>
                <w:lang w:val="sk-SK"/>
              </w:rPr>
            </w:pPr>
            <w:r w:rsidRPr="00CC26EA">
              <w:rPr>
                <w:rFonts w:ascii="Times New Roman" w:hAnsi="Times New Roman"/>
                <w:noProof/>
                <w:spacing w:val="-6"/>
                <w:lang w:val="sk-SK"/>
              </w:rPr>
              <w:t>Súvisiace opatrenie (reforma alebo investícia)</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BDD7EE"/>
            <w:tcMar>
              <w:left w:w="108" w:type="dxa"/>
              <w:right w:w="108" w:type="dxa"/>
            </w:tcMar>
            <w:vAlign w:val="center"/>
          </w:tcPr>
          <w:p w14:paraId="57946B7D" w14:textId="77777777" w:rsidR="00F65654" w:rsidRPr="00CC26EA" w:rsidRDefault="0041081E">
            <w:pPr>
              <w:pStyle w:val="P68B1DB1-Normal1"/>
              <w:jc w:val="center"/>
              <w:rPr>
                <w:rFonts w:ascii="Times New Roman" w:eastAsia="Times New Roman" w:hAnsi="Times New Roman"/>
                <w:noProof/>
                <w:spacing w:val="-6"/>
                <w:lang w:val="sk-SK"/>
              </w:rPr>
            </w:pPr>
            <w:r w:rsidRPr="00CC26EA">
              <w:rPr>
                <w:rFonts w:ascii="Times New Roman" w:hAnsi="Times New Roman"/>
                <w:noProof/>
                <w:spacing w:val="-6"/>
                <w:lang w:val="sk-SK"/>
              </w:rPr>
              <w:t>Míľnik/cieľ</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BDD7EE"/>
            <w:tcMar>
              <w:left w:w="108" w:type="dxa"/>
              <w:right w:w="108" w:type="dxa"/>
            </w:tcMar>
            <w:vAlign w:val="center"/>
          </w:tcPr>
          <w:p w14:paraId="73EC8195" w14:textId="77777777" w:rsidR="00F65654" w:rsidRPr="00CC26EA" w:rsidRDefault="0041081E">
            <w:pPr>
              <w:pStyle w:val="P68B1DB1-Normal1"/>
              <w:jc w:val="center"/>
              <w:rPr>
                <w:rFonts w:ascii="Times New Roman" w:eastAsia="Times New Roman" w:hAnsi="Times New Roman"/>
                <w:noProof/>
                <w:spacing w:val="-6"/>
                <w:lang w:val="sk-SK"/>
              </w:rPr>
            </w:pPr>
            <w:r w:rsidRPr="00CC26EA">
              <w:rPr>
                <w:rFonts w:ascii="Times New Roman" w:hAnsi="Times New Roman"/>
                <w:noProof/>
                <w:spacing w:val="-6"/>
                <w:lang w:val="sk-SK"/>
              </w:rPr>
              <w:t>Názov</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BDD7EE"/>
            <w:tcMar>
              <w:left w:w="108" w:type="dxa"/>
              <w:right w:w="108" w:type="dxa"/>
            </w:tcMar>
            <w:vAlign w:val="center"/>
          </w:tcPr>
          <w:p w14:paraId="533435E7" w14:textId="77777777" w:rsidR="00F65654" w:rsidRPr="00CC26EA" w:rsidRDefault="0041081E">
            <w:pPr>
              <w:jc w:val="center"/>
              <w:rPr>
                <w:rFonts w:ascii="Times New Roman" w:eastAsia="Times New Roman" w:hAnsi="Times New Roman"/>
                <w:b/>
                <w:noProof/>
                <w:spacing w:val="-6"/>
                <w:lang w:val="sk-SK"/>
              </w:rPr>
            </w:pPr>
            <w:r w:rsidRPr="00CC26EA">
              <w:rPr>
                <w:rFonts w:ascii="Times New Roman" w:hAnsi="Times New Roman"/>
                <w:b/>
                <w:noProof/>
                <w:spacing w:val="-6"/>
                <w:lang w:val="sk-SK"/>
              </w:rPr>
              <w:t>Kvalitatívne ukazovatele</w:t>
            </w:r>
            <w:r w:rsidRPr="00CC26EA">
              <w:rPr>
                <w:rFonts w:ascii="Times New Roman" w:hAnsi="Times New Roman"/>
                <w:noProof/>
                <w:spacing w:val="-6"/>
                <w:lang w:val="sk-SK"/>
              </w:rPr>
              <w:t xml:space="preserve"> </w:t>
            </w:r>
            <w:r w:rsidRPr="00CC26EA">
              <w:rPr>
                <w:rFonts w:ascii="Times New Roman" w:hAnsi="Times New Roman"/>
                <w:noProof/>
                <w:spacing w:val="-6"/>
                <w:lang w:val="sk-SK"/>
              </w:rPr>
              <w:br/>
            </w:r>
            <w:r w:rsidRPr="00CC26EA">
              <w:rPr>
                <w:rFonts w:ascii="Times New Roman" w:hAnsi="Times New Roman"/>
                <w:b/>
                <w:noProof/>
                <w:spacing w:val="-6"/>
                <w:lang w:val="sk-SK"/>
              </w:rPr>
              <w:t>(pre míľniky)</w:t>
            </w:r>
          </w:p>
        </w:tc>
        <w:tc>
          <w:tcPr>
            <w:tcW w:w="3293" w:type="dxa"/>
            <w:gridSpan w:val="3"/>
            <w:tcBorders>
              <w:top w:val="single" w:sz="4" w:space="0" w:color="auto"/>
              <w:left w:val="single" w:sz="4" w:space="0" w:color="auto"/>
              <w:bottom w:val="single" w:sz="4" w:space="0" w:color="auto"/>
              <w:right w:val="single" w:sz="4" w:space="0" w:color="auto"/>
            </w:tcBorders>
            <w:shd w:val="clear" w:color="auto" w:fill="BDD7EE"/>
            <w:tcMar>
              <w:left w:w="108" w:type="dxa"/>
              <w:right w:w="108" w:type="dxa"/>
            </w:tcMar>
            <w:vAlign w:val="center"/>
          </w:tcPr>
          <w:p w14:paraId="1504B3AA" w14:textId="77777777" w:rsidR="00F65654" w:rsidRPr="00CC26EA" w:rsidRDefault="0041081E">
            <w:pPr>
              <w:jc w:val="center"/>
              <w:rPr>
                <w:rFonts w:ascii="Times New Roman" w:eastAsia="Times New Roman" w:hAnsi="Times New Roman"/>
                <w:b/>
                <w:noProof/>
                <w:spacing w:val="-6"/>
                <w:lang w:val="sk-SK"/>
              </w:rPr>
            </w:pPr>
            <w:r w:rsidRPr="00CC26EA">
              <w:rPr>
                <w:rFonts w:ascii="Times New Roman" w:hAnsi="Times New Roman"/>
                <w:b/>
                <w:noProof/>
                <w:spacing w:val="-6"/>
                <w:lang w:val="sk-SK"/>
              </w:rPr>
              <w:t>Kvantitatívne ukazovatele</w:t>
            </w:r>
            <w:r w:rsidRPr="00CC26EA">
              <w:rPr>
                <w:rFonts w:ascii="Times New Roman" w:hAnsi="Times New Roman"/>
                <w:noProof/>
                <w:spacing w:val="-6"/>
                <w:lang w:val="sk-SK"/>
              </w:rPr>
              <w:t xml:space="preserve"> </w:t>
            </w:r>
            <w:r w:rsidRPr="00CC26EA">
              <w:rPr>
                <w:rFonts w:ascii="Times New Roman" w:hAnsi="Times New Roman"/>
                <w:noProof/>
                <w:spacing w:val="-6"/>
                <w:lang w:val="sk-SK"/>
              </w:rPr>
              <w:br/>
            </w:r>
            <w:r w:rsidRPr="00CC26EA">
              <w:rPr>
                <w:rFonts w:ascii="Times New Roman" w:hAnsi="Times New Roman"/>
                <w:b/>
                <w:noProof/>
                <w:spacing w:val="-6"/>
                <w:lang w:val="sk-SK"/>
              </w:rPr>
              <w:t>(pre cieľové hodnoty)</w:t>
            </w:r>
          </w:p>
        </w:tc>
        <w:tc>
          <w:tcPr>
            <w:tcW w:w="2156" w:type="dxa"/>
            <w:gridSpan w:val="2"/>
            <w:tcBorders>
              <w:top w:val="single" w:sz="4" w:space="0" w:color="auto"/>
              <w:left w:val="single" w:sz="4" w:space="0" w:color="auto"/>
              <w:bottom w:val="single" w:sz="4" w:space="0" w:color="auto"/>
              <w:right w:val="single" w:sz="4" w:space="0" w:color="auto"/>
            </w:tcBorders>
            <w:shd w:val="clear" w:color="auto" w:fill="BDD7EE"/>
            <w:tcMar>
              <w:left w:w="108" w:type="dxa"/>
              <w:right w:w="108" w:type="dxa"/>
            </w:tcMar>
            <w:vAlign w:val="center"/>
          </w:tcPr>
          <w:p w14:paraId="706D44F1" w14:textId="08F3A841" w:rsidR="00F65654" w:rsidRPr="00CC26EA" w:rsidRDefault="0041081E">
            <w:pPr>
              <w:pStyle w:val="P68B1DB1-Normal1"/>
              <w:jc w:val="center"/>
              <w:rPr>
                <w:rFonts w:ascii="Times New Roman" w:eastAsia="Times New Roman" w:hAnsi="Times New Roman"/>
                <w:noProof/>
                <w:spacing w:val="-6"/>
                <w:lang w:val="sk-SK"/>
              </w:rPr>
            </w:pPr>
            <w:r w:rsidRPr="00CC26EA">
              <w:rPr>
                <w:rFonts w:ascii="Times New Roman" w:hAnsi="Times New Roman"/>
                <w:noProof/>
                <w:spacing w:val="-6"/>
                <w:lang w:val="sk-SK"/>
              </w:rPr>
              <w:t>Orientačný harmonogram splnenia</w:t>
            </w:r>
          </w:p>
        </w:tc>
        <w:tc>
          <w:tcPr>
            <w:tcW w:w="2926" w:type="dxa"/>
            <w:vMerge w:val="restart"/>
            <w:tcBorders>
              <w:top w:val="single" w:sz="4" w:space="0" w:color="auto"/>
              <w:left w:val="single" w:sz="4" w:space="0" w:color="auto"/>
              <w:bottom w:val="single" w:sz="4" w:space="0" w:color="auto"/>
              <w:right w:val="single" w:sz="4" w:space="0" w:color="auto"/>
            </w:tcBorders>
            <w:shd w:val="clear" w:color="auto" w:fill="BDD7EE"/>
            <w:tcMar>
              <w:left w:w="108" w:type="dxa"/>
              <w:right w:w="108" w:type="dxa"/>
            </w:tcMar>
            <w:vAlign w:val="center"/>
          </w:tcPr>
          <w:p w14:paraId="2AFAB6A1" w14:textId="01F9126F" w:rsidR="00F65654" w:rsidRPr="00CC26EA" w:rsidRDefault="0041081E">
            <w:pPr>
              <w:pStyle w:val="P68B1DB1-Normal1"/>
              <w:jc w:val="center"/>
              <w:rPr>
                <w:rFonts w:ascii="Times New Roman" w:eastAsia="Times New Roman" w:hAnsi="Times New Roman"/>
                <w:noProof/>
                <w:spacing w:val="-6"/>
                <w:lang w:val="sk-SK"/>
              </w:rPr>
            </w:pPr>
            <w:r w:rsidRPr="00CC26EA">
              <w:rPr>
                <w:rFonts w:ascii="Times New Roman" w:hAnsi="Times New Roman"/>
                <w:noProof/>
                <w:spacing w:val="-6"/>
                <w:lang w:val="sk-SK"/>
              </w:rPr>
              <w:t>Opis každého míľnika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cieľa</w:t>
            </w:r>
          </w:p>
        </w:tc>
      </w:tr>
      <w:tr w:rsidR="00F65654" w:rsidRPr="00CC26EA" w14:paraId="0CBCC6EB" w14:textId="77777777">
        <w:trPr>
          <w:trHeight w:val="1020"/>
          <w:tblHeader/>
        </w:trPr>
        <w:tc>
          <w:tcPr>
            <w:tcW w:w="1381" w:type="dxa"/>
            <w:vMerge/>
            <w:tcBorders>
              <w:top w:val="single" w:sz="4" w:space="0" w:color="auto"/>
              <w:left w:val="single" w:sz="4" w:space="0" w:color="auto"/>
              <w:bottom w:val="single" w:sz="4" w:space="0" w:color="auto"/>
              <w:right w:val="single" w:sz="4" w:space="0" w:color="auto"/>
            </w:tcBorders>
            <w:vAlign w:val="center"/>
          </w:tcPr>
          <w:p w14:paraId="160EDDDD" w14:textId="77777777" w:rsidR="00F65654" w:rsidRPr="00CC26EA" w:rsidRDefault="00F65654">
            <w:pPr>
              <w:rPr>
                <w:rFonts w:ascii="Times New Roman" w:hAnsi="Times New Roman"/>
                <w:noProof/>
                <w:spacing w:val="-6"/>
                <w:lang w:val="sk-SK"/>
              </w:rPr>
            </w:pPr>
          </w:p>
        </w:tc>
        <w:tc>
          <w:tcPr>
            <w:tcW w:w="1113" w:type="dxa"/>
            <w:vMerge/>
            <w:tcBorders>
              <w:top w:val="single" w:sz="4" w:space="0" w:color="auto"/>
              <w:left w:val="single" w:sz="4" w:space="0" w:color="auto"/>
              <w:bottom w:val="single" w:sz="4" w:space="0" w:color="auto"/>
              <w:right w:val="single" w:sz="4" w:space="0" w:color="auto"/>
            </w:tcBorders>
            <w:vAlign w:val="center"/>
          </w:tcPr>
          <w:p w14:paraId="53621CDC" w14:textId="77777777" w:rsidR="00F65654" w:rsidRPr="00CC26EA" w:rsidRDefault="00F65654">
            <w:pPr>
              <w:rPr>
                <w:rFonts w:ascii="Times New Roman" w:hAnsi="Times New Roman"/>
                <w:noProof/>
                <w:spacing w:val="-6"/>
                <w:lang w:val="sk-SK"/>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75F9F8E3" w14:textId="77777777" w:rsidR="00F65654" w:rsidRPr="00CC26EA" w:rsidRDefault="00F65654">
            <w:pPr>
              <w:rPr>
                <w:rFonts w:ascii="Times New Roman" w:hAnsi="Times New Roman"/>
                <w:noProof/>
                <w:spacing w:val="-6"/>
                <w:lang w:val="sk-SK"/>
              </w:rPr>
            </w:pPr>
          </w:p>
        </w:tc>
        <w:tc>
          <w:tcPr>
            <w:tcW w:w="1140" w:type="dxa"/>
            <w:vMerge/>
            <w:tcBorders>
              <w:top w:val="single" w:sz="4" w:space="0" w:color="auto"/>
              <w:left w:val="single" w:sz="4" w:space="0" w:color="auto"/>
              <w:bottom w:val="single" w:sz="4" w:space="0" w:color="auto"/>
              <w:right w:val="single" w:sz="4" w:space="0" w:color="auto"/>
            </w:tcBorders>
            <w:vAlign w:val="center"/>
          </w:tcPr>
          <w:p w14:paraId="11CE1BEC" w14:textId="77777777" w:rsidR="00F65654" w:rsidRPr="00CC26EA" w:rsidRDefault="00F65654">
            <w:pPr>
              <w:rPr>
                <w:rFonts w:ascii="Times New Roman" w:hAnsi="Times New Roman"/>
                <w:noProof/>
                <w:spacing w:val="-6"/>
                <w:lang w:val="sk-SK"/>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2B11DF2A" w14:textId="77777777" w:rsidR="00F65654" w:rsidRPr="00CC26EA" w:rsidRDefault="00F65654">
            <w:pPr>
              <w:rPr>
                <w:rFonts w:ascii="Times New Roman" w:hAnsi="Times New Roman"/>
                <w:noProof/>
                <w:spacing w:val="-6"/>
                <w:lang w:val="sk-SK"/>
              </w:rPr>
            </w:pPr>
          </w:p>
        </w:tc>
        <w:tc>
          <w:tcPr>
            <w:tcW w:w="1322" w:type="dxa"/>
            <w:tcBorders>
              <w:top w:val="single" w:sz="4" w:space="0" w:color="auto"/>
              <w:left w:val="single" w:sz="4" w:space="0" w:color="auto"/>
              <w:bottom w:val="single" w:sz="4" w:space="0" w:color="auto"/>
              <w:right w:val="single" w:sz="4" w:space="0" w:color="auto"/>
            </w:tcBorders>
            <w:shd w:val="clear" w:color="auto" w:fill="BDD7EE"/>
            <w:tcMar>
              <w:left w:w="108" w:type="dxa"/>
              <w:right w:w="108" w:type="dxa"/>
            </w:tcMar>
            <w:vAlign w:val="center"/>
          </w:tcPr>
          <w:p w14:paraId="67AB0B19" w14:textId="77777777" w:rsidR="00F65654" w:rsidRPr="00CC26EA" w:rsidRDefault="0041081E">
            <w:pPr>
              <w:pStyle w:val="P68B1DB1-Normal1"/>
              <w:jc w:val="center"/>
              <w:rPr>
                <w:rFonts w:ascii="Times New Roman" w:eastAsia="Times New Roman" w:hAnsi="Times New Roman"/>
                <w:noProof/>
                <w:spacing w:val="-6"/>
                <w:lang w:val="sk-SK"/>
              </w:rPr>
            </w:pPr>
            <w:r w:rsidRPr="00CC26EA">
              <w:rPr>
                <w:rFonts w:ascii="Times New Roman" w:hAnsi="Times New Roman"/>
                <w:noProof/>
                <w:spacing w:val="-6"/>
                <w:lang w:val="sk-SK"/>
              </w:rPr>
              <w:t>Merná jednotka</w:t>
            </w:r>
          </w:p>
        </w:tc>
        <w:tc>
          <w:tcPr>
            <w:tcW w:w="1061" w:type="dxa"/>
            <w:tcBorders>
              <w:top w:val="single" w:sz="4" w:space="0" w:color="auto"/>
              <w:left w:val="single" w:sz="4" w:space="0" w:color="auto"/>
              <w:bottom w:val="single" w:sz="8" w:space="0" w:color="auto"/>
              <w:right w:val="single" w:sz="8" w:space="0" w:color="auto"/>
            </w:tcBorders>
            <w:shd w:val="clear" w:color="auto" w:fill="BDD7EE"/>
            <w:tcMar>
              <w:left w:w="108" w:type="dxa"/>
              <w:right w:w="108" w:type="dxa"/>
            </w:tcMar>
            <w:vAlign w:val="center"/>
          </w:tcPr>
          <w:p w14:paraId="27D5AACE" w14:textId="068A7DE3" w:rsidR="00F65654" w:rsidRPr="00CC26EA" w:rsidRDefault="0041081E">
            <w:pPr>
              <w:pStyle w:val="P68B1DB1-Normal1"/>
              <w:jc w:val="center"/>
              <w:rPr>
                <w:rFonts w:ascii="Times New Roman" w:eastAsia="Times New Roman" w:hAnsi="Times New Roman"/>
                <w:noProof/>
                <w:spacing w:val="-6"/>
                <w:lang w:val="sk-SK"/>
              </w:rPr>
            </w:pPr>
            <w:r w:rsidRPr="00CC26EA">
              <w:rPr>
                <w:rFonts w:ascii="Times New Roman" w:hAnsi="Times New Roman"/>
                <w:noProof/>
                <w:spacing w:val="-6"/>
                <w:lang w:val="sk-SK"/>
              </w:rPr>
              <w:t>Základná</w:t>
            </w:r>
          </w:p>
        </w:tc>
        <w:tc>
          <w:tcPr>
            <w:tcW w:w="910" w:type="dxa"/>
            <w:tcBorders>
              <w:top w:val="single" w:sz="4"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4B0669D1" w14:textId="0A0C30C1" w:rsidR="00F65654" w:rsidRPr="00CC26EA" w:rsidRDefault="0041081E">
            <w:pPr>
              <w:pStyle w:val="P68B1DB1-Normal1"/>
              <w:jc w:val="center"/>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1066" w:type="dxa"/>
            <w:tcBorders>
              <w:top w:val="single" w:sz="4"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50164D9E" w14:textId="77777777" w:rsidR="00F65654" w:rsidRPr="00CC26EA" w:rsidRDefault="0041081E">
            <w:pPr>
              <w:pStyle w:val="P68B1DB1-Normal1"/>
              <w:jc w:val="center"/>
              <w:rPr>
                <w:rFonts w:ascii="Times New Roman" w:eastAsia="Times New Roman" w:hAnsi="Times New Roman"/>
                <w:noProof/>
                <w:spacing w:val="-6"/>
                <w:lang w:val="sk-SK"/>
              </w:rPr>
            </w:pPr>
            <w:r w:rsidRPr="00CC26EA">
              <w:rPr>
                <w:rFonts w:ascii="Times New Roman" w:hAnsi="Times New Roman"/>
                <w:noProof/>
                <w:spacing w:val="-6"/>
                <w:lang w:val="sk-SK"/>
              </w:rPr>
              <w:t>Štvrťrok</w:t>
            </w:r>
          </w:p>
        </w:tc>
        <w:tc>
          <w:tcPr>
            <w:tcW w:w="1090" w:type="dxa"/>
            <w:tcBorders>
              <w:top w:val="single" w:sz="4" w:space="0" w:color="auto"/>
              <w:left w:val="single" w:sz="8" w:space="0" w:color="auto"/>
              <w:bottom w:val="single" w:sz="8" w:space="0" w:color="auto"/>
              <w:right w:val="single" w:sz="4" w:space="0" w:color="auto"/>
            </w:tcBorders>
            <w:shd w:val="clear" w:color="auto" w:fill="BDD7EE"/>
            <w:tcMar>
              <w:left w:w="108" w:type="dxa"/>
              <w:right w:w="108" w:type="dxa"/>
            </w:tcMar>
            <w:vAlign w:val="center"/>
          </w:tcPr>
          <w:p w14:paraId="02AC8650" w14:textId="77777777" w:rsidR="00F65654" w:rsidRPr="00CC26EA" w:rsidRDefault="0041081E">
            <w:pPr>
              <w:pStyle w:val="P68B1DB1-Normal1"/>
              <w:jc w:val="center"/>
              <w:rPr>
                <w:rFonts w:ascii="Times New Roman" w:eastAsia="Times New Roman" w:hAnsi="Times New Roman"/>
                <w:noProof/>
                <w:spacing w:val="-6"/>
                <w:lang w:val="sk-SK"/>
              </w:rPr>
            </w:pPr>
            <w:r w:rsidRPr="00CC26EA">
              <w:rPr>
                <w:rFonts w:ascii="Times New Roman" w:hAnsi="Times New Roman"/>
                <w:noProof/>
                <w:spacing w:val="-6"/>
                <w:lang w:val="sk-SK"/>
              </w:rPr>
              <w:t>Rok</w:t>
            </w:r>
          </w:p>
        </w:tc>
        <w:tc>
          <w:tcPr>
            <w:tcW w:w="2926" w:type="dxa"/>
            <w:vMerge/>
            <w:tcBorders>
              <w:top w:val="single" w:sz="4" w:space="0" w:color="auto"/>
              <w:bottom w:val="single" w:sz="4" w:space="0" w:color="auto"/>
              <w:right w:val="single" w:sz="4" w:space="0" w:color="auto"/>
            </w:tcBorders>
            <w:vAlign w:val="center"/>
          </w:tcPr>
          <w:p w14:paraId="2FA94B5C" w14:textId="77777777" w:rsidR="00F65654" w:rsidRPr="00CC26EA" w:rsidRDefault="00F65654">
            <w:pPr>
              <w:rPr>
                <w:rFonts w:ascii="Times New Roman" w:hAnsi="Times New Roman"/>
                <w:noProof/>
                <w:spacing w:val="-6"/>
                <w:lang w:val="sk-SK"/>
              </w:rPr>
            </w:pPr>
          </w:p>
        </w:tc>
      </w:tr>
      <w:tr w:rsidR="00F65654" w:rsidRPr="00CC26EA" w14:paraId="09714866" w14:textId="77777777">
        <w:trPr>
          <w:trHeight w:val="315"/>
        </w:trPr>
        <w:tc>
          <w:tcPr>
            <w:tcW w:w="1381"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4127DC38"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78</w:t>
            </w:r>
          </w:p>
        </w:tc>
        <w:tc>
          <w:tcPr>
            <w:tcW w:w="1113"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313828AF"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8 – REPowerEU – Národní zamestnanci energetickej krízy (NEKST)</w:t>
            </w:r>
          </w:p>
        </w:tc>
        <w:tc>
          <w:tcPr>
            <w:tcW w:w="1361"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527DA155"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Míľnik</w:t>
            </w:r>
          </w:p>
        </w:tc>
        <w:tc>
          <w:tcPr>
            <w:tcW w:w="1140"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38A318F7" w14:textId="44B07465" w:rsidR="00F65654" w:rsidRPr="00CC26EA" w:rsidRDefault="0041081E">
            <w:pPr>
              <w:pStyle w:val="P68B1DB1-Normal13"/>
              <w:rPr>
                <w:rFonts w:ascii="Times New Roman" w:hAnsi="Times New Roman" w:cstheme="minorHAnsi"/>
                <w:noProof/>
                <w:spacing w:val="-6"/>
                <w:lang w:val="sk-SK"/>
              </w:rPr>
            </w:pPr>
            <w:r w:rsidRPr="00CC26EA">
              <w:rPr>
                <w:rFonts w:ascii="Times New Roman" w:hAnsi="Times New Roman"/>
                <w:noProof/>
                <w:spacing w:val="-6"/>
                <w:lang w:val="sk-SK"/>
              </w:rPr>
              <w:t>Začlenenie nástroja „NEKST“ do finančných zákonov na roky 2023</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2024</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uverejnenie správy</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pokroku.</w:t>
            </w:r>
          </w:p>
          <w:p w14:paraId="64018276" w14:textId="77777777" w:rsidR="00F65654" w:rsidRPr="00CC26EA" w:rsidRDefault="00F65654">
            <w:pPr>
              <w:spacing w:after="160" w:line="257" w:lineRule="auto"/>
              <w:rPr>
                <w:rFonts w:ascii="Times New Roman" w:hAnsi="Times New Roman" w:cstheme="minorHAnsi"/>
                <w:noProof/>
                <w:color w:val="8764B8"/>
                <w:spacing w:val="-6"/>
                <w:u w:val="single"/>
                <w:lang w:val="sk-SK"/>
              </w:rPr>
            </w:pPr>
          </w:p>
          <w:p w14:paraId="28F6D4B1" w14:textId="77777777" w:rsidR="00F65654" w:rsidRPr="00CC26EA" w:rsidRDefault="00F65654">
            <w:pPr>
              <w:rPr>
                <w:rFonts w:ascii="Times New Roman" w:hAnsi="Times New Roman" w:cstheme="minorHAnsi"/>
                <w:noProof/>
                <w:spacing w:val="-6"/>
                <w:lang w:val="sk-SK"/>
              </w:rPr>
            </w:pPr>
          </w:p>
        </w:tc>
        <w:tc>
          <w:tcPr>
            <w:tcW w:w="1304"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204A4C64" w14:textId="49FD0E09"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Spoločnosť NEKST bola začlenená do finančných zákonov na roky 2023</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2024. Správa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pokroku uverejnená ministerstvom pre klímu, energetiku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verejnoprospešné služby</w:t>
            </w:r>
          </w:p>
        </w:tc>
        <w:tc>
          <w:tcPr>
            <w:tcW w:w="1322"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5D6153BF" w14:textId="77777777" w:rsidR="00F65654" w:rsidRPr="00CC26EA" w:rsidRDefault="00F65654">
            <w:pPr>
              <w:rPr>
                <w:rFonts w:ascii="Times New Roman" w:eastAsia="Times New Roman" w:hAnsi="Times New Roman" w:cstheme="minorHAnsi"/>
                <w:noProof/>
                <w:color w:val="006100"/>
                <w:spacing w:val="-6"/>
                <w:lang w:val="sk-SK"/>
              </w:rPr>
            </w:pPr>
          </w:p>
        </w:tc>
        <w:tc>
          <w:tcPr>
            <w:tcW w:w="1061" w:type="dxa"/>
            <w:tcBorders>
              <w:top w:val="single" w:sz="8" w:space="0" w:color="auto"/>
              <w:left w:val="single" w:sz="8" w:space="0" w:color="auto"/>
              <w:bottom w:val="single" w:sz="4" w:space="0" w:color="auto"/>
              <w:right w:val="single" w:sz="8" w:space="0" w:color="auto"/>
            </w:tcBorders>
            <w:shd w:val="clear" w:color="auto" w:fill="C6EFCE"/>
            <w:tcMar>
              <w:left w:w="108" w:type="dxa"/>
              <w:right w:w="108" w:type="dxa"/>
            </w:tcMar>
          </w:tcPr>
          <w:p w14:paraId="79D6A1CC" w14:textId="77777777" w:rsidR="00F65654" w:rsidRPr="00CC26EA" w:rsidRDefault="00F65654">
            <w:pPr>
              <w:rPr>
                <w:rFonts w:ascii="Times New Roman" w:eastAsia="Times New Roman" w:hAnsi="Times New Roman" w:cstheme="minorHAnsi"/>
                <w:noProof/>
                <w:color w:val="006100"/>
                <w:spacing w:val="-6"/>
                <w:lang w:val="sk-SK"/>
              </w:rPr>
            </w:pPr>
          </w:p>
        </w:tc>
        <w:tc>
          <w:tcPr>
            <w:tcW w:w="910" w:type="dxa"/>
            <w:tcBorders>
              <w:top w:val="single" w:sz="8" w:space="0" w:color="auto"/>
              <w:left w:val="single" w:sz="8" w:space="0" w:color="auto"/>
              <w:bottom w:val="single" w:sz="4" w:space="0" w:color="auto"/>
              <w:right w:val="single" w:sz="8" w:space="0" w:color="auto"/>
            </w:tcBorders>
            <w:shd w:val="clear" w:color="auto" w:fill="C6EFCE"/>
            <w:tcMar>
              <w:left w:w="108" w:type="dxa"/>
              <w:right w:w="108" w:type="dxa"/>
            </w:tcMar>
          </w:tcPr>
          <w:p w14:paraId="3A0A0007" w14:textId="77777777" w:rsidR="00F65654" w:rsidRPr="00CC26EA" w:rsidRDefault="00F65654">
            <w:pPr>
              <w:rPr>
                <w:rFonts w:ascii="Times New Roman" w:eastAsia="Times New Roman" w:hAnsi="Times New Roman" w:cstheme="minorHAnsi"/>
                <w:noProof/>
                <w:color w:val="006100"/>
                <w:spacing w:val="-6"/>
                <w:lang w:val="sk-SK"/>
              </w:rPr>
            </w:pPr>
          </w:p>
        </w:tc>
        <w:tc>
          <w:tcPr>
            <w:tcW w:w="1066" w:type="dxa"/>
            <w:tcBorders>
              <w:top w:val="single" w:sz="8" w:space="0" w:color="auto"/>
              <w:left w:val="single" w:sz="8" w:space="0" w:color="auto"/>
              <w:bottom w:val="single" w:sz="4" w:space="0" w:color="auto"/>
              <w:right w:val="single" w:sz="8" w:space="0" w:color="auto"/>
            </w:tcBorders>
            <w:shd w:val="clear" w:color="auto" w:fill="C6EFCE"/>
            <w:tcMar>
              <w:left w:w="108" w:type="dxa"/>
              <w:right w:w="108" w:type="dxa"/>
            </w:tcMar>
          </w:tcPr>
          <w:p w14:paraId="2CAFDC31"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OTÁZKA 2</w:t>
            </w:r>
          </w:p>
        </w:tc>
        <w:tc>
          <w:tcPr>
            <w:tcW w:w="1090" w:type="dxa"/>
            <w:tcBorders>
              <w:top w:val="single" w:sz="8" w:space="0" w:color="auto"/>
              <w:left w:val="single" w:sz="8" w:space="0" w:color="auto"/>
              <w:bottom w:val="single" w:sz="4" w:space="0" w:color="auto"/>
              <w:right w:val="single" w:sz="8" w:space="0" w:color="auto"/>
            </w:tcBorders>
            <w:shd w:val="clear" w:color="auto" w:fill="C6EFCE"/>
            <w:tcMar>
              <w:left w:w="108" w:type="dxa"/>
              <w:right w:w="108" w:type="dxa"/>
            </w:tcMar>
          </w:tcPr>
          <w:p w14:paraId="719F20DC"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2024</w:t>
            </w:r>
          </w:p>
        </w:tc>
        <w:tc>
          <w:tcPr>
            <w:tcW w:w="2926" w:type="dxa"/>
            <w:tcBorders>
              <w:top w:val="single" w:sz="4" w:space="0" w:color="auto"/>
              <w:left w:val="single" w:sz="8" w:space="0" w:color="auto"/>
              <w:bottom w:val="single" w:sz="4" w:space="0" w:color="auto"/>
              <w:right w:val="single" w:sz="4" w:space="0" w:color="auto"/>
            </w:tcBorders>
            <w:shd w:val="clear" w:color="auto" w:fill="C6EFCE"/>
            <w:tcMar>
              <w:left w:w="108" w:type="dxa"/>
              <w:right w:w="108" w:type="dxa"/>
            </w:tcMar>
          </w:tcPr>
          <w:p w14:paraId="6B436B5E" w14:textId="0D7FE8E8"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Na základe Dohody vládnej koalície zo 14</w:t>
            </w:r>
            <w:r w:rsidR="00CC26EA" w:rsidRPr="00CC26EA">
              <w:rPr>
                <w:rFonts w:ascii="Times New Roman" w:hAnsi="Times New Roman"/>
                <w:noProof/>
                <w:spacing w:val="-6"/>
                <w:lang w:val="sk-SK"/>
              </w:rPr>
              <w:t>. decembra</w:t>
            </w:r>
            <w:r w:rsidRPr="00CC26EA">
              <w:rPr>
                <w:rFonts w:ascii="Times New Roman" w:hAnsi="Times New Roman"/>
                <w:noProof/>
                <w:spacing w:val="-6"/>
                <w:lang w:val="sk-SK"/>
              </w:rPr>
              <w:t xml:space="preserve"> 2022</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zriadení programu NEKST sa iniciatívy na zriadenie siete NEKST začlenia do finančných zákonov na roky 2023</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2024.</w:t>
            </w:r>
          </w:p>
          <w:p w14:paraId="5BD4B003" w14:textId="446111A5" w:rsidR="00F65654" w:rsidRPr="00CC26EA" w:rsidRDefault="0041081E">
            <w:pPr>
              <w:pStyle w:val="P68B1DB1-Normal13"/>
              <w:rPr>
                <w:rFonts w:ascii="Times New Roman" w:hAnsi="Times New Roman" w:cstheme="minorHAnsi"/>
                <w:noProof/>
                <w:spacing w:val="-6"/>
                <w:lang w:val="sk-SK"/>
              </w:rPr>
            </w:pPr>
            <w:r w:rsidRPr="00CC26EA">
              <w:rPr>
                <w:rFonts w:ascii="Times New Roman" w:hAnsi="Times New Roman"/>
                <w:noProof/>
                <w:spacing w:val="-6"/>
                <w:lang w:val="sk-SK"/>
              </w:rPr>
              <w:t>Ministerstvo pre klímu, energetiku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verejnoprospešné služby predloží vláde správu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pokroku</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pracovných skupinách NEKST 1</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2. Táto správa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pokroku informuje</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pokroku, ktorý dosiahla spoločnosť NEKST, vrátane opisu konkrétnych iniciatív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odporúčaných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prijatých administratívnych opatrení. Správa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pokroku obsahuje aj informácie</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zistených potrebách regulačných alebo legislatívnych opatrení.</w:t>
            </w:r>
          </w:p>
        </w:tc>
      </w:tr>
      <w:tr w:rsidR="00F65654" w:rsidRPr="00CC26EA" w14:paraId="05A5C4A4" w14:textId="77777777">
        <w:trPr>
          <w:trHeight w:val="315"/>
        </w:trPr>
        <w:tc>
          <w:tcPr>
            <w:tcW w:w="1381" w:type="dxa"/>
            <w:tcBorders>
              <w:top w:val="single" w:sz="4" w:space="0" w:color="auto"/>
              <w:left w:val="single" w:sz="4" w:space="0" w:color="auto"/>
              <w:bottom w:val="single" w:sz="4" w:space="0" w:color="auto"/>
              <w:right w:val="single" w:sz="8" w:space="0" w:color="auto"/>
            </w:tcBorders>
            <w:shd w:val="clear" w:color="auto" w:fill="C6EFCE"/>
            <w:tcMar>
              <w:left w:w="108" w:type="dxa"/>
              <w:right w:w="108" w:type="dxa"/>
            </w:tcMar>
          </w:tcPr>
          <w:p w14:paraId="59F31FCF"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79</w:t>
            </w:r>
          </w:p>
        </w:tc>
        <w:tc>
          <w:tcPr>
            <w:tcW w:w="1113"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5F182F39"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8 – REPowerEU – Národní zamestnanci energetickej krízy (NEKST)</w:t>
            </w:r>
          </w:p>
        </w:tc>
        <w:tc>
          <w:tcPr>
            <w:tcW w:w="1361"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3DD8948B" w14:textId="77777777" w:rsidR="00F65654" w:rsidRPr="00CC26EA" w:rsidRDefault="0041081E">
            <w:pPr>
              <w:pStyle w:val="P68B1DB1-Normal13"/>
              <w:spacing w:after="0"/>
              <w:rPr>
                <w:rFonts w:ascii="Times New Roman" w:hAnsi="Times New Roman" w:cstheme="minorHAnsi"/>
                <w:noProof/>
                <w:spacing w:val="-6"/>
                <w:lang w:val="sk-SK"/>
              </w:rPr>
            </w:pPr>
            <w:r w:rsidRPr="00CC26EA">
              <w:rPr>
                <w:rFonts w:ascii="Times New Roman" w:hAnsi="Times New Roman"/>
                <w:noProof/>
                <w:spacing w:val="-6"/>
                <w:lang w:val="sk-SK"/>
              </w:rPr>
              <w:t>Cieľ</w:t>
            </w:r>
          </w:p>
        </w:tc>
        <w:tc>
          <w:tcPr>
            <w:tcW w:w="1140"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38C7757C" w14:textId="77777777" w:rsidR="00F65654" w:rsidRPr="00CC26EA" w:rsidRDefault="0041081E">
            <w:pPr>
              <w:pStyle w:val="P68B1DB1-Normal13"/>
              <w:spacing w:after="160" w:line="257" w:lineRule="auto"/>
              <w:rPr>
                <w:rFonts w:ascii="Times New Roman" w:eastAsia="Times New Roman" w:hAnsi="Times New Roman" w:cstheme="minorHAnsi"/>
                <w:noProof/>
                <w:spacing w:val="-6"/>
                <w:lang w:val="sk-SK"/>
              </w:rPr>
            </w:pPr>
            <w:r w:rsidRPr="00CC26EA">
              <w:rPr>
                <w:rFonts w:ascii="Times New Roman" w:hAnsi="Times New Roman"/>
                <w:noProof/>
                <w:spacing w:val="-6"/>
                <w:lang w:val="sk-SK"/>
              </w:rPr>
              <w:t>Vykonávanie opatrení odporúčaných spoločnosťou NEKST</w:t>
            </w:r>
          </w:p>
          <w:p w14:paraId="56F2D97B" w14:textId="77777777" w:rsidR="00F65654" w:rsidRPr="00CC26EA" w:rsidRDefault="00F65654">
            <w:pPr>
              <w:rPr>
                <w:rFonts w:ascii="Times New Roman" w:hAnsi="Times New Roman" w:cstheme="minorHAnsi"/>
                <w:noProof/>
                <w:spacing w:val="-6"/>
                <w:lang w:val="sk-SK"/>
              </w:rPr>
            </w:pPr>
          </w:p>
        </w:tc>
        <w:tc>
          <w:tcPr>
            <w:tcW w:w="1304"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3D8E2FCE" w14:textId="77777777" w:rsidR="00F65654" w:rsidRPr="00CC26EA" w:rsidRDefault="00F65654">
            <w:pPr>
              <w:rPr>
                <w:rFonts w:ascii="Times New Roman" w:eastAsia="Times New Roman" w:hAnsi="Times New Roman" w:cstheme="minorHAnsi"/>
                <w:noProof/>
                <w:color w:val="006100"/>
                <w:spacing w:val="-6"/>
                <w:lang w:val="sk-SK"/>
              </w:rPr>
            </w:pPr>
          </w:p>
        </w:tc>
        <w:tc>
          <w:tcPr>
            <w:tcW w:w="1322"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12CCCFCD"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w:t>
            </w:r>
          </w:p>
        </w:tc>
        <w:tc>
          <w:tcPr>
            <w:tcW w:w="1061"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564C9668"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0</w:t>
            </w:r>
          </w:p>
        </w:tc>
        <w:tc>
          <w:tcPr>
            <w:tcW w:w="910"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5332F0B1"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70</w:t>
            </w:r>
          </w:p>
        </w:tc>
        <w:tc>
          <w:tcPr>
            <w:tcW w:w="1066"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64489921"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OTÁZKA 2</w:t>
            </w:r>
          </w:p>
        </w:tc>
        <w:tc>
          <w:tcPr>
            <w:tcW w:w="1090"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5027773B"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2026</w:t>
            </w:r>
          </w:p>
        </w:tc>
        <w:tc>
          <w:tcPr>
            <w:tcW w:w="2926" w:type="dxa"/>
            <w:tcBorders>
              <w:top w:val="single" w:sz="4" w:space="0" w:color="auto"/>
              <w:left w:val="single" w:sz="8" w:space="0" w:color="auto"/>
              <w:bottom w:val="single" w:sz="4" w:space="0" w:color="auto"/>
              <w:right w:val="single" w:sz="4" w:space="0" w:color="auto"/>
            </w:tcBorders>
            <w:shd w:val="clear" w:color="auto" w:fill="C6EFCE"/>
            <w:tcMar>
              <w:left w:w="108" w:type="dxa"/>
              <w:right w:w="108" w:type="dxa"/>
            </w:tcMar>
          </w:tcPr>
          <w:p w14:paraId="1515F006" w14:textId="363985F0"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Najmenej 70</w:t>
            </w:r>
            <w:r w:rsidR="00CC26EA" w:rsidRPr="00CC26EA">
              <w:rPr>
                <w:rFonts w:ascii="Times New Roman" w:hAnsi="Times New Roman"/>
                <w:noProof/>
                <w:spacing w:val="-6"/>
                <w:lang w:val="sk-SK"/>
              </w:rPr>
              <w:t> %</w:t>
            </w:r>
            <w:r w:rsidRPr="00CC26EA">
              <w:rPr>
                <w:rFonts w:ascii="Times New Roman" w:hAnsi="Times New Roman"/>
                <w:noProof/>
                <w:spacing w:val="-6"/>
                <w:lang w:val="sk-SK"/>
              </w:rPr>
              <w:t xml:space="preserve"> opatrení odporúčaných spoločnosťou NEKST</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oblasti administratívnych postupov týkajúcich sa povoľovania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rámci pracovných skupín 1</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2 bolo vykonaných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zdokumentovaných</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správe, ktorú uverejnilo ministerstvo pre klímu, energetiku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verejnoprospešné služby.</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správe sa uvedie, ako sa dosiahli ciele NEKST. Načrtne dokončenie jednotlivých opatrení, ich vplyv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dosiahnuté skrátenie postupov. Správa obsahuje aj informácie</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tom, ako príslušné orgány vrátane vlády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parlamentu nadviazali na nevykonané odporúčania, ktoré si vyžadovali legislatívne opatrenia. Odporúčania vydané spoločnosťou NEKST, ktoré si vyžadujú legislatívne opatrenia vrátane zmien zákona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financiách, predložené vláde, môžu byť predmetom revízie vlády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následného schválenia pred ich vykonaním.</w:t>
            </w:r>
          </w:p>
        </w:tc>
      </w:tr>
      <w:tr w:rsidR="00F65654" w:rsidRPr="00CC26EA" w14:paraId="25144459" w14:textId="77777777">
        <w:trPr>
          <w:trHeight w:val="315"/>
        </w:trPr>
        <w:tc>
          <w:tcPr>
            <w:tcW w:w="1381" w:type="dxa"/>
            <w:tcBorders>
              <w:top w:val="single" w:sz="4" w:space="0" w:color="auto"/>
              <w:left w:val="single" w:sz="4" w:space="0" w:color="auto"/>
              <w:bottom w:val="single" w:sz="4" w:space="0" w:color="auto"/>
              <w:right w:val="single" w:sz="8" w:space="0" w:color="auto"/>
            </w:tcBorders>
            <w:shd w:val="clear" w:color="auto" w:fill="C6EFCE"/>
            <w:tcMar>
              <w:left w:w="108" w:type="dxa"/>
              <w:right w:w="108" w:type="dxa"/>
            </w:tcMar>
          </w:tcPr>
          <w:p w14:paraId="43756C5E"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80</w:t>
            </w:r>
          </w:p>
        </w:tc>
        <w:tc>
          <w:tcPr>
            <w:tcW w:w="1113"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0ACB331C"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8 – REPowerEU – Národní zamestnanci energetickej krízy (NEKST)</w:t>
            </w:r>
          </w:p>
        </w:tc>
        <w:tc>
          <w:tcPr>
            <w:tcW w:w="1361"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30746E4C"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Cieľ</w:t>
            </w:r>
          </w:p>
        </w:tc>
        <w:tc>
          <w:tcPr>
            <w:tcW w:w="1140"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7DB82B21" w14:textId="66023D77" w:rsidR="00F65654" w:rsidRPr="00CC26EA" w:rsidRDefault="0041081E">
            <w:pPr>
              <w:pStyle w:val="P68B1DB1-Normal14"/>
              <w:rPr>
                <w:rFonts w:ascii="Times New Roman" w:hAnsi="Times New Roman" w:cstheme="minorHAnsi"/>
                <w:noProof/>
                <w:spacing w:val="-6"/>
                <w:lang w:val="sk-SK"/>
              </w:rPr>
            </w:pPr>
            <w:r w:rsidRPr="00CC26EA">
              <w:rPr>
                <w:rFonts w:ascii="Times New Roman" w:hAnsi="Times New Roman"/>
                <w:noProof/>
                <w:color w:val="006100"/>
                <w:spacing w:val="-6"/>
                <w:lang w:val="sk-SK"/>
              </w:rPr>
              <w:t>Obce schválili návrhy projektov diaľkového vykurovania,</w:t>
            </w:r>
            <w:r w:rsidR="00CC26EA" w:rsidRPr="00CC26EA">
              <w:rPr>
                <w:rFonts w:ascii="Times New Roman" w:hAnsi="Times New Roman"/>
                <w:noProof/>
                <w:color w:val="006100"/>
                <w:spacing w:val="-6"/>
                <w:lang w:val="sk-SK"/>
              </w:rPr>
              <w:t xml:space="preserve"> v </w:t>
            </w:r>
            <w:r w:rsidRPr="00CC26EA">
              <w:rPr>
                <w:rFonts w:ascii="Times New Roman" w:hAnsi="Times New Roman"/>
                <w:noProof/>
                <w:color w:val="006100"/>
                <w:spacing w:val="-6"/>
                <w:lang w:val="sk-SK"/>
              </w:rPr>
              <w:t xml:space="preserve">ktorých sa postupne odstraňuje plyn.   </w:t>
            </w:r>
            <w:r w:rsidRPr="00CC26EA">
              <w:rPr>
                <w:rFonts w:ascii="Times New Roman" w:hAnsi="Times New Roman"/>
                <w:noProof/>
                <w:spacing w:val="-6"/>
                <w:lang w:val="sk-SK"/>
              </w:rPr>
              <w:t xml:space="preserve"> </w:t>
            </w:r>
          </w:p>
        </w:tc>
        <w:tc>
          <w:tcPr>
            <w:tcW w:w="1304"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1D5B82CF" w14:textId="77777777" w:rsidR="00F65654" w:rsidRPr="00CC26EA" w:rsidRDefault="00F65654">
            <w:pPr>
              <w:rPr>
                <w:rFonts w:ascii="Times New Roman" w:eastAsia="Times New Roman" w:hAnsi="Times New Roman" w:cstheme="minorHAnsi"/>
                <w:noProof/>
                <w:color w:val="006100"/>
                <w:spacing w:val="-6"/>
                <w:lang w:val="sk-SK"/>
              </w:rPr>
            </w:pPr>
          </w:p>
        </w:tc>
        <w:tc>
          <w:tcPr>
            <w:tcW w:w="1322"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5AB5EF60" w14:textId="77777777" w:rsidR="00F65654" w:rsidRPr="00CC26EA" w:rsidRDefault="0041081E">
            <w:pPr>
              <w:pStyle w:val="P68B1DB1-Normal13"/>
              <w:rPr>
                <w:rFonts w:ascii="Times New Roman" w:hAnsi="Times New Roman" w:cstheme="minorHAnsi"/>
                <w:noProof/>
                <w:spacing w:val="-6"/>
                <w:lang w:val="sk-SK"/>
              </w:rPr>
            </w:pPr>
            <w:r w:rsidRPr="00CC26EA">
              <w:rPr>
                <w:rFonts w:ascii="Times New Roman" w:hAnsi="Times New Roman"/>
                <w:noProof/>
                <w:spacing w:val="-6"/>
                <w:lang w:val="sk-SK"/>
              </w:rPr>
              <w:t>Obce</w:t>
            </w:r>
          </w:p>
        </w:tc>
        <w:tc>
          <w:tcPr>
            <w:tcW w:w="1061"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10AD2E37"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0</w:t>
            </w:r>
          </w:p>
        </w:tc>
        <w:tc>
          <w:tcPr>
            <w:tcW w:w="910"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5ED29C84"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50</w:t>
            </w:r>
          </w:p>
        </w:tc>
        <w:tc>
          <w:tcPr>
            <w:tcW w:w="1066"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50CB580E"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OTÁZKA 2</w:t>
            </w:r>
          </w:p>
        </w:tc>
        <w:tc>
          <w:tcPr>
            <w:tcW w:w="1090" w:type="dxa"/>
            <w:tcBorders>
              <w:top w:val="single" w:sz="4" w:space="0" w:color="auto"/>
              <w:left w:val="single" w:sz="8" w:space="0" w:color="auto"/>
              <w:bottom w:val="single" w:sz="4" w:space="0" w:color="auto"/>
              <w:right w:val="single" w:sz="8" w:space="0" w:color="auto"/>
            </w:tcBorders>
            <w:shd w:val="clear" w:color="auto" w:fill="C6EFCE"/>
            <w:tcMar>
              <w:left w:w="108" w:type="dxa"/>
              <w:right w:w="108" w:type="dxa"/>
            </w:tcMar>
          </w:tcPr>
          <w:p w14:paraId="23FE04B4"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2026</w:t>
            </w:r>
          </w:p>
        </w:tc>
        <w:tc>
          <w:tcPr>
            <w:tcW w:w="2926" w:type="dxa"/>
            <w:tcBorders>
              <w:top w:val="single" w:sz="4" w:space="0" w:color="auto"/>
              <w:left w:val="single" w:sz="8" w:space="0" w:color="auto"/>
              <w:bottom w:val="single" w:sz="4" w:space="0" w:color="auto"/>
              <w:right w:val="single" w:sz="4" w:space="0" w:color="auto"/>
            </w:tcBorders>
            <w:shd w:val="clear" w:color="auto" w:fill="C6EFCE"/>
            <w:tcMar>
              <w:left w:w="108" w:type="dxa"/>
              <w:right w:w="108" w:type="dxa"/>
            </w:tcMar>
          </w:tcPr>
          <w:p w14:paraId="63072B48" w14:textId="6D5EA6E1" w:rsidR="00F65654" w:rsidRPr="00CC26EA" w:rsidRDefault="0041081E">
            <w:pPr>
              <w:pStyle w:val="P68B1DB1-Normal13"/>
              <w:rPr>
                <w:rFonts w:ascii="Times New Roman" w:eastAsia="Times New Roman" w:hAnsi="Times New Roman" w:cstheme="minorBidi"/>
                <w:noProof/>
                <w:spacing w:val="-6"/>
                <w:lang w:val="sk-SK"/>
              </w:rPr>
            </w:pPr>
            <w:r w:rsidRPr="00CC26EA">
              <w:rPr>
                <w:rFonts w:ascii="Times New Roman" w:hAnsi="Times New Roman"/>
                <w:noProof/>
                <w:spacing w:val="-6"/>
                <w:lang w:val="sk-SK"/>
              </w:rPr>
              <w:t>Každá</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najmenej 50</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84 obcí, ktoré poskytli plyn na vykurovanie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roku 2022, musí schváliť aspoň jeden návrh projektu diaľkového vykurovania,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ktorom sa postupne odstraňuje plyn. Návrhy projektov sa uverejnia na centrálnej dátovej platforme „Plandata.dk“. Návrhy projektov obsahujú informácie</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konkrétnych oblastiach, ktoré sa premenia na diaľkové vykurovanie.</w:t>
            </w:r>
          </w:p>
        </w:tc>
      </w:tr>
      <w:tr w:rsidR="00F65654" w:rsidRPr="00CC26EA" w14:paraId="4A862390" w14:textId="77777777">
        <w:trPr>
          <w:trHeight w:val="315"/>
        </w:trPr>
        <w:tc>
          <w:tcPr>
            <w:tcW w:w="1381" w:type="dxa"/>
            <w:tcBorders>
              <w:top w:val="single" w:sz="4" w:space="0" w:color="auto"/>
              <w:left w:val="single" w:sz="8" w:space="0" w:color="auto"/>
              <w:bottom w:val="single" w:sz="8" w:space="0" w:color="auto"/>
              <w:right w:val="single" w:sz="8" w:space="0" w:color="auto"/>
            </w:tcBorders>
            <w:shd w:val="clear" w:color="auto" w:fill="C6EFCE"/>
            <w:tcMar>
              <w:left w:w="108" w:type="dxa"/>
              <w:right w:w="108" w:type="dxa"/>
            </w:tcMar>
          </w:tcPr>
          <w:p w14:paraId="158EBFFC"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81</w:t>
            </w:r>
          </w:p>
        </w:tc>
        <w:tc>
          <w:tcPr>
            <w:tcW w:w="1113" w:type="dxa"/>
            <w:tcBorders>
              <w:top w:val="single" w:sz="4" w:space="0" w:color="auto"/>
              <w:left w:val="single" w:sz="8" w:space="0" w:color="auto"/>
              <w:bottom w:val="single" w:sz="8" w:space="0" w:color="auto"/>
              <w:right w:val="single" w:sz="8" w:space="0" w:color="auto"/>
            </w:tcBorders>
            <w:shd w:val="clear" w:color="auto" w:fill="C6EFCE"/>
            <w:tcMar>
              <w:left w:w="108" w:type="dxa"/>
              <w:right w:w="108" w:type="dxa"/>
            </w:tcMar>
          </w:tcPr>
          <w:p w14:paraId="2067DC1F"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8 – REPowerEU – Národní zamestnanci energetickej krízy (NEKST)</w:t>
            </w:r>
          </w:p>
        </w:tc>
        <w:tc>
          <w:tcPr>
            <w:tcW w:w="1361" w:type="dxa"/>
            <w:tcBorders>
              <w:top w:val="single" w:sz="4" w:space="0" w:color="auto"/>
              <w:left w:val="single" w:sz="8" w:space="0" w:color="auto"/>
              <w:bottom w:val="single" w:sz="8" w:space="0" w:color="auto"/>
              <w:right w:val="single" w:sz="8" w:space="0" w:color="auto"/>
            </w:tcBorders>
            <w:shd w:val="clear" w:color="auto" w:fill="C6EFCE"/>
            <w:tcMar>
              <w:left w:w="108" w:type="dxa"/>
              <w:right w:w="108" w:type="dxa"/>
            </w:tcMar>
          </w:tcPr>
          <w:p w14:paraId="4B74663B"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Cieľ</w:t>
            </w:r>
          </w:p>
        </w:tc>
        <w:tc>
          <w:tcPr>
            <w:tcW w:w="1140" w:type="dxa"/>
            <w:tcBorders>
              <w:top w:val="single" w:sz="4" w:space="0" w:color="auto"/>
              <w:left w:val="single" w:sz="8" w:space="0" w:color="auto"/>
              <w:bottom w:val="single" w:sz="8" w:space="0" w:color="auto"/>
              <w:right w:val="single" w:sz="8" w:space="0" w:color="auto"/>
            </w:tcBorders>
            <w:shd w:val="clear" w:color="auto" w:fill="C6EFCE"/>
            <w:tcMar>
              <w:left w:w="108" w:type="dxa"/>
              <w:right w:w="108" w:type="dxa"/>
            </w:tcMar>
          </w:tcPr>
          <w:p w14:paraId="4B82BE86" w14:textId="46A69518" w:rsidR="00F65654" w:rsidRPr="00CC26EA" w:rsidRDefault="0041081E">
            <w:pPr>
              <w:pStyle w:val="P68B1DB1-Normal13"/>
              <w:rPr>
                <w:rFonts w:ascii="Times New Roman" w:hAnsi="Times New Roman" w:cstheme="minorHAnsi"/>
                <w:noProof/>
                <w:spacing w:val="-6"/>
                <w:lang w:val="sk-SK"/>
              </w:rPr>
            </w:pPr>
            <w:r w:rsidRPr="00CC26EA">
              <w:rPr>
                <w:rFonts w:ascii="Times New Roman" w:hAnsi="Times New Roman"/>
                <w:noProof/>
                <w:spacing w:val="-6"/>
                <w:lang w:val="sk-SK"/>
              </w:rPr>
              <w:t>Odstránenie systémových prekážok pre slnečnú energiu na pevnine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veternú energiu na pevnine</w:t>
            </w:r>
          </w:p>
        </w:tc>
        <w:tc>
          <w:tcPr>
            <w:tcW w:w="1304" w:type="dxa"/>
            <w:tcBorders>
              <w:top w:val="single" w:sz="4" w:space="0" w:color="auto"/>
              <w:left w:val="single" w:sz="8" w:space="0" w:color="auto"/>
              <w:bottom w:val="single" w:sz="8" w:space="0" w:color="auto"/>
              <w:right w:val="single" w:sz="8" w:space="0" w:color="auto"/>
            </w:tcBorders>
            <w:shd w:val="clear" w:color="auto" w:fill="C6EFCE"/>
            <w:tcMar>
              <w:left w:w="108" w:type="dxa"/>
              <w:right w:w="108" w:type="dxa"/>
            </w:tcMar>
          </w:tcPr>
          <w:p w14:paraId="71D3F364" w14:textId="77777777" w:rsidR="00F65654" w:rsidRPr="00CC26EA" w:rsidRDefault="00F65654">
            <w:pPr>
              <w:rPr>
                <w:rFonts w:ascii="Times New Roman" w:eastAsia="Times New Roman" w:hAnsi="Times New Roman" w:cstheme="minorHAnsi"/>
                <w:noProof/>
                <w:color w:val="006100"/>
                <w:spacing w:val="-6"/>
                <w:lang w:val="sk-SK"/>
              </w:rPr>
            </w:pPr>
          </w:p>
        </w:tc>
        <w:tc>
          <w:tcPr>
            <w:tcW w:w="1322" w:type="dxa"/>
            <w:tcBorders>
              <w:top w:val="single" w:sz="4" w:space="0" w:color="auto"/>
              <w:left w:val="single" w:sz="8" w:space="0" w:color="auto"/>
              <w:bottom w:val="single" w:sz="8" w:space="0" w:color="auto"/>
              <w:right w:val="single" w:sz="8" w:space="0" w:color="auto"/>
            </w:tcBorders>
            <w:shd w:val="clear" w:color="auto" w:fill="C6EFCE"/>
            <w:tcMar>
              <w:left w:w="108" w:type="dxa"/>
              <w:right w:w="108" w:type="dxa"/>
            </w:tcMar>
          </w:tcPr>
          <w:p w14:paraId="6B2D45ED" w14:textId="77777777" w:rsidR="00F65654" w:rsidRPr="00CC26EA" w:rsidRDefault="0041081E">
            <w:pPr>
              <w:pStyle w:val="P68B1DB1-Normal13"/>
              <w:rPr>
                <w:rFonts w:ascii="Times New Roman" w:hAnsi="Times New Roman" w:cstheme="minorHAnsi"/>
                <w:noProof/>
                <w:spacing w:val="-6"/>
                <w:lang w:val="sk-SK"/>
              </w:rPr>
            </w:pPr>
            <w:r w:rsidRPr="00CC26EA">
              <w:rPr>
                <w:rFonts w:ascii="Times New Roman" w:hAnsi="Times New Roman"/>
                <w:noProof/>
                <w:spacing w:val="-6"/>
                <w:lang w:val="sk-SK"/>
              </w:rPr>
              <w:t>Odstránenie systémových prekážok</w:t>
            </w:r>
          </w:p>
          <w:p w14:paraId="42E08604" w14:textId="77777777" w:rsidR="00F65654" w:rsidRPr="00CC26EA" w:rsidRDefault="00F65654">
            <w:pPr>
              <w:rPr>
                <w:rFonts w:ascii="Times New Roman" w:eastAsia="Times New Roman" w:hAnsi="Times New Roman" w:cstheme="minorHAnsi"/>
                <w:noProof/>
                <w:color w:val="006100"/>
                <w:spacing w:val="-6"/>
                <w:lang w:val="sk-SK"/>
              </w:rPr>
            </w:pPr>
          </w:p>
          <w:p w14:paraId="3A82171A" w14:textId="77777777" w:rsidR="00F65654" w:rsidRPr="00CC26EA" w:rsidRDefault="00F65654">
            <w:pPr>
              <w:rPr>
                <w:rFonts w:ascii="Times New Roman" w:eastAsia="Times New Roman" w:hAnsi="Times New Roman" w:cstheme="minorHAnsi"/>
                <w:noProof/>
                <w:color w:val="006100"/>
                <w:spacing w:val="-6"/>
                <w:lang w:val="sk-SK"/>
              </w:rPr>
            </w:pPr>
          </w:p>
        </w:tc>
        <w:tc>
          <w:tcPr>
            <w:tcW w:w="1061" w:type="dxa"/>
            <w:tcBorders>
              <w:top w:val="single" w:sz="4" w:space="0" w:color="auto"/>
              <w:left w:val="single" w:sz="8" w:space="0" w:color="auto"/>
              <w:bottom w:val="single" w:sz="8" w:space="0" w:color="auto"/>
              <w:right w:val="single" w:sz="8" w:space="0" w:color="auto"/>
            </w:tcBorders>
            <w:shd w:val="clear" w:color="auto" w:fill="C6EFCE"/>
            <w:tcMar>
              <w:left w:w="108" w:type="dxa"/>
              <w:right w:w="108" w:type="dxa"/>
            </w:tcMar>
          </w:tcPr>
          <w:p w14:paraId="2BBD1D82" w14:textId="77777777" w:rsidR="00F65654" w:rsidRPr="00CC26EA" w:rsidRDefault="0041081E">
            <w:pPr>
              <w:pStyle w:val="P68B1DB1-Normal13"/>
              <w:rPr>
                <w:rFonts w:ascii="Times New Roman" w:hAnsi="Times New Roman" w:cstheme="minorHAnsi"/>
                <w:noProof/>
                <w:spacing w:val="-6"/>
                <w:lang w:val="sk-SK"/>
              </w:rPr>
            </w:pPr>
            <w:r w:rsidRPr="00CC26EA">
              <w:rPr>
                <w:rFonts w:ascii="Times New Roman" w:hAnsi="Times New Roman"/>
                <w:noProof/>
                <w:spacing w:val="-6"/>
                <w:lang w:val="sk-SK"/>
              </w:rPr>
              <w:t>0</w:t>
            </w:r>
          </w:p>
        </w:tc>
        <w:tc>
          <w:tcPr>
            <w:tcW w:w="910" w:type="dxa"/>
            <w:tcBorders>
              <w:top w:val="single" w:sz="4" w:space="0" w:color="auto"/>
              <w:left w:val="single" w:sz="8" w:space="0" w:color="auto"/>
              <w:bottom w:val="single" w:sz="8" w:space="0" w:color="auto"/>
              <w:right w:val="single" w:sz="8" w:space="0" w:color="auto"/>
            </w:tcBorders>
            <w:shd w:val="clear" w:color="auto" w:fill="C6EFCE"/>
            <w:tcMar>
              <w:left w:w="108" w:type="dxa"/>
              <w:right w:w="108" w:type="dxa"/>
            </w:tcMar>
          </w:tcPr>
          <w:p w14:paraId="1121CEA2"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10</w:t>
            </w:r>
          </w:p>
        </w:tc>
        <w:tc>
          <w:tcPr>
            <w:tcW w:w="1066" w:type="dxa"/>
            <w:tcBorders>
              <w:top w:val="single" w:sz="4" w:space="0" w:color="auto"/>
              <w:left w:val="single" w:sz="8" w:space="0" w:color="auto"/>
              <w:bottom w:val="single" w:sz="8" w:space="0" w:color="auto"/>
              <w:right w:val="single" w:sz="8" w:space="0" w:color="auto"/>
            </w:tcBorders>
            <w:shd w:val="clear" w:color="auto" w:fill="C6EFCE"/>
            <w:tcMar>
              <w:left w:w="108" w:type="dxa"/>
              <w:right w:w="108" w:type="dxa"/>
            </w:tcMar>
          </w:tcPr>
          <w:p w14:paraId="5900DE7D"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OTÁZKA 2</w:t>
            </w:r>
          </w:p>
        </w:tc>
        <w:tc>
          <w:tcPr>
            <w:tcW w:w="1090" w:type="dxa"/>
            <w:tcBorders>
              <w:top w:val="single" w:sz="4" w:space="0" w:color="auto"/>
              <w:left w:val="single" w:sz="8" w:space="0" w:color="auto"/>
              <w:bottom w:val="single" w:sz="8" w:space="0" w:color="auto"/>
              <w:right w:val="single" w:sz="8" w:space="0" w:color="auto"/>
            </w:tcBorders>
            <w:shd w:val="clear" w:color="auto" w:fill="C6EFCE"/>
            <w:tcMar>
              <w:left w:w="108" w:type="dxa"/>
              <w:right w:w="108" w:type="dxa"/>
            </w:tcMar>
          </w:tcPr>
          <w:p w14:paraId="11643FBF"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2026</w:t>
            </w:r>
          </w:p>
        </w:tc>
        <w:tc>
          <w:tcPr>
            <w:tcW w:w="2926" w:type="dxa"/>
            <w:tcBorders>
              <w:top w:val="single" w:sz="4" w:space="0" w:color="auto"/>
              <w:left w:val="single" w:sz="8" w:space="0" w:color="auto"/>
              <w:bottom w:val="single" w:sz="8" w:space="0" w:color="auto"/>
              <w:right w:val="single" w:sz="8" w:space="0" w:color="auto"/>
            </w:tcBorders>
            <w:shd w:val="clear" w:color="auto" w:fill="C6EFCE"/>
            <w:tcMar>
              <w:left w:w="108" w:type="dxa"/>
              <w:right w:w="108" w:type="dxa"/>
            </w:tcMar>
          </w:tcPr>
          <w:p w14:paraId="4DEE5029" w14:textId="007A8AA2"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Z celkového cieľa desiatich systémových prekážok, ktoré sa majú odstrániť, sa odstránilo aspoň päť systémových prekážok inštalácie slnečnej energie na pevnine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odstránilo sa aspoň päť systémových prekážok inštalácie veternej energie na pevnine.  Ak sa na solárnu energiu na pevnine aj na pevnine vzťahuje jedno odstránenie systémovej bariéry, započíta sa pre každý</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príslušných čiastkových cieľov.</w:t>
            </w:r>
          </w:p>
        </w:tc>
      </w:tr>
      <w:tr w:rsidR="00F65654" w:rsidRPr="00CC26EA" w14:paraId="07F9A4BC" w14:textId="77777777">
        <w:trPr>
          <w:trHeight w:val="315"/>
        </w:trPr>
        <w:tc>
          <w:tcPr>
            <w:tcW w:w="1381" w:type="dxa"/>
            <w:tcBorders>
              <w:top w:val="single" w:sz="8" w:space="0" w:color="auto"/>
              <w:left w:val="single" w:sz="8" w:space="0" w:color="auto"/>
              <w:bottom w:val="single" w:sz="8" w:space="0" w:color="000000" w:themeColor="text1"/>
              <w:right w:val="single" w:sz="8" w:space="0" w:color="auto"/>
            </w:tcBorders>
            <w:shd w:val="clear" w:color="auto" w:fill="C6EFCE"/>
            <w:tcMar>
              <w:left w:w="108" w:type="dxa"/>
              <w:right w:w="108" w:type="dxa"/>
            </w:tcMar>
          </w:tcPr>
          <w:p w14:paraId="170F3005"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82</w:t>
            </w:r>
          </w:p>
        </w:tc>
        <w:tc>
          <w:tcPr>
            <w:tcW w:w="1113" w:type="dxa"/>
            <w:tcBorders>
              <w:top w:val="single" w:sz="8" w:space="0" w:color="auto"/>
              <w:left w:val="single" w:sz="8" w:space="0" w:color="auto"/>
              <w:bottom w:val="single" w:sz="8" w:space="0" w:color="000000" w:themeColor="text1"/>
              <w:right w:val="single" w:sz="8" w:space="0" w:color="auto"/>
            </w:tcBorders>
            <w:shd w:val="clear" w:color="auto" w:fill="C6EFCE"/>
            <w:tcMar>
              <w:left w:w="108" w:type="dxa"/>
              <w:right w:w="108" w:type="dxa"/>
            </w:tcMar>
          </w:tcPr>
          <w:p w14:paraId="3CB1E817"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8 – REPowerEU – Prípravy na veternú energiu vo výške 4 gigawattov (GW) na mori</w:t>
            </w:r>
          </w:p>
        </w:tc>
        <w:tc>
          <w:tcPr>
            <w:tcW w:w="1361" w:type="dxa"/>
            <w:tcBorders>
              <w:top w:val="single" w:sz="8" w:space="0" w:color="auto"/>
              <w:left w:val="single" w:sz="8" w:space="0" w:color="auto"/>
              <w:bottom w:val="single" w:sz="8" w:space="0" w:color="000000" w:themeColor="text1"/>
              <w:right w:val="single" w:sz="8" w:space="0" w:color="auto"/>
            </w:tcBorders>
            <w:shd w:val="clear" w:color="auto" w:fill="C6EFCE"/>
            <w:tcMar>
              <w:left w:w="108" w:type="dxa"/>
              <w:right w:w="108" w:type="dxa"/>
            </w:tcMar>
          </w:tcPr>
          <w:p w14:paraId="10217DA5"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Míľnik</w:t>
            </w:r>
          </w:p>
        </w:tc>
        <w:tc>
          <w:tcPr>
            <w:tcW w:w="1140" w:type="dxa"/>
            <w:tcBorders>
              <w:top w:val="single" w:sz="8" w:space="0" w:color="auto"/>
              <w:left w:val="single" w:sz="8" w:space="0" w:color="auto"/>
              <w:bottom w:val="single" w:sz="8" w:space="0" w:color="000000" w:themeColor="text1"/>
              <w:right w:val="single" w:sz="8" w:space="0" w:color="auto"/>
            </w:tcBorders>
            <w:shd w:val="clear" w:color="auto" w:fill="C6EFCE"/>
            <w:tcMar>
              <w:left w:w="108" w:type="dxa"/>
              <w:right w:w="108" w:type="dxa"/>
            </w:tcMar>
          </w:tcPr>
          <w:p w14:paraId="6FDDDAC3" w14:textId="4493FEFB" w:rsidR="00F65654" w:rsidRPr="00CC26EA" w:rsidRDefault="0041081E">
            <w:pPr>
              <w:pStyle w:val="P68B1DB1-Normal13"/>
              <w:rPr>
                <w:rFonts w:ascii="Times New Roman" w:hAnsi="Times New Roman" w:cstheme="minorHAnsi"/>
                <w:noProof/>
                <w:spacing w:val="-6"/>
                <w:lang w:val="sk-SK"/>
              </w:rPr>
            </w:pPr>
            <w:r w:rsidRPr="00CC26EA">
              <w:rPr>
                <w:rFonts w:ascii="Times New Roman" w:hAnsi="Times New Roman"/>
                <w:noProof/>
                <w:spacing w:val="-6"/>
                <w:lang w:val="sk-SK"/>
              </w:rPr>
              <w:t>Príprava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uverejnenie výzvy na predkladanie ponúk na veternú energiu na mori</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 xml:space="preserve">výkonom 4 GW </w:t>
            </w:r>
          </w:p>
        </w:tc>
        <w:tc>
          <w:tcPr>
            <w:tcW w:w="1304" w:type="dxa"/>
            <w:tcBorders>
              <w:top w:val="single" w:sz="8" w:space="0" w:color="auto"/>
              <w:left w:val="single" w:sz="8" w:space="0" w:color="auto"/>
              <w:bottom w:val="single" w:sz="8" w:space="0" w:color="000000" w:themeColor="text1"/>
              <w:right w:val="single" w:sz="8" w:space="0" w:color="auto"/>
            </w:tcBorders>
            <w:shd w:val="clear" w:color="auto" w:fill="C6EFCE"/>
            <w:tcMar>
              <w:left w:w="108" w:type="dxa"/>
              <w:right w:w="108" w:type="dxa"/>
            </w:tcMar>
          </w:tcPr>
          <w:p w14:paraId="2D1E510B" w14:textId="14E27695"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Bola vypracovaná</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uverejnená aspoň jedna výzva na predkladanie ponúk na veternú energiu na mori</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 xml:space="preserve">výkonom 4 GW </w:t>
            </w:r>
          </w:p>
        </w:tc>
        <w:tc>
          <w:tcPr>
            <w:tcW w:w="1322"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7F17E38A" w14:textId="77777777" w:rsidR="00F65654" w:rsidRPr="00CC26EA" w:rsidRDefault="00F65654">
            <w:pPr>
              <w:rPr>
                <w:rFonts w:ascii="Times New Roman" w:eastAsia="Times New Roman" w:hAnsi="Times New Roman" w:cstheme="minorHAnsi"/>
                <w:noProof/>
                <w:color w:val="006100"/>
                <w:spacing w:val="-6"/>
                <w:lang w:val="sk-SK"/>
              </w:rPr>
            </w:pPr>
          </w:p>
        </w:tc>
        <w:tc>
          <w:tcPr>
            <w:tcW w:w="106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52812F73" w14:textId="77777777" w:rsidR="00F65654" w:rsidRPr="00CC26EA" w:rsidRDefault="00F65654">
            <w:pPr>
              <w:rPr>
                <w:rFonts w:ascii="Times New Roman" w:eastAsia="Times New Roman" w:hAnsi="Times New Roman" w:cstheme="minorHAnsi"/>
                <w:noProof/>
                <w:color w:val="006100"/>
                <w:spacing w:val="-6"/>
                <w:lang w:val="sk-SK"/>
              </w:rPr>
            </w:pPr>
          </w:p>
        </w:tc>
        <w:tc>
          <w:tcPr>
            <w:tcW w:w="91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106349B" w14:textId="77777777" w:rsidR="00F65654" w:rsidRPr="00CC26EA" w:rsidRDefault="00F65654">
            <w:pPr>
              <w:rPr>
                <w:rFonts w:ascii="Times New Roman" w:eastAsia="Times New Roman" w:hAnsi="Times New Roman" w:cstheme="minorHAnsi"/>
                <w:noProof/>
                <w:color w:val="006100"/>
                <w:spacing w:val="-6"/>
                <w:lang w:val="sk-SK"/>
              </w:rPr>
            </w:pPr>
          </w:p>
        </w:tc>
        <w:tc>
          <w:tcPr>
            <w:tcW w:w="106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261CF261"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OTÁZKA Č. 1</w:t>
            </w:r>
          </w:p>
        </w:tc>
        <w:tc>
          <w:tcPr>
            <w:tcW w:w="109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3F8B456F"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2026</w:t>
            </w:r>
          </w:p>
        </w:tc>
        <w:tc>
          <w:tcPr>
            <w:tcW w:w="292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5CF39721" w14:textId="3CB493B4"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Príprava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uverejnenie aspoň jednej výzvy na predkladanie ponúk na veternú energiu na mori</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výkonom 4 GW. Prípravné práce zahŕňajú analytické, technické</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právne práce na prípravu verejnej súťaže, trhový dialóg</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postup verejného obstarávania.</w:t>
            </w:r>
          </w:p>
        </w:tc>
      </w:tr>
      <w:tr w:rsidR="00F65654" w:rsidRPr="00CC26EA" w14:paraId="25487D99" w14:textId="77777777">
        <w:trPr>
          <w:trHeight w:val="315"/>
        </w:trPr>
        <w:tc>
          <w:tcPr>
            <w:tcW w:w="1381" w:type="dxa"/>
            <w:tcBorders>
              <w:top w:val="single" w:sz="8" w:space="0" w:color="auto"/>
              <w:left w:val="single" w:sz="8" w:space="0" w:color="auto"/>
              <w:bottom w:val="single" w:sz="8" w:space="0" w:color="000000" w:themeColor="text1"/>
              <w:right w:val="single" w:sz="8" w:space="0" w:color="auto"/>
            </w:tcBorders>
            <w:shd w:val="clear" w:color="auto" w:fill="C6EFCE"/>
            <w:tcMar>
              <w:left w:w="108" w:type="dxa"/>
              <w:right w:w="108" w:type="dxa"/>
            </w:tcMar>
          </w:tcPr>
          <w:p w14:paraId="0F316850"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83</w:t>
            </w:r>
          </w:p>
        </w:tc>
        <w:tc>
          <w:tcPr>
            <w:tcW w:w="1113" w:type="dxa"/>
            <w:tcBorders>
              <w:top w:val="single" w:sz="8" w:space="0" w:color="auto"/>
              <w:left w:val="single" w:sz="8" w:space="0" w:color="auto"/>
              <w:bottom w:val="single" w:sz="8" w:space="0" w:color="000000" w:themeColor="text1"/>
              <w:right w:val="single" w:sz="8" w:space="0" w:color="auto"/>
            </w:tcBorders>
            <w:shd w:val="clear" w:color="auto" w:fill="C6EFCE"/>
            <w:tcMar>
              <w:left w:w="108" w:type="dxa"/>
              <w:right w:w="108" w:type="dxa"/>
            </w:tcMar>
          </w:tcPr>
          <w:p w14:paraId="757B7863" w14:textId="357A6C0B"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8 – REPowerEU – Preverenie kapacity Dánska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oblasti veternej energie na mori</w:t>
            </w:r>
          </w:p>
        </w:tc>
        <w:tc>
          <w:tcPr>
            <w:tcW w:w="1361" w:type="dxa"/>
            <w:tcBorders>
              <w:top w:val="single" w:sz="8" w:space="0" w:color="auto"/>
              <w:left w:val="single" w:sz="8" w:space="0" w:color="auto"/>
              <w:bottom w:val="single" w:sz="8" w:space="0" w:color="000000" w:themeColor="text1"/>
              <w:right w:val="single" w:sz="8" w:space="0" w:color="auto"/>
            </w:tcBorders>
            <w:shd w:val="clear" w:color="auto" w:fill="C6EFCE"/>
            <w:tcMar>
              <w:left w:w="108" w:type="dxa"/>
              <w:right w:w="108" w:type="dxa"/>
            </w:tcMar>
          </w:tcPr>
          <w:p w14:paraId="1CC65811"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Míľnik</w:t>
            </w:r>
          </w:p>
        </w:tc>
        <w:tc>
          <w:tcPr>
            <w:tcW w:w="1140" w:type="dxa"/>
            <w:tcBorders>
              <w:top w:val="single" w:sz="8" w:space="0" w:color="auto"/>
              <w:left w:val="single" w:sz="8" w:space="0" w:color="auto"/>
              <w:bottom w:val="single" w:sz="8" w:space="0" w:color="000000" w:themeColor="text1"/>
              <w:right w:val="single" w:sz="8" w:space="0" w:color="auto"/>
            </w:tcBorders>
            <w:shd w:val="clear" w:color="auto" w:fill="C6EFCE"/>
            <w:tcMar>
              <w:left w:w="108" w:type="dxa"/>
              <w:right w:w="108" w:type="dxa"/>
            </w:tcMar>
          </w:tcPr>
          <w:p w14:paraId="002D3F73" w14:textId="77777777" w:rsidR="00F65654" w:rsidRPr="00CC26EA" w:rsidRDefault="0041081E">
            <w:pPr>
              <w:pStyle w:val="P68B1DB1-Normal14"/>
              <w:rPr>
                <w:rFonts w:ascii="Times New Roman" w:hAnsi="Times New Roman" w:cstheme="minorHAnsi"/>
                <w:noProof/>
                <w:spacing w:val="-6"/>
                <w:lang w:val="sk-SK"/>
              </w:rPr>
            </w:pPr>
            <w:r w:rsidRPr="00CC26EA">
              <w:rPr>
                <w:rFonts w:ascii="Times New Roman" w:hAnsi="Times New Roman"/>
                <w:noProof/>
                <w:color w:val="006100"/>
                <w:spacing w:val="-6"/>
                <w:lang w:val="sk-SK"/>
              </w:rPr>
              <w:t>Uverejnenie správy</w:t>
            </w:r>
            <w:r w:rsidRPr="00CC26EA">
              <w:rPr>
                <w:rFonts w:ascii="Times New Roman" w:hAnsi="Times New Roman"/>
                <w:noProof/>
                <w:spacing w:val="-6"/>
                <w:lang w:val="sk-SK"/>
              </w:rPr>
              <w:t xml:space="preserve"> </w:t>
            </w:r>
          </w:p>
        </w:tc>
        <w:tc>
          <w:tcPr>
            <w:tcW w:w="1304" w:type="dxa"/>
            <w:tcBorders>
              <w:top w:val="single" w:sz="8" w:space="0" w:color="auto"/>
              <w:left w:val="single" w:sz="8" w:space="0" w:color="auto"/>
              <w:bottom w:val="single" w:sz="8" w:space="0" w:color="000000" w:themeColor="text1"/>
              <w:right w:val="single" w:sz="8" w:space="0" w:color="auto"/>
            </w:tcBorders>
            <w:shd w:val="clear" w:color="auto" w:fill="C6EFCE"/>
            <w:tcMar>
              <w:left w:w="108" w:type="dxa"/>
              <w:right w:w="108" w:type="dxa"/>
            </w:tcMar>
          </w:tcPr>
          <w:p w14:paraId="62E7C5E3" w14:textId="094850DE"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Správa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potenciálnej kapacite veternej energie na mori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Dánsku uverejnená dánskou energetickou agentúrou</w:t>
            </w:r>
          </w:p>
        </w:tc>
        <w:tc>
          <w:tcPr>
            <w:tcW w:w="1322"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709F8E9F" w14:textId="77777777" w:rsidR="00F65654" w:rsidRPr="00CC26EA" w:rsidRDefault="00F65654">
            <w:pPr>
              <w:rPr>
                <w:rFonts w:ascii="Times New Roman" w:eastAsia="Times New Roman" w:hAnsi="Times New Roman" w:cstheme="minorHAnsi"/>
                <w:noProof/>
                <w:color w:val="006100"/>
                <w:spacing w:val="-6"/>
                <w:lang w:val="sk-SK"/>
              </w:rPr>
            </w:pPr>
          </w:p>
        </w:tc>
        <w:tc>
          <w:tcPr>
            <w:tcW w:w="106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342F6D56" w14:textId="77777777" w:rsidR="00F65654" w:rsidRPr="00CC26EA" w:rsidRDefault="00F65654">
            <w:pPr>
              <w:rPr>
                <w:rFonts w:ascii="Times New Roman" w:eastAsia="Times New Roman" w:hAnsi="Times New Roman" w:cstheme="minorHAnsi"/>
                <w:noProof/>
                <w:color w:val="006100"/>
                <w:spacing w:val="-6"/>
                <w:lang w:val="sk-SK"/>
              </w:rPr>
            </w:pPr>
          </w:p>
        </w:tc>
        <w:tc>
          <w:tcPr>
            <w:tcW w:w="91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1A825496" w14:textId="77777777" w:rsidR="00F65654" w:rsidRPr="00CC26EA" w:rsidRDefault="00F65654">
            <w:pPr>
              <w:rPr>
                <w:rFonts w:ascii="Times New Roman" w:eastAsia="Times New Roman" w:hAnsi="Times New Roman" w:cstheme="minorHAnsi"/>
                <w:noProof/>
                <w:color w:val="006100"/>
                <w:spacing w:val="-6"/>
                <w:lang w:val="sk-SK"/>
              </w:rPr>
            </w:pPr>
          </w:p>
        </w:tc>
        <w:tc>
          <w:tcPr>
            <w:tcW w:w="106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14F3B7E4"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OTÁZKA 2</w:t>
            </w:r>
          </w:p>
        </w:tc>
        <w:tc>
          <w:tcPr>
            <w:tcW w:w="109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64E25E8C"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2026</w:t>
            </w:r>
          </w:p>
        </w:tc>
        <w:tc>
          <w:tcPr>
            <w:tcW w:w="292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65006404" w14:textId="0B24C47A" w:rsidR="00CC26EA" w:rsidRPr="00CC26EA" w:rsidRDefault="0041081E">
            <w:pPr>
              <w:pStyle w:val="P68B1DB1-Normal13"/>
              <w:rPr>
                <w:rFonts w:ascii="Times New Roman" w:hAnsi="Times New Roman"/>
                <w:noProof/>
                <w:spacing w:val="-6"/>
                <w:lang w:val="sk-SK"/>
              </w:rPr>
            </w:pPr>
            <w:r w:rsidRPr="00CC26EA">
              <w:rPr>
                <w:rFonts w:ascii="Times New Roman" w:hAnsi="Times New Roman"/>
                <w:noProof/>
                <w:spacing w:val="-6"/>
                <w:lang w:val="sk-SK"/>
              </w:rPr>
              <w:t>Dánska energetická agentúra uverejní správu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potenciálnej kapacite veternej energie na mori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Dánsku,</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ktorej sa zohľadnia záujmy súvisiace</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prírodou, životným prostredím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inými záujmami súvisiacimi</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prírodou</w:t>
            </w:r>
            <w:r w:rsidR="00CC26EA" w:rsidRPr="00CC26EA">
              <w:rPr>
                <w:rFonts w:ascii="Times New Roman" w:hAnsi="Times New Roman"/>
                <w:noProof/>
                <w:spacing w:val="-6"/>
                <w:lang w:val="sk-SK"/>
              </w:rPr>
              <w:t>.</w:t>
            </w:r>
          </w:p>
          <w:p w14:paraId="2223AEED" w14:textId="305A2A1C" w:rsidR="00CC26EA" w:rsidRPr="00CC26EA" w:rsidRDefault="0041081E">
            <w:pPr>
              <w:pStyle w:val="P68B1DB1-Normal13"/>
              <w:rPr>
                <w:rFonts w:ascii="Times New Roman" w:hAnsi="Times New Roman"/>
                <w:noProof/>
                <w:spacing w:val="-6"/>
                <w:lang w:val="sk-SK"/>
              </w:rPr>
            </w:pPr>
            <w:r w:rsidRPr="00CC26EA">
              <w:rPr>
                <w:rFonts w:ascii="Times New Roman" w:hAnsi="Times New Roman"/>
                <w:noProof/>
                <w:spacing w:val="-6"/>
                <w:lang w:val="sk-SK"/>
              </w:rPr>
              <w:t>Dánska energetická agentúra uverejní správu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potenciálnej kapacite veternej energie na mori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Dánsku,</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ktorej sa zohľadnia záujmy súvisiace</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prírodou, životným prostredím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inými záujmami súvisiacimi</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prírodou</w:t>
            </w:r>
            <w:r w:rsidR="00CC26EA" w:rsidRPr="00CC26EA">
              <w:rPr>
                <w:rFonts w:ascii="Times New Roman" w:hAnsi="Times New Roman"/>
                <w:noProof/>
                <w:spacing w:val="-6"/>
                <w:lang w:val="sk-SK"/>
              </w:rPr>
              <w:t>.</w:t>
            </w:r>
          </w:p>
          <w:p w14:paraId="3D8CA8E8" w14:textId="77777777" w:rsidR="00CC26EA" w:rsidRPr="00CC26EA" w:rsidRDefault="0041081E">
            <w:pPr>
              <w:pStyle w:val="P68B1DB1-Normal13"/>
              <w:rPr>
                <w:rFonts w:ascii="Times New Roman" w:hAnsi="Times New Roman"/>
                <w:noProof/>
                <w:spacing w:val="-6"/>
                <w:lang w:val="sk-SK"/>
              </w:rPr>
            </w:pPr>
            <w:r w:rsidRPr="00CC26EA">
              <w:rPr>
                <w:rFonts w:ascii="Times New Roman" w:hAnsi="Times New Roman"/>
                <w:noProof/>
                <w:spacing w:val="-6"/>
                <w:lang w:val="sk-SK"/>
              </w:rPr>
              <w:t>Správa sa rozdelí na štyri čiastkové úlohy</w:t>
            </w:r>
            <w:r w:rsidR="00CC26EA" w:rsidRPr="00CC26EA">
              <w:rPr>
                <w:rFonts w:ascii="Times New Roman" w:hAnsi="Times New Roman"/>
                <w:noProof/>
                <w:spacing w:val="-6"/>
                <w:lang w:val="sk-SK"/>
              </w:rPr>
              <w:t>:</w:t>
            </w:r>
          </w:p>
          <w:p w14:paraId="699E373C" w14:textId="52BA3E74" w:rsidR="00CC26EA" w:rsidRPr="00CC26EA" w:rsidRDefault="0041081E">
            <w:pPr>
              <w:pStyle w:val="P68B1DB1-Normal13"/>
              <w:rPr>
                <w:rFonts w:ascii="Times New Roman" w:hAnsi="Times New Roman"/>
                <w:noProof/>
                <w:spacing w:val="-6"/>
                <w:lang w:val="sk-SK"/>
              </w:rPr>
            </w:pPr>
            <w:r w:rsidRPr="00CC26EA">
              <w:rPr>
                <w:rFonts w:ascii="Times New Roman" w:hAnsi="Times New Roman"/>
                <w:noProof/>
                <w:spacing w:val="-6"/>
                <w:lang w:val="sk-SK"/>
              </w:rPr>
              <w:t>— mapovanie citlivosti aspektov súvisiacich</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prírodou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životným prostredím, ako aj iných významných záujmov na mori, ktoré sú relevantné pre rozšírenie veternej energie na mori</w:t>
            </w:r>
            <w:r w:rsidR="00CC26EA" w:rsidRPr="00CC26EA">
              <w:rPr>
                <w:rFonts w:ascii="Times New Roman" w:hAnsi="Times New Roman"/>
                <w:noProof/>
                <w:spacing w:val="-6"/>
                <w:lang w:val="sk-SK"/>
              </w:rPr>
              <w:t>;</w:t>
            </w:r>
          </w:p>
          <w:p w14:paraId="7659774C" w14:textId="1CAE3F9B" w:rsidR="00CC26EA" w:rsidRPr="00CC26EA" w:rsidRDefault="0041081E">
            <w:pPr>
              <w:pStyle w:val="P68B1DB1-Normal13"/>
              <w:rPr>
                <w:rFonts w:ascii="Times New Roman" w:hAnsi="Times New Roman"/>
                <w:noProof/>
                <w:spacing w:val="-6"/>
                <w:lang w:val="sk-SK"/>
              </w:rPr>
            </w:pPr>
            <w:r w:rsidRPr="00CC26EA">
              <w:rPr>
                <w:rFonts w:ascii="Times New Roman" w:hAnsi="Times New Roman"/>
                <w:noProof/>
                <w:spacing w:val="-6"/>
                <w:lang w:val="sk-SK"/>
              </w:rPr>
              <w:t>technické hĺbkové preskúmanie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posúdenie plného potenciálu veternej energie na mori na základe mapovania citlivosti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príslušných technických parametrov</w:t>
            </w:r>
            <w:r w:rsidR="00CC26EA" w:rsidRPr="00CC26EA">
              <w:rPr>
                <w:rFonts w:ascii="Times New Roman" w:hAnsi="Times New Roman"/>
                <w:noProof/>
                <w:spacing w:val="-6"/>
                <w:lang w:val="sk-SK"/>
              </w:rPr>
              <w:t>;</w:t>
            </w:r>
          </w:p>
          <w:p w14:paraId="320A7A7F" w14:textId="7AC911DF" w:rsidR="00F65654" w:rsidRPr="00CC26EA" w:rsidRDefault="0041081E">
            <w:pPr>
              <w:pStyle w:val="P68B1DB1-Normal13"/>
              <w:rPr>
                <w:rFonts w:ascii="Times New Roman" w:eastAsia="Times New Roman" w:hAnsi="Times New Roman" w:cstheme="minorBidi"/>
                <w:noProof/>
                <w:spacing w:val="-6"/>
                <w:lang w:val="sk-SK"/>
              </w:rPr>
            </w:pPr>
            <w:r w:rsidRPr="00CC26EA">
              <w:rPr>
                <w:rFonts w:ascii="Times New Roman" w:hAnsi="Times New Roman"/>
                <w:noProof/>
                <w:spacing w:val="-6"/>
                <w:lang w:val="sk-SK"/>
              </w:rPr>
              <w:t>— posúdenie možných kumulatívnych účinkov rozsiahleho rozšírenia veternej energie na mori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Dánsku, ako aj</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susedných krajinách;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zároveň</w:t>
            </w:r>
          </w:p>
          <w:p w14:paraId="27CAAC80" w14:textId="71F1E11B"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posúdenie prekážok</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vyhliadok súvisiacich</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koexistenciou veternej energie na mori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inými záujmami</w:t>
            </w:r>
          </w:p>
        </w:tc>
      </w:tr>
      <w:tr w:rsidR="00F65654" w:rsidRPr="00CC26EA" w14:paraId="7900AB28" w14:textId="77777777">
        <w:trPr>
          <w:trHeight w:val="315"/>
        </w:trPr>
        <w:tc>
          <w:tcPr>
            <w:tcW w:w="138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69071AEA" w14:textId="77777777" w:rsidR="00F65654" w:rsidRPr="00CC26EA" w:rsidRDefault="0041081E">
            <w:pPr>
              <w:pStyle w:val="P68B1DB1-Normal13"/>
              <w:rPr>
                <w:rFonts w:ascii="Times New Roman" w:eastAsia="Times New Roman" w:hAnsi="Times New Roman" w:cstheme="minorHAnsi"/>
                <w:noProof/>
                <w:spacing w:val="-6"/>
                <w:highlight w:val="yellow"/>
                <w:lang w:val="sk-SK"/>
              </w:rPr>
            </w:pPr>
            <w:r w:rsidRPr="00CC26EA">
              <w:rPr>
                <w:rFonts w:ascii="Times New Roman" w:hAnsi="Times New Roman"/>
                <w:noProof/>
                <w:spacing w:val="-6"/>
                <w:lang w:val="sk-SK"/>
              </w:rPr>
              <w:t xml:space="preserve">84 </w:t>
            </w:r>
          </w:p>
        </w:tc>
        <w:tc>
          <w:tcPr>
            <w:tcW w:w="1113"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50A07606"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8 – REPowerEU – Podpora uvedenia experimentálnych veterných turbín do prevádzky</w:t>
            </w:r>
          </w:p>
        </w:tc>
        <w:tc>
          <w:tcPr>
            <w:tcW w:w="136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36DC970D"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Míľnik</w:t>
            </w:r>
          </w:p>
        </w:tc>
        <w:tc>
          <w:tcPr>
            <w:tcW w:w="114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79BA384"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Uverejnenie aspoň jednej verejnej výzvy na predkladanie žiadostí </w:t>
            </w:r>
          </w:p>
        </w:tc>
        <w:tc>
          <w:tcPr>
            <w:tcW w:w="1304"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38DCD7F8" w14:textId="38DA0288"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Uverejnenie aspoň jednej verejnej výzvy na predkladanie žiadostí</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investičnú podporu na uvedenie experimentálnych veterných turbín do prevádzky</w:t>
            </w:r>
          </w:p>
        </w:tc>
        <w:tc>
          <w:tcPr>
            <w:tcW w:w="1322"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0B5616D8"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w:t>
            </w:r>
          </w:p>
        </w:tc>
        <w:tc>
          <w:tcPr>
            <w:tcW w:w="106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00B71678"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w:t>
            </w:r>
          </w:p>
        </w:tc>
        <w:tc>
          <w:tcPr>
            <w:tcW w:w="91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0AE59D57"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w:t>
            </w:r>
          </w:p>
        </w:tc>
        <w:tc>
          <w:tcPr>
            <w:tcW w:w="106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25D1B85F"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ŠTVRTÝ ŠTVRŤROK</w:t>
            </w:r>
          </w:p>
        </w:tc>
        <w:tc>
          <w:tcPr>
            <w:tcW w:w="109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799AE877"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2024 </w:t>
            </w:r>
          </w:p>
        </w:tc>
        <w:tc>
          <w:tcPr>
            <w:tcW w:w="292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6D51E85" w14:textId="76B064AA"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Uverejnenie aspoň jednej verejnej výzvy na predkladanie žiadostí</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 xml:space="preserve">investičnú podporu na uvedenie experimentálnych veterných turbín do prevádzky.  </w:t>
            </w:r>
          </w:p>
        </w:tc>
      </w:tr>
      <w:tr w:rsidR="00F65654" w:rsidRPr="00CC26EA" w14:paraId="22C9F2CE" w14:textId="77777777">
        <w:trPr>
          <w:trHeight w:val="315"/>
        </w:trPr>
        <w:tc>
          <w:tcPr>
            <w:tcW w:w="138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29B30B61"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85</w:t>
            </w:r>
          </w:p>
        </w:tc>
        <w:tc>
          <w:tcPr>
            <w:tcW w:w="1113"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54C846CD"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8 – REPowerEU – Podpora uvedenia experimentálnych veterných turbín do prevádzky</w:t>
            </w:r>
          </w:p>
        </w:tc>
        <w:tc>
          <w:tcPr>
            <w:tcW w:w="136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22511A04"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Cieľ</w:t>
            </w:r>
          </w:p>
        </w:tc>
        <w:tc>
          <w:tcPr>
            <w:tcW w:w="114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1C5FC261"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Uvedené do prevádzky experimentálne veterné turbíny</w:t>
            </w:r>
          </w:p>
        </w:tc>
        <w:tc>
          <w:tcPr>
            <w:tcW w:w="1304"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20B0BC30" w14:textId="77777777" w:rsidR="00F65654" w:rsidRPr="00CC26EA" w:rsidRDefault="00F65654">
            <w:pPr>
              <w:rPr>
                <w:rFonts w:ascii="Times New Roman" w:eastAsia="Times New Roman" w:hAnsi="Times New Roman" w:cstheme="minorHAnsi"/>
                <w:noProof/>
                <w:color w:val="006100"/>
                <w:spacing w:val="-6"/>
                <w:lang w:val="sk-SK"/>
              </w:rPr>
            </w:pPr>
          </w:p>
        </w:tc>
        <w:tc>
          <w:tcPr>
            <w:tcW w:w="1322"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373032B6"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Počet uvedených experimentálnych veterných turbín do prevádzky</w:t>
            </w:r>
          </w:p>
        </w:tc>
        <w:tc>
          <w:tcPr>
            <w:tcW w:w="106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F164F93"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0</w:t>
            </w:r>
          </w:p>
        </w:tc>
        <w:tc>
          <w:tcPr>
            <w:tcW w:w="91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25F7A3FA"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3</w:t>
            </w:r>
          </w:p>
        </w:tc>
        <w:tc>
          <w:tcPr>
            <w:tcW w:w="106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285A850A"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OTÁZKA 2</w:t>
            </w:r>
          </w:p>
        </w:tc>
        <w:tc>
          <w:tcPr>
            <w:tcW w:w="109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33AE9498"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2026</w:t>
            </w:r>
          </w:p>
        </w:tc>
        <w:tc>
          <w:tcPr>
            <w:tcW w:w="292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B875B64" w14:textId="77777777" w:rsidR="00F65654" w:rsidRPr="00CC26EA" w:rsidRDefault="0041081E">
            <w:pPr>
              <w:pStyle w:val="P68B1DB1-Normal13"/>
              <w:rPr>
                <w:rFonts w:ascii="Times New Roman" w:eastAsia="Times New Roman" w:hAnsi="Times New Roman" w:cstheme="minorHAnsi"/>
                <w:noProof/>
                <w:spacing w:val="-6"/>
                <w:highlight w:val="yellow"/>
                <w:lang w:val="sk-SK"/>
              </w:rPr>
            </w:pPr>
            <w:r w:rsidRPr="00CC26EA">
              <w:rPr>
                <w:rFonts w:ascii="Times New Roman" w:hAnsi="Times New Roman"/>
                <w:noProof/>
                <w:spacing w:val="-6"/>
                <w:lang w:val="sk-SK"/>
              </w:rPr>
              <w:t>Boli uvedené do prevádzky aspoň tri experimentálne veterné turbíny.</w:t>
            </w:r>
            <w:r w:rsidRPr="00CC26EA">
              <w:rPr>
                <w:rFonts w:ascii="Times New Roman" w:hAnsi="Times New Roman"/>
                <w:noProof/>
                <w:spacing w:val="-6"/>
                <w:shd w:val="clear" w:color="auto" w:fill="E6E6E6"/>
                <w:lang w:val="sk-SK"/>
              </w:rPr>
              <w:t xml:space="preserve"> </w:t>
            </w:r>
          </w:p>
        </w:tc>
      </w:tr>
      <w:tr w:rsidR="00F65654" w:rsidRPr="00CC26EA" w14:paraId="7594D801" w14:textId="77777777">
        <w:trPr>
          <w:trHeight w:val="315"/>
        </w:trPr>
        <w:tc>
          <w:tcPr>
            <w:tcW w:w="138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38749CC2"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86</w:t>
            </w:r>
          </w:p>
        </w:tc>
        <w:tc>
          <w:tcPr>
            <w:tcW w:w="1113"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6CAE82BC"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8 – REPowerEU – Zelené zvyšovanie úrovne zručností</w:t>
            </w:r>
          </w:p>
        </w:tc>
        <w:tc>
          <w:tcPr>
            <w:tcW w:w="136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7DDA5257"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Míľnik</w:t>
            </w:r>
          </w:p>
        </w:tc>
        <w:tc>
          <w:tcPr>
            <w:tcW w:w="114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3B95D11C"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Praktické vykonávanie fondov na zelené zvyšovanie úrovne zručností  </w:t>
            </w:r>
          </w:p>
        </w:tc>
        <w:tc>
          <w:tcPr>
            <w:tcW w:w="1304"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7D840299" w14:textId="16C5D44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Uzavretie dohody</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praktickom vykonávaní fondov na zelené zvyšovanie úrovne zručností medzi vládou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stranami politickej dohody</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reforme zelenej dane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24</w:t>
            </w:r>
            <w:r w:rsidR="00CC26EA" w:rsidRPr="00CC26EA">
              <w:rPr>
                <w:rFonts w:ascii="Times New Roman" w:hAnsi="Times New Roman"/>
                <w:noProof/>
                <w:spacing w:val="-6"/>
                <w:lang w:val="sk-SK"/>
              </w:rPr>
              <w:t>. júna</w:t>
            </w:r>
            <w:r w:rsidRPr="00CC26EA">
              <w:rPr>
                <w:rFonts w:ascii="Times New Roman" w:hAnsi="Times New Roman"/>
                <w:noProof/>
                <w:spacing w:val="-6"/>
                <w:lang w:val="sk-SK"/>
              </w:rPr>
              <w:t xml:space="preserve"> 2022</w:t>
            </w:r>
          </w:p>
          <w:p w14:paraId="4C64A935"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w:t>
            </w:r>
          </w:p>
        </w:tc>
        <w:tc>
          <w:tcPr>
            <w:tcW w:w="1322"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CBC3962" w14:textId="77777777" w:rsidR="00F65654" w:rsidRPr="00CC26EA" w:rsidRDefault="00F65654">
            <w:pPr>
              <w:rPr>
                <w:rFonts w:ascii="Times New Roman" w:eastAsia="Times New Roman" w:hAnsi="Times New Roman" w:cstheme="minorHAnsi"/>
                <w:noProof/>
                <w:color w:val="006100"/>
                <w:spacing w:val="-6"/>
                <w:lang w:val="sk-SK"/>
              </w:rPr>
            </w:pPr>
          </w:p>
        </w:tc>
        <w:tc>
          <w:tcPr>
            <w:tcW w:w="106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6BF24A5A" w14:textId="77777777" w:rsidR="00F65654" w:rsidRPr="00CC26EA" w:rsidRDefault="00F65654">
            <w:pPr>
              <w:rPr>
                <w:rFonts w:ascii="Times New Roman" w:eastAsia="Times New Roman" w:hAnsi="Times New Roman" w:cstheme="minorHAnsi"/>
                <w:noProof/>
                <w:color w:val="006100"/>
                <w:spacing w:val="-6"/>
                <w:lang w:val="sk-SK"/>
              </w:rPr>
            </w:pPr>
          </w:p>
        </w:tc>
        <w:tc>
          <w:tcPr>
            <w:tcW w:w="91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91B5229" w14:textId="77777777" w:rsidR="00F65654" w:rsidRPr="00CC26EA" w:rsidRDefault="00F65654">
            <w:pPr>
              <w:rPr>
                <w:rFonts w:ascii="Times New Roman" w:eastAsia="Times New Roman" w:hAnsi="Times New Roman" w:cstheme="minorHAnsi"/>
                <w:noProof/>
                <w:color w:val="006100"/>
                <w:spacing w:val="-6"/>
                <w:lang w:val="sk-SK"/>
              </w:rPr>
            </w:pPr>
          </w:p>
        </w:tc>
        <w:tc>
          <w:tcPr>
            <w:tcW w:w="106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382BC54A"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ŠTVRTÝ ŠTVRŤROK</w:t>
            </w:r>
          </w:p>
        </w:tc>
        <w:tc>
          <w:tcPr>
            <w:tcW w:w="109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023C6BEC"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2024</w:t>
            </w:r>
          </w:p>
        </w:tc>
        <w:tc>
          <w:tcPr>
            <w:tcW w:w="292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0E109E8B" w14:textId="054D4C7E" w:rsidR="00CC26EA" w:rsidRPr="00CC26EA" w:rsidRDefault="0041081E">
            <w:pPr>
              <w:pStyle w:val="P68B1DB1-Normal13"/>
              <w:rPr>
                <w:rFonts w:ascii="Times New Roman" w:hAnsi="Times New Roman"/>
                <w:noProof/>
                <w:spacing w:val="-6"/>
                <w:lang w:val="sk-SK"/>
              </w:rPr>
            </w:pPr>
            <w:r w:rsidRPr="00CC26EA">
              <w:rPr>
                <w:rFonts w:ascii="Times New Roman" w:hAnsi="Times New Roman"/>
                <w:noProof/>
                <w:spacing w:val="-6"/>
                <w:lang w:val="sk-SK"/>
              </w:rPr>
              <w:t>Míľnik sa dosiahne uzavretím dohody</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praktickom využívaní finančných prostriedkov na zelené zvyšovanie úrovne zručností medzi vládou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stranami politickej dohody</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reforme ekologickej dane pre priemysel</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24</w:t>
            </w:r>
            <w:r w:rsidR="00CC26EA" w:rsidRPr="00CC26EA">
              <w:rPr>
                <w:rFonts w:ascii="Times New Roman" w:hAnsi="Times New Roman"/>
                <w:noProof/>
                <w:spacing w:val="-6"/>
                <w:lang w:val="sk-SK"/>
              </w:rPr>
              <w:t>. júna</w:t>
            </w:r>
            <w:r w:rsidRPr="00CC26EA">
              <w:rPr>
                <w:rFonts w:ascii="Times New Roman" w:hAnsi="Times New Roman"/>
                <w:noProof/>
                <w:spacing w:val="-6"/>
                <w:lang w:val="sk-SK"/>
              </w:rPr>
              <w:t xml:space="preserve"> 2022. Dohoda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praktickom využívaní finančných prostriedkov obsahuje rozpočtový záväzok vo výške najmenej 207 800 000 DKK</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stanovuje, že finančné prostriedky sa použijú na</w:t>
            </w:r>
            <w:r w:rsidR="00CC26EA" w:rsidRPr="00CC26EA">
              <w:rPr>
                <w:rFonts w:ascii="Times New Roman" w:hAnsi="Times New Roman"/>
                <w:noProof/>
                <w:spacing w:val="-6"/>
                <w:lang w:val="sk-SK"/>
              </w:rPr>
              <w:t>:</w:t>
            </w:r>
          </w:p>
          <w:p w14:paraId="7D5B8EE9" w14:textId="77777777" w:rsidR="00CC26EA" w:rsidRPr="00CC26EA" w:rsidRDefault="0041081E">
            <w:pPr>
              <w:pStyle w:val="P68B1DB1-ListParagraph15"/>
              <w:numPr>
                <w:ilvl w:val="0"/>
                <w:numId w:val="41"/>
              </w:numPr>
              <w:spacing w:after="0" w:line="240" w:lineRule="auto"/>
              <w:jc w:val="both"/>
              <w:rPr>
                <w:rFonts w:ascii="Times New Roman" w:hAnsi="Times New Roman"/>
                <w:noProof/>
                <w:spacing w:val="-6"/>
                <w:lang w:val="sk-SK"/>
              </w:rPr>
            </w:pPr>
            <w:r w:rsidRPr="00CC26EA">
              <w:rPr>
                <w:rFonts w:ascii="Times New Roman" w:hAnsi="Times New Roman"/>
                <w:noProof/>
                <w:spacing w:val="-6"/>
                <w:lang w:val="sk-SK"/>
              </w:rPr>
              <w:t>investície do zariadení vrátane opisu toho, ako sa očakáva, že investície do zariadení prispejú</w:t>
            </w:r>
            <w:r w:rsidR="00CC26EA" w:rsidRPr="00CC26EA">
              <w:rPr>
                <w:rFonts w:ascii="Times New Roman" w:hAnsi="Times New Roman"/>
                <w:noProof/>
                <w:spacing w:val="-6"/>
                <w:lang w:val="sk-SK"/>
              </w:rPr>
              <w:t xml:space="preserve"> k </w:t>
            </w:r>
            <w:r w:rsidRPr="00CC26EA">
              <w:rPr>
                <w:rFonts w:ascii="Times New Roman" w:hAnsi="Times New Roman"/>
                <w:noProof/>
                <w:spacing w:val="-6"/>
                <w:lang w:val="sk-SK"/>
              </w:rPr>
              <w:t>rozvoju zručností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znalostí súvisiacich so zelenými technológiami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udržateľnosťou;</w:t>
            </w:r>
          </w:p>
          <w:p w14:paraId="0FF58BFA" w14:textId="77777777" w:rsidR="00CC26EA" w:rsidRPr="00CC26EA" w:rsidRDefault="0041081E">
            <w:pPr>
              <w:pStyle w:val="P68B1DB1-ListParagraph15"/>
              <w:numPr>
                <w:ilvl w:val="0"/>
                <w:numId w:val="41"/>
              </w:numPr>
              <w:spacing w:after="0" w:line="240" w:lineRule="auto"/>
              <w:jc w:val="both"/>
              <w:rPr>
                <w:rFonts w:ascii="Times New Roman" w:hAnsi="Times New Roman"/>
                <w:noProof/>
                <w:spacing w:val="-6"/>
                <w:lang w:val="sk-SK"/>
              </w:rPr>
            </w:pPr>
            <w:r w:rsidRPr="00CC26EA">
              <w:rPr>
                <w:rFonts w:ascii="Times New Roman" w:hAnsi="Times New Roman"/>
                <w:noProof/>
                <w:spacing w:val="-6"/>
                <w:lang w:val="sk-SK"/>
              </w:rPr>
              <w:t>rozvoj zručností učiteľov vrátane opisu toho, ako odborná príprava učiteľov súvisí</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kurzami zameranými na ekologické technológie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udržateľnosť; </w:t>
            </w:r>
          </w:p>
          <w:p w14:paraId="32294DA7" w14:textId="3C8686FE" w:rsidR="00F65654" w:rsidRPr="00CC26EA" w:rsidRDefault="0041081E">
            <w:pPr>
              <w:pStyle w:val="P68B1DB1-ListParagraph15"/>
              <w:numPr>
                <w:ilvl w:val="0"/>
                <w:numId w:val="41"/>
              </w:numPr>
              <w:spacing w:after="0" w:line="240" w:lineRule="auto"/>
              <w:rPr>
                <w:rFonts w:ascii="Times New Roman" w:eastAsia="Times New Roman" w:hAnsi="Times New Roman" w:cstheme="minorHAnsi"/>
                <w:noProof/>
                <w:spacing w:val="-6"/>
                <w:lang w:val="sk-SK"/>
              </w:rPr>
            </w:pPr>
            <w:r w:rsidRPr="00CC26EA">
              <w:rPr>
                <w:rFonts w:ascii="Times New Roman" w:hAnsi="Times New Roman"/>
                <w:noProof/>
                <w:spacing w:val="-6"/>
                <w:lang w:val="sk-SK"/>
              </w:rPr>
              <w:t>rozvoj</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testovanie kurzov odbornej prípravy vrátane opisu toho, ako tieto kurzy prispievajú</w:t>
            </w:r>
            <w:r w:rsidR="00CC26EA" w:rsidRPr="00CC26EA">
              <w:rPr>
                <w:rFonts w:ascii="Times New Roman" w:hAnsi="Times New Roman"/>
                <w:noProof/>
                <w:spacing w:val="-6"/>
                <w:lang w:val="sk-SK"/>
              </w:rPr>
              <w:t xml:space="preserve"> k </w:t>
            </w:r>
            <w:r w:rsidRPr="00CC26EA">
              <w:rPr>
                <w:rFonts w:ascii="Times New Roman" w:hAnsi="Times New Roman"/>
                <w:noProof/>
                <w:spacing w:val="-6"/>
                <w:lang w:val="sk-SK"/>
              </w:rPr>
              <w:t>zvyšovaniu úrovne zelených zručností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ako sa majú učitelia alebo inštruktori kompetentní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danej oblasti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škole (školách) alebo inštitúcii (inštitúciách) zapojiť do procesu vývoja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testovania.</w:t>
            </w:r>
          </w:p>
        </w:tc>
      </w:tr>
      <w:tr w:rsidR="00F65654" w:rsidRPr="00CC26EA" w14:paraId="42E0E151" w14:textId="77777777">
        <w:trPr>
          <w:trHeight w:val="315"/>
        </w:trPr>
        <w:tc>
          <w:tcPr>
            <w:tcW w:w="138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6A2FA47C"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87</w:t>
            </w:r>
          </w:p>
        </w:tc>
        <w:tc>
          <w:tcPr>
            <w:tcW w:w="1113"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0C60848"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8 – REPowerEU – Zelené zvyšovanie úrovne zručností</w:t>
            </w:r>
          </w:p>
        </w:tc>
        <w:tc>
          <w:tcPr>
            <w:tcW w:w="136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083886D4"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Míľnik</w:t>
            </w:r>
          </w:p>
        </w:tc>
        <w:tc>
          <w:tcPr>
            <w:tcW w:w="114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7B99303B"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Záväzky voči poskytovateľom OVP týkajúce sa zeleného zvyšovania úrovne zručností</w:t>
            </w:r>
          </w:p>
        </w:tc>
        <w:tc>
          <w:tcPr>
            <w:tcW w:w="1304"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3EDC30A2" w14:textId="29FD07CC"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Oznámenie</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udelení grantov poskytovateľom odborného vzdelávania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prípravy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odbornej prípravy dospelých</w:t>
            </w:r>
          </w:p>
          <w:p w14:paraId="20429198"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w:t>
            </w:r>
          </w:p>
        </w:tc>
        <w:tc>
          <w:tcPr>
            <w:tcW w:w="1322"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34D8266C"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w:t>
            </w:r>
          </w:p>
        </w:tc>
        <w:tc>
          <w:tcPr>
            <w:tcW w:w="106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6346CB88"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w:t>
            </w:r>
          </w:p>
        </w:tc>
        <w:tc>
          <w:tcPr>
            <w:tcW w:w="91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2DFB197E"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w:t>
            </w:r>
          </w:p>
        </w:tc>
        <w:tc>
          <w:tcPr>
            <w:tcW w:w="106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150DBEA2"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OTÁZKA 2 </w:t>
            </w:r>
          </w:p>
        </w:tc>
        <w:tc>
          <w:tcPr>
            <w:tcW w:w="109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B5707BF"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2026 </w:t>
            </w:r>
          </w:p>
        </w:tc>
        <w:tc>
          <w:tcPr>
            <w:tcW w:w="292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048C601" w14:textId="5455FF2E"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Oznámenie</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udelení grantov poskytovateľom odborného vzdelávania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prípravy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odbornej prípravy dospelých ministerstvom školstva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detí. Poskytovateľom bolo udelených aspoň 207 800 000 DKK</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grantoch</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cieľom vykonávať činnosti zeleného zvyšovania úrovne zručností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súlade</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cieľmi opísanými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míľniku 86</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súlade</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udelenými rozhodnutiami</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grante.</w:t>
            </w:r>
          </w:p>
        </w:tc>
      </w:tr>
      <w:tr w:rsidR="00F65654" w:rsidRPr="00CC26EA" w14:paraId="6AF475E0" w14:textId="77777777">
        <w:trPr>
          <w:trHeight w:val="315"/>
        </w:trPr>
        <w:tc>
          <w:tcPr>
            <w:tcW w:w="138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830A8CE"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88</w:t>
            </w:r>
          </w:p>
        </w:tc>
        <w:tc>
          <w:tcPr>
            <w:tcW w:w="1113"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0DC8D283"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8 – REPowerEU – Zelené zvyšovanie úrovne zručností  </w:t>
            </w:r>
          </w:p>
        </w:tc>
        <w:tc>
          <w:tcPr>
            <w:tcW w:w="136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6C409FBD"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Cieľ</w:t>
            </w:r>
          </w:p>
        </w:tc>
        <w:tc>
          <w:tcPr>
            <w:tcW w:w="114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063CFFB0"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Platby poskytovateľom OVP na zelené zvyšovanie úrovne zručností  </w:t>
            </w:r>
          </w:p>
        </w:tc>
        <w:tc>
          <w:tcPr>
            <w:tcW w:w="1304"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6D29B74F" w14:textId="77777777" w:rsidR="00F65654" w:rsidRPr="00CC26EA" w:rsidRDefault="00F65654">
            <w:pPr>
              <w:rPr>
                <w:rFonts w:ascii="Times New Roman" w:eastAsia="Times New Roman" w:hAnsi="Times New Roman" w:cstheme="minorHAnsi"/>
                <w:noProof/>
                <w:color w:val="006100"/>
                <w:spacing w:val="-6"/>
                <w:lang w:val="sk-SK"/>
              </w:rPr>
            </w:pPr>
          </w:p>
        </w:tc>
        <w:tc>
          <w:tcPr>
            <w:tcW w:w="1322"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746A50A0"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V miliónoch DKK</w:t>
            </w:r>
          </w:p>
        </w:tc>
        <w:tc>
          <w:tcPr>
            <w:tcW w:w="106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2DA3FEF1"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0</w:t>
            </w:r>
          </w:p>
        </w:tc>
        <w:tc>
          <w:tcPr>
            <w:tcW w:w="91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07781DEC"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187.02</w:t>
            </w:r>
          </w:p>
        </w:tc>
        <w:tc>
          <w:tcPr>
            <w:tcW w:w="106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2620AD52"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OTÁZKA Č. 3</w:t>
            </w:r>
          </w:p>
        </w:tc>
        <w:tc>
          <w:tcPr>
            <w:tcW w:w="109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EA5DA4F"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2026</w:t>
            </w:r>
          </w:p>
        </w:tc>
        <w:tc>
          <w:tcPr>
            <w:tcW w:w="292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78D0525B" w14:textId="641653CB"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Najmenej 187 020 000 DKK bolo vyplatených poskytovateľom odborného vzdelávania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prípravy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odbornej prípravy dospelých na činnosti, na ktoré boli udelené granty</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 xml:space="preserve">rámci míľnika 87. </w:t>
            </w:r>
          </w:p>
        </w:tc>
      </w:tr>
      <w:tr w:rsidR="00F65654" w:rsidRPr="00CC26EA" w14:paraId="56B462FA" w14:textId="77777777">
        <w:trPr>
          <w:trHeight w:val="315"/>
        </w:trPr>
        <w:tc>
          <w:tcPr>
            <w:tcW w:w="138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3F5B064A"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89</w:t>
            </w:r>
          </w:p>
        </w:tc>
        <w:tc>
          <w:tcPr>
            <w:tcW w:w="1113"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220D1EB9" w14:textId="66CA46ED"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8 – REPowerEU – Náhrada ropných horákov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plynových pecí  </w:t>
            </w:r>
          </w:p>
        </w:tc>
        <w:tc>
          <w:tcPr>
            <w:tcW w:w="136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6C6070E0"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Cieľ</w:t>
            </w:r>
          </w:p>
        </w:tc>
        <w:tc>
          <w:tcPr>
            <w:tcW w:w="114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AD74121"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Najmenej 21200 individuálnych olejových horákov alebo plynových pecí bolo nahradených diaľkovým vykurovaním alebo tepelnými čerpadlami</w:t>
            </w:r>
          </w:p>
        </w:tc>
        <w:tc>
          <w:tcPr>
            <w:tcW w:w="1304"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3EEA5D4A" w14:textId="77777777" w:rsidR="00F65654" w:rsidRPr="00CC26EA" w:rsidRDefault="00F65654">
            <w:pPr>
              <w:rPr>
                <w:rFonts w:ascii="Times New Roman" w:eastAsia="Times New Roman" w:hAnsi="Times New Roman" w:cstheme="minorHAnsi"/>
                <w:noProof/>
                <w:color w:val="006100"/>
                <w:spacing w:val="-6"/>
                <w:lang w:val="sk-SK"/>
              </w:rPr>
            </w:pPr>
          </w:p>
        </w:tc>
        <w:tc>
          <w:tcPr>
            <w:tcW w:w="1322"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009B29B"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Počet</w:t>
            </w:r>
          </w:p>
        </w:tc>
        <w:tc>
          <w:tcPr>
            <w:tcW w:w="106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F15AC2A"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10 100</w:t>
            </w:r>
          </w:p>
        </w:tc>
        <w:tc>
          <w:tcPr>
            <w:tcW w:w="91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0D7AA885"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21 200</w:t>
            </w:r>
          </w:p>
        </w:tc>
        <w:tc>
          <w:tcPr>
            <w:tcW w:w="106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359FA0F4"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OTÁZKA 2</w:t>
            </w:r>
          </w:p>
        </w:tc>
        <w:tc>
          <w:tcPr>
            <w:tcW w:w="109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7EE71AE"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2026</w:t>
            </w:r>
          </w:p>
          <w:p w14:paraId="218BED2A" w14:textId="77777777" w:rsidR="00F65654" w:rsidRPr="00CC26EA" w:rsidRDefault="00F65654">
            <w:pPr>
              <w:rPr>
                <w:rFonts w:ascii="Times New Roman" w:eastAsia="Times New Roman" w:hAnsi="Times New Roman" w:cstheme="minorHAnsi"/>
                <w:noProof/>
                <w:color w:val="006100"/>
                <w:spacing w:val="-6"/>
                <w:lang w:val="sk-SK"/>
              </w:rPr>
            </w:pPr>
          </w:p>
        </w:tc>
        <w:tc>
          <w:tcPr>
            <w:tcW w:w="292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3DBB54E3" w14:textId="70400EA3"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Najmenej 21200 ropných horákov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plynových pecí bolo nahradených tepelnými čerpadlami alebo diaľkovým vykurovaním</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súlade</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cieľmi opísanými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míľniku 19.</w:t>
            </w:r>
          </w:p>
        </w:tc>
      </w:tr>
      <w:tr w:rsidR="00F65654" w:rsidRPr="00CC26EA" w14:paraId="4A47292E" w14:textId="77777777">
        <w:trPr>
          <w:trHeight w:val="315"/>
        </w:trPr>
        <w:tc>
          <w:tcPr>
            <w:tcW w:w="138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6145FAD8"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90</w:t>
            </w:r>
          </w:p>
        </w:tc>
        <w:tc>
          <w:tcPr>
            <w:tcW w:w="1113"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54B50B22" w14:textId="64C3AEC5"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8 – REPowerEU – Opatrenie na rozšírenie: Potenciál zachytávania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ukladania oxidu uhličitého (CCS)</w:t>
            </w:r>
          </w:p>
        </w:tc>
        <w:tc>
          <w:tcPr>
            <w:tcW w:w="136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078E8F3" w14:textId="34FD77C2"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Míľnik</w:t>
            </w:r>
          </w:p>
        </w:tc>
        <w:tc>
          <w:tcPr>
            <w:tcW w:w="114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798D84B2" w14:textId="26E186CF"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Uverejnenie výzvy na predkladanie ponúk pre skupinu NECCS.</w:t>
            </w:r>
          </w:p>
        </w:tc>
        <w:tc>
          <w:tcPr>
            <w:tcW w:w="1304"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5289960" w14:textId="77777777" w:rsidR="00F65654" w:rsidRPr="00CC26EA" w:rsidRDefault="0041081E">
            <w:pPr>
              <w:pStyle w:val="P68B1DB1-Normal13"/>
              <w:rPr>
                <w:rFonts w:ascii="Times New Roman" w:hAnsi="Times New Roman" w:cstheme="minorHAnsi"/>
                <w:noProof/>
                <w:spacing w:val="-6"/>
                <w:lang w:val="sk-SK"/>
              </w:rPr>
            </w:pPr>
            <w:r w:rsidRPr="00CC26EA">
              <w:rPr>
                <w:rFonts w:ascii="Times New Roman" w:hAnsi="Times New Roman"/>
                <w:noProof/>
                <w:spacing w:val="-6"/>
                <w:lang w:val="sk-SK"/>
              </w:rPr>
              <w:t>Uverejnenie výzvy na predkladanie ponúk pre skupinu NECCS.</w:t>
            </w:r>
          </w:p>
        </w:tc>
        <w:tc>
          <w:tcPr>
            <w:tcW w:w="1322"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190C354"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w:t>
            </w:r>
          </w:p>
        </w:tc>
        <w:tc>
          <w:tcPr>
            <w:tcW w:w="106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69A243FB"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w:t>
            </w:r>
          </w:p>
        </w:tc>
        <w:tc>
          <w:tcPr>
            <w:tcW w:w="91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1116E58E"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w:t>
            </w:r>
          </w:p>
        </w:tc>
        <w:tc>
          <w:tcPr>
            <w:tcW w:w="106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3671253E"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OTÁZKA Č. 1</w:t>
            </w:r>
          </w:p>
        </w:tc>
        <w:tc>
          <w:tcPr>
            <w:tcW w:w="109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2DAE9F41"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 2024</w:t>
            </w:r>
          </w:p>
        </w:tc>
        <w:tc>
          <w:tcPr>
            <w:tcW w:w="292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29D92F19"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Významná etapa sa dosiahne po uverejnení výzvy na predkladanie ponúk pre fond NECCS.</w:t>
            </w:r>
          </w:p>
          <w:p w14:paraId="35DF1576" w14:textId="0C22CA61" w:rsidR="00F65654" w:rsidRPr="00CC26EA" w:rsidRDefault="0041081E">
            <w:pPr>
              <w:pStyle w:val="P68B1DB1-Normal13"/>
              <w:rPr>
                <w:rFonts w:ascii="Times New Roman" w:eastAsia="Times New Roman" w:hAnsi="Times New Roman" w:cstheme="minorBidi"/>
                <w:noProof/>
                <w:spacing w:val="-6"/>
                <w:lang w:val="sk-SK"/>
              </w:rPr>
            </w:pPr>
            <w:r w:rsidRPr="00CC26EA">
              <w:rPr>
                <w:rFonts w:ascii="Times New Roman" w:hAnsi="Times New Roman"/>
                <w:noProof/>
                <w:spacing w:val="-6"/>
                <w:lang w:val="sk-SK"/>
              </w:rPr>
              <w:t>Vo výzve sa zabezpečí, aby sa finančné prostriedky prideľovali po otvorenom výberovom konaní. Výzva zahŕňa požiadavky, ktoré:  1. vybraní žiadatelia predkladajú výročné správy</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množstve zachyteného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uloženého uhlíka, ktoré overí akreditovaná tretia strana; 2. vybraní žiadatelia predložia výročné správy</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pôvode zachyteného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uloženého uhlíka</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cieľom validovať biogénny alebo atmosférický pôvod CO2, čím zdokumentujú, že podpora</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fondu NECCS sa použila len na zachytávanie emisií CO2</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činností, ktoré nepatria do rozsahu pôsobnosti smernice EÚ 2003/87/ES (smernica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 xml:space="preserve">EU ETS).  </w:t>
            </w:r>
          </w:p>
        </w:tc>
      </w:tr>
      <w:tr w:rsidR="00F65654" w:rsidRPr="00CC26EA" w14:paraId="46BA6387" w14:textId="77777777">
        <w:trPr>
          <w:trHeight w:val="315"/>
        </w:trPr>
        <w:tc>
          <w:tcPr>
            <w:tcW w:w="138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2703B755"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91</w:t>
            </w:r>
          </w:p>
        </w:tc>
        <w:tc>
          <w:tcPr>
            <w:tcW w:w="1113"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549D07C0" w14:textId="69CC96A5"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8 – REPowerEU – Opatrenie na rozšírenie: Potenciál zachytávania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ukladania oxidu uhličitého (CCS)</w:t>
            </w:r>
          </w:p>
        </w:tc>
        <w:tc>
          <w:tcPr>
            <w:tcW w:w="136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273F42B8"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Cieľ</w:t>
            </w:r>
          </w:p>
        </w:tc>
        <w:tc>
          <w:tcPr>
            <w:tcW w:w="114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0EF4AE2"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0,3 milióna ton odstránených CO2</w:t>
            </w:r>
          </w:p>
        </w:tc>
        <w:tc>
          <w:tcPr>
            <w:tcW w:w="1304"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3718A93A" w14:textId="77777777" w:rsidR="00F65654" w:rsidRPr="00CC26EA" w:rsidRDefault="00F65654">
            <w:pPr>
              <w:rPr>
                <w:rFonts w:ascii="Times New Roman" w:eastAsia="Times New Roman" w:hAnsi="Times New Roman" w:cstheme="minorHAnsi"/>
                <w:noProof/>
                <w:color w:val="006100"/>
                <w:spacing w:val="-6"/>
                <w:lang w:val="sk-SK"/>
              </w:rPr>
            </w:pPr>
          </w:p>
        </w:tc>
        <w:tc>
          <w:tcPr>
            <w:tcW w:w="1322"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4820E9D7"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Miliónov ton CO2</w:t>
            </w:r>
          </w:p>
        </w:tc>
        <w:tc>
          <w:tcPr>
            <w:tcW w:w="1061"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31B7B9CB"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0</w:t>
            </w:r>
          </w:p>
        </w:tc>
        <w:tc>
          <w:tcPr>
            <w:tcW w:w="91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705F6EAB"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0.3</w:t>
            </w:r>
          </w:p>
        </w:tc>
        <w:tc>
          <w:tcPr>
            <w:tcW w:w="106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182592BB"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OTÁZKA 2</w:t>
            </w:r>
          </w:p>
        </w:tc>
        <w:tc>
          <w:tcPr>
            <w:tcW w:w="1090"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747AC61B"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2026</w:t>
            </w:r>
          </w:p>
        </w:tc>
        <w:tc>
          <w:tcPr>
            <w:tcW w:w="2926" w:type="dxa"/>
            <w:tcBorders>
              <w:top w:val="single" w:sz="8" w:space="0" w:color="auto"/>
              <w:left w:val="single" w:sz="8" w:space="0" w:color="auto"/>
              <w:bottom w:val="single" w:sz="8" w:space="0" w:color="auto"/>
              <w:right w:val="single" w:sz="8" w:space="0" w:color="auto"/>
            </w:tcBorders>
            <w:shd w:val="clear" w:color="auto" w:fill="C6EFCE"/>
            <w:tcMar>
              <w:left w:w="108" w:type="dxa"/>
              <w:right w:w="108" w:type="dxa"/>
            </w:tcMar>
          </w:tcPr>
          <w:p w14:paraId="250EE02A" w14:textId="77777777" w:rsidR="00F65654" w:rsidRPr="00CC26EA" w:rsidRDefault="0041081E">
            <w:pPr>
              <w:pStyle w:val="P68B1DB1-Normal13"/>
              <w:rPr>
                <w:rFonts w:ascii="Times New Roman" w:eastAsia="Times New Roman" w:hAnsi="Times New Roman" w:cstheme="minorHAnsi"/>
                <w:noProof/>
                <w:spacing w:val="-6"/>
                <w:lang w:val="sk-SK"/>
              </w:rPr>
            </w:pPr>
            <w:r w:rsidRPr="00CC26EA">
              <w:rPr>
                <w:rFonts w:ascii="Times New Roman" w:hAnsi="Times New Roman"/>
                <w:noProof/>
                <w:spacing w:val="-6"/>
                <w:lang w:val="sk-SK"/>
              </w:rPr>
              <w:t>Cieľ sa dosiahne po odstránení 0,3 milióna ton CO2 biogénneho alebo atmosférického pôvodu.</w:t>
            </w:r>
          </w:p>
        </w:tc>
      </w:tr>
    </w:tbl>
    <w:p w14:paraId="34661A82" w14:textId="77777777" w:rsidR="00F65654" w:rsidRPr="00CC26EA" w:rsidRDefault="00F65654">
      <w:pPr>
        <w:rPr>
          <w:rFonts w:ascii="Times New Roman" w:hAnsi="Times New Roman"/>
          <w:b/>
          <w:noProof/>
          <w:spacing w:val="-6"/>
          <w:lang w:val="sk-SK"/>
        </w:rPr>
        <w:sectPr w:rsidR="00F65654" w:rsidRPr="00CC26EA" w:rsidSect="00DD48D1">
          <w:headerReference w:type="even" r:id="rId109"/>
          <w:headerReference w:type="default" r:id="rId110"/>
          <w:footerReference w:type="even" r:id="rId111"/>
          <w:footerReference w:type="default" r:id="rId112"/>
          <w:headerReference w:type="first" r:id="rId113"/>
          <w:footerReference w:type="first" r:id="rId114"/>
          <w:pgSz w:w="16839" w:h="11907" w:orient="landscape"/>
          <w:pgMar w:top="1134" w:right="1134" w:bottom="1134" w:left="1134" w:header="567" w:footer="567" w:gutter="0"/>
          <w:cols w:space="720"/>
          <w:docGrid w:linePitch="360"/>
        </w:sectPr>
      </w:pPr>
    </w:p>
    <w:p w14:paraId="7E2202B3" w14:textId="77777777" w:rsidR="00F65654" w:rsidRPr="00CC26EA" w:rsidRDefault="0041081E">
      <w:pPr>
        <w:pStyle w:val="P68B1DB1-Normal10"/>
        <w:spacing w:before="120" w:after="120" w:line="240" w:lineRule="auto"/>
        <w:jc w:val="both"/>
        <w:rPr>
          <w:noProof/>
          <w:spacing w:val="-6"/>
          <w:lang w:val="sk-SK"/>
        </w:rPr>
      </w:pPr>
      <w:r w:rsidRPr="00CC26EA">
        <w:rPr>
          <w:noProof/>
          <w:spacing w:val="-6"/>
          <w:shd w:val="clear" w:color="auto" w:fill="FFFFFF"/>
          <w:lang w:val="sk-SK"/>
        </w:rPr>
        <w:t>I.</w:t>
      </w:r>
      <w:r w:rsidRPr="00CC26EA">
        <w:rPr>
          <w:noProof/>
          <w:spacing w:val="-6"/>
          <w:lang w:val="sk-SK"/>
        </w:rPr>
        <w:t xml:space="preserve"> ZLOŽKA 9: AUDIT A KONTROLA</w:t>
      </w:r>
    </w:p>
    <w:p w14:paraId="79CE7B9E" w14:textId="08BD48A7" w:rsidR="00F65654" w:rsidRPr="00CC26EA" w:rsidRDefault="0041081E">
      <w:pPr>
        <w:pStyle w:val="P68B1DB1-Normal12"/>
        <w:spacing w:after="160" w:line="259" w:lineRule="auto"/>
        <w:jc w:val="both"/>
        <w:rPr>
          <w:noProof/>
          <w:spacing w:val="-6"/>
          <w:lang w:val="sk-SK"/>
        </w:rPr>
      </w:pPr>
      <w:r w:rsidRPr="00CC26EA">
        <w:rPr>
          <w:noProof/>
          <w:spacing w:val="-6"/>
          <w:lang w:val="sk-SK"/>
        </w:rPr>
        <w:t>I.1. Opis reformy</w:t>
      </w:r>
    </w:p>
    <w:p w14:paraId="4042FCC9" w14:textId="25F1E8CE" w:rsidR="00F65654" w:rsidRPr="00CC26EA" w:rsidRDefault="0041081E">
      <w:pPr>
        <w:pStyle w:val="P68B1DB1-Normal16"/>
        <w:spacing w:before="120" w:after="120" w:line="240" w:lineRule="auto"/>
        <w:jc w:val="both"/>
        <w:rPr>
          <w:rFonts w:eastAsia="Times New Roman"/>
          <w:noProof/>
          <w:spacing w:val="-6"/>
          <w:lang w:val="sk-SK"/>
        </w:rPr>
      </w:pPr>
      <w:r w:rsidRPr="00CC26EA">
        <w:rPr>
          <w:noProof/>
          <w:spacing w:val="-6"/>
          <w:lang w:val="sk-SK"/>
        </w:rPr>
        <w:t>Reforma 1: Opatrenia týkajúce sa kontrolného rámca plánu obnovy</w:t>
      </w:r>
      <w:r w:rsidR="00CC26EA" w:rsidRPr="00CC26EA">
        <w:rPr>
          <w:noProof/>
          <w:spacing w:val="-6"/>
          <w:lang w:val="sk-SK"/>
        </w:rPr>
        <w:t xml:space="preserve"> a </w:t>
      </w:r>
      <w:r w:rsidRPr="00CC26EA">
        <w:rPr>
          <w:noProof/>
          <w:spacing w:val="-6"/>
          <w:lang w:val="sk-SK"/>
        </w:rPr>
        <w:t>odolnosti</w:t>
      </w:r>
    </w:p>
    <w:p w14:paraId="794E4F8A" w14:textId="55410B7F" w:rsidR="00F65654" w:rsidRPr="00CC26EA" w:rsidRDefault="0041081E">
      <w:pPr>
        <w:pStyle w:val="P68B1DB1-Normal17"/>
        <w:jc w:val="both"/>
        <w:rPr>
          <w:noProof/>
          <w:spacing w:val="-6"/>
          <w:lang w:val="sk-SK"/>
        </w:rPr>
      </w:pPr>
      <w:r w:rsidRPr="00CC26EA">
        <w:rPr>
          <w:noProof/>
          <w:spacing w:val="-6"/>
          <w:lang w:val="sk-SK"/>
        </w:rPr>
        <w:t>Celkovým cieľom opatrení je zlepšiť kontrolný rámec dánskeho plánu obnovy</w:t>
      </w:r>
      <w:r w:rsidR="00CC26EA" w:rsidRPr="00CC26EA">
        <w:rPr>
          <w:noProof/>
          <w:spacing w:val="-6"/>
          <w:lang w:val="sk-SK"/>
        </w:rPr>
        <w:t xml:space="preserve"> a </w:t>
      </w:r>
      <w:r w:rsidRPr="00CC26EA">
        <w:rPr>
          <w:noProof/>
          <w:spacing w:val="-6"/>
          <w:lang w:val="sk-SK"/>
        </w:rPr>
        <w:t>odolnosti.</w:t>
      </w:r>
      <w:r w:rsidR="00CC26EA" w:rsidRPr="00CC26EA">
        <w:rPr>
          <w:noProof/>
          <w:spacing w:val="-6"/>
          <w:lang w:val="sk-SK"/>
        </w:rPr>
        <w:t xml:space="preserve"> S </w:t>
      </w:r>
      <w:r w:rsidRPr="00CC26EA">
        <w:rPr>
          <w:noProof/>
          <w:spacing w:val="-6"/>
          <w:lang w:val="sk-SK"/>
        </w:rPr>
        <w:t>cieľom zabezpečiť, aby bol registračný systém plne funkčný</w:t>
      </w:r>
      <w:r w:rsidR="00CC26EA" w:rsidRPr="00CC26EA">
        <w:rPr>
          <w:noProof/>
          <w:spacing w:val="-6"/>
          <w:lang w:val="sk-SK"/>
        </w:rPr>
        <w:t xml:space="preserve"> a </w:t>
      </w:r>
      <w:r w:rsidRPr="00CC26EA">
        <w:rPr>
          <w:noProof/>
          <w:spacing w:val="-6"/>
          <w:lang w:val="sk-SK"/>
        </w:rPr>
        <w:t>funkčný, Dánsko poskytne úplný</w:t>
      </w:r>
      <w:r w:rsidR="00CC26EA" w:rsidRPr="00CC26EA">
        <w:rPr>
          <w:noProof/>
          <w:spacing w:val="-6"/>
          <w:lang w:val="sk-SK"/>
        </w:rPr>
        <w:t xml:space="preserve"> a </w:t>
      </w:r>
      <w:r w:rsidRPr="00CC26EA">
        <w:rPr>
          <w:noProof/>
          <w:spacing w:val="-6"/>
          <w:lang w:val="sk-SK"/>
        </w:rPr>
        <w:t>spoľahlivý súbor údajov zozbieraných</w:t>
      </w:r>
      <w:r w:rsidR="00CC26EA" w:rsidRPr="00CC26EA">
        <w:rPr>
          <w:noProof/>
          <w:spacing w:val="-6"/>
          <w:lang w:val="sk-SK"/>
        </w:rPr>
        <w:t xml:space="preserve"> a </w:t>
      </w:r>
      <w:r w:rsidRPr="00CC26EA">
        <w:rPr>
          <w:noProof/>
          <w:spacing w:val="-6"/>
          <w:lang w:val="sk-SK"/>
        </w:rPr>
        <w:t>uložených</w:t>
      </w:r>
      <w:r w:rsidR="00CC26EA" w:rsidRPr="00CC26EA">
        <w:rPr>
          <w:noProof/>
          <w:spacing w:val="-6"/>
          <w:lang w:val="sk-SK"/>
        </w:rPr>
        <w:t xml:space="preserve"> v </w:t>
      </w:r>
      <w:r w:rsidRPr="00CC26EA">
        <w:rPr>
          <w:noProof/>
          <w:spacing w:val="-6"/>
          <w:lang w:val="sk-SK"/>
        </w:rPr>
        <w:t>súlade</w:t>
      </w:r>
      <w:r w:rsidR="00CC26EA" w:rsidRPr="00CC26EA">
        <w:rPr>
          <w:noProof/>
          <w:spacing w:val="-6"/>
          <w:lang w:val="sk-SK"/>
        </w:rPr>
        <w:t xml:space="preserve"> s </w:t>
      </w:r>
      <w:r w:rsidRPr="00CC26EA">
        <w:rPr>
          <w:noProof/>
          <w:spacing w:val="-6"/>
          <w:lang w:val="sk-SK"/>
        </w:rPr>
        <w:t>článkom 22 ods. 2 písm. d) nariadenia</w:t>
      </w:r>
      <w:r w:rsidR="00CC26EA" w:rsidRPr="00CC26EA">
        <w:rPr>
          <w:noProof/>
          <w:spacing w:val="-6"/>
          <w:lang w:val="sk-SK"/>
        </w:rPr>
        <w:t xml:space="preserve"> o </w:t>
      </w:r>
      <w:r w:rsidRPr="00CC26EA">
        <w:rPr>
          <w:noProof/>
          <w:spacing w:val="-6"/>
          <w:lang w:val="sk-SK"/>
        </w:rPr>
        <w:t>Mechanizme na podporu obnovy</w:t>
      </w:r>
      <w:r w:rsidR="00CC26EA" w:rsidRPr="00CC26EA">
        <w:rPr>
          <w:noProof/>
          <w:spacing w:val="-6"/>
          <w:lang w:val="sk-SK"/>
        </w:rPr>
        <w:t xml:space="preserve"> a </w:t>
      </w:r>
      <w:r w:rsidRPr="00CC26EA">
        <w:rPr>
          <w:noProof/>
          <w:spacing w:val="-6"/>
          <w:lang w:val="sk-SK"/>
        </w:rPr>
        <w:t>odolnosti. Dánske ministerstvo financií okrem toho prijme aj akčný plán týkajúci sa stratégie boja proti podvodom</w:t>
      </w:r>
      <w:r w:rsidR="00CC26EA" w:rsidRPr="00CC26EA">
        <w:rPr>
          <w:noProof/>
          <w:spacing w:val="-6"/>
          <w:lang w:val="sk-SK"/>
        </w:rPr>
        <w:t xml:space="preserve"> a </w:t>
      </w:r>
      <w:r w:rsidRPr="00CC26EA">
        <w:rPr>
          <w:noProof/>
          <w:spacing w:val="-6"/>
          <w:lang w:val="sk-SK"/>
        </w:rPr>
        <w:t>korupcii</w:t>
      </w:r>
      <w:r w:rsidR="00CC26EA" w:rsidRPr="00CC26EA">
        <w:rPr>
          <w:noProof/>
          <w:spacing w:val="-6"/>
          <w:lang w:val="sk-SK"/>
        </w:rPr>
        <w:t xml:space="preserve"> s </w:t>
      </w:r>
      <w:r w:rsidRPr="00CC26EA">
        <w:rPr>
          <w:noProof/>
          <w:spacing w:val="-6"/>
          <w:lang w:val="sk-SK"/>
        </w:rPr>
        <w:t>cieľom zabezpečiť účinné plnenie cieľov stanovených</w:t>
      </w:r>
      <w:r w:rsidR="00CC26EA" w:rsidRPr="00CC26EA">
        <w:rPr>
          <w:noProof/>
          <w:spacing w:val="-6"/>
          <w:lang w:val="sk-SK"/>
        </w:rPr>
        <w:t xml:space="preserve"> v </w:t>
      </w:r>
      <w:r w:rsidRPr="00CC26EA">
        <w:rPr>
          <w:noProof/>
          <w:spacing w:val="-6"/>
          <w:lang w:val="sk-SK"/>
        </w:rPr>
        <w:t>tejto stratégii.</w:t>
      </w:r>
    </w:p>
    <w:p w14:paraId="15389838" w14:textId="0D95EA12" w:rsidR="00F65654" w:rsidRPr="00CC26EA" w:rsidRDefault="0041081E">
      <w:pPr>
        <w:pStyle w:val="P68B1DB1-Normal12"/>
        <w:spacing w:before="120" w:after="120" w:line="240" w:lineRule="auto"/>
        <w:jc w:val="both"/>
        <w:rPr>
          <w:rFonts w:eastAsia="Times New Roman"/>
          <w:noProof/>
          <w:spacing w:val="-6"/>
          <w:lang w:val="sk-SK"/>
        </w:rPr>
      </w:pPr>
      <w:r w:rsidRPr="00CC26EA">
        <w:rPr>
          <w:noProof/>
          <w:spacing w:val="-6"/>
          <w:lang w:val="sk-SK"/>
        </w:rPr>
        <w:t>I.2. Čiastkové ciele, cieľové hodnoty, ukazovatele</w:t>
      </w:r>
      <w:r w:rsidR="00CC26EA" w:rsidRPr="00CC26EA">
        <w:rPr>
          <w:noProof/>
          <w:spacing w:val="-6"/>
          <w:lang w:val="sk-SK"/>
        </w:rPr>
        <w:t xml:space="preserve"> a </w:t>
      </w:r>
      <w:r w:rsidRPr="00CC26EA">
        <w:rPr>
          <w:noProof/>
          <w:spacing w:val="-6"/>
          <w:lang w:val="sk-SK"/>
        </w:rPr>
        <w:t>harmonogram monitorovania</w:t>
      </w:r>
      <w:r w:rsidR="00CC26EA" w:rsidRPr="00CC26EA">
        <w:rPr>
          <w:noProof/>
          <w:spacing w:val="-6"/>
          <w:lang w:val="sk-SK"/>
        </w:rPr>
        <w:t xml:space="preserve"> a </w:t>
      </w:r>
      <w:r w:rsidRPr="00CC26EA">
        <w:rPr>
          <w:noProof/>
          <w:spacing w:val="-6"/>
          <w:lang w:val="sk-SK"/>
        </w:rPr>
        <w:t>vykonávania</w:t>
      </w:r>
    </w:p>
    <w:p w14:paraId="3862A378" w14:textId="4B4B25E0" w:rsidR="00F65654" w:rsidRPr="00CC26EA" w:rsidRDefault="00F65654">
      <w:pPr>
        <w:rPr>
          <w:rFonts w:ascii="Times New Roman" w:hAnsi="Times New Roman"/>
          <w:noProof/>
          <w:spacing w:val="-6"/>
          <w:sz w:val="24"/>
          <w:lang w:val="sk-SK"/>
        </w:rPr>
        <w:sectPr w:rsidR="00F65654" w:rsidRPr="00CC26EA" w:rsidSect="00A61D33">
          <w:headerReference w:type="even" r:id="rId115"/>
          <w:headerReference w:type="default" r:id="rId116"/>
          <w:footerReference w:type="even" r:id="rId117"/>
          <w:footerReference w:type="default" r:id="rId118"/>
          <w:headerReference w:type="first" r:id="rId119"/>
          <w:footerReference w:type="first" r:id="rId120"/>
          <w:pgSz w:w="11907" w:h="16839"/>
          <w:pgMar w:top="1134" w:right="1134" w:bottom="1134" w:left="1134" w:header="567" w:footer="567" w:gutter="0"/>
          <w:cols w:space="720"/>
          <w:docGrid w:linePitch="360"/>
        </w:sectPr>
      </w:pPr>
    </w:p>
    <w:p w14:paraId="53075AA3" w14:textId="77777777" w:rsidR="00F65654" w:rsidRPr="00CC26EA" w:rsidRDefault="00F65654">
      <w:pPr>
        <w:spacing w:before="120" w:after="120" w:line="240" w:lineRule="auto"/>
        <w:jc w:val="both"/>
        <w:rPr>
          <w:rFonts w:ascii="Times New Roman" w:eastAsia="Times New Roman" w:hAnsi="Times New Roman"/>
          <w:b/>
          <w:noProof/>
          <w:spacing w:val="-6"/>
          <w:sz w:val="24"/>
          <w:lang w:val="sk-SK"/>
        </w:rPr>
      </w:pPr>
    </w:p>
    <w:tbl>
      <w:tblPr>
        <w:tblW w:w="150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91"/>
        <w:gridCol w:w="1361"/>
        <w:gridCol w:w="1247"/>
        <w:gridCol w:w="1418"/>
        <w:gridCol w:w="1474"/>
        <w:gridCol w:w="1096"/>
        <w:gridCol w:w="992"/>
        <w:gridCol w:w="929"/>
        <w:gridCol w:w="914"/>
        <w:gridCol w:w="928"/>
        <w:gridCol w:w="3544"/>
      </w:tblGrid>
      <w:tr w:rsidR="00F65654" w:rsidRPr="00CC26EA" w14:paraId="43EDAF50" w14:textId="77777777">
        <w:trPr>
          <w:trHeight w:val="1129"/>
          <w:tblHeader/>
          <w:jc w:val="center"/>
        </w:trPr>
        <w:tc>
          <w:tcPr>
            <w:tcW w:w="1191" w:type="dxa"/>
            <w:vMerge w:val="restart"/>
            <w:shd w:val="clear" w:color="auto" w:fill="BDD6EE"/>
            <w:vAlign w:val="center"/>
            <w:hideMark/>
          </w:tcPr>
          <w:p w14:paraId="5C2CFD19" w14:textId="77777777" w:rsidR="00F65654" w:rsidRPr="00CC26EA" w:rsidRDefault="0041081E">
            <w:pPr>
              <w:pStyle w:val="P68B1DB1-Normal18"/>
              <w:spacing w:before="120" w:after="120" w:line="240" w:lineRule="auto"/>
              <w:rPr>
                <w:rFonts w:ascii="Times New Roman" w:eastAsia="Times New Roman" w:hAnsi="Times New Roman" w:cstheme="minorHAnsi"/>
                <w:noProof/>
                <w:spacing w:val="-6"/>
                <w:lang w:val="sk-SK"/>
              </w:rPr>
            </w:pPr>
            <w:bookmarkStart w:id="2" w:name="_Hlk144287134"/>
            <w:r w:rsidRPr="00CC26EA">
              <w:rPr>
                <w:rFonts w:ascii="Times New Roman" w:hAnsi="Times New Roman"/>
                <w:noProof/>
                <w:spacing w:val="-6"/>
                <w:lang w:val="sk-SK"/>
              </w:rPr>
              <w:t>Poradové číslo</w:t>
            </w:r>
          </w:p>
        </w:tc>
        <w:tc>
          <w:tcPr>
            <w:tcW w:w="1361" w:type="dxa"/>
            <w:vMerge w:val="restart"/>
            <w:shd w:val="clear" w:color="auto" w:fill="BDD6EE"/>
            <w:vAlign w:val="center"/>
            <w:hideMark/>
          </w:tcPr>
          <w:p w14:paraId="44F698C6" w14:textId="77777777" w:rsidR="00F65654" w:rsidRPr="00CC26EA" w:rsidRDefault="0041081E">
            <w:pPr>
              <w:pStyle w:val="P68B1DB1-Normal18"/>
              <w:spacing w:before="120" w:after="120" w:line="240" w:lineRule="auto"/>
              <w:rPr>
                <w:rFonts w:ascii="Times New Roman" w:eastAsia="Times New Roman" w:hAnsi="Times New Roman" w:cstheme="minorHAnsi"/>
                <w:noProof/>
                <w:spacing w:val="-6"/>
                <w:lang w:val="sk-SK"/>
              </w:rPr>
            </w:pPr>
            <w:r w:rsidRPr="00CC26EA">
              <w:rPr>
                <w:rFonts w:ascii="Times New Roman" w:hAnsi="Times New Roman"/>
                <w:noProof/>
                <w:spacing w:val="-6"/>
                <w:lang w:val="sk-SK"/>
              </w:rPr>
              <w:t>Opatrenie (reforma alebo investícia)</w:t>
            </w:r>
          </w:p>
        </w:tc>
        <w:tc>
          <w:tcPr>
            <w:tcW w:w="1247" w:type="dxa"/>
            <w:vMerge w:val="restart"/>
            <w:shd w:val="clear" w:color="auto" w:fill="BDD6EE"/>
            <w:vAlign w:val="center"/>
            <w:hideMark/>
          </w:tcPr>
          <w:p w14:paraId="434FC4F6" w14:textId="77777777" w:rsidR="00F65654" w:rsidRPr="00CC26EA" w:rsidRDefault="0041081E">
            <w:pPr>
              <w:pStyle w:val="P68B1DB1-Normal18"/>
              <w:spacing w:before="120" w:after="120" w:line="240" w:lineRule="auto"/>
              <w:rPr>
                <w:rFonts w:ascii="Times New Roman" w:eastAsia="Times New Roman" w:hAnsi="Times New Roman" w:cstheme="minorHAnsi"/>
                <w:noProof/>
                <w:spacing w:val="-6"/>
                <w:lang w:val="sk-SK"/>
              </w:rPr>
            </w:pPr>
            <w:r w:rsidRPr="00CC26EA">
              <w:rPr>
                <w:rFonts w:ascii="Times New Roman" w:hAnsi="Times New Roman"/>
                <w:noProof/>
                <w:spacing w:val="-6"/>
                <w:lang w:val="sk-SK"/>
              </w:rPr>
              <w:t xml:space="preserve">Míľnik/cieľ </w:t>
            </w:r>
          </w:p>
        </w:tc>
        <w:tc>
          <w:tcPr>
            <w:tcW w:w="1418" w:type="dxa"/>
            <w:vMerge w:val="restart"/>
            <w:shd w:val="clear" w:color="auto" w:fill="BDD6EE"/>
            <w:vAlign w:val="center"/>
            <w:hideMark/>
          </w:tcPr>
          <w:p w14:paraId="6643F3D2" w14:textId="77777777" w:rsidR="00F65654" w:rsidRPr="00CC26EA" w:rsidRDefault="0041081E">
            <w:pPr>
              <w:pStyle w:val="P68B1DB1-Normal18"/>
              <w:spacing w:before="120" w:after="120" w:line="240" w:lineRule="auto"/>
              <w:rPr>
                <w:rFonts w:ascii="Times New Roman" w:eastAsia="Times New Roman" w:hAnsi="Times New Roman" w:cstheme="minorHAnsi"/>
                <w:noProof/>
                <w:spacing w:val="-6"/>
                <w:lang w:val="sk-SK"/>
              </w:rPr>
            </w:pPr>
            <w:r w:rsidRPr="00CC26EA">
              <w:rPr>
                <w:rFonts w:ascii="Times New Roman" w:hAnsi="Times New Roman"/>
                <w:noProof/>
                <w:spacing w:val="-6"/>
                <w:lang w:val="sk-SK"/>
              </w:rPr>
              <w:t>Názov opatrenia</w:t>
            </w:r>
          </w:p>
        </w:tc>
        <w:tc>
          <w:tcPr>
            <w:tcW w:w="1474" w:type="dxa"/>
            <w:vMerge w:val="restart"/>
            <w:shd w:val="clear" w:color="auto" w:fill="BDD6EE"/>
            <w:vAlign w:val="center"/>
            <w:hideMark/>
          </w:tcPr>
          <w:p w14:paraId="57EDB30D" w14:textId="77777777" w:rsidR="00F65654" w:rsidRPr="00CC26EA" w:rsidRDefault="0041081E">
            <w:pPr>
              <w:pStyle w:val="P68B1DB1-Normal18"/>
              <w:spacing w:before="120" w:after="120" w:line="240" w:lineRule="auto"/>
              <w:rPr>
                <w:rFonts w:ascii="Times New Roman" w:eastAsia="Times New Roman" w:hAnsi="Times New Roman" w:cstheme="minorHAnsi"/>
                <w:noProof/>
                <w:spacing w:val="-6"/>
                <w:lang w:val="sk-SK"/>
              </w:rPr>
            </w:pPr>
            <w:r w:rsidRPr="00CC26EA">
              <w:rPr>
                <w:rFonts w:ascii="Times New Roman" w:hAnsi="Times New Roman"/>
                <w:noProof/>
                <w:spacing w:val="-6"/>
                <w:lang w:val="sk-SK"/>
              </w:rPr>
              <w:t>Kvalitatívny ukazovateľ (pre čiastkové ciele)</w:t>
            </w:r>
          </w:p>
        </w:tc>
        <w:tc>
          <w:tcPr>
            <w:tcW w:w="3017" w:type="dxa"/>
            <w:gridSpan w:val="3"/>
            <w:shd w:val="clear" w:color="auto" w:fill="BDD6EE"/>
            <w:vAlign w:val="center"/>
          </w:tcPr>
          <w:p w14:paraId="54FAEBEA" w14:textId="77777777" w:rsidR="00F65654" w:rsidRPr="00CC26EA" w:rsidRDefault="0041081E">
            <w:pPr>
              <w:pStyle w:val="P68B1DB1-Normal18"/>
              <w:spacing w:before="120" w:after="120" w:line="240" w:lineRule="auto"/>
              <w:jc w:val="center"/>
              <w:rPr>
                <w:rFonts w:ascii="Times New Roman" w:eastAsia="Times New Roman" w:hAnsi="Times New Roman" w:cstheme="minorHAnsi"/>
                <w:noProof/>
                <w:spacing w:val="-6"/>
                <w:lang w:val="sk-SK"/>
              </w:rPr>
            </w:pPr>
            <w:r w:rsidRPr="00CC26EA">
              <w:rPr>
                <w:rFonts w:ascii="Times New Roman" w:hAnsi="Times New Roman"/>
                <w:noProof/>
                <w:spacing w:val="-6"/>
                <w:lang w:val="sk-SK"/>
              </w:rPr>
              <w:t>Kvantitatívny ukazovateľ (pre cieľové hodnoty)</w:t>
            </w:r>
          </w:p>
        </w:tc>
        <w:tc>
          <w:tcPr>
            <w:tcW w:w="1842" w:type="dxa"/>
            <w:gridSpan w:val="2"/>
            <w:shd w:val="clear" w:color="auto" w:fill="BDD6EE"/>
            <w:vAlign w:val="center"/>
            <w:hideMark/>
          </w:tcPr>
          <w:p w14:paraId="393942F4" w14:textId="77777777" w:rsidR="00F65654" w:rsidRPr="00CC26EA" w:rsidRDefault="0041081E">
            <w:pPr>
              <w:pStyle w:val="P68B1DB1-Normal18"/>
              <w:spacing w:before="120" w:after="120" w:line="240" w:lineRule="auto"/>
              <w:jc w:val="center"/>
              <w:rPr>
                <w:rFonts w:ascii="Times New Roman" w:eastAsia="Times New Roman" w:hAnsi="Times New Roman" w:cstheme="minorHAnsi"/>
                <w:noProof/>
                <w:spacing w:val="-6"/>
                <w:lang w:val="sk-SK"/>
              </w:rPr>
            </w:pPr>
            <w:r w:rsidRPr="00CC26EA">
              <w:rPr>
                <w:rFonts w:ascii="Times New Roman" w:hAnsi="Times New Roman"/>
                <w:noProof/>
                <w:spacing w:val="-6"/>
                <w:lang w:val="sk-SK"/>
              </w:rPr>
              <w:t>Orientačný harmonogram splnenia</w:t>
            </w:r>
          </w:p>
        </w:tc>
        <w:tc>
          <w:tcPr>
            <w:tcW w:w="3544" w:type="dxa"/>
            <w:vMerge w:val="restart"/>
            <w:shd w:val="clear" w:color="auto" w:fill="BDD6EE"/>
            <w:vAlign w:val="center"/>
            <w:hideMark/>
          </w:tcPr>
          <w:p w14:paraId="64CA6766" w14:textId="3B0F75C3" w:rsidR="00F65654" w:rsidRPr="00CC26EA" w:rsidRDefault="0041081E">
            <w:pPr>
              <w:pStyle w:val="P68B1DB1-Normal18"/>
              <w:spacing w:before="120" w:after="120" w:line="240" w:lineRule="auto"/>
              <w:jc w:val="center"/>
              <w:rPr>
                <w:rFonts w:ascii="Times New Roman" w:eastAsia="Times New Roman" w:hAnsi="Times New Roman" w:cstheme="minorHAnsi"/>
                <w:noProof/>
                <w:spacing w:val="-6"/>
                <w:lang w:val="sk-SK"/>
              </w:rPr>
            </w:pPr>
            <w:r w:rsidRPr="00CC26EA">
              <w:rPr>
                <w:rFonts w:ascii="Times New Roman" w:hAnsi="Times New Roman"/>
                <w:noProof/>
                <w:spacing w:val="-6"/>
                <w:lang w:val="sk-SK"/>
              </w:rPr>
              <w:t>Opis</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jasné vymedzenie jednotlivých míľnikov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cieľov</w:t>
            </w:r>
          </w:p>
        </w:tc>
      </w:tr>
      <w:tr w:rsidR="00F65654" w:rsidRPr="00CC26EA" w14:paraId="0BF11BA3" w14:textId="77777777">
        <w:trPr>
          <w:trHeight w:val="521"/>
          <w:tblHeader/>
          <w:jc w:val="center"/>
        </w:trPr>
        <w:tc>
          <w:tcPr>
            <w:tcW w:w="1191" w:type="dxa"/>
            <w:vMerge/>
            <w:vAlign w:val="center"/>
            <w:hideMark/>
          </w:tcPr>
          <w:p w14:paraId="106B6230" w14:textId="77777777" w:rsidR="00F65654" w:rsidRPr="00CC26EA" w:rsidRDefault="00F65654">
            <w:pPr>
              <w:spacing w:before="120" w:after="0" w:line="240" w:lineRule="auto"/>
              <w:jc w:val="both"/>
              <w:rPr>
                <w:rFonts w:ascii="Times New Roman" w:eastAsia="Times New Roman" w:hAnsi="Times New Roman" w:cs="Calibri"/>
                <w:b/>
                <w:noProof/>
                <w:color w:val="000000"/>
                <w:spacing w:val="-6"/>
                <w:sz w:val="18"/>
                <w:lang w:val="sk-SK"/>
              </w:rPr>
            </w:pPr>
          </w:p>
        </w:tc>
        <w:tc>
          <w:tcPr>
            <w:tcW w:w="1361" w:type="dxa"/>
            <w:vMerge/>
            <w:vAlign w:val="center"/>
            <w:hideMark/>
          </w:tcPr>
          <w:p w14:paraId="02A281EA" w14:textId="77777777" w:rsidR="00F65654" w:rsidRPr="00CC26EA" w:rsidRDefault="00F65654">
            <w:pPr>
              <w:spacing w:before="120" w:after="0" w:line="240" w:lineRule="auto"/>
              <w:jc w:val="both"/>
              <w:rPr>
                <w:rFonts w:ascii="Times New Roman" w:eastAsia="Times New Roman" w:hAnsi="Times New Roman" w:cs="Calibri"/>
                <w:b/>
                <w:noProof/>
                <w:color w:val="000000"/>
                <w:spacing w:val="-6"/>
                <w:sz w:val="18"/>
                <w:lang w:val="sk-SK"/>
              </w:rPr>
            </w:pPr>
          </w:p>
        </w:tc>
        <w:tc>
          <w:tcPr>
            <w:tcW w:w="1247" w:type="dxa"/>
            <w:vMerge/>
            <w:vAlign w:val="center"/>
            <w:hideMark/>
          </w:tcPr>
          <w:p w14:paraId="2F5EA382" w14:textId="77777777" w:rsidR="00F65654" w:rsidRPr="00CC26EA" w:rsidRDefault="00F65654">
            <w:pPr>
              <w:spacing w:before="120" w:after="0" w:line="240" w:lineRule="auto"/>
              <w:jc w:val="both"/>
              <w:rPr>
                <w:rFonts w:ascii="Times New Roman" w:eastAsia="Times New Roman" w:hAnsi="Times New Roman" w:cs="Calibri"/>
                <w:b/>
                <w:noProof/>
                <w:color w:val="000000"/>
                <w:spacing w:val="-6"/>
                <w:sz w:val="18"/>
                <w:lang w:val="sk-SK"/>
              </w:rPr>
            </w:pPr>
          </w:p>
        </w:tc>
        <w:tc>
          <w:tcPr>
            <w:tcW w:w="1418" w:type="dxa"/>
            <w:vMerge/>
            <w:vAlign w:val="center"/>
            <w:hideMark/>
          </w:tcPr>
          <w:p w14:paraId="5CB3803A" w14:textId="77777777" w:rsidR="00F65654" w:rsidRPr="00CC26EA" w:rsidRDefault="00F65654">
            <w:pPr>
              <w:spacing w:before="120" w:after="0" w:line="240" w:lineRule="auto"/>
              <w:jc w:val="both"/>
              <w:rPr>
                <w:rFonts w:ascii="Times New Roman" w:eastAsia="Times New Roman" w:hAnsi="Times New Roman" w:cs="Calibri"/>
                <w:b/>
                <w:noProof/>
                <w:color w:val="000000"/>
                <w:spacing w:val="-6"/>
                <w:sz w:val="18"/>
                <w:lang w:val="sk-SK"/>
              </w:rPr>
            </w:pPr>
          </w:p>
        </w:tc>
        <w:tc>
          <w:tcPr>
            <w:tcW w:w="1474" w:type="dxa"/>
            <w:vMerge/>
            <w:vAlign w:val="center"/>
            <w:hideMark/>
          </w:tcPr>
          <w:p w14:paraId="6D4B2548" w14:textId="77777777" w:rsidR="00F65654" w:rsidRPr="00CC26EA" w:rsidRDefault="00F65654">
            <w:pPr>
              <w:spacing w:before="120" w:after="0" w:line="240" w:lineRule="auto"/>
              <w:jc w:val="both"/>
              <w:rPr>
                <w:rFonts w:ascii="Times New Roman" w:eastAsia="Times New Roman" w:hAnsi="Times New Roman" w:cs="Calibri"/>
                <w:b/>
                <w:noProof/>
                <w:color w:val="000000"/>
                <w:spacing w:val="-6"/>
                <w:sz w:val="18"/>
                <w:lang w:val="sk-SK"/>
              </w:rPr>
            </w:pPr>
          </w:p>
        </w:tc>
        <w:tc>
          <w:tcPr>
            <w:tcW w:w="1096" w:type="dxa"/>
            <w:tcBorders>
              <w:top w:val="single" w:sz="8" w:space="0" w:color="auto"/>
              <w:left w:val="single" w:sz="8" w:space="0" w:color="auto"/>
              <w:bottom w:val="single" w:sz="8" w:space="0" w:color="auto"/>
              <w:right w:val="single" w:sz="8" w:space="0" w:color="auto"/>
            </w:tcBorders>
            <w:shd w:val="clear" w:color="auto" w:fill="BDD6EE"/>
          </w:tcPr>
          <w:p w14:paraId="76E230CA" w14:textId="77777777" w:rsidR="00F65654" w:rsidRPr="00CC26EA" w:rsidRDefault="0041081E">
            <w:pPr>
              <w:pStyle w:val="P68B1DB1-Normal18"/>
              <w:spacing w:before="120" w:after="120" w:line="240" w:lineRule="auto"/>
              <w:rPr>
                <w:rFonts w:ascii="Times New Roman" w:eastAsia="Times New Roman" w:hAnsi="Times New Roman" w:cstheme="minorHAnsi"/>
                <w:noProof/>
                <w:spacing w:val="-6"/>
                <w:lang w:val="sk-SK"/>
              </w:rPr>
            </w:pPr>
            <w:r w:rsidRPr="00CC26EA">
              <w:rPr>
                <w:rFonts w:ascii="Times New Roman" w:hAnsi="Times New Roman"/>
                <w:noProof/>
                <w:spacing w:val="-6"/>
                <w:lang w:val="sk-SK"/>
              </w:rPr>
              <w:t>Merná jednotka</w:t>
            </w:r>
          </w:p>
        </w:tc>
        <w:tc>
          <w:tcPr>
            <w:tcW w:w="992" w:type="dxa"/>
            <w:tcBorders>
              <w:top w:val="single" w:sz="8" w:space="0" w:color="auto"/>
              <w:left w:val="single" w:sz="8" w:space="0" w:color="auto"/>
              <w:bottom w:val="single" w:sz="8" w:space="0" w:color="auto"/>
              <w:right w:val="single" w:sz="8" w:space="0" w:color="auto"/>
            </w:tcBorders>
            <w:shd w:val="clear" w:color="auto" w:fill="BDD6EE"/>
          </w:tcPr>
          <w:p w14:paraId="5E76BC7A" w14:textId="77777777" w:rsidR="00F65654" w:rsidRPr="00CC26EA" w:rsidRDefault="0041081E">
            <w:pPr>
              <w:pStyle w:val="P68B1DB1-Normal18"/>
              <w:spacing w:before="120" w:after="120" w:line="240" w:lineRule="auto"/>
              <w:rPr>
                <w:rFonts w:ascii="Times New Roman" w:eastAsia="Times New Roman" w:hAnsi="Times New Roman" w:cstheme="minorHAnsi"/>
                <w:noProof/>
                <w:spacing w:val="-6"/>
                <w:lang w:val="sk-SK"/>
              </w:rPr>
            </w:pPr>
            <w:r w:rsidRPr="00CC26EA">
              <w:rPr>
                <w:rFonts w:ascii="Times New Roman" w:hAnsi="Times New Roman"/>
                <w:noProof/>
                <w:spacing w:val="-6"/>
                <w:lang w:val="sk-SK"/>
              </w:rPr>
              <w:t>Základná</w:t>
            </w:r>
          </w:p>
        </w:tc>
        <w:tc>
          <w:tcPr>
            <w:tcW w:w="929" w:type="dxa"/>
            <w:tcBorders>
              <w:top w:val="single" w:sz="8" w:space="0" w:color="auto"/>
              <w:left w:val="single" w:sz="8" w:space="0" w:color="auto"/>
              <w:bottom w:val="single" w:sz="8" w:space="0" w:color="auto"/>
              <w:right w:val="single" w:sz="8" w:space="0" w:color="auto"/>
            </w:tcBorders>
            <w:shd w:val="clear" w:color="auto" w:fill="BDD6EE"/>
          </w:tcPr>
          <w:p w14:paraId="0C298158" w14:textId="77777777" w:rsidR="00F65654" w:rsidRPr="00CC26EA" w:rsidRDefault="0041081E">
            <w:pPr>
              <w:pStyle w:val="P68B1DB1-Normal18"/>
              <w:spacing w:before="120" w:after="120" w:line="240" w:lineRule="auto"/>
              <w:rPr>
                <w:rFonts w:ascii="Times New Roman" w:eastAsia="Times New Roman" w:hAnsi="Times New Roman" w:cstheme="minorHAnsi"/>
                <w:noProof/>
                <w:spacing w:val="-6"/>
                <w:lang w:val="sk-SK"/>
              </w:rPr>
            </w:pPr>
            <w:r w:rsidRPr="00CC26EA">
              <w:rPr>
                <w:rFonts w:ascii="Times New Roman" w:hAnsi="Times New Roman"/>
                <w:noProof/>
                <w:spacing w:val="-6"/>
                <w:lang w:val="sk-SK"/>
              </w:rPr>
              <w:t>Cieľ</w:t>
            </w:r>
          </w:p>
        </w:tc>
        <w:tc>
          <w:tcPr>
            <w:tcW w:w="914" w:type="dxa"/>
            <w:tcBorders>
              <w:top w:val="single" w:sz="8" w:space="0" w:color="auto"/>
              <w:left w:val="single" w:sz="8" w:space="0" w:color="auto"/>
              <w:bottom w:val="single" w:sz="8" w:space="0" w:color="auto"/>
              <w:right w:val="single" w:sz="8" w:space="0" w:color="auto"/>
            </w:tcBorders>
            <w:shd w:val="clear" w:color="auto" w:fill="BDD6EE"/>
            <w:vAlign w:val="center"/>
            <w:hideMark/>
          </w:tcPr>
          <w:p w14:paraId="2F53CB76" w14:textId="77777777" w:rsidR="00F65654" w:rsidRPr="00CC26EA" w:rsidRDefault="0041081E">
            <w:pPr>
              <w:pStyle w:val="P68B1DB1-Normal18"/>
              <w:spacing w:before="120" w:after="120" w:line="240" w:lineRule="auto"/>
              <w:jc w:val="center"/>
              <w:rPr>
                <w:rFonts w:ascii="Times New Roman" w:eastAsia="Times New Roman" w:hAnsi="Times New Roman" w:cstheme="minorHAnsi"/>
                <w:noProof/>
                <w:spacing w:val="-6"/>
                <w:lang w:val="sk-SK"/>
              </w:rPr>
            </w:pPr>
            <w:r w:rsidRPr="00CC26EA">
              <w:rPr>
                <w:rFonts w:ascii="Times New Roman" w:hAnsi="Times New Roman"/>
                <w:noProof/>
                <w:spacing w:val="-6"/>
                <w:lang w:val="sk-SK"/>
              </w:rPr>
              <w:t>Q</w:t>
            </w:r>
          </w:p>
        </w:tc>
        <w:tc>
          <w:tcPr>
            <w:tcW w:w="928" w:type="dxa"/>
            <w:tcBorders>
              <w:top w:val="single" w:sz="8" w:space="0" w:color="auto"/>
              <w:left w:val="single" w:sz="8" w:space="0" w:color="auto"/>
              <w:bottom w:val="single" w:sz="8" w:space="0" w:color="auto"/>
              <w:right w:val="single" w:sz="8" w:space="0" w:color="auto"/>
            </w:tcBorders>
            <w:shd w:val="clear" w:color="auto" w:fill="BDD6EE"/>
            <w:vAlign w:val="center"/>
            <w:hideMark/>
          </w:tcPr>
          <w:p w14:paraId="3CB13413" w14:textId="77777777" w:rsidR="00F65654" w:rsidRPr="00CC26EA" w:rsidRDefault="0041081E">
            <w:pPr>
              <w:pStyle w:val="P68B1DB1-Normal18"/>
              <w:spacing w:before="120" w:after="120" w:line="240" w:lineRule="auto"/>
              <w:jc w:val="center"/>
              <w:rPr>
                <w:rFonts w:ascii="Times New Roman" w:eastAsia="Times New Roman" w:hAnsi="Times New Roman" w:cstheme="minorHAnsi"/>
                <w:noProof/>
                <w:spacing w:val="-6"/>
                <w:lang w:val="sk-SK"/>
              </w:rPr>
            </w:pPr>
            <w:r w:rsidRPr="00CC26EA">
              <w:rPr>
                <w:rFonts w:ascii="Times New Roman" w:hAnsi="Times New Roman"/>
                <w:noProof/>
                <w:spacing w:val="-6"/>
                <w:lang w:val="sk-SK"/>
              </w:rPr>
              <w:t>Rok</w:t>
            </w:r>
          </w:p>
        </w:tc>
        <w:tc>
          <w:tcPr>
            <w:tcW w:w="3544" w:type="dxa"/>
            <w:vMerge/>
            <w:vAlign w:val="center"/>
            <w:hideMark/>
          </w:tcPr>
          <w:p w14:paraId="75279E4E" w14:textId="77777777" w:rsidR="00F65654" w:rsidRPr="00CC26EA" w:rsidRDefault="00F65654">
            <w:pPr>
              <w:spacing w:before="120" w:after="0" w:line="240" w:lineRule="auto"/>
              <w:jc w:val="both"/>
              <w:rPr>
                <w:rFonts w:ascii="Times New Roman" w:eastAsia="Times New Roman" w:hAnsi="Times New Roman" w:cs="Calibri"/>
                <w:b/>
                <w:noProof/>
                <w:color w:val="000000"/>
                <w:spacing w:val="-6"/>
                <w:sz w:val="18"/>
                <w:lang w:val="sk-SK"/>
              </w:rPr>
            </w:pPr>
          </w:p>
        </w:tc>
      </w:tr>
      <w:tr w:rsidR="00F65654" w:rsidRPr="00CC26EA" w14:paraId="13D9DB8C" w14:textId="77777777">
        <w:trPr>
          <w:trHeight w:val="2341"/>
          <w:jc w:val="center"/>
        </w:trPr>
        <w:tc>
          <w:tcPr>
            <w:tcW w:w="1191" w:type="dxa"/>
            <w:shd w:val="clear" w:color="auto" w:fill="C6EFCE"/>
            <w:hideMark/>
          </w:tcPr>
          <w:p w14:paraId="3BBDF516"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92</w:t>
            </w:r>
          </w:p>
        </w:tc>
        <w:tc>
          <w:tcPr>
            <w:tcW w:w="1361" w:type="dxa"/>
            <w:shd w:val="clear" w:color="auto" w:fill="C6EFCE"/>
          </w:tcPr>
          <w:p w14:paraId="017021AA" w14:textId="4D097B9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9 – Audit</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kontrola</w:t>
            </w:r>
          </w:p>
        </w:tc>
        <w:tc>
          <w:tcPr>
            <w:tcW w:w="1247" w:type="dxa"/>
            <w:shd w:val="clear" w:color="auto" w:fill="C6EFCE"/>
          </w:tcPr>
          <w:p w14:paraId="77AF121A" w14:textId="77777777" w:rsidR="00F65654" w:rsidRPr="00CC26EA" w:rsidRDefault="0041081E">
            <w:pPr>
              <w:pStyle w:val="P68B1DB1-Normal4"/>
              <w:spacing w:after="120"/>
              <w:rPr>
                <w:rFonts w:ascii="Times New Roman" w:eastAsia="Times New Roman" w:hAnsi="Times New Roman"/>
                <w:noProof/>
                <w:spacing w:val="-6"/>
                <w:lang w:val="sk-SK"/>
              </w:rPr>
            </w:pPr>
            <w:r w:rsidRPr="00CC26EA">
              <w:rPr>
                <w:rFonts w:ascii="Times New Roman" w:hAnsi="Times New Roman"/>
                <w:noProof/>
                <w:spacing w:val="-6"/>
                <w:lang w:val="sk-SK"/>
              </w:rPr>
              <w:t>Míľnik</w:t>
            </w:r>
          </w:p>
          <w:p w14:paraId="2C7EC0A9" w14:textId="77777777" w:rsidR="00F65654" w:rsidRPr="00CC26EA" w:rsidRDefault="00F65654">
            <w:pPr>
              <w:spacing w:after="120"/>
              <w:rPr>
                <w:rFonts w:ascii="Times New Roman" w:eastAsia="Times New Roman" w:hAnsi="Times New Roman"/>
                <w:noProof/>
                <w:color w:val="006100"/>
                <w:spacing w:val="-6"/>
                <w:lang w:val="sk-SK"/>
              </w:rPr>
            </w:pPr>
          </w:p>
        </w:tc>
        <w:tc>
          <w:tcPr>
            <w:tcW w:w="1418" w:type="dxa"/>
            <w:shd w:val="clear" w:color="auto" w:fill="C6EFCE"/>
          </w:tcPr>
          <w:p w14:paraId="15B1D33D" w14:textId="125664B6" w:rsidR="00F65654" w:rsidRPr="00CC26EA" w:rsidRDefault="0041081E">
            <w:pPr>
              <w:pStyle w:val="P68B1DB1-Normal4"/>
              <w:spacing w:after="120"/>
              <w:rPr>
                <w:rFonts w:ascii="Times New Roman" w:eastAsia="Times New Roman" w:hAnsi="Times New Roman"/>
                <w:noProof/>
                <w:spacing w:val="-6"/>
                <w:lang w:val="sk-SK"/>
              </w:rPr>
            </w:pPr>
            <w:r w:rsidRPr="00CC26EA">
              <w:rPr>
                <w:rFonts w:ascii="Times New Roman" w:hAnsi="Times New Roman"/>
                <w:noProof/>
                <w:spacing w:val="-6"/>
                <w:lang w:val="sk-SK"/>
              </w:rPr>
              <w:t xml:space="preserve">Registračný systém </w:t>
            </w:r>
          </w:p>
        </w:tc>
        <w:tc>
          <w:tcPr>
            <w:tcW w:w="1474" w:type="dxa"/>
            <w:shd w:val="clear" w:color="auto" w:fill="C6EFCE"/>
          </w:tcPr>
          <w:p w14:paraId="62017558" w14:textId="0838231F" w:rsidR="00F65654" w:rsidRPr="00CC26EA" w:rsidRDefault="0041081E">
            <w:pPr>
              <w:pStyle w:val="P68B1DB1-Normal4"/>
              <w:spacing w:after="120"/>
              <w:rPr>
                <w:rFonts w:ascii="Times New Roman" w:eastAsia="Times New Roman" w:hAnsi="Times New Roman"/>
                <w:noProof/>
                <w:spacing w:val="-6"/>
                <w:lang w:val="sk-SK"/>
              </w:rPr>
            </w:pPr>
            <w:r w:rsidRPr="00CC26EA">
              <w:rPr>
                <w:rFonts w:ascii="Times New Roman" w:hAnsi="Times New Roman"/>
                <w:noProof/>
                <w:spacing w:val="-6"/>
                <w:lang w:val="sk-SK"/>
              </w:rPr>
              <w:t>Úplný</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spoľahlivý súbor údajov</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súlade</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článkom 22 ods. 2 písm. d) nariadenia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Mechanizme na podporu obnovy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odolnosti</w:t>
            </w:r>
          </w:p>
        </w:tc>
        <w:tc>
          <w:tcPr>
            <w:tcW w:w="1096" w:type="dxa"/>
            <w:shd w:val="clear" w:color="auto" w:fill="C6EFCE"/>
          </w:tcPr>
          <w:p w14:paraId="6CFF94EC" w14:textId="77777777" w:rsidR="00F65654" w:rsidRPr="00CC26EA" w:rsidRDefault="00F65654">
            <w:pPr>
              <w:spacing w:after="120"/>
              <w:rPr>
                <w:rFonts w:ascii="Times New Roman" w:eastAsia="Times New Roman" w:hAnsi="Times New Roman"/>
                <w:noProof/>
                <w:color w:val="006100"/>
                <w:spacing w:val="-6"/>
                <w:lang w:val="sk-SK"/>
              </w:rPr>
            </w:pPr>
          </w:p>
        </w:tc>
        <w:tc>
          <w:tcPr>
            <w:tcW w:w="992" w:type="dxa"/>
            <w:shd w:val="clear" w:color="auto" w:fill="C6EFCE"/>
          </w:tcPr>
          <w:p w14:paraId="2401076A" w14:textId="77777777" w:rsidR="00F65654" w:rsidRPr="00CC26EA" w:rsidRDefault="00F65654">
            <w:pPr>
              <w:spacing w:after="120"/>
              <w:rPr>
                <w:rFonts w:ascii="Times New Roman" w:eastAsia="Times New Roman" w:hAnsi="Times New Roman"/>
                <w:noProof/>
                <w:color w:val="006100"/>
                <w:spacing w:val="-6"/>
                <w:lang w:val="sk-SK"/>
              </w:rPr>
            </w:pPr>
          </w:p>
        </w:tc>
        <w:tc>
          <w:tcPr>
            <w:tcW w:w="929" w:type="dxa"/>
            <w:shd w:val="clear" w:color="auto" w:fill="C6EFCE"/>
          </w:tcPr>
          <w:p w14:paraId="568633B7" w14:textId="77777777" w:rsidR="00F65654" w:rsidRPr="00CC26EA" w:rsidRDefault="00F65654">
            <w:pPr>
              <w:spacing w:after="120"/>
              <w:rPr>
                <w:rFonts w:ascii="Times New Roman" w:eastAsia="Times New Roman" w:hAnsi="Times New Roman"/>
                <w:noProof/>
                <w:color w:val="006100"/>
                <w:spacing w:val="-6"/>
                <w:lang w:val="sk-SK"/>
              </w:rPr>
            </w:pPr>
          </w:p>
        </w:tc>
        <w:tc>
          <w:tcPr>
            <w:tcW w:w="914" w:type="dxa"/>
            <w:shd w:val="clear" w:color="auto" w:fill="C6EFCE"/>
          </w:tcPr>
          <w:p w14:paraId="757AD4E2" w14:textId="32D4400B" w:rsidR="00F65654" w:rsidRPr="00CC26EA" w:rsidRDefault="0041081E">
            <w:pPr>
              <w:pStyle w:val="P68B1DB1-Normal4"/>
              <w:spacing w:after="120"/>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928" w:type="dxa"/>
            <w:shd w:val="clear" w:color="auto" w:fill="C6EFCE"/>
          </w:tcPr>
          <w:p w14:paraId="0445E767" w14:textId="13A9C622" w:rsidR="00F65654" w:rsidRPr="00CC26EA" w:rsidRDefault="0041081E">
            <w:pPr>
              <w:pStyle w:val="P68B1DB1-Normal4"/>
              <w:spacing w:after="120"/>
              <w:rPr>
                <w:rFonts w:ascii="Times New Roman" w:eastAsia="Times New Roman" w:hAnsi="Times New Roman"/>
                <w:noProof/>
                <w:spacing w:val="-6"/>
                <w:lang w:val="sk-SK"/>
              </w:rPr>
            </w:pPr>
            <w:r w:rsidRPr="00CC26EA">
              <w:rPr>
                <w:rFonts w:ascii="Times New Roman" w:hAnsi="Times New Roman"/>
                <w:noProof/>
                <w:spacing w:val="-6"/>
                <w:lang w:val="sk-SK"/>
              </w:rPr>
              <w:t>2023</w:t>
            </w:r>
          </w:p>
        </w:tc>
        <w:tc>
          <w:tcPr>
            <w:tcW w:w="3544" w:type="dxa"/>
            <w:tcBorders>
              <w:top w:val="nil"/>
              <w:left w:val="single" w:sz="8" w:space="0" w:color="auto"/>
              <w:bottom w:val="single" w:sz="8" w:space="0" w:color="auto"/>
              <w:right w:val="single" w:sz="8" w:space="0" w:color="auto"/>
            </w:tcBorders>
            <w:shd w:val="clear" w:color="auto" w:fill="C6EFCE"/>
          </w:tcPr>
          <w:p w14:paraId="7322BB8C" w14:textId="082E234A" w:rsidR="00F65654" w:rsidRPr="00CC26EA" w:rsidRDefault="0041081E">
            <w:pPr>
              <w:pStyle w:val="P68B1DB1-Normal4"/>
              <w:spacing w:after="120"/>
              <w:rPr>
                <w:rFonts w:ascii="Times New Roman" w:hAnsi="Times New Roman"/>
                <w:noProof/>
                <w:spacing w:val="-6"/>
                <w:lang w:val="sk-SK"/>
              </w:rPr>
            </w:pPr>
            <w:r w:rsidRPr="00CC26EA">
              <w:rPr>
                <w:rFonts w:ascii="Times New Roman" w:hAnsi="Times New Roman"/>
                <w:noProof/>
                <w:spacing w:val="-6"/>
                <w:lang w:val="sk-SK"/>
              </w:rPr>
              <w:t>Systém registra na monitorovanie vykonávania plánu musí byť funkčný</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funkčný.</w:t>
            </w:r>
          </w:p>
          <w:p w14:paraId="1681E8B7" w14:textId="77777777" w:rsidR="00F65654" w:rsidRPr="00CC26EA" w:rsidRDefault="0041081E">
            <w:pPr>
              <w:pStyle w:val="P68B1DB1-Normal4"/>
              <w:spacing w:after="120"/>
              <w:rPr>
                <w:rFonts w:ascii="Times New Roman" w:eastAsia="Times New Roman" w:hAnsi="Times New Roman"/>
                <w:noProof/>
                <w:spacing w:val="-6"/>
                <w:lang w:val="sk-SK"/>
              </w:rPr>
            </w:pPr>
            <w:r w:rsidRPr="00CC26EA">
              <w:rPr>
                <w:rFonts w:ascii="Times New Roman" w:hAnsi="Times New Roman"/>
                <w:noProof/>
                <w:spacing w:val="-6"/>
                <w:lang w:val="sk-SK"/>
              </w:rPr>
              <w:t>Systém musí zahŕňať minimálne tieto funkcie:</w:t>
            </w:r>
          </w:p>
          <w:p w14:paraId="10C97BE4" w14:textId="692E25AD" w:rsidR="00F65654" w:rsidRPr="00CC26EA" w:rsidRDefault="0041081E">
            <w:pPr>
              <w:pStyle w:val="P68B1DB1-Normal4"/>
              <w:spacing w:after="120"/>
              <w:rPr>
                <w:rFonts w:ascii="Times New Roman" w:eastAsia="Times New Roman" w:hAnsi="Times New Roman"/>
                <w:noProof/>
                <w:spacing w:val="-6"/>
                <w:lang w:val="sk-SK"/>
              </w:rPr>
            </w:pPr>
            <w:r w:rsidRPr="00CC26EA">
              <w:rPr>
                <w:rFonts w:ascii="Times New Roman" w:hAnsi="Times New Roman"/>
                <w:noProof/>
                <w:spacing w:val="-6"/>
                <w:lang w:val="sk-SK"/>
              </w:rPr>
              <w:t>a) zber údajov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monitorovanie dosahovania míľnikov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cieľov;</w:t>
            </w:r>
          </w:p>
          <w:p w14:paraId="1CA29147" w14:textId="1D22570E" w:rsidR="00F65654" w:rsidRPr="00CC26EA" w:rsidRDefault="0041081E">
            <w:pPr>
              <w:pStyle w:val="P68B1DB1-Normal4"/>
              <w:spacing w:after="120"/>
              <w:rPr>
                <w:rFonts w:ascii="Times New Roman" w:eastAsia="Times New Roman" w:hAnsi="Times New Roman"/>
                <w:noProof/>
                <w:spacing w:val="-6"/>
                <w:lang w:val="sk-SK"/>
              </w:rPr>
            </w:pPr>
            <w:r w:rsidRPr="00CC26EA">
              <w:rPr>
                <w:rFonts w:ascii="Times New Roman" w:hAnsi="Times New Roman"/>
                <w:noProof/>
                <w:spacing w:val="-6"/>
                <w:lang w:val="sk-SK"/>
              </w:rPr>
              <w:t>b) zber, uchovávanie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zabezpečovanie prístupu</w:t>
            </w:r>
            <w:r w:rsidR="00CC26EA" w:rsidRPr="00CC26EA">
              <w:rPr>
                <w:rFonts w:ascii="Times New Roman" w:hAnsi="Times New Roman"/>
                <w:noProof/>
                <w:spacing w:val="-6"/>
                <w:lang w:val="sk-SK"/>
              </w:rPr>
              <w:t xml:space="preserve"> k </w:t>
            </w:r>
            <w:r w:rsidRPr="00CC26EA">
              <w:rPr>
                <w:rFonts w:ascii="Times New Roman" w:hAnsi="Times New Roman"/>
                <w:noProof/>
                <w:spacing w:val="-6"/>
                <w:lang w:val="sk-SK"/>
              </w:rPr>
              <w:t>údajom požadovaným</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článku 22 ods. 2 písm. d) bodoch i) až iii) nariadenia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Mechanizme na podporu obnovy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odolnosti.</w:t>
            </w:r>
          </w:p>
          <w:p w14:paraId="74379847" w14:textId="37A25768" w:rsidR="00F65654" w:rsidRPr="00CC26EA" w:rsidRDefault="0041081E">
            <w:pPr>
              <w:pStyle w:val="P68B1DB1-Normal4"/>
              <w:spacing w:after="120"/>
              <w:rPr>
                <w:rFonts w:ascii="Times New Roman" w:eastAsia="Times New Roman" w:hAnsi="Times New Roman"/>
                <w:noProof/>
                <w:spacing w:val="-6"/>
                <w:lang w:val="sk-SK"/>
              </w:rPr>
            </w:pPr>
            <w:r w:rsidRPr="00CC26EA">
              <w:rPr>
                <w:rFonts w:ascii="Times New Roman" w:hAnsi="Times New Roman"/>
                <w:noProof/>
                <w:spacing w:val="-6"/>
                <w:lang w:val="sk-SK"/>
              </w:rPr>
              <w:t>Ministerstvo financií predloží úplný</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spoľahlivý súbor údajov zozbieraných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uchovávaných</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súlade</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článkom 22 ods. 2 písm. d) bodmi i) až iii) nariadenia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Mechanizme na podporu obnovy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odolnosti.</w:t>
            </w:r>
          </w:p>
        </w:tc>
      </w:tr>
      <w:tr w:rsidR="00F65654" w:rsidRPr="00CC26EA" w14:paraId="47185BE1" w14:textId="77777777">
        <w:trPr>
          <w:trHeight w:val="480"/>
          <w:jc w:val="center"/>
        </w:trPr>
        <w:tc>
          <w:tcPr>
            <w:tcW w:w="1191" w:type="dxa"/>
            <w:shd w:val="clear" w:color="auto" w:fill="C6EFCE"/>
          </w:tcPr>
          <w:p w14:paraId="27C85829" w14:textId="00B12452"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93</w:t>
            </w:r>
          </w:p>
        </w:tc>
        <w:tc>
          <w:tcPr>
            <w:tcW w:w="1361" w:type="dxa"/>
            <w:shd w:val="clear" w:color="auto" w:fill="C6EFCE"/>
          </w:tcPr>
          <w:p w14:paraId="4BEAEF9D" w14:textId="2033D57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9 – Audit</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kontrola</w:t>
            </w:r>
          </w:p>
        </w:tc>
        <w:tc>
          <w:tcPr>
            <w:tcW w:w="1247" w:type="dxa"/>
            <w:shd w:val="clear" w:color="auto" w:fill="C6EFCE"/>
          </w:tcPr>
          <w:p w14:paraId="656E564E" w14:textId="77777777" w:rsidR="00F65654" w:rsidRPr="00CC26EA" w:rsidRDefault="0041081E">
            <w:pPr>
              <w:pStyle w:val="P68B1DB1-Normal4"/>
              <w:spacing w:after="120"/>
              <w:rPr>
                <w:rFonts w:ascii="Times New Roman" w:eastAsia="Times New Roman" w:hAnsi="Times New Roman"/>
                <w:noProof/>
                <w:spacing w:val="-6"/>
                <w:lang w:val="sk-SK"/>
              </w:rPr>
            </w:pPr>
            <w:r w:rsidRPr="00CC26EA">
              <w:rPr>
                <w:rFonts w:ascii="Times New Roman" w:hAnsi="Times New Roman"/>
                <w:noProof/>
                <w:spacing w:val="-6"/>
                <w:lang w:val="sk-SK"/>
              </w:rPr>
              <w:t>Míľnik</w:t>
            </w:r>
          </w:p>
          <w:p w14:paraId="3F9BC6DF" w14:textId="77777777" w:rsidR="00F65654" w:rsidRPr="00CC26EA" w:rsidRDefault="00F65654">
            <w:pPr>
              <w:spacing w:after="120"/>
              <w:rPr>
                <w:rFonts w:ascii="Times New Roman" w:eastAsia="Times New Roman" w:hAnsi="Times New Roman"/>
                <w:noProof/>
                <w:color w:val="006100"/>
                <w:spacing w:val="-6"/>
                <w:lang w:val="sk-SK"/>
              </w:rPr>
            </w:pPr>
          </w:p>
        </w:tc>
        <w:tc>
          <w:tcPr>
            <w:tcW w:w="1418" w:type="dxa"/>
            <w:shd w:val="clear" w:color="auto" w:fill="C6EFCE"/>
          </w:tcPr>
          <w:p w14:paraId="56292A02" w14:textId="6FF634E3" w:rsidR="00F65654" w:rsidRPr="00CC26EA" w:rsidRDefault="0041081E">
            <w:pPr>
              <w:pStyle w:val="P68B1DB1-Normal4"/>
              <w:spacing w:after="120"/>
              <w:rPr>
                <w:rFonts w:ascii="Times New Roman" w:eastAsia="Times New Roman" w:hAnsi="Times New Roman"/>
                <w:noProof/>
                <w:spacing w:val="-6"/>
                <w:lang w:val="sk-SK"/>
              </w:rPr>
            </w:pPr>
            <w:r w:rsidRPr="00CC26EA">
              <w:rPr>
                <w:rFonts w:ascii="Times New Roman" w:hAnsi="Times New Roman"/>
                <w:noProof/>
                <w:spacing w:val="-6"/>
                <w:lang w:val="sk-SK"/>
              </w:rPr>
              <w:t>Prijatie akčného plánu týkajúceho sa stratégie boja proti podvodom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korupcii</w:t>
            </w:r>
          </w:p>
        </w:tc>
        <w:tc>
          <w:tcPr>
            <w:tcW w:w="1474" w:type="dxa"/>
            <w:shd w:val="clear" w:color="auto" w:fill="C6EFCE"/>
          </w:tcPr>
          <w:p w14:paraId="043D7622" w14:textId="6DCDC224" w:rsidR="00F65654" w:rsidRPr="00CC26EA" w:rsidRDefault="0041081E">
            <w:pPr>
              <w:pStyle w:val="P68B1DB1-Normal4"/>
              <w:spacing w:after="120"/>
              <w:rPr>
                <w:rFonts w:ascii="Times New Roman" w:eastAsia="Times New Roman" w:hAnsi="Times New Roman"/>
                <w:noProof/>
                <w:spacing w:val="-6"/>
                <w:lang w:val="sk-SK"/>
              </w:rPr>
            </w:pPr>
            <w:r w:rsidRPr="00CC26EA">
              <w:rPr>
                <w:rFonts w:ascii="Times New Roman" w:hAnsi="Times New Roman"/>
                <w:noProof/>
                <w:spacing w:val="-6"/>
                <w:lang w:val="sk-SK"/>
              </w:rPr>
              <w:t>Prijatie akčného plánu týkajúceho sa stratégie boja proti podvodom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korupcii</w:t>
            </w:r>
          </w:p>
        </w:tc>
        <w:tc>
          <w:tcPr>
            <w:tcW w:w="1096" w:type="dxa"/>
            <w:shd w:val="clear" w:color="auto" w:fill="C6EFCE"/>
          </w:tcPr>
          <w:p w14:paraId="44E99CF1" w14:textId="77777777" w:rsidR="00F65654" w:rsidRPr="00CC26EA" w:rsidRDefault="00F65654">
            <w:pPr>
              <w:spacing w:after="120"/>
              <w:rPr>
                <w:rFonts w:ascii="Times New Roman" w:eastAsia="Times New Roman" w:hAnsi="Times New Roman"/>
                <w:noProof/>
                <w:color w:val="006100"/>
                <w:spacing w:val="-6"/>
                <w:lang w:val="sk-SK"/>
              </w:rPr>
            </w:pPr>
          </w:p>
        </w:tc>
        <w:tc>
          <w:tcPr>
            <w:tcW w:w="992" w:type="dxa"/>
            <w:shd w:val="clear" w:color="auto" w:fill="C6EFCE"/>
          </w:tcPr>
          <w:p w14:paraId="513691EE" w14:textId="77777777" w:rsidR="00F65654" w:rsidRPr="00CC26EA" w:rsidRDefault="00F65654">
            <w:pPr>
              <w:spacing w:after="120"/>
              <w:rPr>
                <w:rFonts w:ascii="Times New Roman" w:eastAsia="Times New Roman" w:hAnsi="Times New Roman"/>
                <w:noProof/>
                <w:color w:val="006100"/>
                <w:spacing w:val="-6"/>
                <w:lang w:val="sk-SK"/>
              </w:rPr>
            </w:pPr>
          </w:p>
        </w:tc>
        <w:tc>
          <w:tcPr>
            <w:tcW w:w="929" w:type="dxa"/>
            <w:shd w:val="clear" w:color="auto" w:fill="C6EFCE"/>
          </w:tcPr>
          <w:p w14:paraId="35894322" w14:textId="77777777" w:rsidR="00F65654" w:rsidRPr="00CC26EA" w:rsidRDefault="00F65654">
            <w:pPr>
              <w:spacing w:after="120"/>
              <w:rPr>
                <w:rFonts w:ascii="Times New Roman" w:eastAsia="Times New Roman" w:hAnsi="Times New Roman"/>
                <w:noProof/>
                <w:color w:val="006100"/>
                <w:spacing w:val="-6"/>
                <w:lang w:val="sk-SK"/>
              </w:rPr>
            </w:pPr>
          </w:p>
        </w:tc>
        <w:tc>
          <w:tcPr>
            <w:tcW w:w="914" w:type="dxa"/>
            <w:shd w:val="clear" w:color="auto" w:fill="C6EFCE"/>
          </w:tcPr>
          <w:p w14:paraId="6DE149DD" w14:textId="05E1474E" w:rsidR="00F65654" w:rsidRPr="00CC26EA" w:rsidRDefault="0041081E">
            <w:pPr>
              <w:pStyle w:val="P68B1DB1-Normal4"/>
              <w:spacing w:after="120"/>
              <w:rPr>
                <w:rFonts w:ascii="Times New Roman" w:eastAsia="Times New Roman" w:hAnsi="Times New Roman"/>
                <w:noProof/>
                <w:spacing w:val="-6"/>
                <w:lang w:val="sk-SK"/>
              </w:rPr>
            </w:pPr>
            <w:r w:rsidRPr="00CC26EA">
              <w:rPr>
                <w:rFonts w:ascii="Times New Roman" w:hAnsi="Times New Roman"/>
                <w:noProof/>
                <w:spacing w:val="-6"/>
                <w:lang w:val="sk-SK"/>
              </w:rPr>
              <w:t>ŠTVRTÝ ŠTVRŤROK</w:t>
            </w:r>
          </w:p>
        </w:tc>
        <w:tc>
          <w:tcPr>
            <w:tcW w:w="928" w:type="dxa"/>
            <w:shd w:val="clear" w:color="auto" w:fill="C6EFCE"/>
          </w:tcPr>
          <w:p w14:paraId="76DB8D4E" w14:textId="2E79376E" w:rsidR="00F65654" w:rsidRPr="00CC26EA" w:rsidRDefault="0041081E">
            <w:pPr>
              <w:pStyle w:val="P68B1DB1-Normal4"/>
              <w:spacing w:after="120"/>
              <w:rPr>
                <w:rFonts w:ascii="Times New Roman" w:eastAsia="Times New Roman" w:hAnsi="Times New Roman"/>
                <w:noProof/>
                <w:spacing w:val="-6"/>
                <w:lang w:val="sk-SK"/>
              </w:rPr>
            </w:pPr>
            <w:r w:rsidRPr="00CC26EA">
              <w:rPr>
                <w:rFonts w:ascii="Times New Roman" w:hAnsi="Times New Roman"/>
                <w:noProof/>
                <w:spacing w:val="-6"/>
                <w:lang w:val="sk-SK"/>
              </w:rPr>
              <w:t>2023</w:t>
            </w:r>
          </w:p>
        </w:tc>
        <w:tc>
          <w:tcPr>
            <w:tcW w:w="3544" w:type="dxa"/>
            <w:shd w:val="clear" w:color="auto" w:fill="C6EFCE"/>
          </w:tcPr>
          <w:p w14:paraId="6267E711" w14:textId="4DDE3C3F" w:rsidR="00F65654" w:rsidRPr="00CC26EA" w:rsidRDefault="0041081E">
            <w:pPr>
              <w:pStyle w:val="P68B1DB1-Normal4"/>
              <w:spacing w:after="120"/>
              <w:rPr>
                <w:rFonts w:ascii="Times New Roman" w:eastAsia="Times New Roman" w:hAnsi="Times New Roman"/>
                <w:noProof/>
                <w:spacing w:val="-6"/>
                <w:lang w:val="sk-SK"/>
              </w:rPr>
            </w:pPr>
            <w:r w:rsidRPr="00CC26EA">
              <w:rPr>
                <w:rFonts w:ascii="Times New Roman" w:hAnsi="Times New Roman"/>
                <w:noProof/>
                <w:spacing w:val="-6"/>
                <w:lang w:val="sk-SK"/>
              </w:rPr>
              <w:t>Ministerstvo financií prijme stratégiu Mechanizmu na podporu obnovy</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odolnosti pre boj proti podvodom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korupcii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vykonávacie orgány potom prijmú akčný plán,</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ktorom sa stanoví podrobný harmonogram účinného zavedenia stratégie do ich systémov vnútornej kontroly.</w:t>
            </w:r>
          </w:p>
        </w:tc>
      </w:tr>
      <w:bookmarkEnd w:id="2"/>
    </w:tbl>
    <w:p w14:paraId="3B25FA00" w14:textId="77777777" w:rsidR="00F65654" w:rsidRPr="00CC26EA" w:rsidRDefault="00F65654">
      <w:pPr>
        <w:rPr>
          <w:rFonts w:ascii="Times New Roman" w:hAnsi="Times New Roman"/>
          <w:b/>
          <w:noProof/>
          <w:spacing w:val="-6"/>
          <w:lang w:val="sk-SK"/>
        </w:rPr>
        <w:sectPr w:rsidR="00F65654" w:rsidRPr="00CC26EA" w:rsidSect="00DD48D1">
          <w:headerReference w:type="even" r:id="rId121"/>
          <w:headerReference w:type="default" r:id="rId122"/>
          <w:footerReference w:type="even" r:id="rId123"/>
          <w:footerReference w:type="default" r:id="rId124"/>
          <w:headerReference w:type="first" r:id="rId125"/>
          <w:footerReference w:type="first" r:id="rId126"/>
          <w:pgSz w:w="16839" w:h="11907" w:orient="landscape"/>
          <w:pgMar w:top="1134" w:right="1134" w:bottom="1134" w:left="1134" w:header="567" w:footer="567" w:gutter="0"/>
          <w:cols w:space="720"/>
          <w:docGrid w:linePitch="360"/>
        </w:sectPr>
      </w:pPr>
    </w:p>
    <w:p w14:paraId="4EFB5EE4" w14:textId="498F6B49" w:rsidR="00F65654" w:rsidRPr="00CC26EA" w:rsidRDefault="0041081E">
      <w:pPr>
        <w:pStyle w:val="P68B1DB1-NumPar12"/>
        <w:numPr>
          <w:ilvl w:val="0"/>
          <w:numId w:val="17"/>
        </w:numPr>
        <w:rPr>
          <w:noProof/>
          <w:spacing w:val="-6"/>
          <w:lang w:val="sk-SK"/>
        </w:rPr>
      </w:pPr>
      <w:r w:rsidRPr="00CC26EA">
        <w:rPr>
          <w:noProof/>
          <w:spacing w:val="-6"/>
          <w:lang w:val="sk-SK"/>
        </w:rPr>
        <w:t>Odhadované celkové náklady na plán podpory obnovy</w:t>
      </w:r>
      <w:r w:rsidR="00CC26EA" w:rsidRPr="00CC26EA">
        <w:rPr>
          <w:noProof/>
          <w:spacing w:val="-6"/>
          <w:lang w:val="sk-SK"/>
        </w:rPr>
        <w:t xml:space="preserve"> a </w:t>
      </w:r>
      <w:r w:rsidRPr="00CC26EA">
        <w:rPr>
          <w:noProof/>
          <w:spacing w:val="-6"/>
          <w:lang w:val="sk-SK"/>
        </w:rPr>
        <w:t>odolnosti</w:t>
      </w:r>
    </w:p>
    <w:p w14:paraId="7638D211" w14:textId="14E097C8" w:rsidR="00F65654" w:rsidRPr="00CC26EA" w:rsidRDefault="0041081E">
      <w:pPr>
        <w:pStyle w:val="Text1"/>
        <w:ind w:left="0"/>
        <w:rPr>
          <w:noProof/>
          <w:spacing w:val="-6"/>
          <w:lang w:val="sk-SK"/>
        </w:rPr>
      </w:pPr>
      <w:r w:rsidRPr="00CC26EA">
        <w:rPr>
          <w:noProof/>
          <w:spacing w:val="-6"/>
          <w:lang w:val="sk-SK"/>
        </w:rPr>
        <w:t>Odhadované celkové náklady na plán obnovy</w:t>
      </w:r>
      <w:r w:rsidR="00CC26EA" w:rsidRPr="00CC26EA">
        <w:rPr>
          <w:noProof/>
          <w:spacing w:val="-6"/>
          <w:lang w:val="sk-SK"/>
        </w:rPr>
        <w:t xml:space="preserve"> a </w:t>
      </w:r>
      <w:r w:rsidRPr="00CC26EA">
        <w:rPr>
          <w:noProof/>
          <w:spacing w:val="-6"/>
          <w:lang w:val="sk-SK"/>
        </w:rPr>
        <w:t>odolnosti Dánska sú 13 477 000 000 DKK, čo sa rovná 1 812 233 337 EUR na základe referenčnej sadzby ECB pre EUR DKK</w:t>
      </w:r>
      <w:r w:rsidR="00CC26EA" w:rsidRPr="00CC26EA">
        <w:rPr>
          <w:noProof/>
          <w:spacing w:val="-6"/>
          <w:lang w:val="sk-SK"/>
        </w:rPr>
        <w:t xml:space="preserve"> z </w:t>
      </w:r>
      <w:r w:rsidRPr="00CC26EA">
        <w:rPr>
          <w:noProof/>
          <w:spacing w:val="-6"/>
          <w:lang w:val="sk-SK"/>
        </w:rPr>
        <w:t>30</w:t>
      </w:r>
      <w:r w:rsidR="00CC26EA" w:rsidRPr="00CC26EA">
        <w:rPr>
          <w:noProof/>
          <w:spacing w:val="-6"/>
          <w:lang w:val="sk-SK"/>
        </w:rPr>
        <w:t>. apríla</w:t>
      </w:r>
      <w:r w:rsidRPr="00CC26EA">
        <w:rPr>
          <w:noProof/>
          <w:spacing w:val="-6"/>
          <w:lang w:val="sk-SK"/>
        </w:rPr>
        <w:t xml:space="preserve"> 2021 pre pôvodný plán</w:t>
      </w:r>
      <w:r w:rsidR="00CC26EA" w:rsidRPr="00CC26EA">
        <w:rPr>
          <w:noProof/>
          <w:spacing w:val="-6"/>
          <w:lang w:val="sk-SK"/>
        </w:rPr>
        <w:t xml:space="preserve"> a </w:t>
      </w:r>
      <w:r w:rsidRPr="00CC26EA">
        <w:rPr>
          <w:noProof/>
          <w:spacing w:val="-6"/>
          <w:lang w:val="sk-SK"/>
        </w:rPr>
        <w:t>na základe referenčnej sadzby ECB EUR DKK</w:t>
      </w:r>
      <w:r w:rsidR="00CC26EA" w:rsidRPr="00CC26EA">
        <w:rPr>
          <w:noProof/>
          <w:spacing w:val="-6"/>
          <w:lang w:val="sk-SK"/>
        </w:rPr>
        <w:t xml:space="preserve"> z </w:t>
      </w:r>
      <w:r w:rsidRPr="00CC26EA">
        <w:rPr>
          <w:noProof/>
          <w:spacing w:val="-6"/>
          <w:lang w:val="sk-SK"/>
        </w:rPr>
        <w:t>31</w:t>
      </w:r>
      <w:r w:rsidR="00CC26EA" w:rsidRPr="00CC26EA">
        <w:rPr>
          <w:noProof/>
          <w:spacing w:val="-6"/>
          <w:lang w:val="sk-SK"/>
        </w:rPr>
        <w:t>. mája</w:t>
      </w:r>
      <w:r w:rsidRPr="00CC26EA">
        <w:rPr>
          <w:noProof/>
          <w:spacing w:val="-6"/>
          <w:lang w:val="sk-SK"/>
        </w:rPr>
        <w:t xml:space="preserve"> 2023 pre kapitolu REPowerEU.</w:t>
      </w:r>
    </w:p>
    <w:p w14:paraId="1C741EC2" w14:textId="2ADAE150" w:rsidR="00F65654" w:rsidRPr="00CC26EA" w:rsidRDefault="0041081E">
      <w:pPr>
        <w:pStyle w:val="Text1"/>
        <w:ind w:left="0"/>
        <w:rPr>
          <w:noProof/>
          <w:spacing w:val="-6"/>
          <w:lang w:val="sk-SK"/>
        </w:rPr>
      </w:pPr>
      <w:r w:rsidRPr="00CC26EA">
        <w:rPr>
          <w:noProof/>
          <w:spacing w:val="-6"/>
          <w:lang w:val="sk-SK"/>
        </w:rPr>
        <w:t>Odhadované celkové náklady na kapitolu REPowerEU predstavujú 1 467 000 000 DKK, čo sa rovná 196 965 628 EUR na základe referenčnej sadzby ECB EUR DKK</w:t>
      </w:r>
      <w:r w:rsidR="00CC26EA" w:rsidRPr="00CC26EA">
        <w:rPr>
          <w:noProof/>
          <w:spacing w:val="-6"/>
          <w:lang w:val="sk-SK"/>
        </w:rPr>
        <w:t xml:space="preserve"> z </w:t>
      </w:r>
      <w:r w:rsidRPr="00CC26EA">
        <w:rPr>
          <w:noProof/>
          <w:spacing w:val="-6"/>
          <w:lang w:val="sk-SK"/>
        </w:rPr>
        <w:t>31</w:t>
      </w:r>
      <w:r w:rsidR="00CC26EA" w:rsidRPr="00CC26EA">
        <w:rPr>
          <w:noProof/>
          <w:spacing w:val="-6"/>
          <w:lang w:val="sk-SK"/>
        </w:rPr>
        <w:t>. mája</w:t>
      </w:r>
      <w:r w:rsidRPr="00CC26EA">
        <w:rPr>
          <w:noProof/>
          <w:spacing w:val="-6"/>
          <w:lang w:val="sk-SK"/>
        </w:rPr>
        <w:t xml:space="preserve"> 2023. Konkrétne odhadované celkové náklady na opatrenia uvedené</w:t>
      </w:r>
      <w:r w:rsidR="00CC26EA" w:rsidRPr="00CC26EA">
        <w:rPr>
          <w:noProof/>
          <w:spacing w:val="-6"/>
          <w:lang w:val="sk-SK"/>
        </w:rPr>
        <w:t xml:space="preserve"> v </w:t>
      </w:r>
      <w:r w:rsidRPr="00CC26EA">
        <w:rPr>
          <w:noProof/>
          <w:spacing w:val="-6"/>
          <w:lang w:val="sk-SK"/>
        </w:rPr>
        <w:t>článku 21c ods. 3 písm. a) nariadenia (EÚ) 2023/435 predstavujú 0 EUR, zatiaľ čo náklady na ostatné opatrenia</w:t>
      </w:r>
      <w:r w:rsidR="00CC26EA" w:rsidRPr="00CC26EA">
        <w:rPr>
          <w:noProof/>
          <w:spacing w:val="-6"/>
          <w:lang w:val="sk-SK"/>
        </w:rPr>
        <w:t xml:space="preserve"> v </w:t>
      </w:r>
      <w:r w:rsidRPr="00CC26EA">
        <w:rPr>
          <w:noProof/>
          <w:spacing w:val="-6"/>
          <w:lang w:val="sk-SK"/>
        </w:rPr>
        <w:t>kapitole REPowerEU predstavujú 196 965 628 EUR.</w:t>
      </w:r>
    </w:p>
    <w:p w14:paraId="2DCCA85B" w14:textId="77777777" w:rsidR="00F65654" w:rsidRPr="00CC26EA" w:rsidRDefault="00F65654">
      <w:pPr>
        <w:rPr>
          <w:rFonts w:ascii="Times New Roman" w:hAnsi="Times New Roman"/>
          <w:noProof/>
          <w:spacing w:val="-6"/>
          <w:sz w:val="24"/>
          <w:lang w:val="sk-SK"/>
        </w:rPr>
      </w:pPr>
    </w:p>
    <w:p w14:paraId="37680A06" w14:textId="77777777" w:rsidR="00CC26EA" w:rsidRPr="00CC26EA" w:rsidRDefault="0041081E">
      <w:pPr>
        <w:pStyle w:val="P68B1DB1-Normal1"/>
        <w:rPr>
          <w:rFonts w:ascii="Times New Roman" w:hAnsi="Times New Roman"/>
          <w:noProof/>
          <w:spacing w:val="-6"/>
          <w:lang w:val="sk-SK"/>
        </w:rPr>
      </w:pPr>
      <w:r w:rsidRPr="00CC26EA">
        <w:rPr>
          <w:rFonts w:ascii="Times New Roman" w:hAnsi="Times New Roman"/>
          <w:noProof/>
          <w:spacing w:val="-6"/>
          <w:lang w:val="sk-SK"/>
        </w:rPr>
        <w:t>ODDIEL 2: FINANČNÁ PODPORA</w:t>
      </w:r>
    </w:p>
    <w:p w14:paraId="3EF1B340" w14:textId="77777777" w:rsidR="00CC26EA" w:rsidRPr="00CC26EA" w:rsidRDefault="0041081E">
      <w:pPr>
        <w:pStyle w:val="P68B1DB1-NumPar12"/>
        <w:rPr>
          <w:noProof/>
          <w:spacing w:val="-6"/>
          <w:lang w:val="sk-SK"/>
        </w:rPr>
      </w:pPr>
      <w:r w:rsidRPr="00CC26EA">
        <w:rPr>
          <w:noProof/>
          <w:spacing w:val="-6"/>
          <w:lang w:val="sk-SK"/>
        </w:rPr>
        <w:t>Finančného príspevku</w:t>
      </w:r>
    </w:p>
    <w:p w14:paraId="2D502DA2" w14:textId="2D555D86" w:rsidR="00F65654" w:rsidRPr="00CC26EA" w:rsidRDefault="0041081E">
      <w:pPr>
        <w:pStyle w:val="Text1"/>
        <w:rPr>
          <w:noProof/>
          <w:spacing w:val="-6"/>
          <w:lang w:val="sk-SK"/>
        </w:rPr>
      </w:pPr>
      <w:r w:rsidRPr="00CC26EA">
        <w:rPr>
          <w:noProof/>
          <w:spacing w:val="-6"/>
          <w:lang w:val="sk-SK"/>
        </w:rPr>
        <w:t>Splátky uvedené</w:t>
      </w:r>
      <w:r w:rsidR="00CC26EA" w:rsidRPr="00CC26EA">
        <w:rPr>
          <w:noProof/>
          <w:spacing w:val="-6"/>
          <w:lang w:val="sk-SK"/>
        </w:rPr>
        <w:t xml:space="preserve"> v </w:t>
      </w:r>
      <w:r w:rsidRPr="00CC26EA">
        <w:rPr>
          <w:noProof/>
          <w:spacing w:val="-6"/>
          <w:lang w:val="sk-SK"/>
        </w:rPr>
        <w:t>článku 2 ods. 2 sú štruktúrované takto:</w:t>
      </w:r>
    </w:p>
    <w:p w14:paraId="77F37B30" w14:textId="77777777" w:rsidR="00F65654" w:rsidRPr="00CC26EA" w:rsidRDefault="00F65654">
      <w:pPr>
        <w:rPr>
          <w:rFonts w:ascii="Times New Roman" w:hAnsi="Times New Roman"/>
          <w:noProof/>
          <w:spacing w:val="-6"/>
          <w:sz w:val="24"/>
          <w:lang w:val="sk-SK"/>
        </w:rPr>
      </w:pPr>
    </w:p>
    <w:p w14:paraId="52C9CA63" w14:textId="77777777" w:rsidR="00F65654" w:rsidRPr="00CC26EA" w:rsidRDefault="0041081E">
      <w:pPr>
        <w:pStyle w:val="NumPar2"/>
        <w:numPr>
          <w:ilvl w:val="1"/>
          <w:numId w:val="17"/>
        </w:numPr>
        <w:rPr>
          <w:noProof/>
          <w:spacing w:val="-6"/>
          <w:lang w:val="sk-SK"/>
        </w:rPr>
      </w:pPr>
      <w:r w:rsidRPr="00CC26EA">
        <w:rPr>
          <w:noProof/>
          <w:spacing w:val="-6"/>
          <w:lang w:val="sk-SK"/>
        </w:rPr>
        <w:t xml:space="preserve">Prvá splátka (nenávratná podpora): </w:t>
      </w:r>
    </w:p>
    <w:tbl>
      <w:tblPr>
        <w:tblW w:w="9351" w:type="dxa"/>
        <w:tblInd w:w="113" w:type="dxa"/>
        <w:tblLook w:val="04A0" w:firstRow="1" w:lastRow="0" w:firstColumn="1" w:lastColumn="0" w:noHBand="0" w:noVBand="1"/>
      </w:tblPr>
      <w:tblGrid>
        <w:gridCol w:w="1297"/>
        <w:gridCol w:w="2526"/>
        <w:gridCol w:w="1417"/>
        <w:gridCol w:w="4111"/>
      </w:tblGrid>
      <w:tr w:rsidR="00F65654" w:rsidRPr="00CC26EA" w14:paraId="254F6C5C" w14:textId="77777777">
        <w:trPr>
          <w:trHeight w:val="510"/>
          <w:tblHeader/>
        </w:trPr>
        <w:tc>
          <w:tcPr>
            <w:tcW w:w="129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22660BD0"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Poradové číslo</w:t>
            </w:r>
          </w:p>
        </w:tc>
        <w:tc>
          <w:tcPr>
            <w:tcW w:w="252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FDFE7DB"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Súvisiace opatrenie (reforma alebo investícia)</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BCE865E"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Míľnik/cieľ</w:t>
            </w:r>
          </w:p>
        </w:tc>
        <w:tc>
          <w:tcPr>
            <w:tcW w:w="4111" w:type="dxa"/>
            <w:vMerge w:val="restart"/>
            <w:tcBorders>
              <w:top w:val="single" w:sz="4" w:space="0" w:color="auto"/>
              <w:left w:val="nil"/>
              <w:bottom w:val="single" w:sz="4" w:space="0" w:color="000000"/>
              <w:right w:val="single" w:sz="4" w:space="0" w:color="auto"/>
            </w:tcBorders>
            <w:shd w:val="clear" w:color="auto" w:fill="BDD7EE"/>
            <w:vAlign w:val="center"/>
            <w:hideMark/>
          </w:tcPr>
          <w:p w14:paraId="0D057468"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Názov</w:t>
            </w:r>
          </w:p>
        </w:tc>
      </w:tr>
      <w:tr w:rsidR="00F65654" w:rsidRPr="00CC26EA" w14:paraId="4A77DA1F" w14:textId="77777777">
        <w:trPr>
          <w:trHeight w:val="509"/>
        </w:trPr>
        <w:tc>
          <w:tcPr>
            <w:tcW w:w="1297" w:type="dxa"/>
            <w:vMerge/>
            <w:tcBorders>
              <w:top w:val="single" w:sz="4" w:space="0" w:color="auto"/>
              <w:left w:val="single" w:sz="4" w:space="0" w:color="auto"/>
              <w:bottom w:val="single" w:sz="4" w:space="0" w:color="000000"/>
              <w:right w:val="single" w:sz="4" w:space="0" w:color="auto"/>
            </w:tcBorders>
            <w:vAlign w:val="center"/>
            <w:hideMark/>
          </w:tcPr>
          <w:p w14:paraId="72FCD033" w14:textId="77777777" w:rsidR="00F65654" w:rsidRPr="00CC26EA" w:rsidRDefault="00F65654">
            <w:pPr>
              <w:spacing w:after="0"/>
              <w:rPr>
                <w:rFonts w:ascii="Times New Roman" w:eastAsia="Times New Roman" w:hAnsi="Times New Roman"/>
                <w:b/>
                <w:noProof/>
                <w:spacing w:val="-6"/>
                <w:lang w:val="sk-SK"/>
              </w:rPr>
            </w:pPr>
          </w:p>
        </w:tc>
        <w:tc>
          <w:tcPr>
            <w:tcW w:w="2526" w:type="dxa"/>
            <w:vMerge/>
            <w:tcBorders>
              <w:top w:val="single" w:sz="4" w:space="0" w:color="auto"/>
              <w:left w:val="single" w:sz="4" w:space="0" w:color="auto"/>
              <w:bottom w:val="single" w:sz="4" w:space="0" w:color="000000"/>
              <w:right w:val="single" w:sz="4" w:space="0" w:color="auto"/>
            </w:tcBorders>
            <w:vAlign w:val="center"/>
            <w:hideMark/>
          </w:tcPr>
          <w:p w14:paraId="67CC1901" w14:textId="77777777" w:rsidR="00F65654" w:rsidRPr="00CC26EA" w:rsidRDefault="00F65654">
            <w:pPr>
              <w:spacing w:after="0"/>
              <w:rPr>
                <w:rFonts w:ascii="Times New Roman" w:eastAsia="Times New Roman" w:hAnsi="Times New Roman"/>
                <w:b/>
                <w:noProof/>
                <w:spacing w:val="-6"/>
                <w:lang w:val="sk-SK"/>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BE82B89" w14:textId="77777777" w:rsidR="00F65654" w:rsidRPr="00CC26EA" w:rsidRDefault="00F65654">
            <w:pPr>
              <w:spacing w:after="0"/>
              <w:rPr>
                <w:rFonts w:ascii="Times New Roman" w:eastAsia="Times New Roman" w:hAnsi="Times New Roman"/>
                <w:b/>
                <w:noProof/>
                <w:spacing w:val="-6"/>
                <w:lang w:val="sk-SK"/>
              </w:rPr>
            </w:pPr>
          </w:p>
        </w:tc>
        <w:tc>
          <w:tcPr>
            <w:tcW w:w="4111" w:type="dxa"/>
            <w:vMerge/>
            <w:tcBorders>
              <w:top w:val="single" w:sz="4" w:space="0" w:color="auto"/>
              <w:left w:val="nil"/>
              <w:bottom w:val="single" w:sz="4" w:space="0" w:color="000000"/>
              <w:right w:val="single" w:sz="4" w:space="0" w:color="auto"/>
            </w:tcBorders>
            <w:vAlign w:val="center"/>
            <w:hideMark/>
          </w:tcPr>
          <w:p w14:paraId="34DAD706" w14:textId="77777777" w:rsidR="00F65654" w:rsidRPr="00CC26EA" w:rsidRDefault="00F65654">
            <w:pPr>
              <w:spacing w:after="0"/>
              <w:rPr>
                <w:rFonts w:ascii="Times New Roman" w:eastAsia="Times New Roman" w:hAnsi="Times New Roman"/>
                <w:b/>
                <w:noProof/>
                <w:spacing w:val="-6"/>
                <w:lang w:val="sk-SK"/>
              </w:rPr>
            </w:pPr>
          </w:p>
        </w:tc>
      </w:tr>
      <w:tr w:rsidR="00F65654" w:rsidRPr="00CC26EA" w14:paraId="7F0AABA5"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hideMark/>
          </w:tcPr>
          <w:p w14:paraId="72F7A20A"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31</w:t>
            </w:r>
          </w:p>
        </w:tc>
        <w:tc>
          <w:tcPr>
            <w:tcW w:w="2526" w:type="dxa"/>
            <w:tcBorders>
              <w:top w:val="nil"/>
              <w:left w:val="nil"/>
              <w:bottom w:val="single" w:sz="4" w:space="0" w:color="auto"/>
              <w:right w:val="single" w:sz="4" w:space="0" w:color="auto"/>
            </w:tcBorders>
            <w:shd w:val="clear" w:color="auto" w:fill="C6EFCE"/>
            <w:noWrap/>
            <w:vAlign w:val="center"/>
            <w:hideMark/>
          </w:tcPr>
          <w:p w14:paraId="21103E1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4 – Reforma zelených daní – investičné okno </w:t>
            </w:r>
          </w:p>
        </w:tc>
        <w:tc>
          <w:tcPr>
            <w:tcW w:w="1417" w:type="dxa"/>
            <w:tcBorders>
              <w:top w:val="nil"/>
              <w:left w:val="nil"/>
              <w:bottom w:val="single" w:sz="4" w:space="0" w:color="auto"/>
              <w:right w:val="single" w:sz="4" w:space="0" w:color="auto"/>
            </w:tcBorders>
            <w:shd w:val="clear" w:color="auto" w:fill="C6EFCE"/>
            <w:noWrap/>
            <w:vAlign w:val="center"/>
            <w:hideMark/>
          </w:tcPr>
          <w:p w14:paraId="072BA85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hideMark/>
          </w:tcPr>
          <w:p w14:paraId="30E5E839" w14:textId="218E67B0"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Dánsky parlament prijal politickú dohodu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investičnom okne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začali sa príslušné legislatívne postupy</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parlamente.</w:t>
            </w:r>
          </w:p>
        </w:tc>
      </w:tr>
      <w:tr w:rsidR="00F65654" w:rsidRPr="00CC26EA" w14:paraId="45EA0024"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hideMark/>
          </w:tcPr>
          <w:p w14:paraId="5767CA15"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34</w:t>
            </w:r>
          </w:p>
        </w:tc>
        <w:tc>
          <w:tcPr>
            <w:tcW w:w="2526" w:type="dxa"/>
            <w:tcBorders>
              <w:top w:val="nil"/>
              <w:left w:val="nil"/>
              <w:bottom w:val="single" w:sz="4" w:space="0" w:color="auto"/>
              <w:right w:val="single" w:sz="4" w:space="0" w:color="auto"/>
            </w:tcBorders>
            <w:shd w:val="clear" w:color="auto" w:fill="C6EFCE"/>
            <w:noWrap/>
            <w:vAlign w:val="center"/>
            <w:hideMark/>
          </w:tcPr>
          <w:p w14:paraId="43C06C4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4 – Reforma ekologických daní – Zrýchlené odpisovanie</w:t>
            </w:r>
          </w:p>
        </w:tc>
        <w:tc>
          <w:tcPr>
            <w:tcW w:w="1417" w:type="dxa"/>
            <w:tcBorders>
              <w:top w:val="nil"/>
              <w:left w:val="nil"/>
              <w:bottom w:val="single" w:sz="4" w:space="0" w:color="auto"/>
              <w:right w:val="single" w:sz="4" w:space="0" w:color="auto"/>
            </w:tcBorders>
            <w:shd w:val="clear" w:color="auto" w:fill="C6EFCE"/>
            <w:noWrap/>
            <w:vAlign w:val="center"/>
            <w:hideMark/>
          </w:tcPr>
          <w:p w14:paraId="4805F7A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hideMark/>
          </w:tcPr>
          <w:p w14:paraId="27FA3C5A" w14:textId="1DBA637A"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Dánsky parlament prijal politickú dohodu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zrýchlenom odpisovaní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začali sa príslušné legislatívne postupy</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parlamente.</w:t>
            </w:r>
          </w:p>
        </w:tc>
      </w:tr>
      <w:tr w:rsidR="00F65654" w:rsidRPr="00CC26EA" w14:paraId="7B3E93C7"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hideMark/>
          </w:tcPr>
          <w:p w14:paraId="3D144ECD"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41</w:t>
            </w:r>
          </w:p>
        </w:tc>
        <w:tc>
          <w:tcPr>
            <w:tcW w:w="2526" w:type="dxa"/>
            <w:tcBorders>
              <w:top w:val="nil"/>
              <w:left w:val="nil"/>
              <w:bottom w:val="single" w:sz="4" w:space="0" w:color="auto"/>
              <w:right w:val="single" w:sz="4" w:space="0" w:color="auto"/>
            </w:tcBorders>
            <w:shd w:val="clear" w:color="auto" w:fill="C6EFCE"/>
            <w:noWrap/>
            <w:vAlign w:val="center"/>
            <w:hideMark/>
          </w:tcPr>
          <w:p w14:paraId="4F1FF3A0" w14:textId="6147E94F"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Opätovná prioritizácia registračnej dane pre vozidlá</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nízka daň</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 xml:space="preserve">elektrickej energie pri účtovaní elektrických vozidiel </w:t>
            </w:r>
          </w:p>
        </w:tc>
        <w:tc>
          <w:tcPr>
            <w:tcW w:w="1417" w:type="dxa"/>
            <w:tcBorders>
              <w:top w:val="nil"/>
              <w:left w:val="nil"/>
              <w:bottom w:val="single" w:sz="4" w:space="0" w:color="auto"/>
              <w:right w:val="single" w:sz="4" w:space="0" w:color="auto"/>
            </w:tcBorders>
            <w:shd w:val="clear" w:color="auto" w:fill="C6EFCE"/>
            <w:noWrap/>
            <w:vAlign w:val="center"/>
            <w:hideMark/>
          </w:tcPr>
          <w:p w14:paraId="17D2233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hideMark/>
          </w:tcPr>
          <w:p w14:paraId="739D792C" w14:textId="70B3B2C3"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Nadobudnutie účinnosti právneho aktu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zmene priorít registračnej dane pre vozidlá</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nízkej dane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elektrickej energie pri účtovaní elektrických vozidiel</w:t>
            </w:r>
          </w:p>
        </w:tc>
      </w:tr>
      <w:tr w:rsidR="00F65654" w:rsidRPr="00CC26EA" w14:paraId="79ADD185"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2AB830CE"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19</w:t>
            </w:r>
          </w:p>
        </w:tc>
        <w:tc>
          <w:tcPr>
            <w:tcW w:w="2526" w:type="dxa"/>
            <w:tcBorders>
              <w:top w:val="nil"/>
              <w:left w:val="nil"/>
              <w:bottom w:val="single" w:sz="4" w:space="0" w:color="auto"/>
              <w:right w:val="single" w:sz="4" w:space="0" w:color="auto"/>
            </w:tcBorders>
            <w:shd w:val="clear" w:color="auto" w:fill="C6EFCE"/>
            <w:noWrap/>
            <w:vAlign w:val="center"/>
          </w:tcPr>
          <w:p w14:paraId="77351DE2" w14:textId="54B017B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3 – Energetická účinnosť,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Náhrada ropných horákov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plynových pecí</w:t>
            </w:r>
          </w:p>
        </w:tc>
        <w:tc>
          <w:tcPr>
            <w:tcW w:w="1417" w:type="dxa"/>
            <w:tcBorders>
              <w:top w:val="nil"/>
              <w:left w:val="nil"/>
              <w:bottom w:val="single" w:sz="4" w:space="0" w:color="auto"/>
              <w:right w:val="single" w:sz="4" w:space="0" w:color="auto"/>
            </w:tcBorders>
            <w:shd w:val="clear" w:color="auto" w:fill="C6EFCE"/>
            <w:noWrap/>
            <w:vAlign w:val="center"/>
          </w:tcPr>
          <w:p w14:paraId="4BC8592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6010A599" w14:textId="10BCE00C"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Prijala sa politická dohoda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prideľovaní finančných prostriedkov na systémy nahrádzania ropných horákov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plynových pecí elektrickými tepelnými čerpadlami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diaľkovým vykurovaním.</w:t>
            </w:r>
          </w:p>
        </w:tc>
      </w:tr>
      <w:tr w:rsidR="00F65654" w:rsidRPr="00CC26EA" w14:paraId="1D24DEDA"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1C4BCD96"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49</w:t>
            </w:r>
          </w:p>
        </w:tc>
        <w:tc>
          <w:tcPr>
            <w:tcW w:w="2526" w:type="dxa"/>
            <w:tcBorders>
              <w:top w:val="nil"/>
              <w:left w:val="nil"/>
              <w:bottom w:val="single" w:sz="4" w:space="0" w:color="auto"/>
              <w:right w:val="single" w:sz="4" w:space="0" w:color="auto"/>
            </w:tcBorders>
            <w:shd w:val="clear" w:color="auto" w:fill="C6EFCE"/>
            <w:noWrap/>
            <w:vAlign w:val="center"/>
          </w:tcPr>
          <w:p w14:paraId="231AA71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Schéma dotácií pre zelené trajekty</w:t>
            </w:r>
          </w:p>
        </w:tc>
        <w:tc>
          <w:tcPr>
            <w:tcW w:w="1417" w:type="dxa"/>
            <w:tcBorders>
              <w:top w:val="nil"/>
              <w:left w:val="nil"/>
              <w:bottom w:val="single" w:sz="4" w:space="0" w:color="auto"/>
              <w:right w:val="single" w:sz="4" w:space="0" w:color="auto"/>
            </w:tcBorders>
            <w:shd w:val="clear" w:color="auto" w:fill="C6EFCE"/>
            <w:noWrap/>
            <w:vAlign w:val="center"/>
          </w:tcPr>
          <w:p w14:paraId="508A098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5A9B915F" w14:textId="1C58622E"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Väčšina strán</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dánskom parlamente prijala politickú dohodu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zelenej transformácii trajektov.</w:t>
            </w:r>
          </w:p>
        </w:tc>
      </w:tr>
      <w:tr w:rsidR="00F65654" w:rsidRPr="00CC26EA" w14:paraId="43A3B1DC"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2A8615E8"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32</w:t>
            </w:r>
          </w:p>
        </w:tc>
        <w:tc>
          <w:tcPr>
            <w:tcW w:w="2526" w:type="dxa"/>
            <w:tcBorders>
              <w:top w:val="nil"/>
              <w:left w:val="nil"/>
              <w:bottom w:val="single" w:sz="4" w:space="0" w:color="auto"/>
              <w:right w:val="single" w:sz="4" w:space="0" w:color="auto"/>
            </w:tcBorders>
            <w:shd w:val="clear" w:color="auto" w:fill="C6EFCE"/>
            <w:noWrap/>
            <w:vAlign w:val="center"/>
          </w:tcPr>
          <w:p w14:paraId="75032E69"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4 – Reforma zelených daní – investičné okno </w:t>
            </w:r>
          </w:p>
        </w:tc>
        <w:tc>
          <w:tcPr>
            <w:tcW w:w="1417" w:type="dxa"/>
            <w:tcBorders>
              <w:top w:val="nil"/>
              <w:left w:val="nil"/>
              <w:bottom w:val="single" w:sz="4" w:space="0" w:color="auto"/>
              <w:right w:val="single" w:sz="4" w:space="0" w:color="auto"/>
            </w:tcBorders>
            <w:shd w:val="clear" w:color="auto" w:fill="C6EFCE"/>
            <w:noWrap/>
            <w:vAlign w:val="center"/>
          </w:tcPr>
          <w:p w14:paraId="161856C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3EC5C1AC" w14:textId="4DFC4F23"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Návrh zákona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reforme ekologickej dane vrátane investičného okna prijíma dánsky parlament</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iniciatíva nadobúda účinnosť.</w:t>
            </w:r>
          </w:p>
        </w:tc>
      </w:tr>
      <w:tr w:rsidR="00F65654" w:rsidRPr="00CC26EA" w14:paraId="37473229"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79EB1E9C"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35</w:t>
            </w:r>
          </w:p>
        </w:tc>
        <w:tc>
          <w:tcPr>
            <w:tcW w:w="2526" w:type="dxa"/>
            <w:tcBorders>
              <w:top w:val="nil"/>
              <w:left w:val="nil"/>
              <w:bottom w:val="single" w:sz="4" w:space="0" w:color="auto"/>
              <w:right w:val="single" w:sz="4" w:space="0" w:color="auto"/>
            </w:tcBorders>
            <w:shd w:val="clear" w:color="auto" w:fill="C6EFCE"/>
            <w:noWrap/>
            <w:vAlign w:val="center"/>
          </w:tcPr>
          <w:p w14:paraId="4C0230C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4 – Reforma ekologických daní – Zrýchlené odpisovanie</w:t>
            </w:r>
          </w:p>
        </w:tc>
        <w:tc>
          <w:tcPr>
            <w:tcW w:w="1417" w:type="dxa"/>
            <w:tcBorders>
              <w:top w:val="nil"/>
              <w:left w:val="nil"/>
              <w:bottom w:val="single" w:sz="4" w:space="0" w:color="auto"/>
              <w:right w:val="single" w:sz="4" w:space="0" w:color="auto"/>
            </w:tcBorders>
            <w:shd w:val="clear" w:color="auto" w:fill="C6EFCE"/>
            <w:noWrap/>
            <w:vAlign w:val="center"/>
          </w:tcPr>
          <w:p w14:paraId="0B15D73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5FED8D00" w14:textId="10B22F4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Návrh zákona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reforme ekologickej dane vrátane zrýchleného odpisovania prijíma dánsky parlament</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iniciatíva nadobúda účinnosť.</w:t>
            </w:r>
          </w:p>
        </w:tc>
      </w:tr>
      <w:tr w:rsidR="00F65654" w:rsidRPr="00CC26EA" w14:paraId="58198903"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415C1DB8"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76</w:t>
            </w:r>
          </w:p>
        </w:tc>
        <w:tc>
          <w:tcPr>
            <w:tcW w:w="2526" w:type="dxa"/>
            <w:tcBorders>
              <w:top w:val="nil"/>
              <w:left w:val="nil"/>
              <w:bottom w:val="single" w:sz="4" w:space="0" w:color="auto"/>
              <w:right w:val="single" w:sz="4" w:space="0" w:color="auto"/>
            </w:tcBorders>
            <w:shd w:val="clear" w:color="auto" w:fill="C6EFCE"/>
            <w:noWrap/>
            <w:vAlign w:val="center"/>
          </w:tcPr>
          <w:p w14:paraId="05ECF8FC" w14:textId="47622A1E"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Zelený výskum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 – stimuly na podporu výskumu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podnikoch</w:t>
            </w:r>
          </w:p>
        </w:tc>
        <w:tc>
          <w:tcPr>
            <w:tcW w:w="1417" w:type="dxa"/>
            <w:tcBorders>
              <w:top w:val="nil"/>
              <w:left w:val="nil"/>
              <w:bottom w:val="single" w:sz="4" w:space="0" w:color="auto"/>
              <w:right w:val="single" w:sz="4" w:space="0" w:color="auto"/>
            </w:tcBorders>
            <w:shd w:val="clear" w:color="auto" w:fill="C6EFCE"/>
            <w:noWrap/>
            <w:vAlign w:val="center"/>
          </w:tcPr>
          <w:p w14:paraId="6F18868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1AEED978" w14:textId="616F75BD"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Zákon</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odpočtoch na výskum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 nadobúda účinnosť</w:t>
            </w:r>
          </w:p>
        </w:tc>
      </w:tr>
      <w:tr w:rsidR="00F65654" w:rsidRPr="00CC26EA" w14:paraId="2A91B17F"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66AA2FAC"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64</w:t>
            </w:r>
          </w:p>
        </w:tc>
        <w:tc>
          <w:tcPr>
            <w:tcW w:w="2526" w:type="dxa"/>
            <w:tcBorders>
              <w:top w:val="nil"/>
              <w:left w:val="nil"/>
              <w:bottom w:val="single" w:sz="4" w:space="0" w:color="auto"/>
              <w:right w:val="single" w:sz="4" w:space="0" w:color="auto"/>
            </w:tcBorders>
            <w:shd w:val="clear" w:color="auto" w:fill="C6EFCE"/>
            <w:noWrap/>
            <w:vAlign w:val="center"/>
          </w:tcPr>
          <w:p w14:paraId="29F3D5CB" w14:textId="2FC7DC64"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uhlíka alebo využívanie CO2</w:t>
            </w:r>
          </w:p>
        </w:tc>
        <w:tc>
          <w:tcPr>
            <w:tcW w:w="1417" w:type="dxa"/>
            <w:tcBorders>
              <w:top w:val="nil"/>
              <w:left w:val="nil"/>
              <w:bottom w:val="single" w:sz="4" w:space="0" w:color="auto"/>
              <w:right w:val="single" w:sz="4" w:space="0" w:color="auto"/>
            </w:tcBorders>
            <w:shd w:val="clear" w:color="auto" w:fill="C6EFCE"/>
            <w:noWrap/>
            <w:vAlign w:val="center"/>
          </w:tcPr>
          <w:p w14:paraId="0A5D8D56"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4203E5BF" w14:textId="486BDE6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Výber plánov misie pre „zachytávanie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ukladanie alebo využívanie CO2“. </w:t>
            </w:r>
          </w:p>
        </w:tc>
      </w:tr>
      <w:tr w:rsidR="00F65654" w:rsidRPr="00CC26EA" w14:paraId="1B647EA1"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32531833"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67</w:t>
            </w:r>
          </w:p>
        </w:tc>
        <w:tc>
          <w:tcPr>
            <w:tcW w:w="2526" w:type="dxa"/>
            <w:tcBorders>
              <w:top w:val="nil"/>
              <w:left w:val="nil"/>
              <w:bottom w:val="single" w:sz="4" w:space="0" w:color="auto"/>
              <w:right w:val="single" w:sz="4" w:space="0" w:color="auto"/>
            </w:tcBorders>
            <w:shd w:val="clear" w:color="auto" w:fill="C6EFCE"/>
            <w:noWrap/>
            <w:vAlign w:val="center"/>
          </w:tcPr>
          <w:p w14:paraId="38D425CF" w14:textId="45D96A8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Ekologické palivá pre dopravu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priemysel </w:t>
            </w:r>
          </w:p>
        </w:tc>
        <w:tc>
          <w:tcPr>
            <w:tcW w:w="1417" w:type="dxa"/>
            <w:tcBorders>
              <w:top w:val="nil"/>
              <w:left w:val="nil"/>
              <w:bottom w:val="single" w:sz="4" w:space="0" w:color="auto"/>
              <w:right w:val="single" w:sz="4" w:space="0" w:color="auto"/>
            </w:tcBorders>
            <w:shd w:val="clear" w:color="auto" w:fill="C6EFCE"/>
            <w:noWrap/>
            <w:vAlign w:val="center"/>
          </w:tcPr>
          <w:p w14:paraId="3DBB426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53EF38D7" w14:textId="56A462C3"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Výber plánov služobných ciest pre „zelené palivá pre dopravu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priemysel“.</w:t>
            </w:r>
          </w:p>
        </w:tc>
      </w:tr>
      <w:tr w:rsidR="00F65654" w:rsidRPr="00CC26EA" w14:paraId="68224E1C"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795A96E4"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70</w:t>
            </w:r>
          </w:p>
        </w:tc>
        <w:tc>
          <w:tcPr>
            <w:tcW w:w="2526" w:type="dxa"/>
            <w:tcBorders>
              <w:top w:val="nil"/>
              <w:left w:val="nil"/>
              <w:bottom w:val="single" w:sz="4" w:space="0" w:color="auto"/>
              <w:right w:val="single" w:sz="4" w:space="0" w:color="auto"/>
            </w:tcBorders>
            <w:shd w:val="clear" w:color="auto" w:fill="C6EFCE"/>
            <w:noWrap/>
            <w:vAlign w:val="center"/>
          </w:tcPr>
          <w:p w14:paraId="235B8FB5" w14:textId="6BF931F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Poľnohospodárstvo šetrné ku klíme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životnému prostrediu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výroba potravín</w:t>
            </w:r>
          </w:p>
        </w:tc>
        <w:tc>
          <w:tcPr>
            <w:tcW w:w="1417" w:type="dxa"/>
            <w:tcBorders>
              <w:top w:val="nil"/>
              <w:left w:val="nil"/>
              <w:bottom w:val="single" w:sz="4" w:space="0" w:color="auto"/>
              <w:right w:val="single" w:sz="4" w:space="0" w:color="auto"/>
            </w:tcBorders>
            <w:shd w:val="clear" w:color="auto" w:fill="C6EFCE"/>
            <w:noWrap/>
            <w:vAlign w:val="center"/>
          </w:tcPr>
          <w:p w14:paraId="0AA4D55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709A3CFB" w14:textId="14EDDEA9"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Výber plánov služobných ciest pre „poľnohospodárstvo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potravinársku výrobu šetrné ku klíme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životnému prostrediu“. </w:t>
            </w:r>
          </w:p>
        </w:tc>
      </w:tr>
      <w:tr w:rsidR="00F65654" w:rsidRPr="00CC26EA" w14:paraId="641FEF14"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071B7BCA"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73</w:t>
            </w:r>
          </w:p>
        </w:tc>
        <w:tc>
          <w:tcPr>
            <w:tcW w:w="2526" w:type="dxa"/>
            <w:tcBorders>
              <w:top w:val="nil"/>
              <w:left w:val="nil"/>
              <w:bottom w:val="single" w:sz="4" w:space="0" w:color="auto"/>
              <w:right w:val="single" w:sz="4" w:space="0" w:color="auto"/>
            </w:tcBorders>
            <w:shd w:val="clear" w:color="auto" w:fill="C6EFCE"/>
            <w:noWrap/>
            <w:vAlign w:val="center"/>
          </w:tcPr>
          <w:p w14:paraId="4468B246" w14:textId="79A48FE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Obehové hospodárstvo zamerané na opätovné použitie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znižovanie množstva plastového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textilného odpadu. </w:t>
            </w:r>
          </w:p>
        </w:tc>
        <w:tc>
          <w:tcPr>
            <w:tcW w:w="1417" w:type="dxa"/>
            <w:tcBorders>
              <w:top w:val="nil"/>
              <w:left w:val="nil"/>
              <w:bottom w:val="single" w:sz="4" w:space="0" w:color="auto"/>
              <w:right w:val="single" w:sz="4" w:space="0" w:color="auto"/>
            </w:tcBorders>
            <w:shd w:val="clear" w:color="auto" w:fill="C6EFCE"/>
            <w:noWrap/>
            <w:vAlign w:val="center"/>
          </w:tcPr>
          <w:p w14:paraId="7F8C029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394D4369" w14:textId="12A31421"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Výber plánov misií pre „využívanie obehového 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znižovanie plastového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textilného odpadu“. </w:t>
            </w:r>
          </w:p>
        </w:tc>
      </w:tr>
      <w:tr w:rsidR="00F65654" w:rsidRPr="00CC26EA" w14:paraId="48AEF12E"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3823CD99"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6</w:t>
            </w:r>
          </w:p>
        </w:tc>
        <w:tc>
          <w:tcPr>
            <w:tcW w:w="2526" w:type="dxa"/>
            <w:tcBorders>
              <w:top w:val="nil"/>
              <w:left w:val="nil"/>
              <w:bottom w:val="single" w:sz="4" w:space="0" w:color="auto"/>
              <w:right w:val="single" w:sz="4" w:space="0" w:color="auto"/>
            </w:tcBorders>
            <w:shd w:val="clear" w:color="auto" w:fill="C6EFCE"/>
            <w:noWrap/>
            <w:vAlign w:val="center"/>
          </w:tcPr>
          <w:p w14:paraId="50933FAC" w14:textId="065AE34C"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 – Posilnenie odolnosti systému zdravotnej starostlivosti – riadenie núdzových situácií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monitorovanie kritických zdravotníckych produktov</w:t>
            </w:r>
          </w:p>
        </w:tc>
        <w:tc>
          <w:tcPr>
            <w:tcW w:w="1417" w:type="dxa"/>
            <w:tcBorders>
              <w:top w:val="nil"/>
              <w:left w:val="nil"/>
              <w:bottom w:val="single" w:sz="4" w:space="0" w:color="auto"/>
              <w:right w:val="single" w:sz="4" w:space="0" w:color="auto"/>
            </w:tcBorders>
            <w:shd w:val="clear" w:color="auto" w:fill="C6EFCE"/>
            <w:noWrap/>
            <w:vAlign w:val="center"/>
          </w:tcPr>
          <w:p w14:paraId="3BFE823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111" w:type="dxa"/>
            <w:tcBorders>
              <w:top w:val="nil"/>
              <w:left w:val="nil"/>
              <w:bottom w:val="single" w:sz="4" w:space="0" w:color="auto"/>
              <w:right w:val="single" w:sz="4" w:space="0" w:color="auto"/>
            </w:tcBorders>
            <w:shd w:val="clear" w:color="auto" w:fill="C6EFCE"/>
            <w:noWrap/>
            <w:vAlign w:val="center"/>
          </w:tcPr>
          <w:p w14:paraId="2DD5BAC4" w14:textId="6FDDB700"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Zaviesť voliteľný informačný systém na podávanie správ</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vedľajších účinkoch vakcín proti ochoreniu COVID-19 na 1250 miestnych digitálnych platforiem všeobecných lekárov.</w:t>
            </w:r>
          </w:p>
          <w:p w14:paraId="7B6ABBAE" w14:textId="77777777" w:rsidR="00F65654" w:rsidRPr="00CC26EA" w:rsidRDefault="00F65654">
            <w:pPr>
              <w:spacing w:after="0"/>
              <w:rPr>
                <w:rFonts w:ascii="Times New Roman" w:eastAsia="Times New Roman" w:hAnsi="Times New Roman"/>
                <w:noProof/>
                <w:color w:val="006100"/>
                <w:spacing w:val="-6"/>
                <w:lang w:val="sk-SK"/>
              </w:rPr>
            </w:pPr>
          </w:p>
        </w:tc>
      </w:tr>
      <w:tr w:rsidR="00F65654" w:rsidRPr="00CC26EA" w14:paraId="35F3C407"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7A674BFF"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22</w:t>
            </w:r>
          </w:p>
        </w:tc>
        <w:tc>
          <w:tcPr>
            <w:tcW w:w="2526" w:type="dxa"/>
            <w:tcBorders>
              <w:top w:val="nil"/>
              <w:left w:val="nil"/>
              <w:bottom w:val="single" w:sz="4" w:space="0" w:color="auto"/>
              <w:right w:val="single" w:sz="4" w:space="0" w:color="auto"/>
            </w:tcBorders>
            <w:shd w:val="clear" w:color="auto" w:fill="C6EFCE"/>
            <w:noWrap/>
            <w:vAlign w:val="center"/>
          </w:tcPr>
          <w:p w14:paraId="67DB711E" w14:textId="13B28CDF"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3 – Energetická účinnosť,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Energetická účinnosť</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w:t>
            </w:r>
          </w:p>
        </w:tc>
        <w:tc>
          <w:tcPr>
            <w:tcW w:w="1417" w:type="dxa"/>
            <w:tcBorders>
              <w:top w:val="nil"/>
              <w:left w:val="nil"/>
              <w:bottom w:val="single" w:sz="4" w:space="0" w:color="auto"/>
              <w:right w:val="single" w:sz="4" w:space="0" w:color="auto"/>
            </w:tcBorders>
            <w:shd w:val="clear" w:color="auto" w:fill="C6EFCE"/>
            <w:noWrap/>
            <w:vAlign w:val="center"/>
          </w:tcPr>
          <w:p w14:paraId="688F72E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6238BE92" w14:textId="73CF5354"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Nadobudnutie účinnosti právneho rámca pre subvenčnú schému energetickej účinnosti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w:t>
            </w:r>
          </w:p>
        </w:tc>
      </w:tr>
      <w:tr w:rsidR="00F65654" w:rsidRPr="00CC26EA" w14:paraId="6C5FBB60"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63B403FA"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38</w:t>
            </w:r>
          </w:p>
        </w:tc>
        <w:tc>
          <w:tcPr>
            <w:tcW w:w="2526" w:type="dxa"/>
            <w:tcBorders>
              <w:top w:val="nil"/>
              <w:left w:val="nil"/>
              <w:bottom w:val="single" w:sz="4" w:space="0" w:color="auto"/>
              <w:right w:val="single" w:sz="4" w:space="0" w:color="auto"/>
            </w:tcBorders>
            <w:shd w:val="clear" w:color="auto" w:fill="C6EFCE"/>
            <w:noWrap/>
            <w:vAlign w:val="center"/>
          </w:tcPr>
          <w:p w14:paraId="0C0979F2" w14:textId="4BAC1CB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4 – Reforma ekologických daní – Emisné dane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priemyselných odvetví</w:t>
            </w:r>
          </w:p>
        </w:tc>
        <w:tc>
          <w:tcPr>
            <w:tcW w:w="1417" w:type="dxa"/>
            <w:tcBorders>
              <w:top w:val="nil"/>
              <w:left w:val="nil"/>
              <w:bottom w:val="single" w:sz="4" w:space="0" w:color="auto"/>
              <w:right w:val="single" w:sz="4" w:space="0" w:color="auto"/>
            </w:tcBorders>
            <w:shd w:val="clear" w:color="auto" w:fill="C6EFCE"/>
            <w:noWrap/>
            <w:vAlign w:val="center"/>
          </w:tcPr>
          <w:p w14:paraId="6297F08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79F2A2E2" w14:textId="4A389E2E"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Dánsky parlament prijal politickú dohodu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zvýšení dane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emisií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w:t>
            </w:r>
          </w:p>
        </w:tc>
      </w:tr>
      <w:tr w:rsidR="00F65654" w:rsidRPr="00CC26EA" w14:paraId="2C03E495"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2FA434B5"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11</w:t>
            </w:r>
          </w:p>
        </w:tc>
        <w:tc>
          <w:tcPr>
            <w:tcW w:w="2526" w:type="dxa"/>
            <w:tcBorders>
              <w:top w:val="nil"/>
              <w:left w:val="nil"/>
              <w:bottom w:val="single" w:sz="4" w:space="0" w:color="auto"/>
              <w:right w:val="single" w:sz="4" w:space="0" w:color="auto"/>
            </w:tcBorders>
            <w:shd w:val="clear" w:color="auto" w:fill="C6EFCE"/>
            <w:noWrap/>
            <w:vAlign w:val="center"/>
          </w:tcPr>
          <w:p w14:paraId="4986CDB5" w14:textId="13E290EA"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klimatické technológie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poľnohospodárstve</w:t>
            </w:r>
          </w:p>
        </w:tc>
        <w:tc>
          <w:tcPr>
            <w:tcW w:w="1417" w:type="dxa"/>
            <w:tcBorders>
              <w:top w:val="nil"/>
              <w:left w:val="nil"/>
              <w:bottom w:val="single" w:sz="4" w:space="0" w:color="auto"/>
              <w:right w:val="single" w:sz="4" w:space="0" w:color="auto"/>
            </w:tcBorders>
            <w:shd w:val="clear" w:color="auto" w:fill="C6EFCE"/>
            <w:noWrap/>
            <w:vAlign w:val="center"/>
          </w:tcPr>
          <w:p w14:paraId="538E7D4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1C6A1066" w14:textId="3A93087F"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Výzva na predkladanie žiadostí</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grantové schémy pre klimatické technológie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poľnohospodárstve (hnedé biorafinérie) je dokončená.</w:t>
            </w:r>
          </w:p>
        </w:tc>
      </w:tr>
      <w:tr w:rsidR="00F65654" w:rsidRPr="00CC26EA" w14:paraId="3BBE13E1"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2C650591"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1</w:t>
            </w:r>
          </w:p>
        </w:tc>
        <w:tc>
          <w:tcPr>
            <w:tcW w:w="2526" w:type="dxa"/>
            <w:tcBorders>
              <w:top w:val="nil"/>
              <w:left w:val="nil"/>
              <w:bottom w:val="single" w:sz="4" w:space="0" w:color="auto"/>
              <w:right w:val="single" w:sz="4" w:space="0" w:color="auto"/>
            </w:tcBorders>
            <w:shd w:val="clear" w:color="auto" w:fill="C6EFCE"/>
            <w:noWrap/>
            <w:vAlign w:val="center"/>
          </w:tcPr>
          <w:p w14:paraId="3A93528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 – Posilnenie odolnosti systému zdravotnej starostlivosti – opatrenia na zabezpečenie zásob kritických liekov</w:t>
            </w:r>
          </w:p>
        </w:tc>
        <w:tc>
          <w:tcPr>
            <w:tcW w:w="1417" w:type="dxa"/>
            <w:tcBorders>
              <w:top w:val="nil"/>
              <w:left w:val="nil"/>
              <w:bottom w:val="single" w:sz="4" w:space="0" w:color="auto"/>
              <w:right w:val="single" w:sz="4" w:space="0" w:color="auto"/>
            </w:tcBorders>
            <w:shd w:val="clear" w:color="auto" w:fill="C6EFCE"/>
            <w:noWrap/>
            <w:vAlign w:val="center"/>
          </w:tcPr>
          <w:p w14:paraId="40D30B5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7B670F2C" w14:textId="2FFFB61A"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Správa dánskej agentúry pre lieky</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hodnotení zásob kritických liekov, ktorá sa má sprístupniť, aby sa predišlo situáciám</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nedostatkom dôležitých liekov</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 xml:space="preserve">Dánsku.  </w:t>
            </w:r>
          </w:p>
        </w:tc>
      </w:tr>
      <w:tr w:rsidR="00F65654" w:rsidRPr="00CC26EA" w14:paraId="5C1AB8F5"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060D7330"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2</w:t>
            </w:r>
          </w:p>
        </w:tc>
        <w:tc>
          <w:tcPr>
            <w:tcW w:w="2526" w:type="dxa"/>
            <w:tcBorders>
              <w:top w:val="nil"/>
              <w:left w:val="nil"/>
              <w:bottom w:val="single" w:sz="4" w:space="0" w:color="auto"/>
              <w:right w:val="single" w:sz="4" w:space="0" w:color="auto"/>
            </w:tcBorders>
            <w:shd w:val="clear" w:color="auto" w:fill="C6EFCE"/>
            <w:noWrap/>
            <w:vAlign w:val="center"/>
          </w:tcPr>
          <w:p w14:paraId="4D08A0C0" w14:textId="2E0D1DD1"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 – Posilnenie odolnosti systému zdravotnej starostlivosti – digitálne riešenia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sektore zdravotnej starostlivosti</w:t>
            </w:r>
          </w:p>
        </w:tc>
        <w:tc>
          <w:tcPr>
            <w:tcW w:w="1417" w:type="dxa"/>
            <w:tcBorders>
              <w:top w:val="nil"/>
              <w:left w:val="nil"/>
              <w:bottom w:val="single" w:sz="4" w:space="0" w:color="auto"/>
              <w:right w:val="single" w:sz="4" w:space="0" w:color="auto"/>
            </w:tcBorders>
            <w:shd w:val="clear" w:color="auto" w:fill="C6EFCE"/>
            <w:noWrap/>
            <w:vAlign w:val="center"/>
          </w:tcPr>
          <w:p w14:paraId="5F0BB4F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5F29A7E4" w14:textId="6770A06D"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Hodnotenie zapojenia pacientov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širokého využívania telemedicíny sprístupní dánske ministerstvo zdravotníctva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úzkej spolupráci</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dánskymi regiónmi.</w:t>
            </w:r>
          </w:p>
        </w:tc>
      </w:tr>
      <w:tr w:rsidR="00F65654" w:rsidRPr="00CC26EA" w14:paraId="1DD492B7"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083674C3"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3</w:t>
            </w:r>
          </w:p>
        </w:tc>
        <w:tc>
          <w:tcPr>
            <w:tcW w:w="2526" w:type="dxa"/>
            <w:tcBorders>
              <w:top w:val="nil"/>
              <w:left w:val="nil"/>
              <w:bottom w:val="single" w:sz="4" w:space="0" w:color="auto"/>
              <w:right w:val="single" w:sz="4" w:space="0" w:color="auto"/>
            </w:tcBorders>
            <w:shd w:val="clear" w:color="auto" w:fill="C6EFCE"/>
            <w:noWrap/>
            <w:vAlign w:val="center"/>
          </w:tcPr>
          <w:p w14:paraId="2C2A0394" w14:textId="13E06B8B"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 – Posilnenie odolnosti systému zdravotnej starostlivosti – digitálne riešenia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sektore zdravotnej starostlivosti</w:t>
            </w:r>
          </w:p>
        </w:tc>
        <w:tc>
          <w:tcPr>
            <w:tcW w:w="1417" w:type="dxa"/>
            <w:tcBorders>
              <w:top w:val="nil"/>
              <w:left w:val="nil"/>
              <w:bottom w:val="single" w:sz="4" w:space="0" w:color="auto"/>
              <w:right w:val="single" w:sz="4" w:space="0" w:color="auto"/>
            </w:tcBorders>
            <w:shd w:val="clear" w:color="auto" w:fill="C6EFCE"/>
            <w:noWrap/>
            <w:vAlign w:val="center"/>
          </w:tcPr>
          <w:p w14:paraId="62D81B1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111" w:type="dxa"/>
            <w:tcBorders>
              <w:top w:val="nil"/>
              <w:left w:val="nil"/>
              <w:bottom w:val="single" w:sz="4" w:space="0" w:color="auto"/>
              <w:right w:val="single" w:sz="4" w:space="0" w:color="auto"/>
            </w:tcBorders>
            <w:shd w:val="clear" w:color="auto" w:fill="C6EFCE"/>
            <w:noWrap/>
            <w:vAlign w:val="center"/>
          </w:tcPr>
          <w:p w14:paraId="1793D810" w14:textId="0C35D433"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Vytvoriť</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sprístupniť zariadenia na telemedicínske konzultácie (KontaktLæge) pre viaceré platformy.</w:t>
            </w:r>
          </w:p>
        </w:tc>
      </w:tr>
      <w:tr w:rsidR="00F65654" w:rsidRPr="00CC26EA" w14:paraId="7FBBC5E2"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7F0D3318"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13</w:t>
            </w:r>
          </w:p>
        </w:tc>
        <w:tc>
          <w:tcPr>
            <w:tcW w:w="2526" w:type="dxa"/>
            <w:tcBorders>
              <w:top w:val="nil"/>
              <w:left w:val="nil"/>
              <w:bottom w:val="single" w:sz="4" w:space="0" w:color="auto"/>
              <w:right w:val="single" w:sz="4" w:space="0" w:color="auto"/>
            </w:tcBorders>
            <w:shd w:val="clear" w:color="auto" w:fill="C6EFCE"/>
            <w:noWrap/>
            <w:vAlign w:val="center"/>
          </w:tcPr>
          <w:p w14:paraId="386E1DE6" w14:textId="7933C26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Pôda bohatá na uhlík</w:t>
            </w:r>
          </w:p>
        </w:tc>
        <w:tc>
          <w:tcPr>
            <w:tcW w:w="1417" w:type="dxa"/>
            <w:tcBorders>
              <w:top w:val="nil"/>
              <w:left w:val="nil"/>
              <w:bottom w:val="single" w:sz="4" w:space="0" w:color="auto"/>
              <w:right w:val="single" w:sz="4" w:space="0" w:color="auto"/>
            </w:tcBorders>
            <w:shd w:val="clear" w:color="auto" w:fill="C6EFCE"/>
            <w:noWrap/>
            <w:vAlign w:val="center"/>
          </w:tcPr>
          <w:p w14:paraId="737DD5E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3D83AE20" w14:textId="50E6446A"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Výzva na predkladanie žiadostí</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subvenčnú schému na opätovné zavlažovanie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odstránenie pôdy bohatej na uhlík</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produkcie je dokončená</w:t>
            </w:r>
          </w:p>
        </w:tc>
      </w:tr>
      <w:tr w:rsidR="00F65654" w:rsidRPr="00CC26EA" w14:paraId="08E0E187"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61A35B25"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25</w:t>
            </w:r>
          </w:p>
        </w:tc>
        <w:tc>
          <w:tcPr>
            <w:tcW w:w="2526" w:type="dxa"/>
            <w:tcBorders>
              <w:top w:val="nil"/>
              <w:left w:val="nil"/>
              <w:bottom w:val="single" w:sz="4" w:space="0" w:color="auto"/>
              <w:right w:val="single" w:sz="4" w:space="0" w:color="auto"/>
            </w:tcBorders>
            <w:shd w:val="clear" w:color="auto" w:fill="C6EFCE"/>
            <w:noWrap/>
            <w:vAlign w:val="center"/>
          </w:tcPr>
          <w:p w14:paraId="52EC97F2" w14:textId="128A8004"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3 – Energetická efektívnosť,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Energetická obnova verejných budov</w:t>
            </w:r>
          </w:p>
        </w:tc>
        <w:tc>
          <w:tcPr>
            <w:tcW w:w="1417" w:type="dxa"/>
            <w:tcBorders>
              <w:top w:val="nil"/>
              <w:left w:val="nil"/>
              <w:bottom w:val="single" w:sz="4" w:space="0" w:color="auto"/>
              <w:right w:val="single" w:sz="4" w:space="0" w:color="auto"/>
            </w:tcBorders>
            <w:shd w:val="clear" w:color="auto" w:fill="C6EFCE"/>
            <w:noWrap/>
            <w:vAlign w:val="center"/>
          </w:tcPr>
          <w:p w14:paraId="598E024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37F9E55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Vláda vydáva zákonnú vyhlášku, ktorou sa zavádza systém dotácií na energetickú obnovu verejných budov</w:t>
            </w:r>
          </w:p>
        </w:tc>
      </w:tr>
      <w:tr w:rsidR="00F65654" w:rsidRPr="00CC26EA" w14:paraId="089FED7A"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3638A91F"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27</w:t>
            </w:r>
          </w:p>
        </w:tc>
        <w:tc>
          <w:tcPr>
            <w:tcW w:w="2526" w:type="dxa"/>
            <w:tcBorders>
              <w:top w:val="nil"/>
              <w:left w:val="nil"/>
              <w:bottom w:val="single" w:sz="4" w:space="0" w:color="auto"/>
              <w:right w:val="single" w:sz="4" w:space="0" w:color="auto"/>
            </w:tcBorders>
            <w:shd w:val="clear" w:color="auto" w:fill="C6EFCE"/>
            <w:noWrap/>
            <w:vAlign w:val="center"/>
          </w:tcPr>
          <w:p w14:paraId="36BCE321" w14:textId="3DED3A83"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3 – Energetická účinnosť,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potenciál zachytávania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ukladania CO2</w:t>
            </w:r>
          </w:p>
        </w:tc>
        <w:tc>
          <w:tcPr>
            <w:tcW w:w="1417" w:type="dxa"/>
            <w:tcBorders>
              <w:top w:val="nil"/>
              <w:left w:val="nil"/>
              <w:bottom w:val="single" w:sz="4" w:space="0" w:color="auto"/>
              <w:right w:val="single" w:sz="4" w:space="0" w:color="auto"/>
            </w:tcBorders>
            <w:shd w:val="clear" w:color="auto" w:fill="C6EFCE"/>
            <w:noWrap/>
            <w:vAlign w:val="center"/>
          </w:tcPr>
          <w:p w14:paraId="07622CC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5C5D76B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Zadávanie zákaziek vybraným uchádzačom na štúdiu uskutočniteľnosti CCS</w:t>
            </w:r>
          </w:p>
        </w:tc>
      </w:tr>
      <w:tr w:rsidR="00F65654" w:rsidRPr="00CC26EA" w14:paraId="5FE4E74B"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7A660E20"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44</w:t>
            </w:r>
          </w:p>
        </w:tc>
        <w:tc>
          <w:tcPr>
            <w:tcW w:w="2526" w:type="dxa"/>
            <w:tcBorders>
              <w:top w:val="nil"/>
              <w:left w:val="nil"/>
              <w:bottom w:val="single" w:sz="4" w:space="0" w:color="auto"/>
              <w:right w:val="single" w:sz="4" w:space="0" w:color="auto"/>
            </w:tcBorders>
            <w:shd w:val="clear" w:color="auto" w:fill="C6EFCE"/>
            <w:noWrap/>
            <w:vAlign w:val="center"/>
          </w:tcPr>
          <w:p w14:paraId="3838D34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skúška rozvoja stanovovania cien ciest</w:t>
            </w:r>
          </w:p>
        </w:tc>
        <w:tc>
          <w:tcPr>
            <w:tcW w:w="1417" w:type="dxa"/>
            <w:tcBorders>
              <w:top w:val="nil"/>
              <w:left w:val="nil"/>
              <w:bottom w:val="single" w:sz="4" w:space="0" w:color="auto"/>
              <w:right w:val="single" w:sz="4" w:space="0" w:color="auto"/>
            </w:tcBorders>
            <w:shd w:val="clear" w:color="auto" w:fill="C6EFCE"/>
            <w:noWrap/>
            <w:vAlign w:val="center"/>
          </w:tcPr>
          <w:p w14:paraId="770EACD9"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090A016A" w14:textId="51D0402A"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Politická dohoda medzi vládou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väčšinou parlamentu</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 xml:space="preserve">vykonávaní testovacej schémy. </w:t>
            </w:r>
          </w:p>
        </w:tc>
      </w:tr>
      <w:tr w:rsidR="00F65654" w:rsidRPr="00CC26EA" w14:paraId="39FF9CCA"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6B8A1364"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46</w:t>
            </w:r>
          </w:p>
        </w:tc>
        <w:tc>
          <w:tcPr>
            <w:tcW w:w="2526" w:type="dxa"/>
            <w:tcBorders>
              <w:top w:val="nil"/>
              <w:left w:val="nil"/>
              <w:bottom w:val="single" w:sz="4" w:space="0" w:color="auto"/>
              <w:right w:val="single" w:sz="4" w:space="0" w:color="auto"/>
            </w:tcBorders>
            <w:shd w:val="clear" w:color="auto" w:fill="C6EFCE"/>
            <w:noWrap/>
            <w:vAlign w:val="center"/>
          </w:tcPr>
          <w:p w14:paraId="2B16D9CB" w14:textId="07D198E4"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Analýza nariadenia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hmotnosti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rozmeroch</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cieľom optimalizovať nákladnú dopravu</w:t>
            </w:r>
          </w:p>
        </w:tc>
        <w:tc>
          <w:tcPr>
            <w:tcW w:w="1417" w:type="dxa"/>
            <w:tcBorders>
              <w:top w:val="nil"/>
              <w:left w:val="nil"/>
              <w:bottom w:val="single" w:sz="4" w:space="0" w:color="auto"/>
              <w:right w:val="single" w:sz="4" w:space="0" w:color="auto"/>
            </w:tcBorders>
            <w:shd w:val="clear" w:color="auto" w:fill="C6EFCE"/>
            <w:noWrap/>
            <w:vAlign w:val="center"/>
          </w:tcPr>
          <w:p w14:paraId="26ADFAF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7B81B4BC" w14:textId="391ABD2A"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 Uverejnenie správy</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analýze vnútroštátnych predpisov</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hmotnosti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rozmeroch.</w:t>
            </w:r>
          </w:p>
        </w:tc>
      </w:tr>
      <w:tr w:rsidR="00F65654" w:rsidRPr="00CC26EA" w14:paraId="5C368688"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1E2EBB0A"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48</w:t>
            </w:r>
          </w:p>
        </w:tc>
        <w:tc>
          <w:tcPr>
            <w:tcW w:w="2526" w:type="dxa"/>
            <w:tcBorders>
              <w:top w:val="nil"/>
              <w:left w:val="nil"/>
              <w:bottom w:val="single" w:sz="4" w:space="0" w:color="auto"/>
              <w:right w:val="single" w:sz="4" w:space="0" w:color="auto"/>
            </w:tcBorders>
            <w:shd w:val="clear" w:color="auto" w:fill="C6EFCE"/>
            <w:noWrap/>
            <w:vAlign w:val="center"/>
          </w:tcPr>
          <w:p w14:paraId="01CA3751" w14:textId="0A6F149C"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Analýza skúšobnej schémy</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dvojitými prípojnými vozidlami</w:t>
            </w:r>
          </w:p>
        </w:tc>
        <w:tc>
          <w:tcPr>
            <w:tcW w:w="1417" w:type="dxa"/>
            <w:tcBorders>
              <w:top w:val="nil"/>
              <w:left w:val="nil"/>
              <w:bottom w:val="single" w:sz="4" w:space="0" w:color="auto"/>
              <w:right w:val="single" w:sz="4" w:space="0" w:color="auto"/>
            </w:tcBorders>
            <w:shd w:val="clear" w:color="auto" w:fill="C6EFCE"/>
            <w:noWrap/>
            <w:vAlign w:val="center"/>
          </w:tcPr>
          <w:p w14:paraId="45B8D93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111" w:type="dxa"/>
            <w:tcBorders>
              <w:top w:val="nil"/>
              <w:left w:val="nil"/>
              <w:bottom w:val="single" w:sz="4" w:space="0" w:color="auto"/>
              <w:right w:val="single" w:sz="4" w:space="0" w:color="auto"/>
            </w:tcBorders>
            <w:shd w:val="clear" w:color="auto" w:fill="C6EFCE"/>
            <w:noWrap/>
            <w:vAlign w:val="center"/>
          </w:tcPr>
          <w:p w14:paraId="5F730FEB" w14:textId="5CE27F95"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Uverejnenie analýzy dvojitých prípojných vozidiel,</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ktorej sa analyzuje bezpečnosť cestnej premávky, automobilové inžinierstvo, cestné inžinierstvo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environmentálne podmienky.</w:t>
            </w:r>
          </w:p>
        </w:tc>
      </w:tr>
      <w:tr w:rsidR="00F65654" w:rsidRPr="00CC26EA" w14:paraId="1C021D19"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D3F948" w14:textId="77777777" w:rsidR="00F65654" w:rsidRPr="00CC26EA" w:rsidRDefault="00F65654">
            <w:pPr>
              <w:spacing w:after="0"/>
              <w:jc w:val="center"/>
              <w:rPr>
                <w:rFonts w:ascii="Times New Roman" w:eastAsia="Times New Roman" w:hAnsi="Times New Roman"/>
                <w:noProof/>
                <w:color w:val="006100"/>
                <w:spacing w:val="-6"/>
                <w:lang w:val="sk-SK"/>
              </w:rPr>
            </w:pPr>
          </w:p>
        </w:tc>
        <w:tc>
          <w:tcPr>
            <w:tcW w:w="2526" w:type="dxa"/>
            <w:tcBorders>
              <w:top w:val="single" w:sz="4" w:space="0" w:color="auto"/>
              <w:left w:val="nil"/>
              <w:bottom w:val="single" w:sz="4" w:space="0" w:color="auto"/>
              <w:right w:val="single" w:sz="4" w:space="0" w:color="auto"/>
            </w:tcBorders>
            <w:shd w:val="clear" w:color="auto" w:fill="C6EFCE"/>
            <w:noWrap/>
            <w:vAlign w:val="center"/>
          </w:tcPr>
          <w:p w14:paraId="090F0BE3" w14:textId="77777777" w:rsidR="00F65654" w:rsidRPr="00CC26EA" w:rsidRDefault="00F65654">
            <w:pPr>
              <w:spacing w:after="0"/>
              <w:rPr>
                <w:rFonts w:ascii="Times New Roman" w:eastAsia="Times New Roman" w:hAnsi="Times New Roman"/>
                <w:noProof/>
                <w:color w:val="006100"/>
                <w:spacing w:val="-6"/>
                <w:lang w:val="sk-SK"/>
              </w:rPr>
            </w:pPr>
          </w:p>
        </w:tc>
        <w:tc>
          <w:tcPr>
            <w:tcW w:w="1417" w:type="dxa"/>
            <w:tcBorders>
              <w:top w:val="single" w:sz="4" w:space="0" w:color="auto"/>
              <w:left w:val="nil"/>
              <w:bottom w:val="single" w:sz="4" w:space="0" w:color="auto"/>
              <w:right w:val="single" w:sz="4" w:space="0" w:color="auto"/>
            </w:tcBorders>
            <w:shd w:val="clear" w:color="auto" w:fill="C6EFCE"/>
            <w:noWrap/>
            <w:vAlign w:val="center"/>
          </w:tcPr>
          <w:p w14:paraId="2147B6F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Suma splátky</w:t>
            </w:r>
          </w:p>
        </w:tc>
        <w:tc>
          <w:tcPr>
            <w:tcW w:w="4111" w:type="dxa"/>
            <w:tcBorders>
              <w:top w:val="single" w:sz="4" w:space="0" w:color="auto"/>
              <w:left w:val="nil"/>
              <w:bottom w:val="single" w:sz="4" w:space="0" w:color="auto"/>
              <w:right w:val="single" w:sz="4" w:space="0" w:color="auto"/>
            </w:tcBorders>
            <w:shd w:val="clear" w:color="auto" w:fill="C6EFCE"/>
            <w:noWrap/>
            <w:vAlign w:val="center"/>
          </w:tcPr>
          <w:p w14:paraId="57420D39"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346 503 784 EUR</w:t>
            </w:r>
          </w:p>
        </w:tc>
      </w:tr>
    </w:tbl>
    <w:p w14:paraId="1823164F" w14:textId="77777777" w:rsidR="00F65654" w:rsidRPr="00CC26EA" w:rsidRDefault="00F65654">
      <w:pPr>
        <w:rPr>
          <w:rFonts w:ascii="Times New Roman" w:hAnsi="Times New Roman"/>
          <w:noProof/>
          <w:spacing w:val="-6"/>
          <w:lang w:val="sk-SK"/>
        </w:rPr>
      </w:pPr>
    </w:p>
    <w:p w14:paraId="151BA074" w14:textId="77777777" w:rsidR="00F65654" w:rsidRPr="00CC26EA" w:rsidRDefault="0041081E">
      <w:pPr>
        <w:pStyle w:val="NumPar2"/>
        <w:numPr>
          <w:ilvl w:val="1"/>
          <w:numId w:val="17"/>
        </w:numPr>
        <w:rPr>
          <w:noProof/>
          <w:spacing w:val="-6"/>
          <w:lang w:val="sk-SK"/>
        </w:rPr>
      </w:pPr>
      <w:r w:rsidRPr="00CC26EA">
        <w:rPr>
          <w:noProof/>
          <w:spacing w:val="-6"/>
          <w:lang w:val="sk-SK"/>
        </w:rPr>
        <w:t xml:space="preserve">Druhá splátka (nenávratná podpora): </w:t>
      </w:r>
    </w:p>
    <w:tbl>
      <w:tblPr>
        <w:tblW w:w="9545" w:type="dxa"/>
        <w:tblInd w:w="113" w:type="dxa"/>
        <w:tblLook w:val="04A0" w:firstRow="1" w:lastRow="0" w:firstColumn="1" w:lastColumn="0" w:noHBand="0" w:noVBand="1"/>
      </w:tblPr>
      <w:tblGrid>
        <w:gridCol w:w="1297"/>
        <w:gridCol w:w="2526"/>
        <w:gridCol w:w="1701"/>
        <w:gridCol w:w="4021"/>
      </w:tblGrid>
      <w:tr w:rsidR="00F65654" w:rsidRPr="00CC26EA" w14:paraId="3CDCC05A" w14:textId="77777777">
        <w:trPr>
          <w:trHeight w:val="509"/>
          <w:tblHeader/>
        </w:trPr>
        <w:tc>
          <w:tcPr>
            <w:tcW w:w="129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5FE74E1E"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Poradové číslo</w:t>
            </w:r>
          </w:p>
        </w:tc>
        <w:tc>
          <w:tcPr>
            <w:tcW w:w="252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47ACB5C8"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Súvisiace opatrenie (reforma alebo investícia)</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47C68E2D"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Míľnik/cieľ</w:t>
            </w:r>
          </w:p>
        </w:tc>
        <w:tc>
          <w:tcPr>
            <w:tcW w:w="4021" w:type="dxa"/>
            <w:vMerge w:val="restart"/>
            <w:tcBorders>
              <w:top w:val="single" w:sz="4" w:space="0" w:color="auto"/>
              <w:left w:val="nil"/>
              <w:bottom w:val="single" w:sz="4" w:space="0" w:color="000000"/>
              <w:right w:val="single" w:sz="4" w:space="0" w:color="auto"/>
            </w:tcBorders>
            <w:shd w:val="clear" w:color="auto" w:fill="BDD7EE"/>
            <w:vAlign w:val="center"/>
            <w:hideMark/>
          </w:tcPr>
          <w:p w14:paraId="274929FE"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Názov</w:t>
            </w:r>
          </w:p>
        </w:tc>
      </w:tr>
      <w:tr w:rsidR="00F65654" w:rsidRPr="00CC26EA" w14:paraId="49E58248" w14:textId="77777777">
        <w:trPr>
          <w:trHeight w:val="990"/>
        </w:trPr>
        <w:tc>
          <w:tcPr>
            <w:tcW w:w="1297" w:type="dxa"/>
            <w:vMerge/>
            <w:tcBorders>
              <w:top w:val="single" w:sz="4" w:space="0" w:color="auto"/>
              <w:left w:val="single" w:sz="4" w:space="0" w:color="auto"/>
              <w:bottom w:val="single" w:sz="4" w:space="0" w:color="000000"/>
              <w:right w:val="single" w:sz="4" w:space="0" w:color="auto"/>
            </w:tcBorders>
            <w:vAlign w:val="center"/>
            <w:hideMark/>
          </w:tcPr>
          <w:p w14:paraId="7BCC16AE" w14:textId="77777777" w:rsidR="00F65654" w:rsidRPr="00CC26EA" w:rsidRDefault="00F65654">
            <w:pPr>
              <w:spacing w:after="0"/>
              <w:rPr>
                <w:rFonts w:ascii="Times New Roman" w:eastAsia="Times New Roman" w:hAnsi="Times New Roman"/>
                <w:b/>
                <w:noProof/>
                <w:spacing w:val="-6"/>
                <w:lang w:val="sk-SK"/>
              </w:rPr>
            </w:pPr>
          </w:p>
        </w:tc>
        <w:tc>
          <w:tcPr>
            <w:tcW w:w="2526" w:type="dxa"/>
            <w:vMerge/>
            <w:tcBorders>
              <w:top w:val="single" w:sz="4" w:space="0" w:color="auto"/>
              <w:left w:val="single" w:sz="4" w:space="0" w:color="auto"/>
              <w:bottom w:val="single" w:sz="4" w:space="0" w:color="000000"/>
              <w:right w:val="single" w:sz="4" w:space="0" w:color="auto"/>
            </w:tcBorders>
            <w:vAlign w:val="center"/>
            <w:hideMark/>
          </w:tcPr>
          <w:p w14:paraId="5F8F172E" w14:textId="77777777" w:rsidR="00F65654" w:rsidRPr="00CC26EA" w:rsidRDefault="00F65654">
            <w:pPr>
              <w:spacing w:after="0"/>
              <w:rPr>
                <w:rFonts w:ascii="Times New Roman" w:eastAsia="Times New Roman" w:hAnsi="Times New Roman"/>
                <w:b/>
                <w:noProof/>
                <w:spacing w:val="-6"/>
                <w:lang w:val="sk-SK"/>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F79373A" w14:textId="77777777" w:rsidR="00F65654" w:rsidRPr="00CC26EA" w:rsidRDefault="00F65654">
            <w:pPr>
              <w:spacing w:after="0"/>
              <w:rPr>
                <w:rFonts w:ascii="Times New Roman" w:eastAsia="Times New Roman" w:hAnsi="Times New Roman"/>
                <w:b/>
                <w:noProof/>
                <w:spacing w:val="-6"/>
                <w:lang w:val="sk-SK"/>
              </w:rPr>
            </w:pPr>
          </w:p>
        </w:tc>
        <w:tc>
          <w:tcPr>
            <w:tcW w:w="4021" w:type="dxa"/>
            <w:vMerge/>
            <w:tcBorders>
              <w:top w:val="single" w:sz="4" w:space="0" w:color="auto"/>
              <w:left w:val="nil"/>
              <w:bottom w:val="single" w:sz="4" w:space="0" w:color="000000"/>
              <w:right w:val="single" w:sz="4" w:space="0" w:color="auto"/>
            </w:tcBorders>
            <w:vAlign w:val="center"/>
            <w:hideMark/>
          </w:tcPr>
          <w:p w14:paraId="384854AF" w14:textId="77777777" w:rsidR="00F65654" w:rsidRPr="00CC26EA" w:rsidRDefault="00F65654">
            <w:pPr>
              <w:spacing w:after="0"/>
              <w:rPr>
                <w:rFonts w:ascii="Times New Roman" w:eastAsia="Times New Roman" w:hAnsi="Times New Roman"/>
                <w:b/>
                <w:noProof/>
                <w:spacing w:val="-6"/>
                <w:lang w:val="sk-SK"/>
              </w:rPr>
            </w:pPr>
          </w:p>
        </w:tc>
      </w:tr>
      <w:tr w:rsidR="00F65654" w:rsidRPr="00CC26EA" w14:paraId="75870642"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hideMark/>
          </w:tcPr>
          <w:p w14:paraId="04C3F3A7"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16</w:t>
            </w:r>
          </w:p>
        </w:tc>
        <w:tc>
          <w:tcPr>
            <w:tcW w:w="2526" w:type="dxa"/>
            <w:tcBorders>
              <w:top w:val="nil"/>
              <w:left w:val="nil"/>
              <w:bottom w:val="single" w:sz="4" w:space="0" w:color="auto"/>
              <w:right w:val="single" w:sz="4" w:space="0" w:color="auto"/>
            </w:tcBorders>
            <w:shd w:val="clear" w:color="auto" w:fill="C6EFCE"/>
            <w:noWrap/>
            <w:vAlign w:val="center"/>
            <w:hideMark/>
          </w:tcPr>
          <w:p w14:paraId="6C670BEE" w14:textId="3ECBF01D"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Obnova priemyselných lokalít</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kontaminovanej pôdy</w:t>
            </w:r>
          </w:p>
        </w:tc>
        <w:tc>
          <w:tcPr>
            <w:tcW w:w="1701" w:type="dxa"/>
            <w:tcBorders>
              <w:top w:val="nil"/>
              <w:left w:val="nil"/>
              <w:bottom w:val="single" w:sz="4" w:space="0" w:color="auto"/>
              <w:right w:val="single" w:sz="4" w:space="0" w:color="auto"/>
            </w:tcBorders>
            <w:shd w:val="clear" w:color="auto" w:fill="C6EFCE"/>
            <w:noWrap/>
            <w:vAlign w:val="center"/>
            <w:hideMark/>
          </w:tcPr>
          <w:p w14:paraId="4841A77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nil"/>
              <w:left w:val="nil"/>
              <w:bottom w:val="single" w:sz="4" w:space="0" w:color="auto"/>
              <w:right w:val="single" w:sz="4" w:space="0" w:color="auto"/>
            </w:tcBorders>
            <w:shd w:val="clear" w:color="auto" w:fill="C6EFCE"/>
            <w:noWrap/>
            <w:vAlign w:val="center"/>
            <w:hideMark/>
          </w:tcPr>
          <w:p w14:paraId="19C3545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Boli schválené minimálne 4 projektové žiadosti na rekultiváciu priemyselného areálu alebo kontaminovanej pôdy</w:t>
            </w:r>
          </w:p>
        </w:tc>
      </w:tr>
      <w:tr w:rsidR="00F65654" w:rsidRPr="00CC26EA" w14:paraId="125DC819"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hideMark/>
          </w:tcPr>
          <w:p w14:paraId="580819D2"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65</w:t>
            </w:r>
          </w:p>
        </w:tc>
        <w:tc>
          <w:tcPr>
            <w:tcW w:w="2526" w:type="dxa"/>
            <w:tcBorders>
              <w:top w:val="nil"/>
              <w:left w:val="nil"/>
              <w:bottom w:val="single" w:sz="4" w:space="0" w:color="auto"/>
              <w:right w:val="single" w:sz="4" w:space="0" w:color="auto"/>
            </w:tcBorders>
            <w:shd w:val="clear" w:color="auto" w:fill="C6EFCE"/>
            <w:noWrap/>
            <w:vAlign w:val="center"/>
            <w:hideMark/>
          </w:tcPr>
          <w:p w14:paraId="49D37344" w14:textId="6B01DAF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uhlíka alebo využívanie CO2Green</w:t>
            </w:r>
          </w:p>
        </w:tc>
        <w:tc>
          <w:tcPr>
            <w:tcW w:w="1701" w:type="dxa"/>
            <w:tcBorders>
              <w:top w:val="nil"/>
              <w:left w:val="nil"/>
              <w:bottom w:val="single" w:sz="4" w:space="0" w:color="auto"/>
              <w:right w:val="single" w:sz="4" w:space="0" w:color="auto"/>
            </w:tcBorders>
            <w:shd w:val="clear" w:color="auto" w:fill="C6EFCE"/>
            <w:noWrap/>
            <w:vAlign w:val="center"/>
            <w:hideMark/>
          </w:tcPr>
          <w:p w14:paraId="4FF9D9B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021" w:type="dxa"/>
            <w:tcBorders>
              <w:top w:val="nil"/>
              <w:left w:val="nil"/>
              <w:bottom w:val="single" w:sz="4" w:space="0" w:color="auto"/>
              <w:right w:val="single" w:sz="4" w:space="0" w:color="auto"/>
            </w:tcBorders>
            <w:shd w:val="clear" w:color="auto" w:fill="C6EFCE"/>
            <w:noWrap/>
            <w:vAlign w:val="center"/>
            <w:hideMark/>
          </w:tcPr>
          <w:p w14:paraId="3F21E512" w14:textId="676F1415"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Výber partnerstiev pre „zachytávanie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ukladanie alebo využívanie CO2“. </w:t>
            </w:r>
          </w:p>
        </w:tc>
      </w:tr>
      <w:tr w:rsidR="00F65654" w:rsidRPr="00CC26EA" w14:paraId="7F44E36C"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hideMark/>
          </w:tcPr>
          <w:p w14:paraId="32D2116B"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68</w:t>
            </w:r>
          </w:p>
        </w:tc>
        <w:tc>
          <w:tcPr>
            <w:tcW w:w="2526" w:type="dxa"/>
            <w:tcBorders>
              <w:top w:val="nil"/>
              <w:left w:val="nil"/>
              <w:bottom w:val="single" w:sz="4" w:space="0" w:color="auto"/>
              <w:right w:val="single" w:sz="4" w:space="0" w:color="auto"/>
            </w:tcBorders>
            <w:shd w:val="clear" w:color="auto" w:fill="C6EFCE"/>
            <w:noWrap/>
            <w:vAlign w:val="center"/>
            <w:hideMark/>
          </w:tcPr>
          <w:p w14:paraId="3FF30166" w14:textId="775DDAC0"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Ekologické palivá pre dopravu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priemysel</w:t>
            </w:r>
          </w:p>
        </w:tc>
        <w:tc>
          <w:tcPr>
            <w:tcW w:w="1701" w:type="dxa"/>
            <w:tcBorders>
              <w:top w:val="nil"/>
              <w:left w:val="nil"/>
              <w:bottom w:val="single" w:sz="4" w:space="0" w:color="auto"/>
              <w:right w:val="single" w:sz="4" w:space="0" w:color="auto"/>
            </w:tcBorders>
            <w:shd w:val="clear" w:color="auto" w:fill="C6EFCE"/>
            <w:noWrap/>
            <w:vAlign w:val="center"/>
            <w:hideMark/>
          </w:tcPr>
          <w:p w14:paraId="6889837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021" w:type="dxa"/>
            <w:tcBorders>
              <w:top w:val="nil"/>
              <w:left w:val="nil"/>
              <w:bottom w:val="single" w:sz="4" w:space="0" w:color="auto"/>
              <w:right w:val="single" w:sz="4" w:space="0" w:color="auto"/>
            </w:tcBorders>
            <w:shd w:val="clear" w:color="auto" w:fill="C6EFCE"/>
            <w:noWrap/>
            <w:vAlign w:val="center"/>
            <w:hideMark/>
          </w:tcPr>
          <w:p w14:paraId="7E863FA7" w14:textId="5266DE2E"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Výber partnerstiev pre „ekologické palivá pre dopravu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priemysel“. </w:t>
            </w:r>
          </w:p>
        </w:tc>
      </w:tr>
      <w:tr w:rsidR="00F65654" w:rsidRPr="00CC26EA" w14:paraId="180CEA13"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10D5ACE2"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71</w:t>
            </w:r>
          </w:p>
        </w:tc>
        <w:tc>
          <w:tcPr>
            <w:tcW w:w="2526" w:type="dxa"/>
            <w:tcBorders>
              <w:top w:val="nil"/>
              <w:left w:val="nil"/>
              <w:bottom w:val="single" w:sz="4" w:space="0" w:color="auto"/>
              <w:right w:val="single" w:sz="4" w:space="0" w:color="auto"/>
            </w:tcBorders>
            <w:shd w:val="clear" w:color="auto" w:fill="C6EFCE"/>
            <w:noWrap/>
            <w:vAlign w:val="center"/>
          </w:tcPr>
          <w:p w14:paraId="70561D4F" w14:textId="5BBB414D"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Poľnohospodárstvo šetrné ku klíme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životnému prostrediu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výroba potravín</w:t>
            </w:r>
          </w:p>
        </w:tc>
        <w:tc>
          <w:tcPr>
            <w:tcW w:w="1701" w:type="dxa"/>
            <w:tcBorders>
              <w:top w:val="nil"/>
              <w:left w:val="nil"/>
              <w:bottom w:val="single" w:sz="4" w:space="0" w:color="auto"/>
              <w:right w:val="single" w:sz="4" w:space="0" w:color="auto"/>
            </w:tcBorders>
            <w:shd w:val="clear" w:color="auto" w:fill="C6EFCE"/>
            <w:noWrap/>
            <w:vAlign w:val="center"/>
          </w:tcPr>
          <w:p w14:paraId="32AF5D4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021" w:type="dxa"/>
            <w:tcBorders>
              <w:top w:val="nil"/>
              <w:left w:val="nil"/>
              <w:bottom w:val="single" w:sz="4" w:space="0" w:color="auto"/>
              <w:right w:val="single" w:sz="4" w:space="0" w:color="auto"/>
            </w:tcBorders>
            <w:shd w:val="clear" w:color="auto" w:fill="C6EFCE"/>
            <w:noWrap/>
            <w:vAlign w:val="center"/>
          </w:tcPr>
          <w:p w14:paraId="0C9A571F" w14:textId="4775FE22"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Výber partnerstiev pre „poľnohospodárstvo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potravinársku výrobu šetrné ku klíme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životnému prostrediu“. </w:t>
            </w:r>
          </w:p>
        </w:tc>
      </w:tr>
      <w:tr w:rsidR="00F65654" w:rsidRPr="00CC26EA" w14:paraId="5046B00C"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427C9C04"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74</w:t>
            </w:r>
          </w:p>
        </w:tc>
        <w:tc>
          <w:tcPr>
            <w:tcW w:w="2526" w:type="dxa"/>
            <w:tcBorders>
              <w:top w:val="nil"/>
              <w:left w:val="nil"/>
              <w:bottom w:val="single" w:sz="4" w:space="0" w:color="auto"/>
              <w:right w:val="single" w:sz="4" w:space="0" w:color="auto"/>
            </w:tcBorders>
            <w:shd w:val="clear" w:color="auto" w:fill="C6EFCE"/>
            <w:noWrap/>
            <w:vAlign w:val="center"/>
          </w:tcPr>
          <w:p w14:paraId="417A1960" w14:textId="517CD424"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Obehové hospodárstvo zamerané na opätovné použitie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znižovanie množstva plastového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textilného odpadu. </w:t>
            </w:r>
          </w:p>
        </w:tc>
        <w:tc>
          <w:tcPr>
            <w:tcW w:w="1701" w:type="dxa"/>
            <w:tcBorders>
              <w:top w:val="nil"/>
              <w:left w:val="nil"/>
              <w:bottom w:val="single" w:sz="4" w:space="0" w:color="auto"/>
              <w:right w:val="single" w:sz="4" w:space="0" w:color="auto"/>
            </w:tcBorders>
            <w:shd w:val="clear" w:color="auto" w:fill="C6EFCE"/>
            <w:noWrap/>
            <w:vAlign w:val="center"/>
          </w:tcPr>
          <w:p w14:paraId="042C3C2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021" w:type="dxa"/>
            <w:tcBorders>
              <w:top w:val="nil"/>
              <w:left w:val="nil"/>
              <w:bottom w:val="single" w:sz="4" w:space="0" w:color="auto"/>
              <w:right w:val="single" w:sz="4" w:space="0" w:color="auto"/>
            </w:tcBorders>
            <w:shd w:val="clear" w:color="auto" w:fill="C6EFCE"/>
            <w:noWrap/>
            <w:vAlign w:val="center"/>
          </w:tcPr>
          <w:p w14:paraId="300BD066" w14:textId="156B7EB1"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Výber partnerstiev pre „obehové hospodárstvo zamerané na opätovné použitie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znižovanie plastového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textilného odpadu“.</w:t>
            </w:r>
          </w:p>
        </w:tc>
      </w:tr>
      <w:tr w:rsidR="00F65654" w:rsidRPr="00CC26EA" w14:paraId="17A7D091"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42DC91C7"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4</w:t>
            </w:r>
          </w:p>
        </w:tc>
        <w:tc>
          <w:tcPr>
            <w:tcW w:w="2526" w:type="dxa"/>
            <w:tcBorders>
              <w:top w:val="nil"/>
              <w:left w:val="nil"/>
              <w:bottom w:val="single" w:sz="4" w:space="0" w:color="auto"/>
              <w:right w:val="single" w:sz="4" w:space="0" w:color="auto"/>
            </w:tcBorders>
            <w:shd w:val="clear" w:color="auto" w:fill="C6EFCE"/>
            <w:noWrap/>
            <w:vAlign w:val="center"/>
          </w:tcPr>
          <w:p w14:paraId="22D15BD5" w14:textId="34CF364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 – Posilnenie odolnosti systému zdravotnej starostlivosti – digitálne riešenia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sektore zdravotnej starostlivosti</w:t>
            </w:r>
          </w:p>
        </w:tc>
        <w:tc>
          <w:tcPr>
            <w:tcW w:w="1701" w:type="dxa"/>
            <w:tcBorders>
              <w:top w:val="nil"/>
              <w:left w:val="nil"/>
              <w:bottom w:val="single" w:sz="4" w:space="0" w:color="auto"/>
              <w:right w:val="single" w:sz="4" w:space="0" w:color="auto"/>
            </w:tcBorders>
            <w:shd w:val="clear" w:color="auto" w:fill="C6EFCE"/>
            <w:noWrap/>
            <w:vAlign w:val="center"/>
          </w:tcPr>
          <w:p w14:paraId="54BCBA5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021" w:type="dxa"/>
            <w:tcBorders>
              <w:top w:val="nil"/>
              <w:left w:val="nil"/>
              <w:bottom w:val="single" w:sz="4" w:space="0" w:color="auto"/>
              <w:right w:val="single" w:sz="4" w:space="0" w:color="auto"/>
            </w:tcBorders>
            <w:shd w:val="clear" w:color="auto" w:fill="C6EFCE"/>
            <w:noWrap/>
            <w:vAlign w:val="center"/>
          </w:tcPr>
          <w:p w14:paraId="674686A2" w14:textId="2D82883A"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Zavedenie digitálneho dotazníka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aplikácii „MinLæge“ („My Doctor“)</w:t>
            </w:r>
          </w:p>
        </w:tc>
      </w:tr>
      <w:tr w:rsidR="00F65654" w:rsidRPr="00CC26EA" w14:paraId="7ECAD387"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1BF90ABE"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42</w:t>
            </w:r>
          </w:p>
        </w:tc>
        <w:tc>
          <w:tcPr>
            <w:tcW w:w="2526" w:type="dxa"/>
            <w:tcBorders>
              <w:top w:val="nil"/>
              <w:left w:val="nil"/>
              <w:bottom w:val="single" w:sz="4" w:space="0" w:color="auto"/>
              <w:right w:val="single" w:sz="4" w:space="0" w:color="auto"/>
            </w:tcBorders>
            <w:shd w:val="clear" w:color="auto" w:fill="C6EFCE"/>
            <w:noWrap/>
            <w:vAlign w:val="center"/>
          </w:tcPr>
          <w:p w14:paraId="3C1DDA1D" w14:textId="70D5BED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Dočasné zvýšenie prémie za zošrotovanie starých vozidiel</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naftovým motorom</w:t>
            </w:r>
          </w:p>
        </w:tc>
        <w:tc>
          <w:tcPr>
            <w:tcW w:w="1701" w:type="dxa"/>
            <w:tcBorders>
              <w:top w:val="nil"/>
              <w:left w:val="nil"/>
              <w:bottom w:val="single" w:sz="4" w:space="0" w:color="auto"/>
              <w:right w:val="single" w:sz="4" w:space="0" w:color="auto"/>
            </w:tcBorders>
            <w:shd w:val="clear" w:color="auto" w:fill="C6EFCE"/>
            <w:noWrap/>
            <w:vAlign w:val="center"/>
          </w:tcPr>
          <w:p w14:paraId="60456220"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nil"/>
              <w:left w:val="nil"/>
              <w:bottom w:val="single" w:sz="4" w:space="0" w:color="auto"/>
              <w:right w:val="single" w:sz="4" w:space="0" w:color="auto"/>
            </w:tcBorders>
            <w:shd w:val="clear" w:color="auto" w:fill="C6EFCE"/>
            <w:noWrap/>
            <w:vAlign w:val="center"/>
          </w:tcPr>
          <w:p w14:paraId="60D24C6D" w14:textId="779278D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36000 starých naftových automobilov sa vyradí</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dôvodu zvýšenej prémie za zošrotovanie</w:t>
            </w:r>
          </w:p>
        </w:tc>
      </w:tr>
      <w:tr w:rsidR="00F65654" w:rsidRPr="00CC26EA" w14:paraId="745D65FE"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4621CB64"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54</w:t>
            </w:r>
          </w:p>
        </w:tc>
        <w:tc>
          <w:tcPr>
            <w:tcW w:w="2526" w:type="dxa"/>
            <w:tcBorders>
              <w:top w:val="nil"/>
              <w:left w:val="nil"/>
              <w:bottom w:val="single" w:sz="4" w:space="0" w:color="auto"/>
              <w:right w:val="single" w:sz="4" w:space="0" w:color="auto"/>
            </w:tcBorders>
            <w:shd w:val="clear" w:color="auto" w:fill="C6EFCE"/>
            <w:noWrap/>
            <w:vAlign w:val="center"/>
          </w:tcPr>
          <w:p w14:paraId="1984A42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Digitálna stratégia</w:t>
            </w:r>
          </w:p>
        </w:tc>
        <w:tc>
          <w:tcPr>
            <w:tcW w:w="1701" w:type="dxa"/>
            <w:tcBorders>
              <w:top w:val="nil"/>
              <w:left w:val="nil"/>
              <w:bottom w:val="single" w:sz="4" w:space="0" w:color="auto"/>
              <w:right w:val="single" w:sz="4" w:space="0" w:color="auto"/>
            </w:tcBorders>
            <w:shd w:val="clear" w:color="auto" w:fill="C6EFCE"/>
            <w:noWrap/>
            <w:vAlign w:val="center"/>
          </w:tcPr>
          <w:p w14:paraId="109A4A6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021" w:type="dxa"/>
            <w:tcBorders>
              <w:top w:val="nil"/>
              <w:left w:val="nil"/>
              <w:bottom w:val="single" w:sz="4" w:space="0" w:color="auto"/>
              <w:right w:val="single" w:sz="4" w:space="0" w:color="auto"/>
            </w:tcBorders>
            <w:shd w:val="clear" w:color="auto" w:fill="C6EFCE"/>
            <w:noWrap/>
            <w:vAlign w:val="center"/>
          </w:tcPr>
          <w:p w14:paraId="0A2624C6" w14:textId="365826D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Prijatie novej „digitálnej stratégie“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zákone</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 xml:space="preserve">financiách na rok 2022. </w:t>
            </w:r>
          </w:p>
        </w:tc>
      </w:tr>
      <w:tr w:rsidR="00F65654" w:rsidRPr="00CC26EA" w14:paraId="751BB43C"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3E1EA59A"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62</w:t>
            </w:r>
          </w:p>
        </w:tc>
        <w:tc>
          <w:tcPr>
            <w:tcW w:w="2526" w:type="dxa"/>
            <w:tcBorders>
              <w:top w:val="nil"/>
              <w:left w:val="nil"/>
              <w:bottom w:val="single" w:sz="4" w:space="0" w:color="auto"/>
              <w:right w:val="single" w:sz="4" w:space="0" w:color="auto"/>
            </w:tcBorders>
            <w:shd w:val="clear" w:color="auto" w:fill="C6EFCE"/>
            <w:noWrap/>
            <w:vAlign w:val="center"/>
          </w:tcPr>
          <w:p w14:paraId="38C3E72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Širokopásmový park</w:t>
            </w:r>
          </w:p>
        </w:tc>
        <w:tc>
          <w:tcPr>
            <w:tcW w:w="1701" w:type="dxa"/>
            <w:tcBorders>
              <w:top w:val="nil"/>
              <w:left w:val="nil"/>
              <w:bottom w:val="single" w:sz="4" w:space="0" w:color="auto"/>
              <w:right w:val="single" w:sz="4" w:space="0" w:color="auto"/>
            </w:tcBorders>
            <w:shd w:val="clear" w:color="auto" w:fill="C6EFCE"/>
            <w:noWrap/>
            <w:vAlign w:val="center"/>
          </w:tcPr>
          <w:p w14:paraId="4E88883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nil"/>
              <w:left w:val="nil"/>
              <w:bottom w:val="single" w:sz="4" w:space="0" w:color="auto"/>
              <w:right w:val="single" w:sz="4" w:space="0" w:color="auto"/>
            </w:tcBorders>
            <w:shd w:val="clear" w:color="auto" w:fill="C6EFCE"/>
            <w:noWrap/>
            <w:vAlign w:val="center"/>
          </w:tcPr>
          <w:p w14:paraId="66DE3171" w14:textId="50EC7F25"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Najmenej 3500 domácností a/alebo podnikov</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veľmi vysokorýchlostným internetom (pripojenie aspoň 100 Mb/s).</w:t>
            </w:r>
          </w:p>
        </w:tc>
      </w:tr>
      <w:tr w:rsidR="00F65654" w:rsidRPr="00CC26EA" w14:paraId="5C055265"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42DE4920"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23</w:t>
            </w:r>
          </w:p>
        </w:tc>
        <w:tc>
          <w:tcPr>
            <w:tcW w:w="2526" w:type="dxa"/>
            <w:tcBorders>
              <w:top w:val="nil"/>
              <w:left w:val="nil"/>
              <w:bottom w:val="single" w:sz="4" w:space="0" w:color="auto"/>
              <w:right w:val="single" w:sz="4" w:space="0" w:color="auto"/>
            </w:tcBorders>
            <w:shd w:val="clear" w:color="auto" w:fill="C6EFCE"/>
            <w:noWrap/>
            <w:vAlign w:val="center"/>
          </w:tcPr>
          <w:p w14:paraId="64A816AE" w14:textId="799B5222"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3 – Energetická účinnosť,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Energetická účinnosť</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w:t>
            </w:r>
          </w:p>
        </w:tc>
        <w:tc>
          <w:tcPr>
            <w:tcW w:w="1701" w:type="dxa"/>
            <w:tcBorders>
              <w:top w:val="nil"/>
              <w:left w:val="nil"/>
              <w:bottom w:val="single" w:sz="4" w:space="0" w:color="auto"/>
              <w:right w:val="single" w:sz="4" w:space="0" w:color="auto"/>
            </w:tcBorders>
            <w:shd w:val="clear" w:color="auto" w:fill="C6EFCE"/>
            <w:noWrap/>
            <w:vAlign w:val="center"/>
          </w:tcPr>
          <w:p w14:paraId="1F7B0B0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021" w:type="dxa"/>
            <w:tcBorders>
              <w:top w:val="nil"/>
              <w:left w:val="nil"/>
              <w:bottom w:val="single" w:sz="4" w:space="0" w:color="auto"/>
              <w:right w:val="single" w:sz="4" w:space="0" w:color="auto"/>
            </w:tcBorders>
            <w:shd w:val="clear" w:color="auto" w:fill="C6EFCE"/>
            <w:noWrap/>
            <w:vAlign w:val="center"/>
          </w:tcPr>
          <w:p w14:paraId="4E638C2C" w14:textId="5C54E71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Dokončili sa ročné kolá žiadostí</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subvenčný systém energetickej účinnosti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w:t>
            </w:r>
          </w:p>
        </w:tc>
      </w:tr>
      <w:tr w:rsidR="00F65654" w:rsidRPr="00CC26EA" w14:paraId="2C36C682"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5336C16F"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47</w:t>
            </w:r>
          </w:p>
        </w:tc>
        <w:tc>
          <w:tcPr>
            <w:tcW w:w="2526" w:type="dxa"/>
            <w:tcBorders>
              <w:top w:val="nil"/>
              <w:left w:val="nil"/>
              <w:bottom w:val="single" w:sz="4" w:space="0" w:color="auto"/>
              <w:right w:val="single" w:sz="4" w:space="0" w:color="auto"/>
            </w:tcBorders>
            <w:shd w:val="clear" w:color="auto" w:fill="C6EFCE"/>
            <w:noWrap/>
            <w:vAlign w:val="center"/>
          </w:tcPr>
          <w:p w14:paraId="76A7A9DF" w14:textId="751B4F65"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spoločné využívanie automobilov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carpooling (informovanosť)</w:t>
            </w:r>
          </w:p>
        </w:tc>
        <w:tc>
          <w:tcPr>
            <w:tcW w:w="1701" w:type="dxa"/>
            <w:tcBorders>
              <w:top w:val="nil"/>
              <w:left w:val="nil"/>
              <w:bottom w:val="single" w:sz="4" w:space="0" w:color="auto"/>
              <w:right w:val="single" w:sz="4" w:space="0" w:color="auto"/>
            </w:tcBorders>
            <w:shd w:val="clear" w:color="auto" w:fill="C6EFCE"/>
            <w:noWrap/>
            <w:vAlign w:val="center"/>
          </w:tcPr>
          <w:p w14:paraId="192CB51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nil"/>
              <w:left w:val="nil"/>
              <w:bottom w:val="single" w:sz="4" w:space="0" w:color="auto"/>
              <w:right w:val="single" w:sz="4" w:space="0" w:color="auto"/>
            </w:tcBorders>
            <w:shd w:val="clear" w:color="auto" w:fill="C6EFCE"/>
            <w:noWrap/>
            <w:vAlign w:val="center"/>
          </w:tcPr>
          <w:p w14:paraId="632C0E8B" w14:textId="2E57229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Preťaženie informačných kampaní</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spoločné využívanie automobilov boli odhalené najmenej 30000000-krát. </w:t>
            </w:r>
          </w:p>
        </w:tc>
      </w:tr>
      <w:tr w:rsidR="00F65654" w:rsidRPr="00CC26EA" w14:paraId="004874EA"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4C6A452A"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61</w:t>
            </w:r>
          </w:p>
        </w:tc>
        <w:tc>
          <w:tcPr>
            <w:tcW w:w="2526" w:type="dxa"/>
            <w:tcBorders>
              <w:top w:val="nil"/>
              <w:left w:val="nil"/>
              <w:bottom w:val="single" w:sz="4" w:space="0" w:color="auto"/>
              <w:right w:val="single" w:sz="4" w:space="0" w:color="auto"/>
            </w:tcBorders>
            <w:shd w:val="clear" w:color="auto" w:fill="C6EFCE"/>
            <w:noWrap/>
            <w:vAlign w:val="center"/>
          </w:tcPr>
          <w:p w14:paraId="23EC313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Rámec pre Dánsko pripravený na digitálnu budúcnosť (subreforma E)</w:t>
            </w:r>
          </w:p>
        </w:tc>
        <w:tc>
          <w:tcPr>
            <w:tcW w:w="1701" w:type="dxa"/>
            <w:tcBorders>
              <w:top w:val="nil"/>
              <w:left w:val="nil"/>
              <w:bottom w:val="single" w:sz="4" w:space="0" w:color="auto"/>
              <w:right w:val="single" w:sz="4" w:space="0" w:color="auto"/>
            </w:tcBorders>
            <w:shd w:val="clear" w:color="auto" w:fill="C6EFCE"/>
            <w:noWrap/>
            <w:vAlign w:val="center"/>
          </w:tcPr>
          <w:p w14:paraId="37295729"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nil"/>
              <w:left w:val="nil"/>
              <w:bottom w:val="single" w:sz="4" w:space="0" w:color="auto"/>
              <w:right w:val="single" w:sz="4" w:space="0" w:color="auto"/>
            </w:tcBorders>
            <w:shd w:val="clear" w:color="auto" w:fill="C6EFCE"/>
            <w:noWrap/>
            <w:vAlign w:val="center"/>
          </w:tcPr>
          <w:p w14:paraId="4801989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Vláda prijíma novú národnú stratégiu kybernetickej bezpečnosti</w:t>
            </w:r>
          </w:p>
        </w:tc>
      </w:tr>
      <w:tr w:rsidR="00F65654" w:rsidRPr="00CC26EA" w14:paraId="1C6E5E30"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76B9D91F"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66</w:t>
            </w:r>
          </w:p>
        </w:tc>
        <w:tc>
          <w:tcPr>
            <w:tcW w:w="2526" w:type="dxa"/>
            <w:tcBorders>
              <w:top w:val="nil"/>
              <w:left w:val="nil"/>
              <w:bottom w:val="single" w:sz="4" w:space="0" w:color="auto"/>
              <w:right w:val="single" w:sz="4" w:space="0" w:color="auto"/>
            </w:tcBorders>
            <w:shd w:val="clear" w:color="auto" w:fill="C6EFCE"/>
            <w:noWrap/>
            <w:vAlign w:val="center"/>
          </w:tcPr>
          <w:p w14:paraId="52CB693B" w14:textId="50A49715"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uhlíka alebo využívanie CO2</w:t>
            </w:r>
          </w:p>
        </w:tc>
        <w:tc>
          <w:tcPr>
            <w:tcW w:w="1701" w:type="dxa"/>
            <w:tcBorders>
              <w:top w:val="nil"/>
              <w:left w:val="nil"/>
              <w:bottom w:val="single" w:sz="4" w:space="0" w:color="auto"/>
              <w:right w:val="single" w:sz="4" w:space="0" w:color="auto"/>
            </w:tcBorders>
            <w:shd w:val="clear" w:color="auto" w:fill="C6EFCE"/>
            <w:noWrap/>
            <w:vAlign w:val="center"/>
          </w:tcPr>
          <w:p w14:paraId="6090E51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nil"/>
              <w:left w:val="nil"/>
              <w:bottom w:val="single" w:sz="4" w:space="0" w:color="auto"/>
              <w:right w:val="single" w:sz="4" w:space="0" w:color="auto"/>
            </w:tcBorders>
            <w:shd w:val="clear" w:color="auto" w:fill="C6EFCE"/>
            <w:noWrap/>
            <w:vAlign w:val="center"/>
          </w:tcPr>
          <w:p w14:paraId="31B2337F" w14:textId="392E52A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Aspoň jedno výskumné</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inovačné partnerstvo (partnerstvá) získalo finančné prostriedky na „zachytávanie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alebo využívanie CO2“.</w:t>
            </w:r>
          </w:p>
        </w:tc>
      </w:tr>
      <w:tr w:rsidR="00F65654" w:rsidRPr="00CC26EA" w14:paraId="5F1119EC"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5120231D"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69</w:t>
            </w:r>
          </w:p>
        </w:tc>
        <w:tc>
          <w:tcPr>
            <w:tcW w:w="2526" w:type="dxa"/>
            <w:tcBorders>
              <w:top w:val="nil"/>
              <w:left w:val="nil"/>
              <w:bottom w:val="single" w:sz="4" w:space="0" w:color="auto"/>
              <w:right w:val="single" w:sz="4" w:space="0" w:color="auto"/>
            </w:tcBorders>
            <w:shd w:val="clear" w:color="auto" w:fill="C6EFCE"/>
            <w:noWrap/>
            <w:vAlign w:val="center"/>
          </w:tcPr>
          <w:p w14:paraId="58EFFAE8" w14:textId="5F865251"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Ekologické palivá pre dopravu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priemysel</w:t>
            </w:r>
          </w:p>
        </w:tc>
        <w:tc>
          <w:tcPr>
            <w:tcW w:w="1701" w:type="dxa"/>
            <w:tcBorders>
              <w:top w:val="nil"/>
              <w:left w:val="nil"/>
              <w:bottom w:val="single" w:sz="4" w:space="0" w:color="auto"/>
              <w:right w:val="single" w:sz="4" w:space="0" w:color="auto"/>
            </w:tcBorders>
            <w:shd w:val="clear" w:color="auto" w:fill="C6EFCE"/>
            <w:noWrap/>
            <w:vAlign w:val="center"/>
          </w:tcPr>
          <w:p w14:paraId="09797B4A"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nil"/>
              <w:left w:val="nil"/>
              <w:bottom w:val="single" w:sz="4" w:space="0" w:color="auto"/>
              <w:right w:val="single" w:sz="4" w:space="0" w:color="auto"/>
            </w:tcBorders>
            <w:shd w:val="clear" w:color="auto" w:fill="C6EFCE"/>
            <w:noWrap/>
            <w:vAlign w:val="center"/>
          </w:tcPr>
          <w:p w14:paraId="147B73AB" w14:textId="3D1609AF"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Aspoň jedno partnerstvo (partnerstvá)</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oblasti výskumu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inovácií získalo finančné prostriedky na ekologické palivá pre dopravu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priemysel.</w:t>
            </w:r>
          </w:p>
        </w:tc>
      </w:tr>
      <w:tr w:rsidR="00F65654" w:rsidRPr="00CC26EA" w14:paraId="511F967E"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2E1C526B"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72</w:t>
            </w:r>
          </w:p>
        </w:tc>
        <w:tc>
          <w:tcPr>
            <w:tcW w:w="2526" w:type="dxa"/>
            <w:tcBorders>
              <w:top w:val="nil"/>
              <w:left w:val="nil"/>
              <w:bottom w:val="single" w:sz="4" w:space="0" w:color="auto"/>
              <w:right w:val="single" w:sz="4" w:space="0" w:color="auto"/>
            </w:tcBorders>
            <w:shd w:val="clear" w:color="auto" w:fill="C6EFCE"/>
            <w:noWrap/>
            <w:vAlign w:val="center"/>
          </w:tcPr>
          <w:p w14:paraId="0F92AAFD" w14:textId="6B1979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Výskum ekologických riešení:  Poľnohospodárstvo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výroba potravín šetrné ku klíme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životnému prostrediu.</w:t>
            </w:r>
          </w:p>
        </w:tc>
        <w:tc>
          <w:tcPr>
            <w:tcW w:w="1701" w:type="dxa"/>
            <w:tcBorders>
              <w:top w:val="nil"/>
              <w:left w:val="nil"/>
              <w:bottom w:val="single" w:sz="4" w:space="0" w:color="auto"/>
              <w:right w:val="single" w:sz="4" w:space="0" w:color="auto"/>
            </w:tcBorders>
            <w:shd w:val="clear" w:color="auto" w:fill="C6EFCE"/>
            <w:noWrap/>
            <w:vAlign w:val="center"/>
          </w:tcPr>
          <w:p w14:paraId="08B676C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nil"/>
              <w:left w:val="nil"/>
              <w:bottom w:val="single" w:sz="4" w:space="0" w:color="auto"/>
              <w:right w:val="single" w:sz="4" w:space="0" w:color="auto"/>
            </w:tcBorders>
            <w:shd w:val="clear" w:color="auto" w:fill="C6EFCE"/>
            <w:noWrap/>
            <w:vAlign w:val="center"/>
          </w:tcPr>
          <w:p w14:paraId="5AF70249" w14:textId="01A08DED"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Aspoň jedno partnerstvo (partnerstvá)</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oblasti výskumu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inovácií získalo finančné prostriedky na „poľnohospodárstvo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potravinársku výrobu šetrné ku klíme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životnému prostrediu“.</w:t>
            </w:r>
          </w:p>
        </w:tc>
      </w:tr>
      <w:tr w:rsidR="00F65654" w:rsidRPr="00CC26EA" w14:paraId="5FF04D89"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43DD2FCC"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75</w:t>
            </w:r>
          </w:p>
        </w:tc>
        <w:tc>
          <w:tcPr>
            <w:tcW w:w="2526" w:type="dxa"/>
            <w:tcBorders>
              <w:top w:val="nil"/>
              <w:left w:val="nil"/>
              <w:bottom w:val="single" w:sz="4" w:space="0" w:color="auto"/>
              <w:right w:val="single" w:sz="4" w:space="0" w:color="auto"/>
            </w:tcBorders>
            <w:shd w:val="clear" w:color="auto" w:fill="C6EFCE"/>
            <w:noWrap/>
            <w:vAlign w:val="center"/>
          </w:tcPr>
          <w:p w14:paraId="177F7EA7" w14:textId="2596CD79"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Zelený výskum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 – Výskum ekologických riešení</w:t>
            </w:r>
          </w:p>
        </w:tc>
        <w:tc>
          <w:tcPr>
            <w:tcW w:w="1701" w:type="dxa"/>
            <w:tcBorders>
              <w:top w:val="nil"/>
              <w:left w:val="nil"/>
              <w:bottom w:val="single" w:sz="4" w:space="0" w:color="auto"/>
              <w:right w:val="single" w:sz="4" w:space="0" w:color="auto"/>
            </w:tcBorders>
            <w:shd w:val="clear" w:color="auto" w:fill="C6EFCE"/>
            <w:noWrap/>
            <w:vAlign w:val="center"/>
          </w:tcPr>
          <w:p w14:paraId="112A827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nil"/>
              <w:left w:val="nil"/>
              <w:bottom w:val="single" w:sz="4" w:space="0" w:color="auto"/>
              <w:right w:val="single" w:sz="4" w:space="0" w:color="auto"/>
            </w:tcBorders>
            <w:shd w:val="clear" w:color="auto" w:fill="C6EFCE"/>
            <w:noWrap/>
            <w:vAlign w:val="center"/>
          </w:tcPr>
          <w:p w14:paraId="26DBF91B" w14:textId="74DB2229"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Aspoň jedno výskumné</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inovačné partnerstvo (partnerstvá) získalo finančné prostriedky na „obehové hospodárstvo zamerané na opätovné použitie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obmedzenie plastového</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textilného odpadu“.</w:t>
            </w:r>
          </w:p>
        </w:tc>
      </w:tr>
      <w:tr w:rsidR="00F65654" w:rsidRPr="00CC26EA" w14:paraId="2D7F929D"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1BDCC504" w14:textId="7F6F1995"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92</w:t>
            </w:r>
          </w:p>
        </w:tc>
        <w:tc>
          <w:tcPr>
            <w:tcW w:w="2526" w:type="dxa"/>
            <w:tcBorders>
              <w:top w:val="nil"/>
              <w:left w:val="nil"/>
              <w:bottom w:val="single" w:sz="4" w:space="0" w:color="auto"/>
              <w:right w:val="single" w:sz="4" w:space="0" w:color="auto"/>
            </w:tcBorders>
            <w:shd w:val="clear" w:color="auto" w:fill="C6EFCE"/>
            <w:noWrap/>
            <w:vAlign w:val="center"/>
          </w:tcPr>
          <w:p w14:paraId="7F7EF621" w14:textId="2CF007BF"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9 – Audit</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kontrola</w:t>
            </w:r>
          </w:p>
        </w:tc>
        <w:tc>
          <w:tcPr>
            <w:tcW w:w="1701" w:type="dxa"/>
            <w:tcBorders>
              <w:top w:val="nil"/>
              <w:left w:val="nil"/>
              <w:bottom w:val="single" w:sz="4" w:space="0" w:color="auto"/>
              <w:right w:val="single" w:sz="4" w:space="0" w:color="auto"/>
            </w:tcBorders>
            <w:shd w:val="clear" w:color="auto" w:fill="C6EFCE"/>
            <w:noWrap/>
            <w:vAlign w:val="center"/>
          </w:tcPr>
          <w:p w14:paraId="44B53B5C" w14:textId="779EDC4E"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021" w:type="dxa"/>
            <w:tcBorders>
              <w:top w:val="nil"/>
              <w:left w:val="nil"/>
              <w:bottom w:val="single" w:sz="4" w:space="0" w:color="auto"/>
              <w:right w:val="single" w:sz="4" w:space="0" w:color="auto"/>
            </w:tcBorders>
            <w:shd w:val="clear" w:color="auto" w:fill="C6EFCE"/>
            <w:noWrap/>
            <w:vAlign w:val="center"/>
          </w:tcPr>
          <w:p w14:paraId="77B31D7F" w14:textId="74018CBC"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Registračný systém</w:t>
            </w:r>
          </w:p>
        </w:tc>
      </w:tr>
      <w:tr w:rsidR="00F65654" w:rsidRPr="00CC26EA" w14:paraId="74D38051"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09CB6E3D" w14:textId="7072AF7C"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93</w:t>
            </w:r>
          </w:p>
        </w:tc>
        <w:tc>
          <w:tcPr>
            <w:tcW w:w="2526" w:type="dxa"/>
            <w:tcBorders>
              <w:top w:val="nil"/>
              <w:left w:val="nil"/>
              <w:bottom w:val="single" w:sz="4" w:space="0" w:color="auto"/>
              <w:right w:val="single" w:sz="4" w:space="0" w:color="auto"/>
            </w:tcBorders>
            <w:shd w:val="clear" w:color="auto" w:fill="C6EFCE"/>
            <w:noWrap/>
            <w:vAlign w:val="center"/>
          </w:tcPr>
          <w:p w14:paraId="5C50D6B3" w14:textId="561669C1"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9 – Audit</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kontrola</w:t>
            </w:r>
          </w:p>
        </w:tc>
        <w:tc>
          <w:tcPr>
            <w:tcW w:w="1701" w:type="dxa"/>
            <w:tcBorders>
              <w:top w:val="nil"/>
              <w:left w:val="nil"/>
              <w:bottom w:val="single" w:sz="4" w:space="0" w:color="auto"/>
              <w:right w:val="single" w:sz="4" w:space="0" w:color="auto"/>
            </w:tcBorders>
            <w:shd w:val="clear" w:color="auto" w:fill="C6EFCE"/>
            <w:noWrap/>
            <w:vAlign w:val="center"/>
          </w:tcPr>
          <w:p w14:paraId="2449883E" w14:textId="24C563FF"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021" w:type="dxa"/>
            <w:tcBorders>
              <w:top w:val="nil"/>
              <w:left w:val="nil"/>
              <w:bottom w:val="single" w:sz="4" w:space="0" w:color="auto"/>
              <w:right w:val="single" w:sz="4" w:space="0" w:color="auto"/>
            </w:tcBorders>
            <w:shd w:val="clear" w:color="auto" w:fill="C6EFCE"/>
            <w:noWrap/>
            <w:vAlign w:val="center"/>
          </w:tcPr>
          <w:p w14:paraId="33FC65A0" w14:textId="109C0B75"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Prijatie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vykonávanie akčného plánu týkajúceho sa stratégie boja proti podvodom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korupcii</w:t>
            </w:r>
          </w:p>
        </w:tc>
      </w:tr>
      <w:tr w:rsidR="00F65654" w:rsidRPr="00CC26EA" w14:paraId="765E0C0E"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DB5A9C" w14:textId="77777777" w:rsidR="00F65654" w:rsidRPr="00CC26EA" w:rsidRDefault="00F65654">
            <w:pPr>
              <w:spacing w:after="0"/>
              <w:jc w:val="center"/>
              <w:rPr>
                <w:rFonts w:ascii="Times New Roman" w:eastAsia="Times New Roman" w:hAnsi="Times New Roman"/>
                <w:noProof/>
                <w:color w:val="006100"/>
                <w:spacing w:val="-6"/>
                <w:lang w:val="sk-SK"/>
              </w:rPr>
            </w:pPr>
          </w:p>
        </w:tc>
        <w:tc>
          <w:tcPr>
            <w:tcW w:w="2526" w:type="dxa"/>
            <w:tcBorders>
              <w:top w:val="single" w:sz="4" w:space="0" w:color="auto"/>
              <w:left w:val="nil"/>
              <w:bottom w:val="single" w:sz="4" w:space="0" w:color="auto"/>
              <w:right w:val="single" w:sz="4" w:space="0" w:color="auto"/>
            </w:tcBorders>
            <w:shd w:val="clear" w:color="auto" w:fill="C6EFCE"/>
            <w:noWrap/>
            <w:vAlign w:val="center"/>
          </w:tcPr>
          <w:p w14:paraId="1A2FE459" w14:textId="77777777" w:rsidR="00F65654" w:rsidRPr="00CC26EA" w:rsidRDefault="00F65654">
            <w:pPr>
              <w:spacing w:after="0"/>
              <w:rPr>
                <w:rFonts w:ascii="Times New Roman" w:eastAsia="Times New Roman" w:hAnsi="Times New Roman"/>
                <w:noProof/>
                <w:color w:val="006100"/>
                <w:spacing w:val="-6"/>
                <w:lang w:val="sk-SK"/>
              </w:rPr>
            </w:pP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3A57DD5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Suma splátky</w:t>
            </w:r>
          </w:p>
        </w:tc>
        <w:tc>
          <w:tcPr>
            <w:tcW w:w="4021" w:type="dxa"/>
            <w:tcBorders>
              <w:top w:val="single" w:sz="4" w:space="0" w:color="auto"/>
              <w:left w:val="nil"/>
              <w:bottom w:val="single" w:sz="4" w:space="0" w:color="auto"/>
              <w:right w:val="single" w:sz="4" w:space="0" w:color="auto"/>
            </w:tcBorders>
            <w:shd w:val="clear" w:color="auto" w:fill="C6EFCE"/>
            <w:noWrap/>
            <w:vAlign w:val="center"/>
          </w:tcPr>
          <w:p w14:paraId="57D3E0A5" w14:textId="11E9BF1D"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509 574 078 EUR</w:t>
            </w:r>
          </w:p>
        </w:tc>
      </w:tr>
    </w:tbl>
    <w:p w14:paraId="1101676E" w14:textId="77777777" w:rsidR="00F65654" w:rsidRPr="00CC26EA" w:rsidRDefault="00F65654">
      <w:pPr>
        <w:rPr>
          <w:rFonts w:ascii="Times New Roman" w:hAnsi="Times New Roman"/>
          <w:noProof/>
          <w:spacing w:val="-6"/>
          <w:lang w:val="sk-SK"/>
        </w:rPr>
      </w:pPr>
    </w:p>
    <w:p w14:paraId="7DE9A1A0" w14:textId="77777777" w:rsidR="00F65654" w:rsidRPr="00CC26EA" w:rsidRDefault="00F65654">
      <w:pPr>
        <w:rPr>
          <w:rFonts w:ascii="Times New Roman" w:hAnsi="Times New Roman"/>
          <w:noProof/>
          <w:spacing w:val="-6"/>
          <w:lang w:val="sk-SK"/>
        </w:rPr>
      </w:pPr>
    </w:p>
    <w:p w14:paraId="6D3B3476" w14:textId="77777777" w:rsidR="00F65654" w:rsidRPr="00CC26EA" w:rsidRDefault="0041081E">
      <w:pPr>
        <w:pStyle w:val="NumPar2"/>
        <w:numPr>
          <w:ilvl w:val="1"/>
          <w:numId w:val="17"/>
        </w:numPr>
        <w:rPr>
          <w:noProof/>
          <w:spacing w:val="-6"/>
          <w:lang w:val="sk-SK"/>
        </w:rPr>
      </w:pPr>
      <w:r w:rsidRPr="00CC26EA">
        <w:rPr>
          <w:noProof/>
          <w:spacing w:val="-6"/>
          <w:lang w:val="sk-SK"/>
        </w:rPr>
        <w:t xml:space="preserve">Tretia splátka (nenávratná podpora): </w:t>
      </w:r>
    </w:p>
    <w:tbl>
      <w:tblPr>
        <w:tblW w:w="9493" w:type="dxa"/>
        <w:tblInd w:w="113" w:type="dxa"/>
        <w:tblLook w:val="04A0" w:firstRow="1" w:lastRow="0" w:firstColumn="1" w:lastColumn="0" w:noHBand="0" w:noVBand="1"/>
      </w:tblPr>
      <w:tblGrid>
        <w:gridCol w:w="1296"/>
        <w:gridCol w:w="2523"/>
        <w:gridCol w:w="1248"/>
        <w:gridCol w:w="4449"/>
      </w:tblGrid>
      <w:tr w:rsidR="00F65654" w:rsidRPr="00CC26EA" w14:paraId="2A08676E" w14:textId="77777777">
        <w:trPr>
          <w:trHeight w:val="624"/>
          <w:tblHeader/>
        </w:trPr>
        <w:tc>
          <w:tcPr>
            <w:tcW w:w="12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35892FF"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Poradové číslo</w:t>
            </w:r>
          </w:p>
        </w:tc>
        <w:tc>
          <w:tcPr>
            <w:tcW w:w="25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80C0B7D"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Súvisiace opatrenie (reforma alebo investícia)</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121A5DC"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Míľnik/cieľ</w:t>
            </w:r>
          </w:p>
        </w:tc>
        <w:tc>
          <w:tcPr>
            <w:tcW w:w="445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2E4AE88"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Názov</w:t>
            </w:r>
          </w:p>
        </w:tc>
      </w:tr>
      <w:tr w:rsidR="00F65654" w:rsidRPr="00CC26EA" w14:paraId="65D4D395" w14:textId="77777777">
        <w:trPr>
          <w:trHeight w:val="990"/>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1F74C081" w14:textId="77777777" w:rsidR="00F65654" w:rsidRPr="00CC26EA" w:rsidRDefault="00F65654">
            <w:pPr>
              <w:spacing w:after="0"/>
              <w:rPr>
                <w:rFonts w:ascii="Times New Roman" w:eastAsia="Times New Roman" w:hAnsi="Times New Roman"/>
                <w:b/>
                <w:noProof/>
                <w:spacing w:val="-6"/>
                <w:lang w:val="sk-SK"/>
              </w:rPr>
            </w:pPr>
          </w:p>
        </w:tc>
        <w:tc>
          <w:tcPr>
            <w:tcW w:w="2526" w:type="dxa"/>
            <w:vMerge/>
            <w:tcBorders>
              <w:top w:val="single" w:sz="4" w:space="0" w:color="auto"/>
              <w:left w:val="single" w:sz="4" w:space="0" w:color="auto"/>
              <w:bottom w:val="single" w:sz="4" w:space="0" w:color="auto"/>
              <w:right w:val="single" w:sz="4" w:space="0" w:color="auto"/>
            </w:tcBorders>
            <w:vAlign w:val="center"/>
            <w:hideMark/>
          </w:tcPr>
          <w:p w14:paraId="5D09CAA9" w14:textId="77777777" w:rsidR="00F65654" w:rsidRPr="00CC26EA" w:rsidRDefault="00F65654">
            <w:pPr>
              <w:spacing w:after="0"/>
              <w:rPr>
                <w:rFonts w:ascii="Times New Roman" w:eastAsia="Times New Roman" w:hAnsi="Times New Roman"/>
                <w:b/>
                <w:noProof/>
                <w:spacing w:val="-6"/>
                <w:lang w:val="sk-SK"/>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5BB09F44" w14:textId="77777777" w:rsidR="00F65654" w:rsidRPr="00CC26EA" w:rsidRDefault="00F65654">
            <w:pPr>
              <w:spacing w:after="0"/>
              <w:rPr>
                <w:rFonts w:ascii="Times New Roman" w:eastAsia="Times New Roman" w:hAnsi="Times New Roman"/>
                <w:b/>
                <w:noProof/>
                <w:spacing w:val="-6"/>
                <w:lang w:val="sk-SK"/>
              </w:rPr>
            </w:pPr>
          </w:p>
        </w:tc>
        <w:tc>
          <w:tcPr>
            <w:tcW w:w="4454" w:type="dxa"/>
            <w:vMerge/>
            <w:tcBorders>
              <w:top w:val="single" w:sz="4" w:space="0" w:color="auto"/>
              <w:left w:val="single" w:sz="4" w:space="0" w:color="auto"/>
              <w:bottom w:val="single" w:sz="4" w:space="0" w:color="auto"/>
              <w:right w:val="single" w:sz="4" w:space="0" w:color="auto"/>
            </w:tcBorders>
            <w:vAlign w:val="center"/>
            <w:hideMark/>
          </w:tcPr>
          <w:p w14:paraId="21DAE6CC" w14:textId="77777777" w:rsidR="00F65654" w:rsidRPr="00CC26EA" w:rsidRDefault="00F65654">
            <w:pPr>
              <w:spacing w:after="0"/>
              <w:rPr>
                <w:rFonts w:ascii="Times New Roman" w:eastAsia="Times New Roman" w:hAnsi="Times New Roman"/>
                <w:b/>
                <w:noProof/>
                <w:spacing w:val="-6"/>
                <w:lang w:val="sk-SK"/>
              </w:rPr>
            </w:pPr>
          </w:p>
        </w:tc>
      </w:tr>
      <w:tr w:rsidR="00F65654" w:rsidRPr="00CC26EA" w14:paraId="54B9FEDF"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0C5F32A"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39</w:t>
            </w:r>
          </w:p>
        </w:tc>
        <w:tc>
          <w:tcPr>
            <w:tcW w:w="2526" w:type="dxa"/>
            <w:tcBorders>
              <w:top w:val="single" w:sz="4" w:space="0" w:color="auto"/>
              <w:left w:val="nil"/>
              <w:bottom w:val="single" w:sz="4" w:space="0" w:color="auto"/>
              <w:right w:val="single" w:sz="4" w:space="0" w:color="auto"/>
            </w:tcBorders>
            <w:shd w:val="clear" w:color="auto" w:fill="C6EFCE"/>
            <w:noWrap/>
            <w:vAlign w:val="center"/>
            <w:hideMark/>
          </w:tcPr>
          <w:p w14:paraId="350E6BA6" w14:textId="3A661B5D"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4 – Reforma ekologických daní – Emisné dane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priemyselných odvetví</w:t>
            </w:r>
          </w:p>
        </w:tc>
        <w:tc>
          <w:tcPr>
            <w:tcW w:w="1216" w:type="dxa"/>
            <w:tcBorders>
              <w:top w:val="single" w:sz="4" w:space="0" w:color="auto"/>
              <w:left w:val="nil"/>
              <w:bottom w:val="single" w:sz="4" w:space="0" w:color="auto"/>
              <w:right w:val="single" w:sz="4" w:space="0" w:color="auto"/>
            </w:tcBorders>
            <w:shd w:val="clear" w:color="auto" w:fill="C6EFCE"/>
            <w:noWrap/>
            <w:vAlign w:val="center"/>
            <w:hideMark/>
          </w:tcPr>
          <w:p w14:paraId="05448D89"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454" w:type="dxa"/>
            <w:tcBorders>
              <w:top w:val="single" w:sz="4" w:space="0" w:color="auto"/>
              <w:left w:val="nil"/>
              <w:bottom w:val="single" w:sz="4" w:space="0" w:color="auto"/>
              <w:right w:val="single" w:sz="4" w:space="0" w:color="auto"/>
            </w:tcBorders>
            <w:shd w:val="clear" w:color="auto" w:fill="C6EFCE"/>
            <w:noWrap/>
            <w:vAlign w:val="center"/>
            <w:hideMark/>
          </w:tcPr>
          <w:p w14:paraId="31F66629" w14:textId="72386B1C"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Návrh zákona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reforme ekologickej dane vrátane zvýšenej dane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emisií</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 prijíma dánsky parlament</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iniciatíva nadobúda účinnosť pre všetky priemyselné odvetvia okrem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nerastných surovín.</w:t>
            </w:r>
          </w:p>
        </w:tc>
      </w:tr>
      <w:tr w:rsidR="00F65654" w:rsidRPr="00CC26EA" w14:paraId="00D5755D"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hideMark/>
          </w:tcPr>
          <w:p w14:paraId="7E7391E4"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37</w:t>
            </w:r>
          </w:p>
        </w:tc>
        <w:tc>
          <w:tcPr>
            <w:tcW w:w="2526" w:type="dxa"/>
            <w:tcBorders>
              <w:top w:val="nil"/>
              <w:left w:val="nil"/>
              <w:bottom w:val="single" w:sz="4" w:space="0" w:color="auto"/>
              <w:right w:val="single" w:sz="4" w:space="0" w:color="auto"/>
            </w:tcBorders>
            <w:shd w:val="clear" w:color="auto" w:fill="C6EFCE"/>
            <w:noWrap/>
            <w:vAlign w:val="center"/>
            <w:hideMark/>
          </w:tcPr>
          <w:p w14:paraId="32B0D2B6" w14:textId="41DBF8A4"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4 – Reforma ekologických daní – expertná skupina na prípravu návrhov týkajúcich sa dane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emisií CO2</w:t>
            </w:r>
          </w:p>
        </w:tc>
        <w:tc>
          <w:tcPr>
            <w:tcW w:w="1216" w:type="dxa"/>
            <w:tcBorders>
              <w:top w:val="nil"/>
              <w:left w:val="nil"/>
              <w:bottom w:val="single" w:sz="4" w:space="0" w:color="auto"/>
              <w:right w:val="single" w:sz="4" w:space="0" w:color="auto"/>
            </w:tcBorders>
            <w:shd w:val="clear" w:color="auto" w:fill="C6EFCE"/>
            <w:noWrap/>
            <w:vAlign w:val="center"/>
            <w:hideMark/>
          </w:tcPr>
          <w:p w14:paraId="449065C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454" w:type="dxa"/>
            <w:tcBorders>
              <w:top w:val="nil"/>
              <w:left w:val="nil"/>
              <w:bottom w:val="single" w:sz="4" w:space="0" w:color="auto"/>
              <w:right w:val="single" w:sz="4" w:space="0" w:color="auto"/>
            </w:tcBorders>
            <w:shd w:val="clear" w:color="auto" w:fill="C6EFCE"/>
            <w:noWrap/>
            <w:vAlign w:val="center"/>
            <w:hideMark/>
          </w:tcPr>
          <w:p w14:paraId="729CB4EA" w14:textId="2BC213C0"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 súlade so závermi správy expertnej skupiny pre jednotné nariadenie</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dani</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CO2 vláda zvolá zúčastnené strany reformy ekologickej dane, aby sa dohodli na ďalších krokoch.</w:t>
            </w:r>
          </w:p>
        </w:tc>
      </w:tr>
      <w:tr w:rsidR="00F65654" w:rsidRPr="00CC26EA" w14:paraId="7C6B4B33" w14:textId="77777777">
        <w:trPr>
          <w:trHeight w:val="499"/>
        </w:trPr>
        <w:tc>
          <w:tcPr>
            <w:tcW w:w="1297" w:type="dxa"/>
            <w:tcBorders>
              <w:top w:val="nil"/>
              <w:left w:val="single" w:sz="4" w:space="0" w:color="auto"/>
              <w:bottom w:val="single" w:sz="4" w:space="0" w:color="auto"/>
              <w:right w:val="single" w:sz="4" w:space="0" w:color="auto"/>
            </w:tcBorders>
            <w:shd w:val="clear" w:color="auto" w:fill="C6EFCE"/>
            <w:noWrap/>
            <w:vAlign w:val="center"/>
            <w:hideMark/>
          </w:tcPr>
          <w:p w14:paraId="18042A1C"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77</w:t>
            </w:r>
          </w:p>
        </w:tc>
        <w:tc>
          <w:tcPr>
            <w:tcW w:w="2526" w:type="dxa"/>
            <w:tcBorders>
              <w:top w:val="nil"/>
              <w:left w:val="nil"/>
              <w:bottom w:val="single" w:sz="4" w:space="0" w:color="auto"/>
              <w:right w:val="single" w:sz="4" w:space="0" w:color="auto"/>
            </w:tcBorders>
            <w:shd w:val="clear" w:color="auto" w:fill="C6EFCE"/>
            <w:noWrap/>
            <w:vAlign w:val="center"/>
            <w:hideMark/>
          </w:tcPr>
          <w:p w14:paraId="72D025EC" w14:textId="4497336B"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 – Zelený výskum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 – stimuly na podporu výskumu</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podnikoch</w:t>
            </w:r>
          </w:p>
        </w:tc>
        <w:tc>
          <w:tcPr>
            <w:tcW w:w="1216" w:type="dxa"/>
            <w:tcBorders>
              <w:top w:val="nil"/>
              <w:left w:val="nil"/>
              <w:bottom w:val="single" w:sz="4" w:space="0" w:color="auto"/>
              <w:right w:val="single" w:sz="4" w:space="0" w:color="auto"/>
            </w:tcBorders>
            <w:shd w:val="clear" w:color="auto" w:fill="C6EFCE"/>
            <w:noWrap/>
            <w:vAlign w:val="center"/>
            <w:hideMark/>
          </w:tcPr>
          <w:p w14:paraId="364BCB7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454" w:type="dxa"/>
            <w:tcBorders>
              <w:top w:val="nil"/>
              <w:left w:val="nil"/>
              <w:bottom w:val="single" w:sz="4" w:space="0" w:color="auto"/>
              <w:right w:val="single" w:sz="4" w:space="0" w:color="auto"/>
            </w:tcBorders>
            <w:shd w:val="clear" w:color="auto" w:fill="C6EFCE"/>
            <w:noWrap/>
            <w:vAlign w:val="center"/>
            <w:hideMark/>
          </w:tcPr>
          <w:p w14:paraId="14C8F4FD" w14:textId="451A8D9A"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500 firiem využilo daňový odpočet stanovený odpočtami na výskum</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vývoj</w:t>
            </w:r>
          </w:p>
        </w:tc>
      </w:tr>
      <w:tr w:rsidR="00F65654" w:rsidRPr="00CC26EA" w14:paraId="7496BE9A"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3B30D3B2"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5</w:t>
            </w:r>
          </w:p>
        </w:tc>
        <w:tc>
          <w:tcPr>
            <w:tcW w:w="2526" w:type="dxa"/>
            <w:tcBorders>
              <w:top w:val="nil"/>
              <w:left w:val="nil"/>
              <w:bottom w:val="single" w:sz="4" w:space="0" w:color="auto"/>
              <w:right w:val="single" w:sz="4" w:space="0" w:color="auto"/>
            </w:tcBorders>
            <w:shd w:val="clear" w:color="auto" w:fill="C6EFCE"/>
            <w:noWrap/>
            <w:vAlign w:val="center"/>
          </w:tcPr>
          <w:p w14:paraId="5B362A5B" w14:textId="1B3D3C8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 – Posilnenie odolnosti systému zdravotnej starostlivosti – klinická štúdia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účinku vakcín proti ochoreniu COVID-19</w:t>
            </w:r>
          </w:p>
        </w:tc>
        <w:tc>
          <w:tcPr>
            <w:tcW w:w="1216" w:type="dxa"/>
            <w:tcBorders>
              <w:top w:val="nil"/>
              <w:left w:val="nil"/>
              <w:bottom w:val="single" w:sz="4" w:space="0" w:color="auto"/>
              <w:right w:val="single" w:sz="4" w:space="0" w:color="auto"/>
            </w:tcBorders>
            <w:shd w:val="clear" w:color="auto" w:fill="C6EFCE"/>
            <w:noWrap/>
            <w:vAlign w:val="center"/>
          </w:tcPr>
          <w:p w14:paraId="4803C4F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454" w:type="dxa"/>
            <w:tcBorders>
              <w:top w:val="nil"/>
              <w:left w:val="nil"/>
              <w:bottom w:val="single" w:sz="4" w:space="0" w:color="auto"/>
              <w:right w:val="single" w:sz="4" w:space="0" w:color="auto"/>
            </w:tcBorders>
            <w:shd w:val="clear" w:color="auto" w:fill="C6EFCE"/>
            <w:noWrap/>
            <w:vAlign w:val="center"/>
          </w:tcPr>
          <w:p w14:paraId="53A824C0" w14:textId="429180A9"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Správa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štúdii vypracovanej nemocnicou Trial Nation</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Aarhus University Hospital</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účinkoch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vedľajších účinkoch vakcín proti ochoreniu COVID-19, ktorá sa má sprístupniť dánskemu ministerstvu zdravotníctva. </w:t>
            </w:r>
          </w:p>
        </w:tc>
      </w:tr>
      <w:tr w:rsidR="00F65654" w:rsidRPr="00CC26EA" w14:paraId="7669D73F"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561B0684"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17</w:t>
            </w:r>
          </w:p>
        </w:tc>
        <w:tc>
          <w:tcPr>
            <w:tcW w:w="2526" w:type="dxa"/>
            <w:tcBorders>
              <w:top w:val="nil"/>
              <w:left w:val="nil"/>
              <w:bottom w:val="single" w:sz="4" w:space="0" w:color="auto"/>
              <w:right w:val="single" w:sz="4" w:space="0" w:color="auto"/>
            </w:tcBorders>
            <w:shd w:val="clear" w:color="auto" w:fill="C6EFCE"/>
            <w:noWrap/>
            <w:vAlign w:val="center"/>
          </w:tcPr>
          <w:p w14:paraId="65D5D76F" w14:textId="17F62CBE"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Obnova priemyselných lokalít</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kontaminovanej pôdy</w:t>
            </w:r>
          </w:p>
        </w:tc>
        <w:tc>
          <w:tcPr>
            <w:tcW w:w="1216" w:type="dxa"/>
            <w:tcBorders>
              <w:top w:val="nil"/>
              <w:left w:val="nil"/>
              <w:bottom w:val="single" w:sz="4" w:space="0" w:color="auto"/>
              <w:right w:val="single" w:sz="4" w:space="0" w:color="auto"/>
            </w:tcBorders>
            <w:shd w:val="clear" w:color="auto" w:fill="C6EFCE"/>
            <w:noWrap/>
            <w:vAlign w:val="center"/>
          </w:tcPr>
          <w:p w14:paraId="57B6A33A"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454" w:type="dxa"/>
            <w:tcBorders>
              <w:top w:val="nil"/>
              <w:left w:val="nil"/>
              <w:bottom w:val="single" w:sz="4" w:space="0" w:color="auto"/>
              <w:right w:val="single" w:sz="4" w:space="0" w:color="auto"/>
            </w:tcBorders>
            <w:shd w:val="clear" w:color="auto" w:fill="C6EFCE"/>
            <w:noWrap/>
            <w:vAlign w:val="center"/>
          </w:tcPr>
          <w:p w14:paraId="14A0C31C" w14:textId="7A5B716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Správa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stave prác vykonaných na schválených projektoch</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polovici obdobia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prijatých nápravných opatreniach</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prípade potreby</w:t>
            </w:r>
          </w:p>
        </w:tc>
      </w:tr>
      <w:tr w:rsidR="00F65654" w:rsidRPr="00CC26EA" w14:paraId="6BB89AAC"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55737011"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28</w:t>
            </w:r>
          </w:p>
        </w:tc>
        <w:tc>
          <w:tcPr>
            <w:tcW w:w="2526" w:type="dxa"/>
            <w:tcBorders>
              <w:top w:val="nil"/>
              <w:left w:val="nil"/>
              <w:bottom w:val="single" w:sz="4" w:space="0" w:color="auto"/>
              <w:right w:val="single" w:sz="4" w:space="0" w:color="auto"/>
            </w:tcBorders>
            <w:shd w:val="clear" w:color="auto" w:fill="C6EFCE"/>
            <w:noWrap/>
            <w:vAlign w:val="center"/>
          </w:tcPr>
          <w:p w14:paraId="489F1078" w14:textId="3D65B9BE"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3 – Energetická účinnosť,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potenciál zachytávania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ukladania CO2</w:t>
            </w:r>
          </w:p>
        </w:tc>
        <w:tc>
          <w:tcPr>
            <w:tcW w:w="1216" w:type="dxa"/>
            <w:tcBorders>
              <w:top w:val="nil"/>
              <w:left w:val="nil"/>
              <w:bottom w:val="single" w:sz="4" w:space="0" w:color="auto"/>
              <w:right w:val="single" w:sz="4" w:space="0" w:color="auto"/>
            </w:tcBorders>
            <w:shd w:val="clear" w:color="auto" w:fill="C6EFCE"/>
            <w:noWrap/>
            <w:vAlign w:val="center"/>
          </w:tcPr>
          <w:p w14:paraId="1947B2B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454" w:type="dxa"/>
            <w:tcBorders>
              <w:top w:val="nil"/>
              <w:left w:val="nil"/>
              <w:bottom w:val="single" w:sz="4" w:space="0" w:color="auto"/>
              <w:right w:val="single" w:sz="4" w:space="0" w:color="auto"/>
            </w:tcBorders>
            <w:shd w:val="clear" w:color="auto" w:fill="C6EFCE"/>
            <w:noWrap/>
            <w:vAlign w:val="center"/>
          </w:tcPr>
          <w:p w14:paraId="6E9F2E1A" w14:textId="6B927413"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Dokončenie štúdie uskutočniteľnosti CCS-storage. Vláda prijíma rozhodnutie</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následných opatreniach.</w:t>
            </w:r>
          </w:p>
        </w:tc>
      </w:tr>
      <w:tr w:rsidR="00F65654" w:rsidRPr="00CC26EA" w14:paraId="7DC84EA7"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2412A2CF"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55</w:t>
            </w:r>
          </w:p>
        </w:tc>
        <w:tc>
          <w:tcPr>
            <w:tcW w:w="2526" w:type="dxa"/>
            <w:tcBorders>
              <w:top w:val="nil"/>
              <w:left w:val="nil"/>
              <w:bottom w:val="single" w:sz="4" w:space="0" w:color="auto"/>
              <w:right w:val="single" w:sz="4" w:space="0" w:color="auto"/>
            </w:tcBorders>
            <w:shd w:val="clear" w:color="auto" w:fill="C6EFCE"/>
            <w:noWrap/>
            <w:vAlign w:val="center"/>
          </w:tcPr>
          <w:p w14:paraId="79FCAF7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Digitálna stratégia</w:t>
            </w:r>
          </w:p>
        </w:tc>
        <w:tc>
          <w:tcPr>
            <w:tcW w:w="1216" w:type="dxa"/>
            <w:tcBorders>
              <w:top w:val="nil"/>
              <w:left w:val="nil"/>
              <w:bottom w:val="single" w:sz="4" w:space="0" w:color="auto"/>
              <w:right w:val="single" w:sz="4" w:space="0" w:color="auto"/>
            </w:tcBorders>
            <w:shd w:val="clear" w:color="auto" w:fill="C6EFCE"/>
            <w:noWrap/>
            <w:vAlign w:val="center"/>
          </w:tcPr>
          <w:p w14:paraId="6DE396D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454" w:type="dxa"/>
            <w:tcBorders>
              <w:top w:val="nil"/>
              <w:left w:val="nil"/>
              <w:bottom w:val="single" w:sz="4" w:space="0" w:color="auto"/>
              <w:right w:val="single" w:sz="4" w:space="0" w:color="auto"/>
            </w:tcBorders>
            <w:shd w:val="clear" w:color="auto" w:fill="C6EFCE"/>
            <w:noWrap/>
            <w:vAlign w:val="center"/>
          </w:tcPr>
          <w:p w14:paraId="4F1F45DF" w14:textId="6F154EDF"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Implementácia digitálnej stratégie do príslušných regulačných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legislatívnych aktov. </w:t>
            </w:r>
          </w:p>
        </w:tc>
      </w:tr>
      <w:tr w:rsidR="00F65654" w:rsidRPr="00CC26EA" w14:paraId="0350D0F5"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087E6A49"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63</w:t>
            </w:r>
          </w:p>
        </w:tc>
        <w:tc>
          <w:tcPr>
            <w:tcW w:w="2526" w:type="dxa"/>
            <w:tcBorders>
              <w:top w:val="nil"/>
              <w:left w:val="nil"/>
              <w:bottom w:val="single" w:sz="4" w:space="0" w:color="auto"/>
              <w:right w:val="single" w:sz="4" w:space="0" w:color="auto"/>
            </w:tcBorders>
            <w:shd w:val="clear" w:color="auto" w:fill="C6EFCE"/>
            <w:noWrap/>
            <w:vAlign w:val="center"/>
          </w:tcPr>
          <w:p w14:paraId="74C031AE" w14:textId="007262B3"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Digitálna transformácia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obchod MSP</w:t>
            </w:r>
          </w:p>
        </w:tc>
        <w:tc>
          <w:tcPr>
            <w:tcW w:w="1216" w:type="dxa"/>
            <w:tcBorders>
              <w:top w:val="nil"/>
              <w:left w:val="nil"/>
              <w:bottom w:val="single" w:sz="4" w:space="0" w:color="auto"/>
              <w:right w:val="single" w:sz="4" w:space="0" w:color="auto"/>
            </w:tcBorders>
            <w:shd w:val="clear" w:color="auto" w:fill="C6EFCE"/>
            <w:noWrap/>
            <w:vAlign w:val="center"/>
          </w:tcPr>
          <w:p w14:paraId="0C3EE52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454" w:type="dxa"/>
            <w:tcBorders>
              <w:top w:val="nil"/>
              <w:left w:val="nil"/>
              <w:bottom w:val="single" w:sz="4" w:space="0" w:color="auto"/>
              <w:right w:val="single" w:sz="4" w:space="0" w:color="auto"/>
            </w:tcBorders>
            <w:shd w:val="clear" w:color="auto" w:fill="C6EFCE"/>
            <w:noWrap/>
            <w:vAlign w:val="center"/>
          </w:tcPr>
          <w:p w14:paraId="63E92C2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Minimálne 550 MSP získalo finančné prostriedky na digitálne projekty</w:t>
            </w:r>
          </w:p>
        </w:tc>
      </w:tr>
      <w:tr w:rsidR="00F65654" w:rsidRPr="00CC26EA" w14:paraId="1ECF5700"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6CFE3A" w14:textId="77777777" w:rsidR="00F65654" w:rsidRPr="00CC26EA" w:rsidRDefault="00F65654">
            <w:pPr>
              <w:spacing w:after="0"/>
              <w:rPr>
                <w:rFonts w:ascii="Times New Roman" w:eastAsia="Times New Roman" w:hAnsi="Times New Roman"/>
                <w:noProof/>
                <w:color w:val="006100"/>
                <w:spacing w:val="-6"/>
                <w:lang w:val="sk-SK"/>
              </w:rPr>
            </w:pPr>
          </w:p>
        </w:tc>
        <w:tc>
          <w:tcPr>
            <w:tcW w:w="2526" w:type="dxa"/>
            <w:tcBorders>
              <w:top w:val="single" w:sz="4" w:space="0" w:color="auto"/>
              <w:left w:val="nil"/>
              <w:bottom w:val="single" w:sz="4" w:space="0" w:color="auto"/>
              <w:right w:val="single" w:sz="4" w:space="0" w:color="auto"/>
            </w:tcBorders>
            <w:shd w:val="clear" w:color="auto" w:fill="C6EFCE"/>
            <w:noWrap/>
            <w:vAlign w:val="center"/>
          </w:tcPr>
          <w:p w14:paraId="4661CBE4" w14:textId="77777777" w:rsidR="00F65654" w:rsidRPr="00CC26EA" w:rsidRDefault="00F65654">
            <w:pPr>
              <w:spacing w:after="0"/>
              <w:rPr>
                <w:rFonts w:ascii="Times New Roman" w:eastAsia="Times New Roman" w:hAnsi="Times New Roman"/>
                <w:noProof/>
                <w:color w:val="006100"/>
                <w:spacing w:val="-6"/>
                <w:lang w:val="sk-SK"/>
              </w:rPr>
            </w:pPr>
          </w:p>
        </w:tc>
        <w:tc>
          <w:tcPr>
            <w:tcW w:w="1216" w:type="dxa"/>
            <w:tcBorders>
              <w:top w:val="single" w:sz="4" w:space="0" w:color="auto"/>
              <w:left w:val="nil"/>
              <w:bottom w:val="single" w:sz="4" w:space="0" w:color="auto"/>
              <w:right w:val="single" w:sz="4" w:space="0" w:color="auto"/>
            </w:tcBorders>
            <w:shd w:val="clear" w:color="auto" w:fill="C6EFCE"/>
            <w:noWrap/>
            <w:vAlign w:val="center"/>
          </w:tcPr>
          <w:p w14:paraId="30D7CBF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Suma splátky</w:t>
            </w:r>
          </w:p>
        </w:tc>
        <w:tc>
          <w:tcPr>
            <w:tcW w:w="4454" w:type="dxa"/>
            <w:tcBorders>
              <w:top w:val="single" w:sz="4" w:space="0" w:color="auto"/>
              <w:left w:val="nil"/>
              <w:bottom w:val="single" w:sz="4" w:space="0" w:color="auto"/>
              <w:right w:val="single" w:sz="4" w:space="0" w:color="auto"/>
            </w:tcBorders>
            <w:shd w:val="clear" w:color="auto" w:fill="C6EFCE"/>
            <w:noWrap/>
            <w:vAlign w:val="center"/>
          </w:tcPr>
          <w:p w14:paraId="61B95A70" w14:textId="13601020"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138 911 862 EUR</w:t>
            </w:r>
          </w:p>
        </w:tc>
      </w:tr>
    </w:tbl>
    <w:p w14:paraId="13496C73" w14:textId="77777777" w:rsidR="00F65654" w:rsidRPr="00CC26EA" w:rsidRDefault="00F65654">
      <w:pPr>
        <w:rPr>
          <w:rFonts w:ascii="Times New Roman" w:hAnsi="Times New Roman"/>
          <w:noProof/>
          <w:spacing w:val="-6"/>
          <w:lang w:val="sk-SK"/>
        </w:rPr>
      </w:pPr>
    </w:p>
    <w:p w14:paraId="565EB0ED" w14:textId="77777777" w:rsidR="00F65654" w:rsidRPr="00CC26EA" w:rsidRDefault="0041081E">
      <w:pPr>
        <w:pStyle w:val="NumPar2"/>
        <w:numPr>
          <w:ilvl w:val="1"/>
          <w:numId w:val="17"/>
        </w:numPr>
        <w:rPr>
          <w:noProof/>
          <w:spacing w:val="-6"/>
          <w:lang w:val="sk-SK"/>
        </w:rPr>
      </w:pPr>
      <w:r w:rsidRPr="00CC26EA">
        <w:rPr>
          <w:noProof/>
          <w:spacing w:val="-6"/>
          <w:lang w:val="sk-SK"/>
        </w:rPr>
        <w:t xml:space="preserve">Štvrtá splátka (nenávratná podpora): </w:t>
      </w:r>
    </w:p>
    <w:tbl>
      <w:tblPr>
        <w:tblW w:w="9545" w:type="dxa"/>
        <w:tblInd w:w="113" w:type="dxa"/>
        <w:tblLook w:val="04A0" w:firstRow="1" w:lastRow="0" w:firstColumn="1" w:lastColumn="0" w:noHBand="0" w:noVBand="1"/>
      </w:tblPr>
      <w:tblGrid>
        <w:gridCol w:w="1297"/>
        <w:gridCol w:w="2526"/>
        <w:gridCol w:w="1275"/>
        <w:gridCol w:w="4447"/>
      </w:tblGrid>
      <w:tr w:rsidR="00F65654" w:rsidRPr="00CC26EA" w14:paraId="122DA2E9" w14:textId="77777777">
        <w:trPr>
          <w:trHeight w:val="509"/>
          <w:tblHeader/>
        </w:trPr>
        <w:tc>
          <w:tcPr>
            <w:tcW w:w="12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9B66518"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Poradové číslo</w:t>
            </w:r>
          </w:p>
        </w:tc>
        <w:tc>
          <w:tcPr>
            <w:tcW w:w="25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55110E7"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Súvisiace opatrenie (reforma alebo investícia)</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20236D4"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Míľnik/cieľ</w:t>
            </w:r>
          </w:p>
        </w:tc>
        <w:tc>
          <w:tcPr>
            <w:tcW w:w="444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9FE0C61"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Názov</w:t>
            </w:r>
          </w:p>
        </w:tc>
      </w:tr>
      <w:tr w:rsidR="00F65654" w:rsidRPr="00CC26EA" w14:paraId="5A508BFB" w14:textId="77777777">
        <w:trPr>
          <w:trHeight w:val="990"/>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7BCF7B90" w14:textId="77777777" w:rsidR="00F65654" w:rsidRPr="00CC26EA" w:rsidRDefault="00F65654">
            <w:pPr>
              <w:spacing w:after="0"/>
              <w:rPr>
                <w:rFonts w:ascii="Times New Roman" w:eastAsia="Times New Roman" w:hAnsi="Times New Roman"/>
                <w:b/>
                <w:noProof/>
                <w:spacing w:val="-6"/>
                <w:lang w:val="sk-SK"/>
              </w:rPr>
            </w:pPr>
          </w:p>
        </w:tc>
        <w:tc>
          <w:tcPr>
            <w:tcW w:w="2526" w:type="dxa"/>
            <w:vMerge/>
            <w:tcBorders>
              <w:top w:val="single" w:sz="4" w:space="0" w:color="auto"/>
              <w:left w:val="single" w:sz="4" w:space="0" w:color="auto"/>
              <w:bottom w:val="single" w:sz="4" w:space="0" w:color="auto"/>
              <w:right w:val="single" w:sz="4" w:space="0" w:color="auto"/>
            </w:tcBorders>
            <w:vAlign w:val="center"/>
            <w:hideMark/>
          </w:tcPr>
          <w:p w14:paraId="61C448FC" w14:textId="77777777" w:rsidR="00F65654" w:rsidRPr="00CC26EA" w:rsidRDefault="00F65654">
            <w:pPr>
              <w:spacing w:after="0"/>
              <w:rPr>
                <w:rFonts w:ascii="Times New Roman" w:eastAsia="Times New Roman" w:hAnsi="Times New Roman"/>
                <w:b/>
                <w:noProof/>
                <w:spacing w:val="-6"/>
                <w:lang w:val="sk-SK"/>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230C72F" w14:textId="77777777" w:rsidR="00F65654" w:rsidRPr="00CC26EA" w:rsidRDefault="00F65654">
            <w:pPr>
              <w:spacing w:after="0"/>
              <w:rPr>
                <w:rFonts w:ascii="Times New Roman" w:eastAsia="Times New Roman" w:hAnsi="Times New Roman"/>
                <w:b/>
                <w:noProof/>
                <w:spacing w:val="-6"/>
                <w:lang w:val="sk-SK"/>
              </w:rPr>
            </w:pPr>
          </w:p>
        </w:tc>
        <w:tc>
          <w:tcPr>
            <w:tcW w:w="4447" w:type="dxa"/>
            <w:vMerge/>
            <w:tcBorders>
              <w:top w:val="single" w:sz="4" w:space="0" w:color="auto"/>
              <w:left w:val="single" w:sz="4" w:space="0" w:color="auto"/>
              <w:bottom w:val="single" w:sz="4" w:space="0" w:color="auto"/>
              <w:right w:val="single" w:sz="4" w:space="0" w:color="auto"/>
            </w:tcBorders>
            <w:vAlign w:val="center"/>
            <w:hideMark/>
          </w:tcPr>
          <w:p w14:paraId="64563588" w14:textId="77777777" w:rsidR="00F65654" w:rsidRPr="00CC26EA" w:rsidRDefault="00F65654">
            <w:pPr>
              <w:spacing w:after="0"/>
              <w:rPr>
                <w:rFonts w:ascii="Times New Roman" w:eastAsia="Times New Roman" w:hAnsi="Times New Roman"/>
                <w:b/>
                <w:noProof/>
                <w:spacing w:val="-6"/>
                <w:lang w:val="sk-SK"/>
              </w:rPr>
            </w:pPr>
          </w:p>
        </w:tc>
      </w:tr>
      <w:tr w:rsidR="00F65654" w:rsidRPr="00CC26EA" w14:paraId="6AD221AE"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F16F366"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45</w:t>
            </w:r>
          </w:p>
        </w:tc>
        <w:tc>
          <w:tcPr>
            <w:tcW w:w="2526" w:type="dxa"/>
            <w:tcBorders>
              <w:top w:val="single" w:sz="4" w:space="0" w:color="auto"/>
              <w:left w:val="nil"/>
              <w:bottom w:val="single" w:sz="4" w:space="0" w:color="auto"/>
              <w:right w:val="single" w:sz="4" w:space="0" w:color="auto"/>
            </w:tcBorders>
            <w:shd w:val="clear" w:color="auto" w:fill="C6EFCE"/>
            <w:noWrap/>
            <w:vAlign w:val="center"/>
            <w:hideMark/>
          </w:tcPr>
          <w:p w14:paraId="0E847A6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skúška rozvoja stanovovania cien ciest</w:t>
            </w:r>
          </w:p>
        </w:tc>
        <w:tc>
          <w:tcPr>
            <w:tcW w:w="1275" w:type="dxa"/>
            <w:tcBorders>
              <w:top w:val="single" w:sz="4" w:space="0" w:color="auto"/>
              <w:left w:val="nil"/>
              <w:bottom w:val="single" w:sz="4" w:space="0" w:color="auto"/>
              <w:right w:val="single" w:sz="4" w:space="0" w:color="auto"/>
            </w:tcBorders>
            <w:shd w:val="clear" w:color="auto" w:fill="C6EFCE"/>
            <w:noWrap/>
            <w:vAlign w:val="center"/>
            <w:hideMark/>
          </w:tcPr>
          <w:p w14:paraId="0B57AB6A"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447" w:type="dxa"/>
            <w:tcBorders>
              <w:top w:val="single" w:sz="4" w:space="0" w:color="auto"/>
              <w:left w:val="nil"/>
              <w:bottom w:val="single" w:sz="4" w:space="0" w:color="auto"/>
              <w:right w:val="single" w:sz="4" w:space="0" w:color="auto"/>
            </w:tcBorders>
            <w:shd w:val="clear" w:color="auto" w:fill="C6EFCE"/>
            <w:noWrap/>
            <w:vAlign w:val="center"/>
            <w:hideMark/>
          </w:tcPr>
          <w:p w14:paraId="3D57C29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Uverejnenie výsledkov skúšobného systému stanovovania cien na cestách.</w:t>
            </w:r>
          </w:p>
        </w:tc>
      </w:tr>
      <w:tr w:rsidR="00F65654" w:rsidRPr="00CC26EA" w14:paraId="4769613E"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hideMark/>
          </w:tcPr>
          <w:p w14:paraId="1A62FAD6"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33</w:t>
            </w:r>
          </w:p>
        </w:tc>
        <w:tc>
          <w:tcPr>
            <w:tcW w:w="2526" w:type="dxa"/>
            <w:tcBorders>
              <w:top w:val="nil"/>
              <w:left w:val="nil"/>
              <w:bottom w:val="single" w:sz="4" w:space="0" w:color="auto"/>
              <w:right w:val="single" w:sz="4" w:space="0" w:color="auto"/>
            </w:tcBorders>
            <w:shd w:val="clear" w:color="auto" w:fill="C6EFCE"/>
            <w:noWrap/>
            <w:vAlign w:val="center"/>
            <w:hideMark/>
          </w:tcPr>
          <w:p w14:paraId="623DA980"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4 – Reforma zelených daní – investičné okno </w:t>
            </w:r>
          </w:p>
        </w:tc>
        <w:tc>
          <w:tcPr>
            <w:tcW w:w="1275" w:type="dxa"/>
            <w:tcBorders>
              <w:top w:val="nil"/>
              <w:left w:val="nil"/>
              <w:bottom w:val="single" w:sz="4" w:space="0" w:color="auto"/>
              <w:right w:val="single" w:sz="4" w:space="0" w:color="auto"/>
            </w:tcBorders>
            <w:shd w:val="clear" w:color="auto" w:fill="C6EFCE"/>
            <w:noWrap/>
            <w:vAlign w:val="center"/>
            <w:hideMark/>
          </w:tcPr>
          <w:p w14:paraId="729C717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447" w:type="dxa"/>
            <w:tcBorders>
              <w:top w:val="nil"/>
              <w:left w:val="nil"/>
              <w:bottom w:val="single" w:sz="4" w:space="0" w:color="auto"/>
              <w:right w:val="single" w:sz="4" w:space="0" w:color="auto"/>
            </w:tcBorders>
            <w:shd w:val="clear" w:color="auto" w:fill="C6EFCE"/>
            <w:noWrap/>
            <w:vAlign w:val="center"/>
            <w:hideMark/>
          </w:tcPr>
          <w:p w14:paraId="76B98D29"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1000 spoločností využilo daňový odpočet poskytnutý investičným oknom</w:t>
            </w:r>
          </w:p>
        </w:tc>
      </w:tr>
      <w:tr w:rsidR="00F65654" w:rsidRPr="00CC26EA" w14:paraId="106B1F76"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hideMark/>
          </w:tcPr>
          <w:p w14:paraId="30C47166"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36</w:t>
            </w:r>
          </w:p>
        </w:tc>
        <w:tc>
          <w:tcPr>
            <w:tcW w:w="2526" w:type="dxa"/>
            <w:tcBorders>
              <w:top w:val="nil"/>
              <w:left w:val="nil"/>
              <w:bottom w:val="single" w:sz="4" w:space="0" w:color="auto"/>
              <w:right w:val="single" w:sz="4" w:space="0" w:color="auto"/>
            </w:tcBorders>
            <w:shd w:val="clear" w:color="auto" w:fill="C6EFCE"/>
            <w:noWrap/>
            <w:vAlign w:val="center"/>
            <w:hideMark/>
          </w:tcPr>
          <w:p w14:paraId="7B3F22C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4 – Reforma ekologických daní – Zrýchlené odpisovanie</w:t>
            </w:r>
          </w:p>
        </w:tc>
        <w:tc>
          <w:tcPr>
            <w:tcW w:w="1275" w:type="dxa"/>
            <w:tcBorders>
              <w:top w:val="nil"/>
              <w:left w:val="nil"/>
              <w:bottom w:val="single" w:sz="4" w:space="0" w:color="auto"/>
              <w:right w:val="single" w:sz="4" w:space="0" w:color="auto"/>
            </w:tcBorders>
            <w:shd w:val="clear" w:color="auto" w:fill="C6EFCE"/>
            <w:noWrap/>
            <w:vAlign w:val="center"/>
            <w:hideMark/>
          </w:tcPr>
          <w:p w14:paraId="40262C7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447" w:type="dxa"/>
            <w:tcBorders>
              <w:top w:val="nil"/>
              <w:left w:val="nil"/>
              <w:bottom w:val="single" w:sz="4" w:space="0" w:color="auto"/>
              <w:right w:val="single" w:sz="4" w:space="0" w:color="auto"/>
            </w:tcBorders>
            <w:shd w:val="clear" w:color="auto" w:fill="C6EFCE"/>
            <w:noWrap/>
            <w:vAlign w:val="center"/>
            <w:hideMark/>
          </w:tcPr>
          <w:p w14:paraId="1385D5E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1000 spoločností využilo daňový odpočet vyplývajúci zo zrýchleného odpisovania.</w:t>
            </w:r>
          </w:p>
        </w:tc>
      </w:tr>
      <w:tr w:rsidR="00F65654" w:rsidRPr="00CC26EA" w14:paraId="7661C4FA"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78A2BBF8"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14</w:t>
            </w:r>
          </w:p>
        </w:tc>
        <w:tc>
          <w:tcPr>
            <w:tcW w:w="2526" w:type="dxa"/>
            <w:tcBorders>
              <w:top w:val="nil"/>
              <w:left w:val="nil"/>
              <w:bottom w:val="single" w:sz="4" w:space="0" w:color="auto"/>
              <w:right w:val="single" w:sz="4" w:space="0" w:color="auto"/>
            </w:tcBorders>
            <w:shd w:val="clear" w:color="auto" w:fill="C6EFCE"/>
            <w:noWrap/>
            <w:vAlign w:val="center"/>
          </w:tcPr>
          <w:p w14:paraId="16120B96" w14:textId="3DD9C572"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Pôda bohatá na uhlík</w:t>
            </w:r>
          </w:p>
        </w:tc>
        <w:tc>
          <w:tcPr>
            <w:tcW w:w="1275" w:type="dxa"/>
            <w:tcBorders>
              <w:top w:val="nil"/>
              <w:left w:val="nil"/>
              <w:bottom w:val="single" w:sz="4" w:space="0" w:color="auto"/>
              <w:right w:val="single" w:sz="4" w:space="0" w:color="auto"/>
            </w:tcBorders>
            <w:shd w:val="clear" w:color="auto" w:fill="C6EFCE"/>
            <w:noWrap/>
            <w:vAlign w:val="center"/>
          </w:tcPr>
          <w:p w14:paraId="4D5341F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447" w:type="dxa"/>
            <w:tcBorders>
              <w:top w:val="nil"/>
              <w:left w:val="nil"/>
              <w:bottom w:val="single" w:sz="4" w:space="0" w:color="auto"/>
              <w:right w:val="single" w:sz="4" w:space="0" w:color="auto"/>
            </w:tcBorders>
            <w:shd w:val="clear" w:color="auto" w:fill="C6EFCE"/>
            <w:noWrap/>
            <w:vAlign w:val="center"/>
          </w:tcPr>
          <w:p w14:paraId="0E15D38F" w14:textId="72CC13FF"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Projekty, ktoré predstavujú vyčerpanie 2350 hektárov pôdy bohatej na uhlík</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produkcie, mali podniky</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polovičným odstupom pri odstraňovaní.</w:t>
            </w:r>
          </w:p>
        </w:tc>
      </w:tr>
      <w:tr w:rsidR="00F65654" w:rsidRPr="00CC26EA" w14:paraId="29C88838"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1FCE9539"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24</w:t>
            </w:r>
          </w:p>
        </w:tc>
        <w:tc>
          <w:tcPr>
            <w:tcW w:w="2526" w:type="dxa"/>
            <w:tcBorders>
              <w:top w:val="nil"/>
              <w:left w:val="nil"/>
              <w:bottom w:val="single" w:sz="4" w:space="0" w:color="auto"/>
              <w:right w:val="single" w:sz="4" w:space="0" w:color="auto"/>
            </w:tcBorders>
            <w:shd w:val="clear" w:color="auto" w:fill="C6EFCE"/>
            <w:noWrap/>
            <w:vAlign w:val="center"/>
          </w:tcPr>
          <w:p w14:paraId="533F5C7C" w14:textId="7A5740D0"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3 – Energetická účinnosť,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Energetická účinnosť</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w:t>
            </w:r>
          </w:p>
        </w:tc>
        <w:tc>
          <w:tcPr>
            <w:tcW w:w="1275" w:type="dxa"/>
            <w:tcBorders>
              <w:top w:val="nil"/>
              <w:left w:val="nil"/>
              <w:bottom w:val="single" w:sz="4" w:space="0" w:color="auto"/>
              <w:right w:val="single" w:sz="4" w:space="0" w:color="auto"/>
            </w:tcBorders>
            <w:shd w:val="clear" w:color="auto" w:fill="C6EFCE"/>
            <w:noWrap/>
            <w:vAlign w:val="center"/>
          </w:tcPr>
          <w:p w14:paraId="40CBE46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447" w:type="dxa"/>
            <w:tcBorders>
              <w:top w:val="nil"/>
              <w:left w:val="nil"/>
              <w:bottom w:val="single" w:sz="4" w:space="0" w:color="auto"/>
              <w:right w:val="single" w:sz="4" w:space="0" w:color="auto"/>
            </w:tcBorders>
            <w:shd w:val="clear" w:color="auto" w:fill="C6EFCE"/>
            <w:noWrap/>
            <w:vAlign w:val="center"/>
          </w:tcPr>
          <w:p w14:paraId="690617B6" w14:textId="0F1FDDEA"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Vďaka systému energetickej účinnosti sa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priemysle ušetrilo aspoň 16 PJ (Peta Joule) energie.</w:t>
            </w:r>
          </w:p>
        </w:tc>
      </w:tr>
      <w:tr w:rsidR="00F65654" w:rsidRPr="00CC26EA" w14:paraId="1C7ED822"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0D1EA3CA"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51</w:t>
            </w:r>
          </w:p>
        </w:tc>
        <w:tc>
          <w:tcPr>
            <w:tcW w:w="2526" w:type="dxa"/>
            <w:tcBorders>
              <w:top w:val="nil"/>
              <w:left w:val="nil"/>
              <w:bottom w:val="single" w:sz="4" w:space="0" w:color="auto"/>
              <w:right w:val="single" w:sz="4" w:space="0" w:color="auto"/>
            </w:tcBorders>
            <w:shd w:val="clear" w:color="auto" w:fill="C6EFCE"/>
            <w:noWrap/>
            <w:vAlign w:val="center"/>
          </w:tcPr>
          <w:p w14:paraId="6B7E2EE2" w14:textId="3E4B3321"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Investície do cyklistických trás na štátnych cestách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systému dotácií na bicykle pre obce</w:t>
            </w:r>
          </w:p>
        </w:tc>
        <w:tc>
          <w:tcPr>
            <w:tcW w:w="1275" w:type="dxa"/>
            <w:tcBorders>
              <w:top w:val="nil"/>
              <w:left w:val="nil"/>
              <w:bottom w:val="single" w:sz="4" w:space="0" w:color="auto"/>
              <w:right w:val="single" w:sz="4" w:space="0" w:color="auto"/>
            </w:tcBorders>
            <w:shd w:val="clear" w:color="auto" w:fill="C6EFCE"/>
            <w:noWrap/>
            <w:vAlign w:val="center"/>
          </w:tcPr>
          <w:p w14:paraId="62D97E46"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447" w:type="dxa"/>
            <w:tcBorders>
              <w:top w:val="nil"/>
              <w:left w:val="nil"/>
              <w:bottom w:val="single" w:sz="4" w:space="0" w:color="auto"/>
              <w:right w:val="single" w:sz="4" w:space="0" w:color="auto"/>
            </w:tcBorders>
            <w:shd w:val="clear" w:color="auto" w:fill="C6EFCE"/>
            <w:noWrap/>
            <w:vAlign w:val="center"/>
          </w:tcPr>
          <w:p w14:paraId="4CCE2C1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Začala sa výstavba najmenej 45 km nových cyklistických trás</w:t>
            </w:r>
          </w:p>
        </w:tc>
      </w:tr>
      <w:tr w:rsidR="00F65654" w:rsidRPr="00CC26EA" w14:paraId="06A19292"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49365F67"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53</w:t>
            </w:r>
          </w:p>
        </w:tc>
        <w:tc>
          <w:tcPr>
            <w:tcW w:w="2526" w:type="dxa"/>
            <w:tcBorders>
              <w:top w:val="nil"/>
              <w:left w:val="nil"/>
              <w:bottom w:val="single" w:sz="4" w:space="0" w:color="auto"/>
              <w:right w:val="single" w:sz="4" w:space="0" w:color="auto"/>
            </w:tcBorders>
            <w:shd w:val="clear" w:color="auto" w:fill="C6EFCE"/>
            <w:noWrap/>
            <w:vAlign w:val="center"/>
          </w:tcPr>
          <w:p w14:paraId="45F6BE1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Schéma infraštruktúry pre elektrické bicykle</w:t>
            </w:r>
          </w:p>
        </w:tc>
        <w:tc>
          <w:tcPr>
            <w:tcW w:w="1275" w:type="dxa"/>
            <w:tcBorders>
              <w:top w:val="nil"/>
              <w:left w:val="nil"/>
              <w:bottom w:val="single" w:sz="4" w:space="0" w:color="auto"/>
              <w:right w:val="single" w:sz="4" w:space="0" w:color="auto"/>
            </w:tcBorders>
            <w:shd w:val="clear" w:color="auto" w:fill="C6EFCE"/>
            <w:noWrap/>
            <w:vAlign w:val="center"/>
          </w:tcPr>
          <w:p w14:paraId="25E78A1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447" w:type="dxa"/>
            <w:tcBorders>
              <w:top w:val="nil"/>
              <w:left w:val="nil"/>
              <w:bottom w:val="single" w:sz="4" w:space="0" w:color="auto"/>
              <w:right w:val="single" w:sz="4" w:space="0" w:color="auto"/>
            </w:tcBorders>
            <w:shd w:val="clear" w:color="auto" w:fill="C6EFCE"/>
            <w:noWrap/>
            <w:vAlign w:val="center"/>
          </w:tcPr>
          <w:p w14:paraId="3EA9795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Vybudovaných bolo najmenej 75 staníc na nabíjanie bicyklov</w:t>
            </w:r>
          </w:p>
        </w:tc>
      </w:tr>
      <w:tr w:rsidR="00F65654" w:rsidRPr="00CC26EA" w14:paraId="61A49180"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18E329" w14:textId="43C347D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78</w:t>
            </w:r>
          </w:p>
        </w:tc>
        <w:tc>
          <w:tcPr>
            <w:tcW w:w="2526" w:type="dxa"/>
            <w:tcBorders>
              <w:top w:val="single" w:sz="4" w:space="0" w:color="auto"/>
              <w:left w:val="nil"/>
              <w:bottom w:val="single" w:sz="4" w:space="0" w:color="auto"/>
              <w:right w:val="single" w:sz="4" w:space="0" w:color="auto"/>
            </w:tcBorders>
            <w:shd w:val="clear" w:color="auto" w:fill="C6EFCE"/>
            <w:noWrap/>
            <w:vAlign w:val="center"/>
          </w:tcPr>
          <w:p w14:paraId="04CFA4CB" w14:textId="4D1E84E3"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8 – REPowerEU – Národní zamestnanci energetickej krízy (NEKST)</w:t>
            </w:r>
          </w:p>
        </w:tc>
        <w:tc>
          <w:tcPr>
            <w:tcW w:w="1275" w:type="dxa"/>
            <w:tcBorders>
              <w:top w:val="single" w:sz="4" w:space="0" w:color="auto"/>
              <w:left w:val="nil"/>
              <w:bottom w:val="single" w:sz="4" w:space="0" w:color="auto"/>
              <w:right w:val="single" w:sz="4" w:space="0" w:color="auto"/>
            </w:tcBorders>
            <w:shd w:val="clear" w:color="auto" w:fill="C6EFCE"/>
            <w:noWrap/>
            <w:vAlign w:val="center"/>
          </w:tcPr>
          <w:p w14:paraId="2CF1ADD4" w14:textId="48CB1B1C"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447" w:type="dxa"/>
            <w:tcBorders>
              <w:top w:val="single" w:sz="4" w:space="0" w:color="auto"/>
              <w:left w:val="nil"/>
              <w:bottom w:val="single" w:sz="4" w:space="0" w:color="auto"/>
              <w:right w:val="single" w:sz="4" w:space="0" w:color="auto"/>
            </w:tcBorders>
            <w:shd w:val="clear" w:color="auto" w:fill="C6EFCE"/>
            <w:noWrap/>
            <w:vAlign w:val="center"/>
          </w:tcPr>
          <w:p w14:paraId="4EA66CB1" w14:textId="5DEAD54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Začlenenie nástroja „NEKST“ do finančných zákonov na roky 2023</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2024</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uverejnenie správy</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pokroku.</w:t>
            </w:r>
          </w:p>
        </w:tc>
      </w:tr>
      <w:tr w:rsidR="00F65654" w:rsidRPr="00CC26EA" w14:paraId="48FB2D7A"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2CF763" w14:textId="35A80F99"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84</w:t>
            </w:r>
          </w:p>
        </w:tc>
        <w:tc>
          <w:tcPr>
            <w:tcW w:w="2526" w:type="dxa"/>
            <w:tcBorders>
              <w:top w:val="single" w:sz="4" w:space="0" w:color="auto"/>
              <w:left w:val="nil"/>
              <w:bottom w:val="single" w:sz="4" w:space="0" w:color="auto"/>
              <w:right w:val="single" w:sz="4" w:space="0" w:color="auto"/>
            </w:tcBorders>
            <w:shd w:val="clear" w:color="auto" w:fill="C6EFCE"/>
            <w:noWrap/>
            <w:vAlign w:val="center"/>
          </w:tcPr>
          <w:p w14:paraId="4D1B8CBF" w14:textId="26DCC56B"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8 – REPowerEU – Podpora uvedenia experimentálnych veterných turbín do prevádzky</w:t>
            </w:r>
          </w:p>
        </w:tc>
        <w:tc>
          <w:tcPr>
            <w:tcW w:w="1275" w:type="dxa"/>
            <w:tcBorders>
              <w:top w:val="single" w:sz="4" w:space="0" w:color="auto"/>
              <w:left w:val="nil"/>
              <w:bottom w:val="single" w:sz="4" w:space="0" w:color="auto"/>
              <w:right w:val="single" w:sz="4" w:space="0" w:color="auto"/>
            </w:tcBorders>
            <w:shd w:val="clear" w:color="auto" w:fill="C6EFCE"/>
            <w:noWrap/>
            <w:vAlign w:val="center"/>
          </w:tcPr>
          <w:p w14:paraId="34F357ED" w14:textId="32DBEDBE"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447" w:type="dxa"/>
            <w:tcBorders>
              <w:top w:val="single" w:sz="4" w:space="0" w:color="auto"/>
              <w:left w:val="nil"/>
              <w:bottom w:val="single" w:sz="4" w:space="0" w:color="auto"/>
              <w:right w:val="single" w:sz="4" w:space="0" w:color="auto"/>
            </w:tcBorders>
            <w:shd w:val="clear" w:color="auto" w:fill="C6EFCE"/>
            <w:noWrap/>
            <w:vAlign w:val="center"/>
          </w:tcPr>
          <w:p w14:paraId="7680DF15" w14:textId="4AB6C680"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Uverejnenie aspoň jednej verejnej výzvy na predkladanie prihlášok.</w:t>
            </w:r>
          </w:p>
        </w:tc>
      </w:tr>
      <w:tr w:rsidR="00F65654" w:rsidRPr="00CC26EA" w14:paraId="09292A83"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5B63C3" w14:textId="0B6B2A2A"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86</w:t>
            </w:r>
          </w:p>
        </w:tc>
        <w:tc>
          <w:tcPr>
            <w:tcW w:w="2526" w:type="dxa"/>
            <w:tcBorders>
              <w:top w:val="single" w:sz="4" w:space="0" w:color="auto"/>
              <w:left w:val="nil"/>
              <w:bottom w:val="single" w:sz="4" w:space="0" w:color="auto"/>
              <w:right w:val="single" w:sz="4" w:space="0" w:color="auto"/>
            </w:tcBorders>
            <w:shd w:val="clear" w:color="auto" w:fill="C6EFCE"/>
            <w:noWrap/>
            <w:vAlign w:val="center"/>
          </w:tcPr>
          <w:p w14:paraId="320EF17A" w14:textId="7E8E6240"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8 – REPowerEU – Zelené zvyšovanie úrovne zručností</w:t>
            </w:r>
          </w:p>
        </w:tc>
        <w:tc>
          <w:tcPr>
            <w:tcW w:w="1275" w:type="dxa"/>
            <w:tcBorders>
              <w:top w:val="single" w:sz="4" w:space="0" w:color="auto"/>
              <w:left w:val="nil"/>
              <w:bottom w:val="single" w:sz="4" w:space="0" w:color="auto"/>
              <w:right w:val="single" w:sz="4" w:space="0" w:color="auto"/>
            </w:tcBorders>
            <w:shd w:val="clear" w:color="auto" w:fill="C6EFCE"/>
            <w:noWrap/>
            <w:vAlign w:val="center"/>
          </w:tcPr>
          <w:p w14:paraId="0252B3A9" w14:textId="3A3C736E"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447" w:type="dxa"/>
            <w:tcBorders>
              <w:top w:val="single" w:sz="4" w:space="0" w:color="auto"/>
              <w:left w:val="nil"/>
              <w:bottom w:val="single" w:sz="4" w:space="0" w:color="auto"/>
              <w:right w:val="single" w:sz="4" w:space="0" w:color="auto"/>
            </w:tcBorders>
            <w:shd w:val="clear" w:color="auto" w:fill="C6EFCE"/>
            <w:noWrap/>
            <w:vAlign w:val="center"/>
          </w:tcPr>
          <w:p w14:paraId="39C301CF" w14:textId="60E9EA33"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Praktické vykonávanie fondov na zelené zvyšovanie úrovne zručností  </w:t>
            </w:r>
          </w:p>
        </w:tc>
      </w:tr>
      <w:tr w:rsidR="00F65654" w:rsidRPr="00CC26EA" w14:paraId="0793F68C"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2CC330" w14:textId="293D4EF9"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90</w:t>
            </w:r>
          </w:p>
        </w:tc>
        <w:tc>
          <w:tcPr>
            <w:tcW w:w="2526" w:type="dxa"/>
            <w:tcBorders>
              <w:top w:val="single" w:sz="4" w:space="0" w:color="auto"/>
              <w:left w:val="nil"/>
              <w:bottom w:val="single" w:sz="4" w:space="0" w:color="auto"/>
              <w:right w:val="single" w:sz="4" w:space="0" w:color="auto"/>
            </w:tcBorders>
            <w:shd w:val="clear" w:color="auto" w:fill="C6EFCE"/>
            <w:noWrap/>
            <w:vAlign w:val="center"/>
          </w:tcPr>
          <w:p w14:paraId="4748F6CF" w14:textId="7DFF0C6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8 – REPowerEU – Opatrenie na rozšírenie: Potenciál zachytávania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ukladania oxidu uhličitého (CCS)</w:t>
            </w:r>
          </w:p>
        </w:tc>
        <w:tc>
          <w:tcPr>
            <w:tcW w:w="1275" w:type="dxa"/>
            <w:tcBorders>
              <w:top w:val="single" w:sz="4" w:space="0" w:color="auto"/>
              <w:left w:val="nil"/>
              <w:bottom w:val="single" w:sz="4" w:space="0" w:color="auto"/>
              <w:right w:val="single" w:sz="4" w:space="0" w:color="auto"/>
            </w:tcBorders>
            <w:shd w:val="clear" w:color="auto" w:fill="C6EFCE"/>
            <w:noWrap/>
            <w:vAlign w:val="center"/>
          </w:tcPr>
          <w:p w14:paraId="55312C07" w14:textId="3C2521E5"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447" w:type="dxa"/>
            <w:tcBorders>
              <w:top w:val="single" w:sz="4" w:space="0" w:color="auto"/>
              <w:left w:val="nil"/>
              <w:bottom w:val="single" w:sz="4" w:space="0" w:color="auto"/>
              <w:right w:val="single" w:sz="4" w:space="0" w:color="auto"/>
            </w:tcBorders>
            <w:shd w:val="clear" w:color="auto" w:fill="C6EFCE"/>
            <w:noWrap/>
            <w:vAlign w:val="center"/>
          </w:tcPr>
          <w:p w14:paraId="5A72F7A9" w14:textId="08CA8E3B"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Uverejnenie verejnej výzvy na predkladanie ponúk pre skupinu NECCS.</w:t>
            </w:r>
          </w:p>
        </w:tc>
      </w:tr>
      <w:tr w:rsidR="00F65654" w:rsidRPr="00CC26EA" w14:paraId="1D3BAC09"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809DD6" w14:textId="77777777" w:rsidR="00F65654" w:rsidRPr="00CC26EA" w:rsidRDefault="00F65654">
            <w:pPr>
              <w:spacing w:after="0"/>
              <w:rPr>
                <w:rFonts w:ascii="Times New Roman" w:eastAsia="Times New Roman" w:hAnsi="Times New Roman"/>
                <w:noProof/>
                <w:color w:val="006100"/>
                <w:spacing w:val="-6"/>
                <w:lang w:val="sk-SK"/>
              </w:rPr>
            </w:pPr>
          </w:p>
        </w:tc>
        <w:tc>
          <w:tcPr>
            <w:tcW w:w="2526" w:type="dxa"/>
            <w:tcBorders>
              <w:top w:val="single" w:sz="4" w:space="0" w:color="auto"/>
              <w:left w:val="nil"/>
              <w:bottom w:val="single" w:sz="4" w:space="0" w:color="auto"/>
              <w:right w:val="single" w:sz="4" w:space="0" w:color="auto"/>
            </w:tcBorders>
            <w:shd w:val="clear" w:color="auto" w:fill="C6EFCE"/>
            <w:noWrap/>
            <w:vAlign w:val="center"/>
          </w:tcPr>
          <w:p w14:paraId="043420CB" w14:textId="77777777" w:rsidR="00F65654" w:rsidRPr="00CC26EA" w:rsidRDefault="00F65654">
            <w:pPr>
              <w:spacing w:after="0"/>
              <w:rPr>
                <w:rFonts w:ascii="Times New Roman" w:eastAsia="Times New Roman" w:hAnsi="Times New Roman"/>
                <w:noProof/>
                <w:color w:val="006100"/>
                <w:spacing w:val="-6"/>
                <w:lang w:val="sk-SK"/>
              </w:rPr>
            </w:pPr>
          </w:p>
        </w:tc>
        <w:tc>
          <w:tcPr>
            <w:tcW w:w="1275" w:type="dxa"/>
            <w:tcBorders>
              <w:top w:val="single" w:sz="4" w:space="0" w:color="auto"/>
              <w:left w:val="nil"/>
              <w:bottom w:val="single" w:sz="4" w:space="0" w:color="auto"/>
              <w:right w:val="single" w:sz="4" w:space="0" w:color="auto"/>
            </w:tcBorders>
            <w:shd w:val="clear" w:color="auto" w:fill="C6EFCE"/>
            <w:noWrap/>
            <w:vAlign w:val="center"/>
          </w:tcPr>
          <w:p w14:paraId="5EDABD92"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Suma splátky</w:t>
            </w:r>
          </w:p>
        </w:tc>
        <w:tc>
          <w:tcPr>
            <w:tcW w:w="4447" w:type="dxa"/>
            <w:tcBorders>
              <w:top w:val="single" w:sz="4" w:space="0" w:color="auto"/>
              <w:left w:val="nil"/>
              <w:bottom w:val="single" w:sz="4" w:space="0" w:color="auto"/>
              <w:right w:val="single" w:sz="4" w:space="0" w:color="auto"/>
            </w:tcBorders>
            <w:shd w:val="clear" w:color="auto" w:fill="C6EFCE"/>
            <w:noWrap/>
            <w:vAlign w:val="center"/>
          </w:tcPr>
          <w:p w14:paraId="08A7823A" w14:textId="6F593B1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213 664 231 EUR</w:t>
            </w:r>
          </w:p>
        </w:tc>
      </w:tr>
    </w:tbl>
    <w:p w14:paraId="15439B41" w14:textId="77777777" w:rsidR="00F65654" w:rsidRPr="00CC26EA" w:rsidRDefault="00F65654">
      <w:pPr>
        <w:rPr>
          <w:rFonts w:ascii="Times New Roman" w:hAnsi="Times New Roman"/>
          <w:noProof/>
          <w:spacing w:val="-6"/>
          <w:lang w:val="sk-SK"/>
        </w:rPr>
      </w:pPr>
    </w:p>
    <w:p w14:paraId="5DA7D91D" w14:textId="77777777" w:rsidR="00F65654" w:rsidRPr="00CC26EA" w:rsidRDefault="0041081E">
      <w:pPr>
        <w:pStyle w:val="NumPar2"/>
        <w:numPr>
          <w:ilvl w:val="1"/>
          <w:numId w:val="17"/>
        </w:numPr>
        <w:rPr>
          <w:noProof/>
          <w:spacing w:val="-6"/>
          <w:lang w:val="sk-SK"/>
        </w:rPr>
      </w:pPr>
      <w:r w:rsidRPr="00CC26EA">
        <w:rPr>
          <w:noProof/>
          <w:spacing w:val="-6"/>
          <w:lang w:val="sk-SK"/>
        </w:rPr>
        <w:t xml:space="preserve">Piata splátka (nenávratná podpora): </w:t>
      </w:r>
    </w:p>
    <w:tbl>
      <w:tblPr>
        <w:tblW w:w="9519" w:type="dxa"/>
        <w:tblInd w:w="113" w:type="dxa"/>
        <w:tblLook w:val="04A0" w:firstRow="1" w:lastRow="0" w:firstColumn="1" w:lastColumn="0" w:noHBand="0" w:noVBand="1"/>
      </w:tblPr>
      <w:tblGrid>
        <w:gridCol w:w="1413"/>
        <w:gridCol w:w="2410"/>
        <w:gridCol w:w="1275"/>
        <w:gridCol w:w="4421"/>
      </w:tblGrid>
      <w:tr w:rsidR="00F65654" w:rsidRPr="00CC26EA" w14:paraId="1EC6F920" w14:textId="77777777">
        <w:trPr>
          <w:trHeight w:val="509"/>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B4118D6"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Poradové číslo</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B62816A"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Súvisiace opatrenie (reforma alebo investícia)</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D0B97C5"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Míľnik/cieľ</w:t>
            </w:r>
          </w:p>
        </w:tc>
        <w:tc>
          <w:tcPr>
            <w:tcW w:w="442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0CA5FB8"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Názov</w:t>
            </w:r>
          </w:p>
        </w:tc>
      </w:tr>
      <w:tr w:rsidR="00F65654" w:rsidRPr="00CC26EA" w14:paraId="74742398" w14:textId="77777777">
        <w:trPr>
          <w:trHeight w:val="99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2500E06" w14:textId="77777777" w:rsidR="00F65654" w:rsidRPr="00CC26EA" w:rsidRDefault="00F65654">
            <w:pPr>
              <w:spacing w:after="0"/>
              <w:rPr>
                <w:rFonts w:ascii="Times New Roman" w:eastAsia="Times New Roman" w:hAnsi="Times New Roman"/>
                <w:b/>
                <w:noProof/>
                <w:spacing w:val="-6"/>
                <w:lang w:val="sk-SK"/>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436EE5E" w14:textId="77777777" w:rsidR="00F65654" w:rsidRPr="00CC26EA" w:rsidRDefault="00F65654">
            <w:pPr>
              <w:spacing w:after="0"/>
              <w:rPr>
                <w:rFonts w:ascii="Times New Roman" w:eastAsia="Times New Roman" w:hAnsi="Times New Roman"/>
                <w:b/>
                <w:noProof/>
                <w:spacing w:val="-6"/>
                <w:lang w:val="sk-SK"/>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A638575" w14:textId="77777777" w:rsidR="00F65654" w:rsidRPr="00CC26EA" w:rsidRDefault="00F65654">
            <w:pPr>
              <w:spacing w:after="0"/>
              <w:rPr>
                <w:rFonts w:ascii="Times New Roman" w:eastAsia="Times New Roman" w:hAnsi="Times New Roman"/>
                <w:b/>
                <w:noProof/>
                <w:spacing w:val="-6"/>
                <w:lang w:val="sk-SK"/>
              </w:rPr>
            </w:pPr>
          </w:p>
        </w:tc>
        <w:tc>
          <w:tcPr>
            <w:tcW w:w="4421" w:type="dxa"/>
            <w:vMerge/>
            <w:tcBorders>
              <w:top w:val="single" w:sz="4" w:space="0" w:color="auto"/>
              <w:left w:val="single" w:sz="4" w:space="0" w:color="auto"/>
              <w:bottom w:val="single" w:sz="4" w:space="0" w:color="auto"/>
              <w:right w:val="single" w:sz="4" w:space="0" w:color="auto"/>
            </w:tcBorders>
            <w:vAlign w:val="center"/>
            <w:hideMark/>
          </w:tcPr>
          <w:p w14:paraId="4703B644" w14:textId="77777777" w:rsidR="00F65654" w:rsidRPr="00CC26EA" w:rsidRDefault="00F65654">
            <w:pPr>
              <w:spacing w:after="0"/>
              <w:rPr>
                <w:rFonts w:ascii="Times New Roman" w:eastAsia="Times New Roman" w:hAnsi="Times New Roman"/>
                <w:b/>
                <w:noProof/>
                <w:spacing w:val="-6"/>
                <w:lang w:val="sk-SK"/>
              </w:rPr>
            </w:pPr>
          </w:p>
        </w:tc>
      </w:tr>
      <w:tr w:rsidR="00F65654" w:rsidRPr="00CC26EA" w14:paraId="29C851F1"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8676B5"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20</w:t>
            </w:r>
          </w:p>
        </w:tc>
        <w:tc>
          <w:tcPr>
            <w:tcW w:w="2410" w:type="dxa"/>
            <w:tcBorders>
              <w:top w:val="single" w:sz="4" w:space="0" w:color="auto"/>
              <w:left w:val="nil"/>
              <w:bottom w:val="single" w:sz="4" w:space="0" w:color="auto"/>
              <w:right w:val="single" w:sz="4" w:space="0" w:color="auto"/>
            </w:tcBorders>
            <w:shd w:val="clear" w:color="auto" w:fill="C6EFCE"/>
            <w:noWrap/>
            <w:vAlign w:val="center"/>
          </w:tcPr>
          <w:p w14:paraId="0F84B43B" w14:textId="06EC5CDF"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3 – Energetická účinnosť,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Náhrada ropných horákov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plynových pecí</w:t>
            </w:r>
          </w:p>
        </w:tc>
        <w:tc>
          <w:tcPr>
            <w:tcW w:w="1275" w:type="dxa"/>
            <w:tcBorders>
              <w:top w:val="single" w:sz="4" w:space="0" w:color="auto"/>
              <w:left w:val="nil"/>
              <w:bottom w:val="single" w:sz="4" w:space="0" w:color="auto"/>
              <w:right w:val="single" w:sz="4" w:space="0" w:color="auto"/>
            </w:tcBorders>
            <w:shd w:val="clear" w:color="auto" w:fill="C6EFCE"/>
            <w:noWrap/>
            <w:vAlign w:val="center"/>
          </w:tcPr>
          <w:p w14:paraId="7102F0E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421" w:type="dxa"/>
            <w:tcBorders>
              <w:top w:val="single" w:sz="4" w:space="0" w:color="auto"/>
              <w:left w:val="nil"/>
              <w:bottom w:val="single" w:sz="4" w:space="0" w:color="auto"/>
              <w:right w:val="single" w:sz="4" w:space="0" w:color="auto"/>
            </w:tcBorders>
            <w:shd w:val="clear" w:color="auto" w:fill="C6EFCE"/>
            <w:noWrap/>
            <w:vAlign w:val="center"/>
          </w:tcPr>
          <w:p w14:paraId="18E1CED4" w14:textId="64596BA9"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Výber príjemcov finančných prostriedkov na výmenu ropných horákov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plynových pecí</w:t>
            </w:r>
          </w:p>
        </w:tc>
      </w:tr>
      <w:tr w:rsidR="00F65654" w:rsidRPr="00CC26EA" w14:paraId="7F752D5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FC4380"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29</w:t>
            </w:r>
          </w:p>
        </w:tc>
        <w:tc>
          <w:tcPr>
            <w:tcW w:w="2410" w:type="dxa"/>
            <w:tcBorders>
              <w:top w:val="nil"/>
              <w:left w:val="nil"/>
              <w:bottom w:val="single" w:sz="4" w:space="0" w:color="auto"/>
              <w:right w:val="single" w:sz="4" w:space="0" w:color="auto"/>
            </w:tcBorders>
            <w:shd w:val="clear" w:color="auto" w:fill="C6EFCE"/>
            <w:noWrap/>
            <w:vAlign w:val="center"/>
          </w:tcPr>
          <w:p w14:paraId="5CB63AC6" w14:textId="5EF5346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3 – Energetická efektívnosť,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Energetická efektívnosť</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domácnostiach</w:t>
            </w:r>
          </w:p>
        </w:tc>
        <w:tc>
          <w:tcPr>
            <w:tcW w:w="1275" w:type="dxa"/>
            <w:tcBorders>
              <w:top w:val="nil"/>
              <w:left w:val="nil"/>
              <w:bottom w:val="single" w:sz="4" w:space="0" w:color="auto"/>
              <w:right w:val="single" w:sz="4" w:space="0" w:color="auto"/>
            </w:tcBorders>
            <w:shd w:val="clear" w:color="auto" w:fill="C6EFCE"/>
            <w:noWrap/>
            <w:vAlign w:val="center"/>
          </w:tcPr>
          <w:p w14:paraId="55F99D6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421" w:type="dxa"/>
            <w:tcBorders>
              <w:top w:val="nil"/>
              <w:left w:val="nil"/>
              <w:bottom w:val="single" w:sz="4" w:space="0" w:color="auto"/>
              <w:right w:val="single" w:sz="4" w:space="0" w:color="auto"/>
            </w:tcBorders>
            <w:shd w:val="clear" w:color="auto" w:fill="C6EFCE"/>
            <w:noWrap/>
            <w:vAlign w:val="center"/>
          </w:tcPr>
          <w:p w14:paraId="6417C889" w14:textId="1640D3BF"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Výber príjemcov finančných prostriedkov na energetickú obnovu</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súkromných domácnostiach.</w:t>
            </w:r>
          </w:p>
        </w:tc>
      </w:tr>
      <w:tr w:rsidR="00F65654" w:rsidRPr="00CC26EA" w14:paraId="5DA3708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D5999A8"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40</w:t>
            </w:r>
          </w:p>
        </w:tc>
        <w:tc>
          <w:tcPr>
            <w:tcW w:w="2410" w:type="dxa"/>
            <w:tcBorders>
              <w:top w:val="nil"/>
              <w:left w:val="nil"/>
              <w:bottom w:val="single" w:sz="4" w:space="0" w:color="auto"/>
              <w:right w:val="single" w:sz="4" w:space="0" w:color="auto"/>
            </w:tcBorders>
            <w:shd w:val="clear" w:color="auto" w:fill="C6EFCE"/>
            <w:noWrap/>
            <w:vAlign w:val="center"/>
          </w:tcPr>
          <w:p w14:paraId="01689249" w14:textId="0E9223ED"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4 – Reforma ekologických daní – Emisné dane</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priemyselných odvetví</w:t>
            </w:r>
          </w:p>
        </w:tc>
        <w:tc>
          <w:tcPr>
            <w:tcW w:w="1275" w:type="dxa"/>
            <w:tcBorders>
              <w:top w:val="nil"/>
              <w:left w:val="nil"/>
              <w:bottom w:val="single" w:sz="4" w:space="0" w:color="auto"/>
              <w:right w:val="single" w:sz="4" w:space="0" w:color="auto"/>
            </w:tcBorders>
            <w:shd w:val="clear" w:color="auto" w:fill="C6EFCE"/>
            <w:noWrap/>
            <w:vAlign w:val="center"/>
          </w:tcPr>
          <w:p w14:paraId="23C09C3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421" w:type="dxa"/>
            <w:tcBorders>
              <w:top w:val="nil"/>
              <w:left w:val="nil"/>
              <w:bottom w:val="single" w:sz="4" w:space="0" w:color="auto"/>
              <w:right w:val="single" w:sz="4" w:space="0" w:color="auto"/>
            </w:tcBorders>
            <w:shd w:val="clear" w:color="auto" w:fill="C6EFCE"/>
            <w:noWrap/>
            <w:vAlign w:val="center"/>
          </w:tcPr>
          <w:p w14:paraId="2F369FF6" w14:textId="0B61B48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Zvýšenie daní</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emisií</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priemyslu nadobúda účinnosť pre všetky priemyselné odvetvia vrátane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nerastných surovín.</w:t>
            </w:r>
          </w:p>
        </w:tc>
      </w:tr>
      <w:tr w:rsidR="00F65654" w:rsidRPr="00CC26EA" w14:paraId="426733A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21FD5AC"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52</w:t>
            </w:r>
          </w:p>
        </w:tc>
        <w:tc>
          <w:tcPr>
            <w:tcW w:w="2410" w:type="dxa"/>
            <w:tcBorders>
              <w:top w:val="nil"/>
              <w:left w:val="nil"/>
              <w:bottom w:val="single" w:sz="4" w:space="0" w:color="auto"/>
              <w:right w:val="single" w:sz="4" w:space="0" w:color="auto"/>
            </w:tcBorders>
            <w:shd w:val="clear" w:color="auto" w:fill="C6EFCE"/>
            <w:noWrap/>
            <w:vAlign w:val="center"/>
          </w:tcPr>
          <w:p w14:paraId="7A5510AE" w14:textId="38AEF6D9"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Investície do cyklistických trás na štátnych cestách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systému dotácií na bicykle pre obce</w:t>
            </w:r>
          </w:p>
        </w:tc>
        <w:tc>
          <w:tcPr>
            <w:tcW w:w="1275" w:type="dxa"/>
            <w:tcBorders>
              <w:top w:val="nil"/>
              <w:left w:val="nil"/>
              <w:bottom w:val="single" w:sz="4" w:space="0" w:color="auto"/>
              <w:right w:val="single" w:sz="4" w:space="0" w:color="auto"/>
            </w:tcBorders>
            <w:shd w:val="clear" w:color="auto" w:fill="C6EFCE"/>
            <w:noWrap/>
            <w:vAlign w:val="center"/>
          </w:tcPr>
          <w:p w14:paraId="2C6DE450"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421" w:type="dxa"/>
            <w:tcBorders>
              <w:top w:val="nil"/>
              <w:left w:val="nil"/>
              <w:bottom w:val="single" w:sz="4" w:space="0" w:color="auto"/>
              <w:right w:val="single" w:sz="4" w:space="0" w:color="auto"/>
            </w:tcBorders>
            <w:shd w:val="clear" w:color="auto" w:fill="C6EFCE"/>
            <w:noWrap/>
            <w:vAlign w:val="center"/>
          </w:tcPr>
          <w:p w14:paraId="0EDCA9B5" w14:textId="13A01DE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40</w:t>
            </w:r>
            <w:r w:rsidR="00CC26EA" w:rsidRPr="00CC26EA">
              <w:rPr>
                <w:rFonts w:ascii="Times New Roman" w:hAnsi="Times New Roman"/>
                <w:noProof/>
                <w:spacing w:val="-6"/>
                <w:lang w:val="sk-SK"/>
              </w:rPr>
              <w:t> %</w:t>
            </w:r>
            <w:r w:rsidRPr="00CC26EA">
              <w:rPr>
                <w:rFonts w:ascii="Times New Roman" w:hAnsi="Times New Roman"/>
                <w:noProof/>
                <w:spacing w:val="-6"/>
                <w:lang w:val="sk-SK"/>
              </w:rPr>
              <w:t xml:space="preserve"> podporovaných projektov bolo dokončených</w:t>
            </w:r>
          </w:p>
        </w:tc>
      </w:tr>
      <w:tr w:rsidR="00F65654" w:rsidRPr="00CC26EA" w14:paraId="16F271D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C35A8FF"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50</w:t>
            </w:r>
          </w:p>
        </w:tc>
        <w:tc>
          <w:tcPr>
            <w:tcW w:w="2410" w:type="dxa"/>
            <w:tcBorders>
              <w:top w:val="nil"/>
              <w:left w:val="nil"/>
              <w:bottom w:val="single" w:sz="4" w:space="0" w:color="auto"/>
              <w:right w:val="single" w:sz="4" w:space="0" w:color="auto"/>
            </w:tcBorders>
            <w:shd w:val="clear" w:color="auto" w:fill="C6EFCE"/>
            <w:noWrap/>
            <w:vAlign w:val="center"/>
          </w:tcPr>
          <w:p w14:paraId="01A106D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Schéma dotácií pre zelené trajekty</w:t>
            </w:r>
          </w:p>
        </w:tc>
        <w:tc>
          <w:tcPr>
            <w:tcW w:w="1275" w:type="dxa"/>
            <w:tcBorders>
              <w:top w:val="nil"/>
              <w:left w:val="nil"/>
              <w:bottom w:val="single" w:sz="4" w:space="0" w:color="auto"/>
              <w:right w:val="single" w:sz="4" w:space="0" w:color="auto"/>
            </w:tcBorders>
            <w:shd w:val="clear" w:color="auto" w:fill="C6EFCE"/>
            <w:noWrap/>
            <w:vAlign w:val="center"/>
          </w:tcPr>
          <w:p w14:paraId="1991506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421" w:type="dxa"/>
            <w:tcBorders>
              <w:top w:val="nil"/>
              <w:left w:val="nil"/>
              <w:bottom w:val="single" w:sz="4" w:space="0" w:color="auto"/>
              <w:right w:val="single" w:sz="4" w:space="0" w:color="auto"/>
            </w:tcBorders>
            <w:shd w:val="clear" w:color="auto" w:fill="C6EFCE"/>
            <w:noWrap/>
            <w:vAlign w:val="center"/>
          </w:tcPr>
          <w:p w14:paraId="76C5A25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Najmenej 15 trajektov bolo vymenených alebo zmodernizovaných na zelené trajekty.</w:t>
            </w:r>
          </w:p>
        </w:tc>
      </w:tr>
      <w:tr w:rsidR="00F65654" w:rsidRPr="00CC26EA" w14:paraId="3F6A67B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E05E8D8"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10</w:t>
            </w:r>
          </w:p>
        </w:tc>
        <w:tc>
          <w:tcPr>
            <w:tcW w:w="2410" w:type="dxa"/>
            <w:tcBorders>
              <w:top w:val="nil"/>
              <w:left w:val="nil"/>
              <w:bottom w:val="single" w:sz="4" w:space="0" w:color="auto"/>
              <w:right w:val="single" w:sz="4" w:space="0" w:color="auto"/>
            </w:tcBorders>
            <w:shd w:val="clear" w:color="auto" w:fill="C6EFCE"/>
            <w:noWrap/>
            <w:vAlign w:val="center"/>
          </w:tcPr>
          <w:p w14:paraId="73C298F5" w14:textId="6E171E34"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ekologické projekty založené na rastlinách</w:t>
            </w:r>
          </w:p>
        </w:tc>
        <w:tc>
          <w:tcPr>
            <w:tcW w:w="1275" w:type="dxa"/>
            <w:tcBorders>
              <w:top w:val="nil"/>
              <w:left w:val="nil"/>
              <w:bottom w:val="single" w:sz="4" w:space="0" w:color="auto"/>
              <w:right w:val="single" w:sz="4" w:space="0" w:color="auto"/>
            </w:tcBorders>
            <w:shd w:val="clear" w:color="auto" w:fill="C6EFCE"/>
            <w:noWrap/>
            <w:vAlign w:val="center"/>
          </w:tcPr>
          <w:p w14:paraId="0B72DDD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421" w:type="dxa"/>
            <w:tcBorders>
              <w:top w:val="nil"/>
              <w:left w:val="nil"/>
              <w:bottom w:val="single" w:sz="4" w:space="0" w:color="auto"/>
              <w:right w:val="single" w:sz="4" w:space="0" w:color="auto"/>
            </w:tcBorders>
            <w:shd w:val="clear" w:color="auto" w:fill="C6EFCE"/>
            <w:noWrap/>
            <w:vAlign w:val="center"/>
          </w:tcPr>
          <w:p w14:paraId="50B4B401"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Dokončilo sa aspoň 10 projektov, ktorých cieľom je podporiť vývoj ekologickejších potravín rastlinného pôvodu.</w:t>
            </w:r>
          </w:p>
        </w:tc>
      </w:tr>
      <w:tr w:rsidR="00F65654" w:rsidRPr="00CC26EA" w14:paraId="4E8F31B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01A0A7B"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7</w:t>
            </w:r>
          </w:p>
        </w:tc>
        <w:tc>
          <w:tcPr>
            <w:tcW w:w="2410" w:type="dxa"/>
            <w:tcBorders>
              <w:top w:val="nil"/>
              <w:left w:val="nil"/>
              <w:bottom w:val="single" w:sz="4" w:space="0" w:color="auto"/>
              <w:right w:val="single" w:sz="4" w:space="0" w:color="auto"/>
            </w:tcBorders>
            <w:shd w:val="clear" w:color="auto" w:fill="C6EFCE"/>
            <w:noWrap/>
            <w:vAlign w:val="center"/>
          </w:tcPr>
          <w:p w14:paraId="32110E90" w14:textId="6B51B45C"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ekologické poľnohospodárstvo</w:t>
            </w:r>
          </w:p>
        </w:tc>
        <w:tc>
          <w:tcPr>
            <w:tcW w:w="1275" w:type="dxa"/>
            <w:tcBorders>
              <w:top w:val="nil"/>
              <w:left w:val="nil"/>
              <w:bottom w:val="single" w:sz="4" w:space="0" w:color="auto"/>
              <w:right w:val="single" w:sz="4" w:space="0" w:color="auto"/>
            </w:tcBorders>
            <w:shd w:val="clear" w:color="auto" w:fill="C6EFCE"/>
            <w:noWrap/>
            <w:vAlign w:val="center"/>
          </w:tcPr>
          <w:p w14:paraId="53688A2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421" w:type="dxa"/>
            <w:tcBorders>
              <w:top w:val="nil"/>
              <w:left w:val="nil"/>
              <w:bottom w:val="single" w:sz="4" w:space="0" w:color="auto"/>
              <w:right w:val="single" w:sz="4" w:space="0" w:color="auto"/>
            </w:tcBorders>
            <w:shd w:val="clear" w:color="auto" w:fill="C6EFCE"/>
            <w:noWrap/>
            <w:vAlign w:val="center"/>
          </w:tcPr>
          <w:p w14:paraId="6C88937E" w14:textId="5BB0747A"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Bolo dokončených najmenej 40 projektov</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rámci Nadácie pre ekologické poľnohospodárstvo.</w:t>
            </w:r>
          </w:p>
        </w:tc>
      </w:tr>
      <w:tr w:rsidR="00F65654" w:rsidRPr="00CC26EA" w14:paraId="4051EED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7458A8"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9</w:t>
            </w:r>
          </w:p>
        </w:tc>
        <w:tc>
          <w:tcPr>
            <w:tcW w:w="2410" w:type="dxa"/>
            <w:tcBorders>
              <w:top w:val="nil"/>
              <w:left w:val="nil"/>
              <w:bottom w:val="single" w:sz="4" w:space="0" w:color="auto"/>
              <w:right w:val="single" w:sz="4" w:space="0" w:color="auto"/>
            </w:tcBorders>
            <w:shd w:val="clear" w:color="auto" w:fill="C6EFCE"/>
            <w:noWrap/>
            <w:vAlign w:val="center"/>
          </w:tcPr>
          <w:p w14:paraId="187A10EE" w14:textId="4C675FFA"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Centrum pre ekologické inovácie</w:t>
            </w:r>
          </w:p>
        </w:tc>
        <w:tc>
          <w:tcPr>
            <w:tcW w:w="1275" w:type="dxa"/>
            <w:tcBorders>
              <w:top w:val="nil"/>
              <w:left w:val="nil"/>
              <w:bottom w:val="single" w:sz="4" w:space="0" w:color="auto"/>
              <w:right w:val="single" w:sz="4" w:space="0" w:color="auto"/>
            </w:tcBorders>
            <w:shd w:val="clear" w:color="auto" w:fill="C6EFCE"/>
            <w:noWrap/>
            <w:vAlign w:val="center"/>
          </w:tcPr>
          <w:p w14:paraId="1DE8438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421" w:type="dxa"/>
            <w:tcBorders>
              <w:top w:val="nil"/>
              <w:left w:val="nil"/>
              <w:bottom w:val="single" w:sz="4" w:space="0" w:color="auto"/>
              <w:right w:val="single" w:sz="4" w:space="0" w:color="auto"/>
            </w:tcBorders>
            <w:shd w:val="clear" w:color="auto" w:fill="C6EFCE"/>
            <w:noWrap/>
            <w:vAlign w:val="center"/>
          </w:tcPr>
          <w:p w14:paraId="7272FC9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Bolo dokončených aspoň 6 projektov na podporu ekologických inovácií</w:t>
            </w:r>
          </w:p>
        </w:tc>
      </w:tr>
      <w:tr w:rsidR="00F65654" w:rsidRPr="00CC26EA" w14:paraId="546C635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243DBC3"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26</w:t>
            </w:r>
          </w:p>
        </w:tc>
        <w:tc>
          <w:tcPr>
            <w:tcW w:w="2410" w:type="dxa"/>
            <w:tcBorders>
              <w:top w:val="nil"/>
              <w:left w:val="nil"/>
              <w:bottom w:val="single" w:sz="4" w:space="0" w:color="auto"/>
              <w:right w:val="single" w:sz="4" w:space="0" w:color="auto"/>
            </w:tcBorders>
            <w:shd w:val="clear" w:color="auto" w:fill="C6EFCE"/>
            <w:noWrap/>
            <w:vAlign w:val="center"/>
          </w:tcPr>
          <w:p w14:paraId="205289C7" w14:textId="1EF9C16D"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3 – Energetická efektívnosť,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Energetická obnova verejných budov</w:t>
            </w:r>
          </w:p>
        </w:tc>
        <w:tc>
          <w:tcPr>
            <w:tcW w:w="1275" w:type="dxa"/>
            <w:tcBorders>
              <w:top w:val="nil"/>
              <w:left w:val="nil"/>
              <w:bottom w:val="single" w:sz="4" w:space="0" w:color="auto"/>
              <w:right w:val="single" w:sz="4" w:space="0" w:color="auto"/>
            </w:tcBorders>
            <w:shd w:val="clear" w:color="auto" w:fill="C6EFCE"/>
            <w:noWrap/>
            <w:vAlign w:val="center"/>
          </w:tcPr>
          <w:p w14:paraId="197C6B2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421" w:type="dxa"/>
            <w:tcBorders>
              <w:top w:val="nil"/>
              <w:left w:val="nil"/>
              <w:bottom w:val="single" w:sz="4" w:space="0" w:color="auto"/>
              <w:right w:val="single" w:sz="4" w:space="0" w:color="auto"/>
            </w:tcBorders>
            <w:shd w:val="clear" w:color="auto" w:fill="C6EFCE"/>
            <w:noWrap/>
            <w:vAlign w:val="center"/>
          </w:tcPr>
          <w:p w14:paraId="5527015E" w14:textId="4657997D"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Zlepšenie energetického hodnotenia 40</w:t>
            </w:r>
            <w:r w:rsidR="00CC26EA" w:rsidRPr="00CC26EA">
              <w:rPr>
                <w:rFonts w:ascii="Times New Roman" w:hAnsi="Times New Roman"/>
                <w:noProof/>
                <w:spacing w:val="-6"/>
                <w:lang w:val="sk-SK"/>
              </w:rPr>
              <w:t> %</w:t>
            </w:r>
            <w:r w:rsidRPr="00CC26EA">
              <w:rPr>
                <w:rFonts w:ascii="Times New Roman" w:hAnsi="Times New Roman"/>
                <w:noProof/>
                <w:spacing w:val="-6"/>
                <w:lang w:val="sk-SK"/>
              </w:rPr>
              <w:t xml:space="preserve"> podporovaných mestských</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regionálnych budov</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 xml:space="preserve">ratingom D-G </w:t>
            </w:r>
          </w:p>
        </w:tc>
      </w:tr>
      <w:tr w:rsidR="00F65654" w:rsidRPr="00CC26EA" w14:paraId="6628E95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D2AF10B"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43</w:t>
            </w:r>
          </w:p>
        </w:tc>
        <w:tc>
          <w:tcPr>
            <w:tcW w:w="2410" w:type="dxa"/>
            <w:tcBorders>
              <w:top w:val="nil"/>
              <w:left w:val="nil"/>
              <w:bottom w:val="single" w:sz="4" w:space="0" w:color="auto"/>
              <w:right w:val="single" w:sz="4" w:space="0" w:color="auto"/>
            </w:tcBorders>
            <w:shd w:val="clear" w:color="auto" w:fill="C6EFCE"/>
            <w:noWrap/>
            <w:vAlign w:val="center"/>
          </w:tcPr>
          <w:p w14:paraId="536E0BEF" w14:textId="307357FC"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5 – Udržateľná cestná doprava – Opätovná prioritizácia registračnej dane pre vozidlá</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nízka daň</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 xml:space="preserve">elektrickej energie pri účtovaní elektrických vozidiel </w:t>
            </w:r>
          </w:p>
        </w:tc>
        <w:tc>
          <w:tcPr>
            <w:tcW w:w="1275" w:type="dxa"/>
            <w:tcBorders>
              <w:top w:val="nil"/>
              <w:left w:val="nil"/>
              <w:bottom w:val="single" w:sz="4" w:space="0" w:color="auto"/>
              <w:right w:val="single" w:sz="4" w:space="0" w:color="auto"/>
            </w:tcBorders>
            <w:shd w:val="clear" w:color="auto" w:fill="C6EFCE"/>
            <w:noWrap/>
            <w:vAlign w:val="center"/>
          </w:tcPr>
          <w:p w14:paraId="3FCCC0F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421" w:type="dxa"/>
            <w:tcBorders>
              <w:top w:val="nil"/>
              <w:left w:val="nil"/>
              <w:bottom w:val="single" w:sz="4" w:space="0" w:color="auto"/>
              <w:right w:val="single" w:sz="4" w:space="0" w:color="auto"/>
            </w:tcBorders>
            <w:shd w:val="clear" w:color="auto" w:fill="C6EFCE"/>
            <w:noWrap/>
            <w:vAlign w:val="center"/>
          </w:tcPr>
          <w:p w14:paraId="2D13A836" w14:textId="1605144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Najmenej 225000 automobilov</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nulovými</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nízkymi emisiami</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dánskom vozovom parku.</w:t>
            </w:r>
          </w:p>
        </w:tc>
      </w:tr>
      <w:tr w:rsidR="00F65654" w:rsidRPr="00CC26EA" w14:paraId="7D20A16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A8CCAFB"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56</w:t>
            </w:r>
          </w:p>
        </w:tc>
        <w:tc>
          <w:tcPr>
            <w:tcW w:w="2410" w:type="dxa"/>
            <w:tcBorders>
              <w:top w:val="nil"/>
              <w:left w:val="nil"/>
              <w:bottom w:val="single" w:sz="4" w:space="0" w:color="auto"/>
              <w:right w:val="single" w:sz="4" w:space="0" w:color="auto"/>
            </w:tcBorders>
            <w:shd w:val="clear" w:color="auto" w:fill="C6EFCE"/>
            <w:noWrap/>
            <w:vAlign w:val="center"/>
          </w:tcPr>
          <w:p w14:paraId="1653DC3F"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Digitálna stratégia</w:t>
            </w:r>
          </w:p>
        </w:tc>
        <w:tc>
          <w:tcPr>
            <w:tcW w:w="1275" w:type="dxa"/>
            <w:tcBorders>
              <w:top w:val="nil"/>
              <w:left w:val="nil"/>
              <w:bottom w:val="single" w:sz="4" w:space="0" w:color="auto"/>
              <w:right w:val="single" w:sz="4" w:space="0" w:color="auto"/>
            </w:tcBorders>
            <w:shd w:val="clear" w:color="auto" w:fill="C6EFCE"/>
            <w:noWrap/>
            <w:vAlign w:val="center"/>
          </w:tcPr>
          <w:p w14:paraId="2A35274B"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421" w:type="dxa"/>
            <w:tcBorders>
              <w:top w:val="nil"/>
              <w:left w:val="nil"/>
              <w:bottom w:val="single" w:sz="4" w:space="0" w:color="auto"/>
              <w:right w:val="single" w:sz="4" w:space="0" w:color="auto"/>
            </w:tcBorders>
            <w:shd w:val="clear" w:color="auto" w:fill="C6EFCE"/>
            <w:noWrap/>
            <w:vAlign w:val="center"/>
          </w:tcPr>
          <w:p w14:paraId="543129E2" w14:textId="139A16EE"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Nezávislá správa</w:t>
            </w:r>
            <w:r w:rsidR="00CC26EA" w:rsidRPr="00CC26EA">
              <w:rPr>
                <w:rFonts w:ascii="Times New Roman" w:hAnsi="Times New Roman"/>
                <w:noProof/>
                <w:spacing w:val="-6"/>
                <w:lang w:val="sk-SK"/>
              </w:rPr>
              <w:t xml:space="preserve"> o </w:t>
            </w:r>
            <w:r w:rsidRPr="00CC26EA">
              <w:rPr>
                <w:rFonts w:ascii="Times New Roman" w:hAnsi="Times New Roman"/>
                <w:noProof/>
                <w:spacing w:val="-6"/>
                <w:lang w:val="sk-SK"/>
              </w:rPr>
              <w:t>výsledkoch digitálnej stratégie</w:t>
            </w:r>
          </w:p>
        </w:tc>
      </w:tr>
      <w:tr w:rsidR="00F65654" w:rsidRPr="00CC26EA" w14:paraId="032C8AE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hideMark/>
          </w:tcPr>
          <w:p w14:paraId="67DE1376"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57</w:t>
            </w:r>
          </w:p>
        </w:tc>
        <w:tc>
          <w:tcPr>
            <w:tcW w:w="2410" w:type="dxa"/>
            <w:tcBorders>
              <w:top w:val="nil"/>
              <w:left w:val="nil"/>
              <w:bottom w:val="single" w:sz="4" w:space="0" w:color="auto"/>
              <w:right w:val="single" w:sz="4" w:space="0" w:color="auto"/>
            </w:tcBorders>
            <w:shd w:val="clear" w:color="auto" w:fill="C6EFCE"/>
            <w:noWrap/>
            <w:vAlign w:val="center"/>
            <w:hideMark/>
          </w:tcPr>
          <w:p w14:paraId="4D9D84B0" w14:textId="5D902B02"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Stratégia pre digitálny verejný sektor</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služby budúcnosti (subreforma A)</w:t>
            </w:r>
          </w:p>
        </w:tc>
        <w:tc>
          <w:tcPr>
            <w:tcW w:w="1275" w:type="dxa"/>
            <w:tcBorders>
              <w:top w:val="nil"/>
              <w:left w:val="nil"/>
              <w:bottom w:val="single" w:sz="4" w:space="0" w:color="auto"/>
              <w:right w:val="single" w:sz="4" w:space="0" w:color="auto"/>
            </w:tcBorders>
            <w:shd w:val="clear" w:color="auto" w:fill="C6EFCE"/>
            <w:noWrap/>
            <w:vAlign w:val="center"/>
            <w:hideMark/>
          </w:tcPr>
          <w:p w14:paraId="2EF8203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421" w:type="dxa"/>
            <w:tcBorders>
              <w:top w:val="nil"/>
              <w:left w:val="nil"/>
              <w:bottom w:val="single" w:sz="4" w:space="0" w:color="auto"/>
              <w:right w:val="single" w:sz="4" w:space="0" w:color="auto"/>
            </w:tcBorders>
            <w:shd w:val="clear" w:color="auto" w:fill="C6EFCE"/>
            <w:noWrap/>
            <w:vAlign w:val="center"/>
            <w:hideMark/>
          </w:tcPr>
          <w:p w14:paraId="7FF8B45F" w14:textId="518335D4"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Najmenej 7 verejných orgánov získalo finančné prostriedky na projekty</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oblasti umelej inteligencie</w:t>
            </w:r>
          </w:p>
        </w:tc>
      </w:tr>
      <w:tr w:rsidR="00F65654" w:rsidRPr="00CC26EA" w14:paraId="3948111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hideMark/>
          </w:tcPr>
          <w:p w14:paraId="5ED9E3C9"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58</w:t>
            </w:r>
          </w:p>
        </w:tc>
        <w:tc>
          <w:tcPr>
            <w:tcW w:w="2410" w:type="dxa"/>
            <w:tcBorders>
              <w:top w:val="nil"/>
              <w:left w:val="nil"/>
              <w:bottom w:val="single" w:sz="4" w:space="0" w:color="auto"/>
              <w:right w:val="single" w:sz="4" w:space="0" w:color="auto"/>
            </w:tcBorders>
            <w:shd w:val="clear" w:color="auto" w:fill="C6EFCE"/>
            <w:noWrap/>
            <w:vAlign w:val="center"/>
            <w:hideMark/>
          </w:tcPr>
          <w:p w14:paraId="68047960" w14:textId="5D757DBC"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Stratégia pre digitálne povolania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pracovné miesta budúcnosti (subreforma B)</w:t>
            </w:r>
          </w:p>
        </w:tc>
        <w:tc>
          <w:tcPr>
            <w:tcW w:w="1275" w:type="dxa"/>
            <w:tcBorders>
              <w:top w:val="nil"/>
              <w:left w:val="nil"/>
              <w:bottom w:val="single" w:sz="4" w:space="0" w:color="auto"/>
              <w:right w:val="single" w:sz="4" w:space="0" w:color="auto"/>
            </w:tcBorders>
            <w:shd w:val="clear" w:color="auto" w:fill="C6EFCE"/>
            <w:noWrap/>
            <w:vAlign w:val="center"/>
            <w:hideMark/>
          </w:tcPr>
          <w:p w14:paraId="0EB1432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421" w:type="dxa"/>
            <w:tcBorders>
              <w:top w:val="nil"/>
              <w:left w:val="nil"/>
              <w:bottom w:val="single" w:sz="4" w:space="0" w:color="auto"/>
              <w:right w:val="single" w:sz="4" w:space="0" w:color="auto"/>
            </w:tcBorders>
            <w:shd w:val="clear" w:color="auto" w:fill="C6EFCE"/>
            <w:noWrap/>
            <w:vAlign w:val="center"/>
            <w:hideMark/>
          </w:tcPr>
          <w:p w14:paraId="416ACD05"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Najmenej 500 MSP získalo finančné prostriedky na digitálne projekty</w:t>
            </w:r>
          </w:p>
        </w:tc>
      </w:tr>
      <w:tr w:rsidR="00F65654" w:rsidRPr="00CC26EA" w14:paraId="38951D8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hideMark/>
          </w:tcPr>
          <w:p w14:paraId="1CC42B6C"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59</w:t>
            </w:r>
          </w:p>
        </w:tc>
        <w:tc>
          <w:tcPr>
            <w:tcW w:w="2410" w:type="dxa"/>
            <w:tcBorders>
              <w:top w:val="nil"/>
              <w:left w:val="nil"/>
              <w:bottom w:val="single" w:sz="4" w:space="0" w:color="auto"/>
              <w:right w:val="single" w:sz="4" w:space="0" w:color="auto"/>
            </w:tcBorders>
            <w:shd w:val="clear" w:color="auto" w:fill="C6EFCE"/>
            <w:noWrap/>
            <w:vAlign w:val="center"/>
            <w:hideMark/>
          </w:tcPr>
          <w:p w14:paraId="2CC28B14" w14:textId="73314EB1"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Rámec pre inovácie, verejno-súkromné partnerstvá</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využívanie nových technológií (subreforma C)</w:t>
            </w:r>
          </w:p>
        </w:tc>
        <w:tc>
          <w:tcPr>
            <w:tcW w:w="1275" w:type="dxa"/>
            <w:tcBorders>
              <w:top w:val="nil"/>
              <w:left w:val="nil"/>
              <w:bottom w:val="single" w:sz="4" w:space="0" w:color="auto"/>
              <w:right w:val="single" w:sz="4" w:space="0" w:color="auto"/>
            </w:tcBorders>
            <w:shd w:val="clear" w:color="auto" w:fill="C6EFCE"/>
            <w:noWrap/>
            <w:vAlign w:val="center"/>
            <w:hideMark/>
          </w:tcPr>
          <w:p w14:paraId="3E5E44A0"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421" w:type="dxa"/>
            <w:tcBorders>
              <w:top w:val="nil"/>
              <w:left w:val="nil"/>
              <w:bottom w:val="single" w:sz="4" w:space="0" w:color="auto"/>
              <w:right w:val="single" w:sz="4" w:space="0" w:color="auto"/>
            </w:tcBorders>
            <w:shd w:val="clear" w:color="auto" w:fill="C6EFCE"/>
            <w:noWrap/>
            <w:vAlign w:val="center"/>
            <w:hideMark/>
          </w:tcPr>
          <w:p w14:paraId="417B771B" w14:textId="31C3296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Aspoň 30</w:t>
            </w:r>
            <w:r w:rsidR="00CC26EA" w:rsidRPr="00CC26EA">
              <w:rPr>
                <w:rFonts w:ascii="Times New Roman" w:hAnsi="Times New Roman"/>
                <w:noProof/>
                <w:spacing w:val="-6"/>
                <w:lang w:val="sk-SK"/>
              </w:rPr>
              <w:t> %</w:t>
            </w:r>
            <w:r w:rsidRPr="00CC26EA">
              <w:rPr>
                <w:rFonts w:ascii="Times New Roman" w:hAnsi="Times New Roman"/>
                <w:noProof/>
                <w:spacing w:val="-6"/>
                <w:lang w:val="sk-SK"/>
              </w:rPr>
              <w:t xml:space="preserve"> verejných inovácií sa uskutočňuje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 xml:space="preserve">rámci verejno-súkromných partnerstiev </w:t>
            </w:r>
          </w:p>
        </w:tc>
      </w:tr>
      <w:tr w:rsidR="00F65654" w:rsidRPr="00CC26EA" w14:paraId="39721C9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B999768"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60</w:t>
            </w:r>
          </w:p>
        </w:tc>
        <w:tc>
          <w:tcPr>
            <w:tcW w:w="2410" w:type="dxa"/>
            <w:tcBorders>
              <w:top w:val="nil"/>
              <w:left w:val="nil"/>
              <w:bottom w:val="single" w:sz="4" w:space="0" w:color="auto"/>
              <w:right w:val="single" w:sz="4" w:space="0" w:color="auto"/>
            </w:tcBorders>
            <w:shd w:val="clear" w:color="auto" w:fill="C6EFCE"/>
            <w:noWrap/>
            <w:vAlign w:val="center"/>
          </w:tcPr>
          <w:p w14:paraId="5E525DC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6 – Digitalizácia – Rámec pre spoločnosť založenú na údajoch (subreforma D)</w:t>
            </w:r>
          </w:p>
        </w:tc>
        <w:tc>
          <w:tcPr>
            <w:tcW w:w="1275" w:type="dxa"/>
            <w:tcBorders>
              <w:top w:val="nil"/>
              <w:left w:val="nil"/>
              <w:bottom w:val="single" w:sz="4" w:space="0" w:color="auto"/>
              <w:right w:val="single" w:sz="4" w:space="0" w:color="auto"/>
            </w:tcBorders>
            <w:shd w:val="clear" w:color="auto" w:fill="C6EFCE"/>
            <w:noWrap/>
            <w:vAlign w:val="center"/>
          </w:tcPr>
          <w:p w14:paraId="18E5665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421" w:type="dxa"/>
            <w:tcBorders>
              <w:top w:val="nil"/>
              <w:left w:val="nil"/>
              <w:bottom w:val="single" w:sz="4" w:space="0" w:color="auto"/>
              <w:right w:val="single" w:sz="4" w:space="0" w:color="auto"/>
            </w:tcBorders>
            <w:shd w:val="clear" w:color="auto" w:fill="C6EFCE"/>
            <w:noWrap/>
            <w:vAlign w:val="center"/>
          </w:tcPr>
          <w:p w14:paraId="33936AB9" w14:textId="5F8C9F8B"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Aspoň štyri verejné inštitúcie vyvinuli alebo dostali podporu na vývoj riešení na uchovávanie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opakované použitie osobných informácií</w:t>
            </w:r>
          </w:p>
        </w:tc>
      </w:tr>
      <w:tr w:rsidR="00F65654" w:rsidRPr="00CC26EA" w14:paraId="3DEEA6A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9C091F8"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8</w:t>
            </w:r>
          </w:p>
        </w:tc>
        <w:tc>
          <w:tcPr>
            <w:tcW w:w="2410" w:type="dxa"/>
            <w:tcBorders>
              <w:top w:val="nil"/>
              <w:left w:val="nil"/>
              <w:bottom w:val="single" w:sz="4" w:space="0" w:color="auto"/>
              <w:right w:val="single" w:sz="4" w:space="0" w:color="auto"/>
            </w:tcBorders>
            <w:shd w:val="clear" w:color="auto" w:fill="C6EFCE"/>
            <w:noWrap/>
            <w:vAlign w:val="center"/>
          </w:tcPr>
          <w:p w14:paraId="1BACB641" w14:textId="6D7467BB"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životného prostredia – ekologická transformácia verejných kuchyní </w:t>
            </w:r>
          </w:p>
        </w:tc>
        <w:tc>
          <w:tcPr>
            <w:tcW w:w="1275" w:type="dxa"/>
            <w:tcBorders>
              <w:top w:val="nil"/>
              <w:left w:val="nil"/>
              <w:bottom w:val="single" w:sz="4" w:space="0" w:color="auto"/>
              <w:right w:val="single" w:sz="4" w:space="0" w:color="auto"/>
            </w:tcBorders>
            <w:shd w:val="clear" w:color="auto" w:fill="C6EFCE"/>
            <w:noWrap/>
            <w:vAlign w:val="center"/>
          </w:tcPr>
          <w:p w14:paraId="4BD8A950"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421" w:type="dxa"/>
            <w:tcBorders>
              <w:top w:val="nil"/>
              <w:left w:val="nil"/>
              <w:bottom w:val="single" w:sz="4" w:space="0" w:color="auto"/>
              <w:right w:val="single" w:sz="4" w:space="0" w:color="auto"/>
            </w:tcBorders>
            <w:shd w:val="clear" w:color="auto" w:fill="C6EFCE"/>
            <w:noWrap/>
            <w:vAlign w:val="center"/>
          </w:tcPr>
          <w:p w14:paraId="51E449C3" w14:textId="5D7B4A50"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Zvýšiť podiel produktov ekologickej poľnohospodárskej výroby používaných vo verejných kuchyniach aspoň na 35</w:t>
            </w:r>
            <w:r w:rsidR="00CC26EA" w:rsidRPr="00CC26EA">
              <w:rPr>
                <w:rFonts w:ascii="Times New Roman" w:hAnsi="Times New Roman"/>
                <w:noProof/>
                <w:spacing w:val="-6"/>
                <w:lang w:val="sk-SK"/>
              </w:rPr>
              <w:t> %</w:t>
            </w:r>
            <w:r w:rsidRPr="00CC26EA">
              <w:rPr>
                <w:rFonts w:ascii="Times New Roman" w:hAnsi="Times New Roman"/>
                <w:noProof/>
                <w:spacing w:val="-6"/>
                <w:lang w:val="sk-SK"/>
              </w:rPr>
              <w:t>.</w:t>
            </w:r>
          </w:p>
        </w:tc>
      </w:tr>
      <w:tr w:rsidR="00F65654" w:rsidRPr="00CC26EA" w14:paraId="40CA6E6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77CA605"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12</w:t>
            </w:r>
          </w:p>
        </w:tc>
        <w:tc>
          <w:tcPr>
            <w:tcW w:w="2410" w:type="dxa"/>
            <w:tcBorders>
              <w:top w:val="nil"/>
              <w:left w:val="nil"/>
              <w:bottom w:val="single" w:sz="4" w:space="0" w:color="auto"/>
              <w:right w:val="single" w:sz="4" w:space="0" w:color="auto"/>
            </w:tcBorders>
            <w:shd w:val="clear" w:color="auto" w:fill="C6EFCE"/>
            <w:noWrap/>
            <w:vAlign w:val="center"/>
          </w:tcPr>
          <w:p w14:paraId="53F9D49F" w14:textId="4847892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klimatické technológie</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poľnohospodárstve</w:t>
            </w:r>
          </w:p>
        </w:tc>
        <w:tc>
          <w:tcPr>
            <w:tcW w:w="1275" w:type="dxa"/>
            <w:tcBorders>
              <w:top w:val="nil"/>
              <w:left w:val="nil"/>
              <w:bottom w:val="single" w:sz="4" w:space="0" w:color="auto"/>
              <w:right w:val="single" w:sz="4" w:space="0" w:color="auto"/>
            </w:tcBorders>
            <w:shd w:val="clear" w:color="auto" w:fill="C6EFCE"/>
            <w:noWrap/>
            <w:vAlign w:val="center"/>
          </w:tcPr>
          <w:p w14:paraId="325ECA8E"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421" w:type="dxa"/>
            <w:tcBorders>
              <w:top w:val="nil"/>
              <w:left w:val="nil"/>
              <w:bottom w:val="single" w:sz="4" w:space="0" w:color="auto"/>
              <w:right w:val="single" w:sz="4" w:space="0" w:color="auto"/>
            </w:tcBorders>
            <w:shd w:val="clear" w:color="auto" w:fill="C6EFCE"/>
            <w:noWrap/>
            <w:vAlign w:val="center"/>
          </w:tcPr>
          <w:p w14:paraId="798D678C"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Zriadenie 1 celoplošnej biorafinérie.</w:t>
            </w:r>
          </w:p>
        </w:tc>
      </w:tr>
      <w:tr w:rsidR="00F65654" w:rsidRPr="00CC26EA" w14:paraId="53D169D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B931A2E" w14:textId="11608A78"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82</w:t>
            </w:r>
          </w:p>
        </w:tc>
        <w:tc>
          <w:tcPr>
            <w:tcW w:w="2410" w:type="dxa"/>
            <w:tcBorders>
              <w:top w:val="nil"/>
              <w:left w:val="nil"/>
              <w:bottom w:val="single" w:sz="4" w:space="0" w:color="auto"/>
              <w:right w:val="single" w:sz="4" w:space="0" w:color="auto"/>
            </w:tcBorders>
            <w:shd w:val="clear" w:color="auto" w:fill="C6EFCE"/>
            <w:noWrap/>
            <w:vAlign w:val="center"/>
          </w:tcPr>
          <w:p w14:paraId="656037BE" w14:textId="3FACE35A"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8 – REPowerEU – Prípravy na veternú energiu vo výške 4 gigawattov (GW) na mori</w:t>
            </w:r>
          </w:p>
        </w:tc>
        <w:tc>
          <w:tcPr>
            <w:tcW w:w="1275" w:type="dxa"/>
            <w:tcBorders>
              <w:top w:val="nil"/>
              <w:left w:val="nil"/>
              <w:bottom w:val="single" w:sz="4" w:space="0" w:color="auto"/>
              <w:right w:val="single" w:sz="4" w:space="0" w:color="auto"/>
            </w:tcBorders>
            <w:shd w:val="clear" w:color="auto" w:fill="C6EFCE"/>
            <w:noWrap/>
            <w:vAlign w:val="center"/>
          </w:tcPr>
          <w:p w14:paraId="3747567B" w14:textId="669AD1A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421" w:type="dxa"/>
            <w:tcBorders>
              <w:top w:val="nil"/>
              <w:left w:val="nil"/>
              <w:bottom w:val="single" w:sz="4" w:space="0" w:color="auto"/>
              <w:right w:val="single" w:sz="4" w:space="0" w:color="auto"/>
            </w:tcBorders>
            <w:shd w:val="clear" w:color="auto" w:fill="C6EFCE"/>
            <w:noWrap/>
            <w:vAlign w:val="center"/>
          </w:tcPr>
          <w:p w14:paraId="46CD7A16" w14:textId="02F746D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Príprava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uverejnenie výzvy na predkladanie ponúk na veternú energiu na mori</w:t>
            </w:r>
            <w:r w:rsidR="00CC26EA" w:rsidRPr="00CC26EA">
              <w:rPr>
                <w:rFonts w:ascii="Times New Roman" w:hAnsi="Times New Roman"/>
                <w:noProof/>
                <w:spacing w:val="-6"/>
                <w:lang w:val="sk-SK"/>
              </w:rPr>
              <w:t xml:space="preserve"> s </w:t>
            </w:r>
            <w:r w:rsidRPr="00CC26EA">
              <w:rPr>
                <w:rFonts w:ascii="Times New Roman" w:hAnsi="Times New Roman"/>
                <w:noProof/>
                <w:spacing w:val="-6"/>
                <w:lang w:val="sk-SK"/>
              </w:rPr>
              <w:t>výkonom 4 GW.</w:t>
            </w:r>
          </w:p>
        </w:tc>
      </w:tr>
      <w:tr w:rsidR="00F65654" w:rsidRPr="00CC26EA" w14:paraId="5C28E32B"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F95748" w14:textId="77777777" w:rsidR="00F65654" w:rsidRPr="00CC26EA" w:rsidRDefault="00F65654">
            <w:pPr>
              <w:spacing w:after="0"/>
              <w:jc w:val="center"/>
              <w:rPr>
                <w:rFonts w:ascii="Times New Roman" w:eastAsia="Times New Roman" w:hAnsi="Times New Roman"/>
                <w:noProof/>
                <w:color w:val="006100"/>
                <w:spacing w:val="-6"/>
                <w:lang w:val="sk-SK"/>
              </w:rPr>
            </w:pPr>
          </w:p>
        </w:tc>
        <w:tc>
          <w:tcPr>
            <w:tcW w:w="2410" w:type="dxa"/>
            <w:tcBorders>
              <w:top w:val="single" w:sz="4" w:space="0" w:color="auto"/>
              <w:left w:val="nil"/>
              <w:bottom w:val="single" w:sz="4" w:space="0" w:color="auto"/>
              <w:right w:val="single" w:sz="4" w:space="0" w:color="auto"/>
            </w:tcBorders>
            <w:shd w:val="clear" w:color="auto" w:fill="C6EFCE"/>
            <w:noWrap/>
            <w:vAlign w:val="center"/>
          </w:tcPr>
          <w:p w14:paraId="6896290A" w14:textId="77777777" w:rsidR="00F65654" w:rsidRPr="00CC26EA" w:rsidRDefault="00F65654">
            <w:pPr>
              <w:spacing w:after="0"/>
              <w:rPr>
                <w:rFonts w:ascii="Times New Roman" w:eastAsia="Times New Roman" w:hAnsi="Times New Roman"/>
                <w:noProof/>
                <w:color w:val="006100"/>
                <w:spacing w:val="-6"/>
                <w:lang w:val="sk-SK"/>
              </w:rPr>
            </w:pPr>
          </w:p>
        </w:tc>
        <w:tc>
          <w:tcPr>
            <w:tcW w:w="1275" w:type="dxa"/>
            <w:tcBorders>
              <w:top w:val="single" w:sz="4" w:space="0" w:color="auto"/>
              <w:left w:val="nil"/>
              <w:bottom w:val="single" w:sz="4" w:space="0" w:color="auto"/>
              <w:right w:val="single" w:sz="4" w:space="0" w:color="auto"/>
            </w:tcBorders>
            <w:shd w:val="clear" w:color="auto" w:fill="C6EFCE"/>
            <w:noWrap/>
            <w:vAlign w:val="center"/>
          </w:tcPr>
          <w:p w14:paraId="63B1543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Suma splátky</w:t>
            </w:r>
          </w:p>
        </w:tc>
        <w:tc>
          <w:tcPr>
            <w:tcW w:w="4421" w:type="dxa"/>
            <w:tcBorders>
              <w:top w:val="single" w:sz="4" w:space="0" w:color="auto"/>
              <w:left w:val="nil"/>
              <w:bottom w:val="single" w:sz="4" w:space="0" w:color="auto"/>
              <w:right w:val="single" w:sz="4" w:space="0" w:color="auto"/>
            </w:tcBorders>
            <w:shd w:val="clear" w:color="auto" w:fill="C6EFCE"/>
            <w:noWrap/>
            <w:vAlign w:val="center"/>
          </w:tcPr>
          <w:p w14:paraId="24F81420" w14:textId="65AEA2A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221 152 207 EUR</w:t>
            </w:r>
          </w:p>
        </w:tc>
      </w:tr>
    </w:tbl>
    <w:p w14:paraId="279FD6C4" w14:textId="77777777" w:rsidR="00F65654" w:rsidRPr="00CC26EA" w:rsidRDefault="00F65654">
      <w:pPr>
        <w:rPr>
          <w:rFonts w:ascii="Times New Roman" w:hAnsi="Times New Roman"/>
          <w:noProof/>
          <w:spacing w:val="-6"/>
          <w:lang w:val="sk-SK"/>
        </w:rPr>
      </w:pPr>
    </w:p>
    <w:p w14:paraId="39FEF77E" w14:textId="77777777" w:rsidR="00F65654" w:rsidRPr="00CC26EA" w:rsidRDefault="0041081E">
      <w:pPr>
        <w:pStyle w:val="NumPar2"/>
        <w:numPr>
          <w:ilvl w:val="1"/>
          <w:numId w:val="17"/>
        </w:numPr>
        <w:rPr>
          <w:noProof/>
          <w:spacing w:val="-6"/>
          <w:lang w:val="sk-SK"/>
        </w:rPr>
      </w:pPr>
      <w:r w:rsidRPr="00CC26EA">
        <w:rPr>
          <w:noProof/>
          <w:spacing w:val="-6"/>
          <w:lang w:val="sk-SK"/>
        </w:rPr>
        <w:t xml:space="preserve">Šiesta splátka (nenávratná podpora): </w:t>
      </w:r>
    </w:p>
    <w:tbl>
      <w:tblPr>
        <w:tblW w:w="9545" w:type="dxa"/>
        <w:tblInd w:w="113" w:type="dxa"/>
        <w:tblLook w:val="04A0" w:firstRow="1" w:lastRow="0" w:firstColumn="1" w:lastColumn="0" w:noHBand="0" w:noVBand="1"/>
      </w:tblPr>
      <w:tblGrid>
        <w:gridCol w:w="1297"/>
        <w:gridCol w:w="2526"/>
        <w:gridCol w:w="1701"/>
        <w:gridCol w:w="4021"/>
      </w:tblGrid>
      <w:tr w:rsidR="00F65654" w:rsidRPr="00CC26EA" w14:paraId="32B24FA1" w14:textId="77777777">
        <w:trPr>
          <w:trHeight w:val="509"/>
          <w:tblHeader/>
        </w:trPr>
        <w:tc>
          <w:tcPr>
            <w:tcW w:w="12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56971E5"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Poradové číslo</w:t>
            </w:r>
          </w:p>
        </w:tc>
        <w:tc>
          <w:tcPr>
            <w:tcW w:w="25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9431EDB"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Súvisiace opatrenie (reforma alebo investícia)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F038808"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Míľnik/cieľ</w:t>
            </w:r>
          </w:p>
        </w:tc>
        <w:tc>
          <w:tcPr>
            <w:tcW w:w="402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58677E5" w14:textId="77777777" w:rsidR="00F65654" w:rsidRPr="00CC26EA" w:rsidRDefault="0041081E">
            <w:pPr>
              <w:pStyle w:val="P68B1DB1-Normal1"/>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Názov</w:t>
            </w:r>
          </w:p>
        </w:tc>
      </w:tr>
      <w:tr w:rsidR="00F65654" w:rsidRPr="00CC26EA" w14:paraId="7DFEF92A" w14:textId="77777777">
        <w:trPr>
          <w:trHeight w:val="990"/>
        </w:trPr>
        <w:tc>
          <w:tcPr>
            <w:tcW w:w="1297" w:type="dxa"/>
            <w:vMerge/>
            <w:tcBorders>
              <w:top w:val="single" w:sz="4" w:space="0" w:color="auto"/>
              <w:left w:val="single" w:sz="4" w:space="0" w:color="auto"/>
              <w:bottom w:val="single" w:sz="4" w:space="0" w:color="auto"/>
              <w:right w:val="single" w:sz="4" w:space="0" w:color="auto"/>
            </w:tcBorders>
            <w:vAlign w:val="center"/>
            <w:hideMark/>
          </w:tcPr>
          <w:p w14:paraId="7DA5993E" w14:textId="77777777" w:rsidR="00F65654" w:rsidRPr="00CC26EA" w:rsidRDefault="00F65654">
            <w:pPr>
              <w:spacing w:after="0"/>
              <w:rPr>
                <w:rFonts w:ascii="Times New Roman" w:eastAsia="Times New Roman" w:hAnsi="Times New Roman"/>
                <w:b/>
                <w:noProof/>
                <w:spacing w:val="-6"/>
                <w:lang w:val="sk-SK"/>
              </w:rPr>
            </w:pPr>
          </w:p>
        </w:tc>
        <w:tc>
          <w:tcPr>
            <w:tcW w:w="2526" w:type="dxa"/>
            <w:vMerge/>
            <w:tcBorders>
              <w:top w:val="single" w:sz="4" w:space="0" w:color="auto"/>
              <w:left w:val="single" w:sz="4" w:space="0" w:color="auto"/>
              <w:bottom w:val="single" w:sz="4" w:space="0" w:color="auto"/>
              <w:right w:val="single" w:sz="4" w:space="0" w:color="auto"/>
            </w:tcBorders>
            <w:vAlign w:val="center"/>
            <w:hideMark/>
          </w:tcPr>
          <w:p w14:paraId="54F4E3D9" w14:textId="77777777" w:rsidR="00F65654" w:rsidRPr="00CC26EA" w:rsidRDefault="00F65654">
            <w:pPr>
              <w:spacing w:after="0"/>
              <w:rPr>
                <w:rFonts w:ascii="Times New Roman" w:eastAsia="Times New Roman" w:hAnsi="Times New Roman"/>
                <w:b/>
                <w:noProof/>
                <w:spacing w:val="-6"/>
                <w:lang w:val="sk-SK"/>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1D5CD47" w14:textId="77777777" w:rsidR="00F65654" w:rsidRPr="00CC26EA" w:rsidRDefault="00F65654">
            <w:pPr>
              <w:spacing w:after="0"/>
              <w:rPr>
                <w:rFonts w:ascii="Times New Roman" w:eastAsia="Times New Roman" w:hAnsi="Times New Roman"/>
                <w:b/>
                <w:noProof/>
                <w:spacing w:val="-6"/>
                <w:lang w:val="sk-SK"/>
              </w:rPr>
            </w:pPr>
          </w:p>
        </w:tc>
        <w:tc>
          <w:tcPr>
            <w:tcW w:w="4021" w:type="dxa"/>
            <w:vMerge/>
            <w:tcBorders>
              <w:top w:val="single" w:sz="4" w:space="0" w:color="auto"/>
              <w:left w:val="single" w:sz="4" w:space="0" w:color="auto"/>
              <w:bottom w:val="single" w:sz="4" w:space="0" w:color="auto"/>
              <w:right w:val="single" w:sz="4" w:space="0" w:color="auto"/>
            </w:tcBorders>
            <w:vAlign w:val="center"/>
            <w:hideMark/>
          </w:tcPr>
          <w:p w14:paraId="123107A5" w14:textId="77777777" w:rsidR="00F65654" w:rsidRPr="00CC26EA" w:rsidRDefault="00F65654">
            <w:pPr>
              <w:spacing w:after="0"/>
              <w:rPr>
                <w:rFonts w:ascii="Times New Roman" w:eastAsia="Times New Roman" w:hAnsi="Times New Roman"/>
                <w:b/>
                <w:noProof/>
                <w:spacing w:val="-6"/>
                <w:lang w:val="sk-SK"/>
              </w:rPr>
            </w:pPr>
          </w:p>
        </w:tc>
      </w:tr>
      <w:tr w:rsidR="00F65654" w:rsidRPr="00CC26EA" w14:paraId="188F2121"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9A9B140"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15</w:t>
            </w:r>
          </w:p>
        </w:tc>
        <w:tc>
          <w:tcPr>
            <w:tcW w:w="2526" w:type="dxa"/>
            <w:tcBorders>
              <w:top w:val="single" w:sz="4" w:space="0" w:color="auto"/>
              <w:left w:val="nil"/>
              <w:bottom w:val="single" w:sz="4" w:space="0" w:color="auto"/>
              <w:right w:val="single" w:sz="4" w:space="0" w:color="auto"/>
            </w:tcBorders>
            <w:shd w:val="clear" w:color="auto" w:fill="C6EFCE"/>
            <w:noWrap/>
            <w:vAlign w:val="center"/>
            <w:hideMark/>
          </w:tcPr>
          <w:p w14:paraId="3E01BACB" w14:textId="3C597DCB"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Pôda bohatá na uhlík</w:t>
            </w:r>
          </w:p>
        </w:tc>
        <w:tc>
          <w:tcPr>
            <w:tcW w:w="1701" w:type="dxa"/>
            <w:tcBorders>
              <w:top w:val="single" w:sz="4" w:space="0" w:color="auto"/>
              <w:left w:val="nil"/>
              <w:bottom w:val="single" w:sz="4" w:space="0" w:color="auto"/>
              <w:right w:val="single" w:sz="4" w:space="0" w:color="auto"/>
            </w:tcBorders>
            <w:shd w:val="clear" w:color="auto" w:fill="C6EFCE"/>
            <w:noWrap/>
            <w:vAlign w:val="center"/>
            <w:hideMark/>
          </w:tcPr>
          <w:p w14:paraId="6367CFB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single" w:sz="4" w:space="0" w:color="auto"/>
              <w:left w:val="nil"/>
              <w:bottom w:val="single" w:sz="4" w:space="0" w:color="auto"/>
              <w:right w:val="single" w:sz="4" w:space="0" w:color="auto"/>
            </w:tcBorders>
            <w:shd w:val="clear" w:color="auto" w:fill="C6EFCE"/>
            <w:noWrap/>
            <w:vAlign w:val="center"/>
            <w:hideMark/>
          </w:tcPr>
          <w:p w14:paraId="209894BF" w14:textId="68F3E592"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Projekty, ktoré predstavujú vyčerpanie 4700 hektárov pôdy bohatej na uhlík</w:t>
            </w:r>
            <w:r w:rsidR="00CC26EA" w:rsidRPr="00CC26EA">
              <w:rPr>
                <w:rFonts w:ascii="Times New Roman" w:hAnsi="Times New Roman"/>
                <w:noProof/>
                <w:spacing w:val="-6"/>
                <w:lang w:val="sk-SK"/>
              </w:rPr>
              <w:t xml:space="preserve"> z </w:t>
            </w:r>
            <w:r w:rsidRPr="00CC26EA">
              <w:rPr>
                <w:rFonts w:ascii="Times New Roman" w:hAnsi="Times New Roman"/>
                <w:noProof/>
                <w:spacing w:val="-6"/>
                <w:lang w:val="sk-SK"/>
              </w:rPr>
              <w:t>produkcie, mali záväzky.</w:t>
            </w:r>
          </w:p>
        </w:tc>
      </w:tr>
      <w:tr w:rsidR="00F65654" w:rsidRPr="00CC26EA" w14:paraId="148E39CA"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hideMark/>
          </w:tcPr>
          <w:p w14:paraId="45F6BC3D"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18</w:t>
            </w:r>
          </w:p>
        </w:tc>
        <w:tc>
          <w:tcPr>
            <w:tcW w:w="2526" w:type="dxa"/>
            <w:tcBorders>
              <w:top w:val="nil"/>
              <w:left w:val="nil"/>
              <w:bottom w:val="single" w:sz="4" w:space="0" w:color="auto"/>
              <w:right w:val="single" w:sz="4" w:space="0" w:color="auto"/>
            </w:tcBorders>
            <w:shd w:val="clear" w:color="auto" w:fill="C6EFCE"/>
            <w:noWrap/>
            <w:vAlign w:val="center"/>
            <w:hideMark/>
          </w:tcPr>
          <w:p w14:paraId="25A0546B" w14:textId="7DD81CA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2 – Zelená transformácia poľnohospodárstva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životného prostredia – Obnova priemyselných lokalít</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kontaminovanej pôdy</w:t>
            </w:r>
          </w:p>
        </w:tc>
        <w:tc>
          <w:tcPr>
            <w:tcW w:w="1701" w:type="dxa"/>
            <w:tcBorders>
              <w:top w:val="nil"/>
              <w:left w:val="nil"/>
              <w:bottom w:val="single" w:sz="4" w:space="0" w:color="auto"/>
              <w:right w:val="single" w:sz="4" w:space="0" w:color="auto"/>
            </w:tcBorders>
            <w:shd w:val="clear" w:color="auto" w:fill="C6EFCE"/>
            <w:noWrap/>
            <w:vAlign w:val="center"/>
            <w:hideMark/>
          </w:tcPr>
          <w:p w14:paraId="12D341B3"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nil"/>
              <w:left w:val="nil"/>
              <w:bottom w:val="single" w:sz="4" w:space="0" w:color="auto"/>
              <w:right w:val="single" w:sz="4" w:space="0" w:color="auto"/>
            </w:tcBorders>
            <w:shd w:val="clear" w:color="auto" w:fill="C6EFCE"/>
            <w:noWrap/>
            <w:vAlign w:val="center"/>
            <w:hideMark/>
          </w:tcPr>
          <w:p w14:paraId="4D8C25AD"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Začne sa rekultivácia najmenej štyroch rôznych kontaminovaných miest.</w:t>
            </w:r>
          </w:p>
        </w:tc>
      </w:tr>
      <w:tr w:rsidR="00F65654" w:rsidRPr="00CC26EA" w14:paraId="4ABA1452"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hideMark/>
          </w:tcPr>
          <w:p w14:paraId="2F4BA8FD"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21</w:t>
            </w:r>
          </w:p>
        </w:tc>
        <w:tc>
          <w:tcPr>
            <w:tcW w:w="2526" w:type="dxa"/>
            <w:tcBorders>
              <w:top w:val="nil"/>
              <w:left w:val="nil"/>
              <w:bottom w:val="single" w:sz="4" w:space="0" w:color="auto"/>
              <w:right w:val="single" w:sz="4" w:space="0" w:color="auto"/>
            </w:tcBorders>
            <w:shd w:val="clear" w:color="auto" w:fill="C6EFCE"/>
            <w:noWrap/>
            <w:vAlign w:val="center"/>
            <w:hideMark/>
          </w:tcPr>
          <w:p w14:paraId="049ECB01" w14:textId="5A4E3F2D"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3 – Energetická účinnosť,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Náhrada ropných horákov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plynových pecí</w:t>
            </w:r>
          </w:p>
        </w:tc>
        <w:tc>
          <w:tcPr>
            <w:tcW w:w="1701" w:type="dxa"/>
            <w:tcBorders>
              <w:top w:val="nil"/>
              <w:left w:val="nil"/>
              <w:bottom w:val="single" w:sz="4" w:space="0" w:color="auto"/>
              <w:right w:val="single" w:sz="4" w:space="0" w:color="auto"/>
            </w:tcBorders>
            <w:shd w:val="clear" w:color="auto" w:fill="C6EFCE"/>
            <w:noWrap/>
            <w:vAlign w:val="center"/>
            <w:hideMark/>
          </w:tcPr>
          <w:p w14:paraId="5ADE97B7"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nil"/>
              <w:left w:val="nil"/>
              <w:bottom w:val="single" w:sz="4" w:space="0" w:color="auto"/>
              <w:right w:val="single" w:sz="4" w:space="0" w:color="auto"/>
            </w:tcBorders>
            <w:shd w:val="clear" w:color="auto" w:fill="C6EFCE"/>
            <w:noWrap/>
            <w:vAlign w:val="center"/>
            <w:hideMark/>
          </w:tcPr>
          <w:p w14:paraId="286F23B8"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Najmenej 10100 individuálnych olejových horákov alebo plynových pecí bolo nahradených diaľkovým vykurovaním alebo tepelnými čerpadlami </w:t>
            </w:r>
          </w:p>
        </w:tc>
      </w:tr>
      <w:tr w:rsidR="00F65654" w:rsidRPr="00CC26EA" w14:paraId="73F1EE31"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vAlign w:val="center"/>
          </w:tcPr>
          <w:p w14:paraId="5FAA7CC2" w14:textId="77777777"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30</w:t>
            </w:r>
          </w:p>
        </w:tc>
        <w:tc>
          <w:tcPr>
            <w:tcW w:w="2526" w:type="dxa"/>
            <w:tcBorders>
              <w:top w:val="nil"/>
              <w:left w:val="nil"/>
              <w:bottom w:val="single" w:sz="4" w:space="0" w:color="auto"/>
              <w:right w:val="single" w:sz="4" w:space="0" w:color="auto"/>
            </w:tcBorders>
            <w:shd w:val="clear" w:color="auto" w:fill="C6EFCE"/>
            <w:noWrap/>
            <w:vAlign w:val="center"/>
          </w:tcPr>
          <w:p w14:paraId="2A80F8B1" w14:textId="5988BA3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3 – Energetická efektívnosť, ekologické vykurovanie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zachytávanie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ukladanie CO2 – Energetická efektívnosť</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domácnostiach</w:t>
            </w:r>
          </w:p>
        </w:tc>
        <w:tc>
          <w:tcPr>
            <w:tcW w:w="1701" w:type="dxa"/>
            <w:tcBorders>
              <w:top w:val="nil"/>
              <w:left w:val="nil"/>
              <w:bottom w:val="single" w:sz="4" w:space="0" w:color="auto"/>
              <w:right w:val="single" w:sz="4" w:space="0" w:color="auto"/>
            </w:tcBorders>
            <w:shd w:val="clear" w:color="auto" w:fill="C6EFCE"/>
            <w:noWrap/>
            <w:vAlign w:val="center"/>
          </w:tcPr>
          <w:p w14:paraId="30D16C74"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nil"/>
              <w:left w:val="nil"/>
              <w:bottom w:val="single" w:sz="4" w:space="0" w:color="auto"/>
              <w:right w:val="single" w:sz="4" w:space="0" w:color="auto"/>
            </w:tcBorders>
            <w:shd w:val="clear" w:color="auto" w:fill="C6EFCE"/>
            <w:noWrap/>
            <w:vAlign w:val="center"/>
          </w:tcPr>
          <w:p w14:paraId="6D3A62EC" w14:textId="01A49A8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Bolo dokončených aspoň 6125 projektov energetickej obnovy</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súkromných domácnostiach</w:t>
            </w:r>
          </w:p>
        </w:tc>
      </w:tr>
      <w:tr w:rsidR="00F65654" w:rsidRPr="00CC26EA" w14:paraId="4707A352"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A16A3A" w14:textId="0A9F73C3"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79</w:t>
            </w:r>
          </w:p>
        </w:tc>
        <w:tc>
          <w:tcPr>
            <w:tcW w:w="2526" w:type="dxa"/>
            <w:tcBorders>
              <w:top w:val="single" w:sz="4" w:space="0" w:color="auto"/>
              <w:left w:val="nil"/>
              <w:bottom w:val="single" w:sz="4" w:space="0" w:color="auto"/>
              <w:right w:val="single" w:sz="4" w:space="0" w:color="auto"/>
            </w:tcBorders>
            <w:shd w:val="clear" w:color="auto" w:fill="C6EFCE"/>
            <w:noWrap/>
            <w:vAlign w:val="center"/>
          </w:tcPr>
          <w:p w14:paraId="7974DA5E" w14:textId="006C246B"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8 – REPowerEU – Národní zamestnanci energetickej krízy (NEKST)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2EA3F8D" w14:textId="1EBD35E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021" w:type="dxa"/>
            <w:tcBorders>
              <w:top w:val="single" w:sz="4" w:space="0" w:color="auto"/>
              <w:left w:val="nil"/>
              <w:bottom w:val="single" w:sz="4" w:space="0" w:color="auto"/>
              <w:right w:val="single" w:sz="4" w:space="0" w:color="auto"/>
            </w:tcBorders>
            <w:shd w:val="clear" w:color="auto" w:fill="C6EFCE"/>
            <w:noWrap/>
            <w:vAlign w:val="center"/>
          </w:tcPr>
          <w:p w14:paraId="3F94B59A" w14:textId="6B1363D4"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Vykonávanie opatrení odporúčaných spoločnosťou NEKST</w:t>
            </w:r>
          </w:p>
        </w:tc>
      </w:tr>
      <w:tr w:rsidR="00F65654" w:rsidRPr="00CC26EA" w14:paraId="54546466"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115A7B" w14:textId="2228AFA5"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80</w:t>
            </w:r>
          </w:p>
        </w:tc>
        <w:tc>
          <w:tcPr>
            <w:tcW w:w="2526" w:type="dxa"/>
            <w:tcBorders>
              <w:top w:val="single" w:sz="4" w:space="0" w:color="auto"/>
              <w:left w:val="nil"/>
              <w:bottom w:val="single" w:sz="4" w:space="0" w:color="auto"/>
              <w:right w:val="single" w:sz="4" w:space="0" w:color="auto"/>
            </w:tcBorders>
            <w:shd w:val="clear" w:color="auto" w:fill="C6EFCE"/>
            <w:noWrap/>
            <w:vAlign w:val="center"/>
          </w:tcPr>
          <w:p w14:paraId="33C8E46B" w14:textId="3D5995C0"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8 – REPowerEU – Národní zamestnanci energetickej krízy (NEKST)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3CEFBE81" w14:textId="5BC9C951"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single" w:sz="4" w:space="0" w:color="auto"/>
              <w:left w:val="nil"/>
              <w:bottom w:val="single" w:sz="4" w:space="0" w:color="auto"/>
              <w:right w:val="single" w:sz="4" w:space="0" w:color="auto"/>
            </w:tcBorders>
            <w:shd w:val="clear" w:color="auto" w:fill="C6EFCE"/>
            <w:noWrap/>
            <w:vAlign w:val="center"/>
          </w:tcPr>
          <w:p w14:paraId="546C2857" w14:textId="14874460"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Obce schválili návrhy projektov diaľkového vykurovania,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ktorých sa postupne odstraňuje plyn.</w:t>
            </w:r>
          </w:p>
        </w:tc>
      </w:tr>
      <w:tr w:rsidR="00F65654" w:rsidRPr="00CC26EA" w14:paraId="525A9456"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9C923E" w14:textId="0DE72270"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81</w:t>
            </w:r>
          </w:p>
        </w:tc>
        <w:tc>
          <w:tcPr>
            <w:tcW w:w="2526" w:type="dxa"/>
            <w:tcBorders>
              <w:top w:val="single" w:sz="4" w:space="0" w:color="auto"/>
              <w:left w:val="nil"/>
              <w:bottom w:val="single" w:sz="4" w:space="0" w:color="auto"/>
              <w:right w:val="single" w:sz="4" w:space="0" w:color="auto"/>
            </w:tcBorders>
            <w:shd w:val="clear" w:color="auto" w:fill="C6EFCE"/>
            <w:noWrap/>
            <w:vAlign w:val="center"/>
          </w:tcPr>
          <w:p w14:paraId="45A331A9" w14:textId="202A92EB"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8 – REPowerEU – Národní zamestnanci energetickej krízy (NEKST)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0B4F1C5" w14:textId="673CFF91"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single" w:sz="4" w:space="0" w:color="auto"/>
              <w:left w:val="nil"/>
              <w:bottom w:val="single" w:sz="4" w:space="0" w:color="auto"/>
              <w:right w:val="single" w:sz="4" w:space="0" w:color="auto"/>
            </w:tcBorders>
            <w:shd w:val="clear" w:color="auto" w:fill="C6EFCE"/>
            <w:noWrap/>
            <w:vAlign w:val="center"/>
          </w:tcPr>
          <w:p w14:paraId="58ABD015" w14:textId="10573AC0"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Odstránenie systémových prekážok pre slnečnú energiu na pevnine</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veternú energiu na pevnine.</w:t>
            </w:r>
          </w:p>
        </w:tc>
      </w:tr>
      <w:tr w:rsidR="00F65654" w:rsidRPr="00CC26EA" w14:paraId="607DE3B7"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FA581D" w14:textId="7720DFD3"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83</w:t>
            </w:r>
          </w:p>
        </w:tc>
        <w:tc>
          <w:tcPr>
            <w:tcW w:w="2526" w:type="dxa"/>
            <w:tcBorders>
              <w:top w:val="single" w:sz="4" w:space="0" w:color="auto"/>
              <w:left w:val="nil"/>
              <w:bottom w:val="single" w:sz="4" w:space="0" w:color="auto"/>
              <w:right w:val="single" w:sz="4" w:space="0" w:color="auto"/>
            </w:tcBorders>
            <w:shd w:val="clear" w:color="auto" w:fill="C6EFCE"/>
            <w:noWrap/>
            <w:vAlign w:val="center"/>
          </w:tcPr>
          <w:p w14:paraId="47132607" w14:textId="2F462FD3"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8 – REPowerEU – Preverenie kapacity Dánska</w:t>
            </w:r>
            <w:r w:rsidR="00CC26EA" w:rsidRPr="00CC26EA">
              <w:rPr>
                <w:rFonts w:ascii="Times New Roman" w:hAnsi="Times New Roman"/>
                <w:noProof/>
                <w:spacing w:val="-6"/>
                <w:lang w:val="sk-SK"/>
              </w:rPr>
              <w:t xml:space="preserve"> v </w:t>
            </w:r>
            <w:r w:rsidRPr="00CC26EA">
              <w:rPr>
                <w:rFonts w:ascii="Times New Roman" w:hAnsi="Times New Roman"/>
                <w:noProof/>
                <w:spacing w:val="-6"/>
                <w:lang w:val="sk-SK"/>
              </w:rPr>
              <w:t>oblasti veternej energie na mori</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44A6BE0C" w14:textId="2A25410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Míľnik</w:t>
            </w:r>
          </w:p>
        </w:tc>
        <w:tc>
          <w:tcPr>
            <w:tcW w:w="4021" w:type="dxa"/>
            <w:tcBorders>
              <w:top w:val="single" w:sz="4" w:space="0" w:color="auto"/>
              <w:left w:val="nil"/>
              <w:bottom w:val="single" w:sz="4" w:space="0" w:color="auto"/>
              <w:right w:val="single" w:sz="4" w:space="0" w:color="auto"/>
            </w:tcBorders>
            <w:shd w:val="clear" w:color="auto" w:fill="C6EFCE"/>
            <w:noWrap/>
            <w:vAlign w:val="center"/>
          </w:tcPr>
          <w:p w14:paraId="4BD5B497" w14:textId="1D019D96"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Uverejnenie správy</w:t>
            </w:r>
          </w:p>
        </w:tc>
      </w:tr>
      <w:tr w:rsidR="00F65654" w:rsidRPr="00CC26EA" w14:paraId="232D7188"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95BBAB" w14:textId="4337AA3F"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85</w:t>
            </w:r>
          </w:p>
        </w:tc>
        <w:tc>
          <w:tcPr>
            <w:tcW w:w="2526" w:type="dxa"/>
            <w:tcBorders>
              <w:top w:val="single" w:sz="4" w:space="0" w:color="auto"/>
              <w:left w:val="nil"/>
              <w:bottom w:val="single" w:sz="4" w:space="0" w:color="auto"/>
              <w:right w:val="single" w:sz="4" w:space="0" w:color="auto"/>
            </w:tcBorders>
            <w:shd w:val="clear" w:color="auto" w:fill="C6EFCE"/>
            <w:noWrap/>
            <w:vAlign w:val="center"/>
          </w:tcPr>
          <w:p w14:paraId="034D874F" w14:textId="1E174688"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8 – REPowerEU – Podpora uvedenia experimentálnych veterných turbín do prevádzky</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04CA2A9" w14:textId="723CA433"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single" w:sz="4" w:space="0" w:color="auto"/>
              <w:left w:val="nil"/>
              <w:bottom w:val="single" w:sz="4" w:space="0" w:color="auto"/>
              <w:right w:val="single" w:sz="4" w:space="0" w:color="auto"/>
            </w:tcBorders>
            <w:shd w:val="clear" w:color="auto" w:fill="C6EFCE"/>
            <w:noWrap/>
            <w:vAlign w:val="center"/>
          </w:tcPr>
          <w:p w14:paraId="270919BF" w14:textId="62074E32"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Uvedené do prevádzky experimentálne veterné turbíny</w:t>
            </w:r>
          </w:p>
        </w:tc>
      </w:tr>
      <w:tr w:rsidR="00F65654" w:rsidRPr="00CC26EA" w14:paraId="77691F88"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692A47" w14:textId="498B11D2"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87</w:t>
            </w:r>
          </w:p>
        </w:tc>
        <w:tc>
          <w:tcPr>
            <w:tcW w:w="2526" w:type="dxa"/>
            <w:tcBorders>
              <w:top w:val="single" w:sz="4" w:space="0" w:color="auto"/>
              <w:left w:val="nil"/>
              <w:bottom w:val="single" w:sz="4" w:space="0" w:color="auto"/>
              <w:right w:val="single" w:sz="4" w:space="0" w:color="auto"/>
            </w:tcBorders>
            <w:shd w:val="clear" w:color="auto" w:fill="C6EFCE"/>
            <w:noWrap/>
            <w:vAlign w:val="center"/>
          </w:tcPr>
          <w:p w14:paraId="5A879E4A" w14:textId="697D99FE"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8 – REPowerEU – Zelené zvyšovanie úrovne zručností</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FD05513" w14:textId="1B741FA2"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single" w:sz="4" w:space="0" w:color="auto"/>
              <w:left w:val="nil"/>
              <w:bottom w:val="single" w:sz="4" w:space="0" w:color="auto"/>
              <w:right w:val="single" w:sz="4" w:space="0" w:color="auto"/>
            </w:tcBorders>
            <w:shd w:val="clear" w:color="auto" w:fill="C6EFCE"/>
            <w:noWrap/>
            <w:vAlign w:val="center"/>
          </w:tcPr>
          <w:p w14:paraId="165C8BBA" w14:textId="4D4FB1AD"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Záväzky voči poskytovateľom OVP týkajúce sa zeleného zvyšovania úrovne zručností</w:t>
            </w:r>
          </w:p>
        </w:tc>
      </w:tr>
      <w:tr w:rsidR="00F65654" w:rsidRPr="00CC26EA" w14:paraId="73BA806D"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147DC0" w14:textId="77378472"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88</w:t>
            </w:r>
          </w:p>
        </w:tc>
        <w:tc>
          <w:tcPr>
            <w:tcW w:w="2526" w:type="dxa"/>
            <w:tcBorders>
              <w:top w:val="single" w:sz="4" w:space="0" w:color="auto"/>
              <w:left w:val="nil"/>
              <w:bottom w:val="single" w:sz="4" w:space="0" w:color="auto"/>
              <w:right w:val="single" w:sz="4" w:space="0" w:color="auto"/>
            </w:tcBorders>
            <w:shd w:val="clear" w:color="auto" w:fill="C6EFCE"/>
            <w:noWrap/>
            <w:vAlign w:val="center"/>
          </w:tcPr>
          <w:p w14:paraId="1528D9FD" w14:textId="44F192C0"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8 – REPowerEU – Zelené zvyšovanie úrovne zručností</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B3F6AF7" w14:textId="50EE3AEE"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single" w:sz="4" w:space="0" w:color="auto"/>
              <w:left w:val="nil"/>
              <w:bottom w:val="single" w:sz="4" w:space="0" w:color="auto"/>
              <w:right w:val="single" w:sz="4" w:space="0" w:color="auto"/>
            </w:tcBorders>
            <w:shd w:val="clear" w:color="auto" w:fill="C6EFCE"/>
            <w:noWrap/>
            <w:vAlign w:val="center"/>
          </w:tcPr>
          <w:p w14:paraId="2AF77E71" w14:textId="056007B4"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Platby poskytovateľom OVP na zelené zvyšovanie úrovne zručností  </w:t>
            </w:r>
          </w:p>
        </w:tc>
      </w:tr>
      <w:tr w:rsidR="00F65654" w:rsidRPr="00CC26EA" w14:paraId="1D168487"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E01BA0" w14:textId="27E0FD7B"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89</w:t>
            </w:r>
          </w:p>
        </w:tc>
        <w:tc>
          <w:tcPr>
            <w:tcW w:w="2526" w:type="dxa"/>
            <w:tcBorders>
              <w:top w:val="single" w:sz="4" w:space="0" w:color="auto"/>
              <w:left w:val="nil"/>
              <w:bottom w:val="single" w:sz="4" w:space="0" w:color="auto"/>
              <w:right w:val="single" w:sz="4" w:space="0" w:color="auto"/>
            </w:tcBorders>
            <w:shd w:val="clear" w:color="auto" w:fill="C6EFCE"/>
            <w:noWrap/>
            <w:vAlign w:val="center"/>
          </w:tcPr>
          <w:p w14:paraId="009093AF" w14:textId="210F05E2"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8 – REPowerEU – Náhrada ropných horákov</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 xml:space="preserve">plynových pecí  </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457E49C9" w14:textId="5E579553"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single" w:sz="4" w:space="0" w:color="auto"/>
              <w:left w:val="nil"/>
              <w:bottom w:val="single" w:sz="4" w:space="0" w:color="auto"/>
              <w:right w:val="single" w:sz="4" w:space="0" w:color="auto"/>
            </w:tcBorders>
            <w:shd w:val="clear" w:color="auto" w:fill="C6EFCE"/>
            <w:noWrap/>
            <w:vAlign w:val="center"/>
          </w:tcPr>
          <w:p w14:paraId="18E17A1E" w14:textId="50142D4D"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Najmenej 21200 individuálnych olejových horákov alebo plynových pecí bolo nahradených diaľkovým vykurovaním alebo tepelnými čerpadlami.</w:t>
            </w:r>
          </w:p>
        </w:tc>
      </w:tr>
      <w:tr w:rsidR="00F65654" w:rsidRPr="00CC26EA" w14:paraId="0C6F4455"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54CF2A" w14:textId="7D691918" w:rsidR="00F65654" w:rsidRPr="00CC26EA" w:rsidRDefault="0041081E">
            <w:pPr>
              <w:pStyle w:val="P68B1DB1-Normal4"/>
              <w:spacing w:after="0"/>
              <w:jc w:val="center"/>
              <w:rPr>
                <w:rFonts w:ascii="Times New Roman" w:eastAsia="Times New Roman" w:hAnsi="Times New Roman"/>
                <w:noProof/>
                <w:spacing w:val="-6"/>
                <w:lang w:val="sk-SK"/>
              </w:rPr>
            </w:pPr>
            <w:r w:rsidRPr="00CC26EA">
              <w:rPr>
                <w:rFonts w:ascii="Times New Roman" w:hAnsi="Times New Roman"/>
                <w:noProof/>
                <w:spacing w:val="-6"/>
                <w:lang w:val="sk-SK"/>
              </w:rPr>
              <w:t>91</w:t>
            </w:r>
          </w:p>
        </w:tc>
        <w:tc>
          <w:tcPr>
            <w:tcW w:w="2526" w:type="dxa"/>
            <w:tcBorders>
              <w:top w:val="single" w:sz="4" w:space="0" w:color="auto"/>
              <w:left w:val="nil"/>
              <w:bottom w:val="single" w:sz="4" w:space="0" w:color="auto"/>
              <w:right w:val="single" w:sz="4" w:space="0" w:color="auto"/>
            </w:tcBorders>
            <w:shd w:val="clear" w:color="auto" w:fill="C6EFCE"/>
            <w:noWrap/>
            <w:vAlign w:val="center"/>
          </w:tcPr>
          <w:p w14:paraId="3A9C8488" w14:textId="2D87FCFD"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8 – REPowerEU – Opatrenie na rozšírenie: Potenciál zachytávania</w:t>
            </w:r>
            <w:r w:rsidR="00CC26EA" w:rsidRPr="00CC26EA">
              <w:rPr>
                <w:rFonts w:ascii="Times New Roman" w:hAnsi="Times New Roman"/>
                <w:noProof/>
                <w:spacing w:val="-6"/>
                <w:lang w:val="sk-SK"/>
              </w:rPr>
              <w:t xml:space="preserve"> a </w:t>
            </w:r>
            <w:r w:rsidRPr="00CC26EA">
              <w:rPr>
                <w:rFonts w:ascii="Times New Roman" w:hAnsi="Times New Roman"/>
                <w:noProof/>
                <w:spacing w:val="-6"/>
                <w:lang w:val="sk-SK"/>
              </w:rPr>
              <w:t>ukladania oxidu uhličitého (CCS)</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1951C11" w14:textId="61087B53"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Cieľ</w:t>
            </w:r>
          </w:p>
        </w:tc>
        <w:tc>
          <w:tcPr>
            <w:tcW w:w="4021" w:type="dxa"/>
            <w:tcBorders>
              <w:top w:val="single" w:sz="4" w:space="0" w:color="auto"/>
              <w:left w:val="nil"/>
              <w:bottom w:val="single" w:sz="4" w:space="0" w:color="auto"/>
              <w:right w:val="single" w:sz="4" w:space="0" w:color="auto"/>
            </w:tcBorders>
            <w:shd w:val="clear" w:color="auto" w:fill="C6EFCE"/>
            <w:noWrap/>
            <w:vAlign w:val="center"/>
          </w:tcPr>
          <w:p w14:paraId="706276AA" w14:textId="311AC38E"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 xml:space="preserve">0,3 milióna ton odstránených CO2 </w:t>
            </w:r>
          </w:p>
        </w:tc>
      </w:tr>
      <w:tr w:rsidR="00F65654" w:rsidRPr="00CC26EA" w14:paraId="2191EC01"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4BD4C0" w14:textId="77777777" w:rsidR="00F65654" w:rsidRPr="00CC26EA" w:rsidRDefault="00F65654">
            <w:pPr>
              <w:spacing w:after="0"/>
              <w:jc w:val="center"/>
              <w:rPr>
                <w:rFonts w:ascii="Times New Roman" w:eastAsia="Times New Roman" w:hAnsi="Times New Roman"/>
                <w:noProof/>
                <w:color w:val="006100"/>
                <w:spacing w:val="-6"/>
                <w:lang w:val="sk-SK"/>
              </w:rPr>
            </w:pPr>
          </w:p>
        </w:tc>
        <w:tc>
          <w:tcPr>
            <w:tcW w:w="2526" w:type="dxa"/>
            <w:tcBorders>
              <w:top w:val="single" w:sz="4" w:space="0" w:color="auto"/>
              <w:left w:val="nil"/>
              <w:bottom w:val="single" w:sz="4" w:space="0" w:color="auto"/>
              <w:right w:val="single" w:sz="4" w:space="0" w:color="auto"/>
            </w:tcBorders>
            <w:shd w:val="clear" w:color="auto" w:fill="C6EFCE"/>
            <w:noWrap/>
            <w:vAlign w:val="center"/>
          </w:tcPr>
          <w:p w14:paraId="2F2D8279" w14:textId="25E2156E" w:rsidR="00F65654" w:rsidRPr="00CC26EA" w:rsidRDefault="00F65654">
            <w:pPr>
              <w:spacing w:after="0"/>
              <w:rPr>
                <w:rFonts w:ascii="Times New Roman" w:eastAsia="Times New Roman" w:hAnsi="Times New Roman"/>
                <w:noProof/>
                <w:color w:val="006100"/>
                <w:spacing w:val="-6"/>
                <w:lang w:val="sk-SK"/>
              </w:rPr>
            </w:pP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7FF322B0" w14:textId="77777777"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Suma splátky</w:t>
            </w:r>
          </w:p>
        </w:tc>
        <w:tc>
          <w:tcPr>
            <w:tcW w:w="4021" w:type="dxa"/>
            <w:tcBorders>
              <w:top w:val="single" w:sz="4" w:space="0" w:color="auto"/>
              <w:left w:val="nil"/>
              <w:bottom w:val="single" w:sz="4" w:space="0" w:color="auto"/>
              <w:right w:val="single" w:sz="4" w:space="0" w:color="auto"/>
            </w:tcBorders>
            <w:shd w:val="clear" w:color="auto" w:fill="C6EFCE"/>
            <w:noWrap/>
            <w:vAlign w:val="center"/>
          </w:tcPr>
          <w:p w14:paraId="2D86A5C3" w14:textId="1745BB7D" w:rsidR="00F65654" w:rsidRPr="00CC26EA" w:rsidRDefault="0041081E">
            <w:pPr>
              <w:pStyle w:val="P68B1DB1-Normal4"/>
              <w:spacing w:after="0"/>
              <w:rPr>
                <w:rFonts w:ascii="Times New Roman" w:eastAsia="Times New Roman" w:hAnsi="Times New Roman"/>
                <w:noProof/>
                <w:spacing w:val="-6"/>
                <w:lang w:val="sk-SK"/>
              </w:rPr>
            </w:pPr>
            <w:r w:rsidRPr="00CC26EA">
              <w:rPr>
                <w:rFonts w:ascii="Times New Roman" w:hAnsi="Times New Roman"/>
                <w:noProof/>
                <w:spacing w:val="-6"/>
                <w:lang w:val="sk-SK"/>
              </w:rPr>
              <w:t>196 104 723 EUR</w:t>
            </w:r>
          </w:p>
        </w:tc>
      </w:tr>
    </w:tbl>
    <w:p w14:paraId="7617A4BF" w14:textId="77777777" w:rsidR="00F65654" w:rsidRPr="00CC26EA" w:rsidRDefault="00F65654">
      <w:pPr>
        <w:rPr>
          <w:rFonts w:ascii="Times New Roman" w:hAnsi="Times New Roman"/>
          <w:noProof/>
          <w:spacing w:val="-6"/>
          <w:lang w:val="sk-SK"/>
        </w:rPr>
      </w:pPr>
    </w:p>
    <w:p w14:paraId="0418310C" w14:textId="77777777" w:rsidR="00F65654" w:rsidRPr="00CC26EA" w:rsidRDefault="00F65654">
      <w:pPr>
        <w:pStyle w:val="Text1"/>
        <w:ind w:left="0"/>
        <w:rPr>
          <w:noProof/>
          <w:spacing w:val="-6"/>
          <w:lang w:val="sk-SK"/>
        </w:rPr>
      </w:pPr>
    </w:p>
    <w:p w14:paraId="2F1E3E00" w14:textId="77777777" w:rsidR="00F65654" w:rsidRPr="00CC26EA" w:rsidRDefault="0041081E">
      <w:pPr>
        <w:rPr>
          <w:rFonts w:ascii="Times New Roman" w:hAnsi="Times New Roman"/>
          <w:b/>
          <w:noProof/>
          <w:spacing w:val="-6"/>
          <w:lang w:val="sk-SK"/>
        </w:rPr>
      </w:pPr>
      <w:r w:rsidRPr="00CC26EA">
        <w:rPr>
          <w:rFonts w:ascii="Times New Roman" w:hAnsi="Times New Roman"/>
          <w:noProof/>
          <w:spacing w:val="-6"/>
          <w:lang w:val="sk-SK"/>
        </w:rPr>
        <w:br w:type="page"/>
      </w:r>
    </w:p>
    <w:p w14:paraId="2DA84189" w14:textId="77777777" w:rsidR="00CC26EA" w:rsidRPr="00CC26EA" w:rsidRDefault="0041081E">
      <w:pPr>
        <w:pStyle w:val="P68B1DB1-Normal1"/>
        <w:rPr>
          <w:rFonts w:ascii="Times New Roman" w:hAnsi="Times New Roman"/>
          <w:noProof/>
          <w:spacing w:val="-6"/>
          <w:lang w:val="sk-SK"/>
        </w:rPr>
      </w:pPr>
      <w:r w:rsidRPr="00CC26EA">
        <w:rPr>
          <w:rFonts w:ascii="Times New Roman" w:hAnsi="Times New Roman"/>
          <w:noProof/>
          <w:spacing w:val="-6"/>
          <w:lang w:val="sk-SK"/>
        </w:rPr>
        <w:t>ODDIEL 3: ĎALŠIE OPATRENIA</w:t>
      </w:r>
    </w:p>
    <w:p w14:paraId="6A8CF88B" w14:textId="5976625C" w:rsidR="00F65654" w:rsidRPr="00CC26EA" w:rsidRDefault="0041081E">
      <w:pPr>
        <w:pStyle w:val="P68B1DB1-NumPar12"/>
        <w:rPr>
          <w:noProof/>
          <w:spacing w:val="-6"/>
          <w:lang w:val="sk-SK"/>
        </w:rPr>
      </w:pPr>
      <w:r w:rsidRPr="00CC26EA">
        <w:rPr>
          <w:noProof/>
          <w:spacing w:val="-6"/>
          <w:lang w:val="sk-SK"/>
        </w:rPr>
        <w:t>Opatrenia na monitorovanie</w:t>
      </w:r>
      <w:r w:rsidR="00CC26EA" w:rsidRPr="00CC26EA">
        <w:rPr>
          <w:noProof/>
          <w:spacing w:val="-6"/>
          <w:lang w:val="sk-SK"/>
        </w:rPr>
        <w:t xml:space="preserve"> a </w:t>
      </w:r>
      <w:r w:rsidRPr="00CC26EA">
        <w:rPr>
          <w:noProof/>
          <w:spacing w:val="-6"/>
          <w:lang w:val="sk-SK"/>
        </w:rPr>
        <w:t>realizáciu plánu obnovy</w:t>
      </w:r>
      <w:r w:rsidR="00CC26EA" w:rsidRPr="00CC26EA">
        <w:rPr>
          <w:noProof/>
          <w:spacing w:val="-6"/>
          <w:lang w:val="sk-SK"/>
        </w:rPr>
        <w:t xml:space="preserve"> a </w:t>
      </w:r>
      <w:r w:rsidRPr="00CC26EA">
        <w:rPr>
          <w:noProof/>
          <w:spacing w:val="-6"/>
          <w:lang w:val="sk-SK"/>
        </w:rPr>
        <w:t>odolnosti</w:t>
      </w:r>
    </w:p>
    <w:p w14:paraId="1F904F76" w14:textId="1A9AF6B4" w:rsidR="00CC26EA" w:rsidRPr="00CC26EA" w:rsidRDefault="0041081E">
      <w:pPr>
        <w:pStyle w:val="Text1"/>
        <w:ind w:left="0"/>
        <w:rPr>
          <w:noProof/>
          <w:spacing w:val="-6"/>
          <w:lang w:val="sk-SK"/>
        </w:rPr>
      </w:pPr>
      <w:r w:rsidRPr="00CC26EA">
        <w:rPr>
          <w:noProof/>
          <w:spacing w:val="-6"/>
          <w:lang w:val="sk-SK"/>
        </w:rPr>
        <w:t>Monitorovanie</w:t>
      </w:r>
      <w:r w:rsidR="00CC26EA" w:rsidRPr="00CC26EA">
        <w:rPr>
          <w:noProof/>
          <w:spacing w:val="-6"/>
          <w:lang w:val="sk-SK"/>
        </w:rPr>
        <w:t xml:space="preserve"> a </w:t>
      </w:r>
      <w:r w:rsidRPr="00CC26EA">
        <w:rPr>
          <w:noProof/>
          <w:spacing w:val="-6"/>
          <w:lang w:val="sk-SK"/>
        </w:rPr>
        <w:t>vykonávanie plánu obnovy</w:t>
      </w:r>
      <w:r w:rsidR="00CC26EA" w:rsidRPr="00CC26EA">
        <w:rPr>
          <w:noProof/>
          <w:spacing w:val="-6"/>
          <w:lang w:val="sk-SK"/>
        </w:rPr>
        <w:t xml:space="preserve"> a </w:t>
      </w:r>
      <w:r w:rsidRPr="00CC26EA">
        <w:rPr>
          <w:noProof/>
          <w:spacing w:val="-6"/>
          <w:lang w:val="sk-SK"/>
        </w:rPr>
        <w:t>odolnosti Dánska sa uskutočňuje</w:t>
      </w:r>
      <w:r w:rsidR="00CC26EA" w:rsidRPr="00CC26EA">
        <w:rPr>
          <w:noProof/>
          <w:spacing w:val="-6"/>
          <w:lang w:val="sk-SK"/>
        </w:rPr>
        <w:t xml:space="preserve"> v </w:t>
      </w:r>
      <w:r w:rsidRPr="00CC26EA">
        <w:rPr>
          <w:noProof/>
          <w:spacing w:val="-6"/>
          <w:lang w:val="sk-SK"/>
        </w:rPr>
        <w:t>súlade</w:t>
      </w:r>
      <w:r w:rsidR="00CC26EA" w:rsidRPr="00CC26EA">
        <w:rPr>
          <w:noProof/>
          <w:spacing w:val="-6"/>
          <w:lang w:val="sk-SK"/>
        </w:rPr>
        <w:t xml:space="preserve"> s </w:t>
      </w:r>
      <w:r w:rsidRPr="00CC26EA">
        <w:rPr>
          <w:noProof/>
          <w:spacing w:val="-6"/>
          <w:lang w:val="sk-SK"/>
        </w:rPr>
        <w:t>týmito opatreniami</w:t>
      </w:r>
      <w:r w:rsidR="00CC26EA" w:rsidRPr="00CC26EA">
        <w:rPr>
          <w:noProof/>
          <w:spacing w:val="-6"/>
          <w:lang w:val="sk-SK"/>
        </w:rPr>
        <w:t>:</w:t>
      </w:r>
    </w:p>
    <w:p w14:paraId="4DE022E2" w14:textId="2EAC03C9" w:rsidR="00CC26EA" w:rsidRPr="00CC26EA" w:rsidRDefault="0041081E">
      <w:pPr>
        <w:pStyle w:val="Text1"/>
        <w:ind w:left="0"/>
        <w:rPr>
          <w:noProof/>
          <w:spacing w:val="-6"/>
          <w:lang w:val="sk-SK"/>
        </w:rPr>
      </w:pPr>
      <w:r w:rsidRPr="00CC26EA">
        <w:rPr>
          <w:noProof/>
          <w:spacing w:val="-6"/>
          <w:lang w:val="sk-SK"/>
        </w:rPr>
        <w:t>Ministerstvo financií je zodpovedné za koordináciu</w:t>
      </w:r>
      <w:r w:rsidR="00CC26EA" w:rsidRPr="00CC26EA">
        <w:rPr>
          <w:noProof/>
          <w:spacing w:val="-6"/>
          <w:lang w:val="sk-SK"/>
        </w:rPr>
        <w:t xml:space="preserve"> a </w:t>
      </w:r>
      <w:r w:rsidRPr="00CC26EA">
        <w:rPr>
          <w:noProof/>
          <w:spacing w:val="-6"/>
          <w:lang w:val="sk-SK"/>
        </w:rPr>
        <w:t>zabezpečenie toho, aby audity</w:t>
      </w:r>
      <w:r w:rsidR="00CC26EA" w:rsidRPr="00CC26EA">
        <w:rPr>
          <w:noProof/>
          <w:spacing w:val="-6"/>
          <w:lang w:val="sk-SK"/>
        </w:rPr>
        <w:t xml:space="preserve"> a </w:t>
      </w:r>
      <w:r w:rsidRPr="00CC26EA">
        <w:rPr>
          <w:noProof/>
          <w:spacing w:val="-6"/>
          <w:lang w:val="sk-SK"/>
        </w:rPr>
        <w:t>kontroly príslušných ministerstiev boli spoľahlivé</w:t>
      </w:r>
      <w:r w:rsidR="00CC26EA" w:rsidRPr="00CC26EA">
        <w:rPr>
          <w:noProof/>
          <w:spacing w:val="-6"/>
          <w:lang w:val="sk-SK"/>
        </w:rPr>
        <w:t xml:space="preserve"> a </w:t>
      </w:r>
      <w:r w:rsidRPr="00CC26EA">
        <w:rPr>
          <w:noProof/>
          <w:spacing w:val="-6"/>
          <w:lang w:val="sk-SK"/>
        </w:rPr>
        <w:t>dobre fungujúce, pokiaľ ide</w:t>
      </w:r>
      <w:r w:rsidR="00CC26EA" w:rsidRPr="00CC26EA">
        <w:rPr>
          <w:noProof/>
          <w:spacing w:val="-6"/>
          <w:lang w:val="sk-SK"/>
        </w:rPr>
        <w:t xml:space="preserve"> o </w:t>
      </w:r>
      <w:r w:rsidRPr="00CC26EA">
        <w:rPr>
          <w:noProof/>
          <w:spacing w:val="-6"/>
          <w:lang w:val="sk-SK"/>
        </w:rPr>
        <w:t>vykonávanie plánu obnovy</w:t>
      </w:r>
      <w:r w:rsidR="00CC26EA" w:rsidRPr="00CC26EA">
        <w:rPr>
          <w:noProof/>
          <w:spacing w:val="-6"/>
          <w:lang w:val="sk-SK"/>
        </w:rPr>
        <w:t xml:space="preserve"> a </w:t>
      </w:r>
      <w:r w:rsidRPr="00CC26EA">
        <w:rPr>
          <w:noProof/>
          <w:spacing w:val="-6"/>
          <w:lang w:val="sk-SK"/>
        </w:rPr>
        <w:t>odolnosti.</w:t>
      </w:r>
      <w:r w:rsidR="00CC26EA" w:rsidRPr="00CC26EA">
        <w:rPr>
          <w:noProof/>
          <w:spacing w:val="-6"/>
          <w:lang w:val="sk-SK"/>
        </w:rPr>
        <w:t xml:space="preserve"> V </w:t>
      </w:r>
      <w:r w:rsidRPr="00CC26EA">
        <w:rPr>
          <w:noProof/>
          <w:spacing w:val="-6"/>
          <w:lang w:val="sk-SK"/>
        </w:rPr>
        <w:t>rámci ministerstva financií Úrad auditu</w:t>
      </w:r>
      <w:r w:rsidR="00CC26EA" w:rsidRPr="00CC26EA">
        <w:rPr>
          <w:noProof/>
          <w:spacing w:val="-6"/>
          <w:lang w:val="sk-SK"/>
        </w:rPr>
        <w:t xml:space="preserve"> a </w:t>
      </w:r>
      <w:r w:rsidRPr="00CC26EA">
        <w:rPr>
          <w:noProof/>
          <w:spacing w:val="-6"/>
          <w:lang w:val="sk-SK"/>
        </w:rPr>
        <w:t>dohľadu vykonáva kontroly týkajúce sa využívania finančných prostriedkov ministerstvami, ako aj dokumentácie</w:t>
      </w:r>
      <w:r w:rsidR="00CC26EA" w:rsidRPr="00CC26EA">
        <w:rPr>
          <w:noProof/>
          <w:spacing w:val="-6"/>
          <w:lang w:val="sk-SK"/>
        </w:rPr>
        <w:t xml:space="preserve"> a </w:t>
      </w:r>
      <w:r w:rsidRPr="00CC26EA">
        <w:rPr>
          <w:noProof/>
          <w:spacing w:val="-6"/>
          <w:lang w:val="sk-SK"/>
        </w:rPr>
        <w:t>plnenia cieľov</w:t>
      </w:r>
      <w:r w:rsidR="00CC26EA" w:rsidRPr="00CC26EA">
        <w:rPr>
          <w:noProof/>
          <w:spacing w:val="-6"/>
          <w:lang w:val="sk-SK"/>
        </w:rPr>
        <w:t xml:space="preserve"> a </w:t>
      </w:r>
      <w:r w:rsidRPr="00CC26EA">
        <w:rPr>
          <w:noProof/>
          <w:spacing w:val="-6"/>
          <w:lang w:val="sk-SK"/>
        </w:rPr>
        <w:t>míľnikov. Takisto sa mu poverí úlohou koordinovať systémy auditu</w:t>
      </w:r>
      <w:r w:rsidR="00CC26EA" w:rsidRPr="00CC26EA">
        <w:rPr>
          <w:noProof/>
          <w:spacing w:val="-6"/>
          <w:lang w:val="sk-SK"/>
        </w:rPr>
        <w:t xml:space="preserve"> a </w:t>
      </w:r>
      <w:r w:rsidRPr="00CC26EA">
        <w:rPr>
          <w:noProof/>
          <w:spacing w:val="-6"/>
          <w:lang w:val="sk-SK"/>
        </w:rPr>
        <w:t>vykonávať kontroly uplatňovania finančných prostriedkov príslušnými ministerstvami, čím sa poskytne dodatočné uistenie, že vykonávanie systémov kontroly ministerstiev je schopné splniť požiadavky nariadenia (EÚ) 2021/241. Úrad auditu</w:t>
      </w:r>
      <w:r w:rsidR="00CC26EA" w:rsidRPr="00CC26EA">
        <w:rPr>
          <w:noProof/>
          <w:spacing w:val="-6"/>
          <w:lang w:val="sk-SK"/>
        </w:rPr>
        <w:t xml:space="preserve"> a </w:t>
      </w:r>
      <w:r w:rsidRPr="00CC26EA">
        <w:rPr>
          <w:noProof/>
          <w:spacing w:val="-6"/>
          <w:lang w:val="sk-SK"/>
        </w:rPr>
        <w:t>dohľadu podáva pred každou žiadosťou</w:t>
      </w:r>
      <w:r w:rsidR="00CC26EA" w:rsidRPr="00CC26EA">
        <w:rPr>
          <w:noProof/>
          <w:spacing w:val="-6"/>
          <w:lang w:val="sk-SK"/>
        </w:rPr>
        <w:t xml:space="preserve"> o </w:t>
      </w:r>
      <w:r w:rsidRPr="00CC26EA">
        <w:rPr>
          <w:noProof/>
          <w:spacing w:val="-6"/>
          <w:lang w:val="sk-SK"/>
        </w:rPr>
        <w:t>platbu správu</w:t>
      </w:r>
      <w:r w:rsidR="00CC26EA" w:rsidRPr="00CC26EA">
        <w:rPr>
          <w:noProof/>
          <w:spacing w:val="-6"/>
          <w:lang w:val="sk-SK"/>
        </w:rPr>
        <w:t xml:space="preserve"> o </w:t>
      </w:r>
      <w:r w:rsidRPr="00CC26EA">
        <w:rPr>
          <w:noProof/>
          <w:spacing w:val="-6"/>
          <w:lang w:val="sk-SK"/>
        </w:rPr>
        <w:t>kontrolách vykonaných počas prác</w:t>
      </w:r>
      <w:r w:rsidR="00CC26EA" w:rsidRPr="00CC26EA">
        <w:rPr>
          <w:noProof/>
          <w:spacing w:val="-6"/>
          <w:lang w:val="sk-SK"/>
        </w:rPr>
        <w:t xml:space="preserve"> s </w:t>
      </w:r>
      <w:r w:rsidRPr="00CC26EA">
        <w:rPr>
          <w:noProof/>
          <w:spacing w:val="-6"/>
          <w:lang w:val="sk-SK"/>
        </w:rPr>
        <w:t>vyhlásením riadiaceho subjektu.</w:t>
      </w:r>
      <w:r w:rsidR="00CC26EA" w:rsidRPr="00CC26EA">
        <w:rPr>
          <w:noProof/>
          <w:spacing w:val="-6"/>
          <w:lang w:val="sk-SK"/>
        </w:rPr>
        <w:t xml:space="preserve"> V </w:t>
      </w:r>
      <w:r w:rsidRPr="00CC26EA">
        <w:rPr>
          <w:noProof/>
          <w:spacing w:val="-6"/>
          <w:lang w:val="sk-SK"/>
        </w:rPr>
        <w:t>správe uvedie zhrnutie svojich kontrol kontrolných</w:t>
      </w:r>
      <w:r w:rsidR="00CC26EA" w:rsidRPr="00CC26EA">
        <w:rPr>
          <w:noProof/>
          <w:spacing w:val="-6"/>
          <w:lang w:val="sk-SK"/>
        </w:rPr>
        <w:t xml:space="preserve"> a </w:t>
      </w:r>
      <w:r w:rsidRPr="00CC26EA">
        <w:rPr>
          <w:noProof/>
          <w:spacing w:val="-6"/>
          <w:lang w:val="sk-SK"/>
        </w:rPr>
        <w:t>audítorských správ implementujúcich ministerstiev,</w:t>
      </w:r>
      <w:r w:rsidR="00CC26EA" w:rsidRPr="00CC26EA">
        <w:rPr>
          <w:noProof/>
          <w:spacing w:val="-6"/>
          <w:lang w:val="sk-SK"/>
        </w:rPr>
        <w:t xml:space="preserve"> a </w:t>
      </w:r>
      <w:r w:rsidRPr="00CC26EA">
        <w:rPr>
          <w:noProof/>
          <w:spacing w:val="-6"/>
          <w:lang w:val="sk-SK"/>
        </w:rPr>
        <w:t>preto vykoná audity, ktoré budú podkladom pre súhrn auditov, ktorý zašle ministerstvo financií. Každé ministerstvo je zodpovedné za zabezpečenie dostatočného auditu</w:t>
      </w:r>
      <w:r w:rsidR="00CC26EA" w:rsidRPr="00CC26EA">
        <w:rPr>
          <w:noProof/>
          <w:spacing w:val="-6"/>
          <w:lang w:val="sk-SK"/>
        </w:rPr>
        <w:t xml:space="preserve"> a </w:t>
      </w:r>
      <w:r w:rsidRPr="00CC26EA">
        <w:rPr>
          <w:noProof/>
          <w:spacing w:val="-6"/>
          <w:lang w:val="sk-SK"/>
        </w:rPr>
        <w:t>kontroly plnenia míľnikov</w:t>
      </w:r>
      <w:r w:rsidR="00CC26EA" w:rsidRPr="00CC26EA">
        <w:rPr>
          <w:noProof/>
          <w:spacing w:val="-6"/>
          <w:lang w:val="sk-SK"/>
        </w:rPr>
        <w:t xml:space="preserve"> a </w:t>
      </w:r>
      <w:r w:rsidRPr="00CC26EA">
        <w:rPr>
          <w:noProof/>
          <w:spacing w:val="-6"/>
          <w:lang w:val="sk-SK"/>
        </w:rPr>
        <w:t>cieľov. Ministerstvá majú možnosť navrhovať audity</w:t>
      </w:r>
      <w:r w:rsidR="00CC26EA" w:rsidRPr="00CC26EA">
        <w:rPr>
          <w:noProof/>
          <w:spacing w:val="-6"/>
          <w:lang w:val="sk-SK"/>
        </w:rPr>
        <w:t xml:space="preserve"> a </w:t>
      </w:r>
      <w:r w:rsidRPr="00CC26EA">
        <w:rPr>
          <w:noProof/>
          <w:spacing w:val="-6"/>
          <w:lang w:val="sk-SK"/>
        </w:rPr>
        <w:t>kontroly individuálne. Národný kontrolný úrad (Rigsrevisionen) je zodpovedný za vykonávanie externých auditov výdavkov</w:t>
      </w:r>
      <w:r w:rsidR="00CC26EA" w:rsidRPr="00CC26EA">
        <w:rPr>
          <w:noProof/>
          <w:spacing w:val="-6"/>
          <w:lang w:val="sk-SK"/>
        </w:rPr>
        <w:t xml:space="preserve"> a </w:t>
      </w:r>
      <w:r w:rsidRPr="00CC26EA">
        <w:rPr>
          <w:noProof/>
          <w:spacing w:val="-6"/>
          <w:lang w:val="sk-SK"/>
        </w:rPr>
        <w:t>príjmov verejnej správy</w:t>
      </w:r>
      <w:r w:rsidR="00CC26EA" w:rsidRPr="00CC26EA">
        <w:rPr>
          <w:noProof/>
          <w:spacing w:val="-6"/>
          <w:lang w:val="sk-SK"/>
        </w:rPr>
        <w:t>.</w:t>
      </w:r>
    </w:p>
    <w:p w14:paraId="4D327FA5" w14:textId="3DD19C84" w:rsidR="00F65654" w:rsidRPr="00CC26EA" w:rsidRDefault="0041081E">
      <w:pPr>
        <w:pStyle w:val="Text1"/>
        <w:ind w:left="0"/>
        <w:rPr>
          <w:noProof/>
          <w:spacing w:val="-6"/>
          <w:lang w:val="sk-SK"/>
        </w:rPr>
      </w:pPr>
      <w:r w:rsidRPr="00CC26EA">
        <w:rPr>
          <w:noProof/>
          <w:spacing w:val="-6"/>
          <w:lang w:val="sk-SK"/>
        </w:rPr>
        <w:t>V dánskom pláne obnovy</w:t>
      </w:r>
      <w:r w:rsidR="00CC26EA" w:rsidRPr="00CC26EA">
        <w:rPr>
          <w:noProof/>
          <w:spacing w:val="-6"/>
          <w:lang w:val="sk-SK"/>
        </w:rPr>
        <w:t xml:space="preserve"> a </w:t>
      </w:r>
      <w:r w:rsidRPr="00CC26EA">
        <w:rPr>
          <w:noProof/>
          <w:spacing w:val="-6"/>
          <w:lang w:val="sk-SK"/>
        </w:rPr>
        <w:t>odolnosti sa uvádzajú postupy, ktoré sú zavedené na zabezpečenie súladu</w:t>
      </w:r>
      <w:r w:rsidR="00CC26EA" w:rsidRPr="00CC26EA">
        <w:rPr>
          <w:noProof/>
          <w:spacing w:val="-6"/>
          <w:lang w:val="sk-SK"/>
        </w:rPr>
        <w:t xml:space="preserve"> s </w:t>
      </w:r>
      <w:r w:rsidRPr="00CC26EA">
        <w:rPr>
          <w:noProof/>
          <w:spacing w:val="-6"/>
          <w:lang w:val="sk-SK"/>
        </w:rPr>
        <w:t>uplatniteľným právom Únie</w:t>
      </w:r>
      <w:r w:rsidR="00CC26EA" w:rsidRPr="00CC26EA">
        <w:rPr>
          <w:noProof/>
          <w:spacing w:val="-6"/>
          <w:lang w:val="sk-SK"/>
        </w:rPr>
        <w:t xml:space="preserve"> a </w:t>
      </w:r>
      <w:r w:rsidRPr="00CC26EA">
        <w:rPr>
          <w:noProof/>
          <w:spacing w:val="-6"/>
          <w:lang w:val="sk-SK"/>
        </w:rPr>
        <w:t>vnútroštátnym právom počas vykonávania všetkých opatrení. Okrem toho sa zaoberá všetkými závažnými nezrovnalosťami (podvodmi, korupciou, konfliktom záujmov)</w:t>
      </w:r>
      <w:r w:rsidR="00CC26EA" w:rsidRPr="00CC26EA">
        <w:rPr>
          <w:noProof/>
          <w:spacing w:val="-6"/>
          <w:lang w:val="sk-SK"/>
        </w:rPr>
        <w:t xml:space="preserve"> a </w:t>
      </w:r>
      <w:r w:rsidRPr="00CC26EA">
        <w:rPr>
          <w:noProof/>
          <w:spacing w:val="-6"/>
          <w:lang w:val="sk-SK"/>
        </w:rPr>
        <w:t>dvojitým financovaním tým, že umožňuje vykonávanie kontrol</w:t>
      </w:r>
      <w:r w:rsidR="00CC26EA" w:rsidRPr="00CC26EA">
        <w:rPr>
          <w:noProof/>
          <w:spacing w:val="-6"/>
          <w:lang w:val="sk-SK"/>
        </w:rPr>
        <w:t xml:space="preserve"> a </w:t>
      </w:r>
      <w:r w:rsidRPr="00CC26EA">
        <w:rPr>
          <w:noProof/>
          <w:spacing w:val="-6"/>
          <w:lang w:val="sk-SK"/>
        </w:rPr>
        <w:t>auditov na úrovni príslušných ministerstiev. Každé</w:t>
      </w:r>
      <w:r w:rsidR="00CC26EA" w:rsidRPr="00CC26EA">
        <w:rPr>
          <w:noProof/>
          <w:spacing w:val="-6"/>
          <w:lang w:val="sk-SK"/>
        </w:rPr>
        <w:t xml:space="preserve"> z </w:t>
      </w:r>
      <w:r w:rsidRPr="00CC26EA">
        <w:rPr>
          <w:noProof/>
          <w:spacing w:val="-6"/>
          <w:lang w:val="sk-SK"/>
        </w:rPr>
        <w:t>deviatich príslušných ministerstiev zapojených do implementácie komponentov vydá vyhlásenie riadiaceho subjektu Mechanizmu na podporu obnovy</w:t>
      </w:r>
      <w:r w:rsidR="00CC26EA" w:rsidRPr="00CC26EA">
        <w:rPr>
          <w:noProof/>
          <w:spacing w:val="-6"/>
          <w:lang w:val="sk-SK"/>
        </w:rPr>
        <w:t xml:space="preserve"> a </w:t>
      </w:r>
      <w:r w:rsidRPr="00CC26EA">
        <w:rPr>
          <w:noProof/>
          <w:spacing w:val="-6"/>
          <w:lang w:val="sk-SK"/>
        </w:rPr>
        <w:t>odolnosti</w:t>
      </w:r>
      <w:r w:rsidR="00CC26EA" w:rsidRPr="00CC26EA">
        <w:rPr>
          <w:noProof/>
          <w:spacing w:val="-6"/>
          <w:lang w:val="sk-SK"/>
        </w:rPr>
        <w:t xml:space="preserve"> s </w:t>
      </w:r>
      <w:r w:rsidRPr="00CC26EA">
        <w:rPr>
          <w:noProof/>
          <w:spacing w:val="-6"/>
          <w:lang w:val="sk-SK"/>
        </w:rPr>
        <w:t>Úradom pre audit</w:t>
      </w:r>
      <w:r w:rsidR="00CC26EA" w:rsidRPr="00CC26EA">
        <w:rPr>
          <w:noProof/>
          <w:spacing w:val="-6"/>
          <w:lang w:val="sk-SK"/>
        </w:rPr>
        <w:t xml:space="preserve"> a </w:t>
      </w:r>
      <w:r w:rsidRPr="00CC26EA">
        <w:rPr>
          <w:noProof/>
          <w:spacing w:val="-6"/>
          <w:lang w:val="sk-SK"/>
        </w:rPr>
        <w:t>dohľad, ktorý vykonáva kontroly</w:t>
      </w:r>
      <w:r w:rsidR="00CC26EA" w:rsidRPr="00CC26EA">
        <w:rPr>
          <w:noProof/>
          <w:spacing w:val="-6"/>
          <w:lang w:val="sk-SK"/>
        </w:rPr>
        <w:t xml:space="preserve"> a </w:t>
      </w:r>
      <w:r w:rsidRPr="00CC26EA">
        <w:rPr>
          <w:noProof/>
          <w:spacing w:val="-6"/>
          <w:lang w:val="sk-SK"/>
        </w:rPr>
        <w:t>dohľad.</w:t>
      </w:r>
    </w:p>
    <w:p w14:paraId="2557CA90" w14:textId="77777777" w:rsidR="00F65654" w:rsidRPr="00CC26EA" w:rsidRDefault="00F65654">
      <w:pPr>
        <w:spacing w:before="120" w:after="120"/>
        <w:rPr>
          <w:rFonts w:ascii="Times New Roman" w:hAnsi="Times New Roman"/>
          <w:noProof/>
          <w:spacing w:val="-6"/>
          <w:lang w:val="sk-SK"/>
        </w:rPr>
      </w:pPr>
    </w:p>
    <w:p w14:paraId="3402C630" w14:textId="6E588899" w:rsidR="00F65654" w:rsidRPr="00CC26EA" w:rsidRDefault="0041081E">
      <w:pPr>
        <w:pStyle w:val="P68B1DB1-NumPar12"/>
        <w:rPr>
          <w:noProof/>
          <w:spacing w:val="-6"/>
          <w:lang w:val="sk-SK"/>
        </w:rPr>
      </w:pPr>
      <w:r w:rsidRPr="00CC26EA">
        <w:rPr>
          <w:noProof/>
          <w:spacing w:val="-6"/>
          <w:lang w:val="sk-SK"/>
        </w:rPr>
        <w:t>Opatrenia na poskytnutie plného prístupu</w:t>
      </w:r>
      <w:r w:rsidR="00CC26EA" w:rsidRPr="00CC26EA">
        <w:rPr>
          <w:noProof/>
          <w:spacing w:val="-6"/>
          <w:lang w:val="sk-SK"/>
        </w:rPr>
        <w:t xml:space="preserve"> k </w:t>
      </w:r>
      <w:r w:rsidRPr="00CC26EA">
        <w:rPr>
          <w:noProof/>
          <w:spacing w:val="-6"/>
          <w:lang w:val="sk-SK"/>
        </w:rPr>
        <w:t>podkladovým údajom Komisii</w:t>
      </w:r>
    </w:p>
    <w:p w14:paraId="13AD10B6" w14:textId="550262B0" w:rsidR="00CC26EA" w:rsidRPr="00CC26EA" w:rsidRDefault="0041081E">
      <w:pPr>
        <w:pStyle w:val="Text1"/>
        <w:ind w:left="0"/>
        <w:rPr>
          <w:noProof/>
          <w:spacing w:val="-6"/>
          <w:lang w:val="sk-SK"/>
        </w:rPr>
      </w:pPr>
      <w:r w:rsidRPr="00CC26EA">
        <w:rPr>
          <w:noProof/>
          <w:spacing w:val="-6"/>
          <w:lang w:val="sk-SK"/>
        </w:rPr>
        <w:t>Úrad auditu</w:t>
      </w:r>
      <w:r w:rsidR="00CC26EA" w:rsidRPr="00CC26EA">
        <w:rPr>
          <w:noProof/>
          <w:spacing w:val="-6"/>
          <w:lang w:val="sk-SK"/>
        </w:rPr>
        <w:t xml:space="preserve"> a </w:t>
      </w:r>
      <w:r w:rsidRPr="00CC26EA">
        <w:rPr>
          <w:noProof/>
          <w:spacing w:val="-6"/>
          <w:lang w:val="sk-SK"/>
        </w:rPr>
        <w:t>dohľadu používa osobitný dánsky systém vlády „F2“ na uchovávanie dokumentácie</w:t>
      </w:r>
      <w:r w:rsidR="00CC26EA" w:rsidRPr="00CC26EA">
        <w:rPr>
          <w:noProof/>
          <w:spacing w:val="-6"/>
          <w:lang w:val="sk-SK"/>
        </w:rPr>
        <w:t xml:space="preserve"> z </w:t>
      </w:r>
      <w:r w:rsidRPr="00CC26EA">
        <w:rPr>
          <w:noProof/>
          <w:spacing w:val="-6"/>
          <w:lang w:val="sk-SK"/>
        </w:rPr>
        <w:t>rezortných ministerstiev. Systém sa používa takmer na všetkých ministerstvách</w:t>
      </w:r>
      <w:r w:rsidR="00CC26EA" w:rsidRPr="00CC26EA">
        <w:rPr>
          <w:noProof/>
          <w:spacing w:val="-6"/>
          <w:lang w:val="sk-SK"/>
        </w:rPr>
        <w:t xml:space="preserve"> a </w:t>
      </w:r>
      <w:r w:rsidRPr="00CC26EA">
        <w:rPr>
          <w:noProof/>
          <w:spacing w:val="-6"/>
          <w:lang w:val="sk-SK"/>
        </w:rPr>
        <w:t>agentúrach dánskej ústrednej správy</w:t>
      </w:r>
      <w:r w:rsidR="00CC26EA" w:rsidRPr="00CC26EA">
        <w:rPr>
          <w:noProof/>
          <w:spacing w:val="-6"/>
          <w:lang w:val="sk-SK"/>
        </w:rPr>
        <w:t xml:space="preserve"> a </w:t>
      </w:r>
      <w:r w:rsidRPr="00CC26EA">
        <w:rPr>
          <w:noProof/>
          <w:spacing w:val="-6"/>
          <w:lang w:val="sk-SK"/>
        </w:rPr>
        <w:t>používa sa na podávanie</w:t>
      </w:r>
      <w:r w:rsidR="00CC26EA" w:rsidRPr="00CC26EA">
        <w:rPr>
          <w:noProof/>
          <w:spacing w:val="-6"/>
          <w:lang w:val="sk-SK"/>
        </w:rPr>
        <w:t xml:space="preserve"> a </w:t>
      </w:r>
      <w:r w:rsidRPr="00CC26EA">
        <w:rPr>
          <w:noProof/>
          <w:spacing w:val="-6"/>
          <w:lang w:val="sk-SK"/>
        </w:rPr>
        <w:t>uverejňovanie dokumentov</w:t>
      </w:r>
      <w:r w:rsidR="00CC26EA" w:rsidRPr="00CC26EA">
        <w:rPr>
          <w:noProof/>
          <w:spacing w:val="-6"/>
          <w:lang w:val="sk-SK"/>
        </w:rPr>
        <w:t xml:space="preserve"> s </w:t>
      </w:r>
      <w:r w:rsidRPr="00CC26EA">
        <w:rPr>
          <w:noProof/>
          <w:spacing w:val="-6"/>
          <w:lang w:val="sk-SK"/>
        </w:rPr>
        <w:t>cieľom zabezpečiť súlad</w:t>
      </w:r>
      <w:r w:rsidR="00CC26EA" w:rsidRPr="00CC26EA">
        <w:rPr>
          <w:noProof/>
          <w:spacing w:val="-6"/>
          <w:lang w:val="sk-SK"/>
        </w:rPr>
        <w:t xml:space="preserve"> s </w:t>
      </w:r>
      <w:r w:rsidRPr="00CC26EA">
        <w:rPr>
          <w:noProof/>
          <w:spacing w:val="-6"/>
          <w:lang w:val="sk-SK"/>
        </w:rPr>
        <w:t>rôznymi právnymi požiadavkami, najmä pokiaľ ide</w:t>
      </w:r>
      <w:r w:rsidR="00CC26EA" w:rsidRPr="00CC26EA">
        <w:rPr>
          <w:noProof/>
          <w:spacing w:val="-6"/>
          <w:lang w:val="sk-SK"/>
        </w:rPr>
        <w:t xml:space="preserve"> o </w:t>
      </w:r>
      <w:r w:rsidRPr="00CC26EA">
        <w:rPr>
          <w:noProof/>
          <w:spacing w:val="-6"/>
          <w:lang w:val="sk-SK"/>
        </w:rPr>
        <w:t>zákon</w:t>
      </w:r>
      <w:r w:rsidR="00CC26EA" w:rsidRPr="00CC26EA">
        <w:rPr>
          <w:noProof/>
          <w:spacing w:val="-6"/>
          <w:lang w:val="sk-SK"/>
        </w:rPr>
        <w:t xml:space="preserve"> o </w:t>
      </w:r>
      <w:r w:rsidRPr="00CC26EA">
        <w:rPr>
          <w:noProof/>
          <w:spacing w:val="-6"/>
          <w:lang w:val="sk-SK"/>
        </w:rPr>
        <w:t>prístupe verejnosti</w:t>
      </w:r>
      <w:r w:rsidR="00CC26EA" w:rsidRPr="00CC26EA">
        <w:rPr>
          <w:noProof/>
          <w:spacing w:val="-6"/>
          <w:lang w:val="sk-SK"/>
        </w:rPr>
        <w:t xml:space="preserve"> k </w:t>
      </w:r>
      <w:r w:rsidRPr="00CC26EA">
        <w:rPr>
          <w:noProof/>
          <w:spacing w:val="-6"/>
          <w:lang w:val="sk-SK"/>
        </w:rPr>
        <w:t>informáciám. Údaje sa zasielajú prostredníctvom zašifrovaného e-mailu Úradu auditu</w:t>
      </w:r>
      <w:r w:rsidR="00CC26EA" w:rsidRPr="00CC26EA">
        <w:rPr>
          <w:noProof/>
          <w:spacing w:val="-6"/>
          <w:lang w:val="sk-SK"/>
        </w:rPr>
        <w:t xml:space="preserve"> a </w:t>
      </w:r>
      <w:r w:rsidRPr="00CC26EA">
        <w:rPr>
          <w:noProof/>
          <w:spacing w:val="-6"/>
          <w:lang w:val="sk-SK"/>
        </w:rPr>
        <w:t>dohľadu. Konkrétne údaje, ktoré sa zbierajú</w:t>
      </w:r>
      <w:r w:rsidR="00CC26EA" w:rsidRPr="00CC26EA">
        <w:rPr>
          <w:noProof/>
          <w:spacing w:val="-6"/>
          <w:lang w:val="sk-SK"/>
        </w:rPr>
        <w:t xml:space="preserve"> z </w:t>
      </w:r>
      <w:r w:rsidRPr="00CC26EA">
        <w:rPr>
          <w:noProof/>
          <w:spacing w:val="-6"/>
          <w:lang w:val="sk-SK"/>
        </w:rPr>
        <w:t>projektov, sú údaje</w:t>
      </w:r>
      <w:r w:rsidR="00CC26EA" w:rsidRPr="00CC26EA">
        <w:rPr>
          <w:noProof/>
          <w:spacing w:val="-6"/>
          <w:lang w:val="sk-SK"/>
        </w:rPr>
        <w:t xml:space="preserve"> o </w:t>
      </w:r>
      <w:r w:rsidRPr="00CC26EA">
        <w:rPr>
          <w:noProof/>
          <w:spacing w:val="-6"/>
          <w:lang w:val="sk-SK"/>
        </w:rPr>
        <w:t>konečných prijímateľoch/príjemcoch, dodávateľoch</w:t>
      </w:r>
      <w:r w:rsidR="00CC26EA" w:rsidRPr="00CC26EA">
        <w:rPr>
          <w:noProof/>
          <w:spacing w:val="-6"/>
          <w:lang w:val="sk-SK"/>
        </w:rPr>
        <w:t xml:space="preserve"> a </w:t>
      </w:r>
      <w:r w:rsidRPr="00CC26EA">
        <w:rPr>
          <w:noProof/>
          <w:spacing w:val="-6"/>
          <w:lang w:val="sk-SK"/>
        </w:rPr>
        <w:t>subdodávateľoch</w:t>
      </w:r>
      <w:r w:rsidR="00CC26EA" w:rsidRPr="00CC26EA">
        <w:rPr>
          <w:noProof/>
          <w:spacing w:val="-6"/>
          <w:lang w:val="sk-SK"/>
        </w:rPr>
        <w:t xml:space="preserve"> a </w:t>
      </w:r>
      <w:r w:rsidRPr="00CC26EA">
        <w:rPr>
          <w:noProof/>
          <w:spacing w:val="-6"/>
          <w:lang w:val="sk-SK"/>
        </w:rPr>
        <w:t>zber týchto údajov slúži na získanie poznatkov</w:t>
      </w:r>
      <w:r w:rsidR="00CC26EA" w:rsidRPr="00CC26EA">
        <w:rPr>
          <w:noProof/>
          <w:spacing w:val="-6"/>
          <w:lang w:val="sk-SK"/>
        </w:rPr>
        <w:t xml:space="preserve"> o </w:t>
      </w:r>
      <w:r w:rsidRPr="00CC26EA">
        <w:rPr>
          <w:noProof/>
          <w:spacing w:val="-6"/>
          <w:lang w:val="sk-SK"/>
        </w:rPr>
        <w:t>rizikách, najmä pokiaľ ide</w:t>
      </w:r>
      <w:r w:rsidR="00CC26EA" w:rsidRPr="00CC26EA">
        <w:rPr>
          <w:noProof/>
          <w:spacing w:val="-6"/>
          <w:lang w:val="sk-SK"/>
        </w:rPr>
        <w:t xml:space="preserve"> o </w:t>
      </w:r>
      <w:r w:rsidRPr="00CC26EA">
        <w:rPr>
          <w:noProof/>
          <w:spacing w:val="-6"/>
          <w:lang w:val="sk-SK"/>
        </w:rPr>
        <w:t>riziká „koncentrácie“</w:t>
      </w:r>
      <w:r w:rsidR="00CC26EA" w:rsidRPr="00CC26EA">
        <w:rPr>
          <w:noProof/>
          <w:spacing w:val="-6"/>
          <w:lang w:val="sk-SK"/>
        </w:rPr>
        <w:t xml:space="preserve"> a </w:t>
      </w:r>
      <w:r w:rsidRPr="00CC26EA">
        <w:rPr>
          <w:noProof/>
          <w:spacing w:val="-6"/>
          <w:lang w:val="sk-SK"/>
        </w:rPr>
        <w:t>„reputácie“. Úrad auditu</w:t>
      </w:r>
      <w:r w:rsidR="00CC26EA" w:rsidRPr="00CC26EA">
        <w:rPr>
          <w:noProof/>
          <w:spacing w:val="-6"/>
          <w:lang w:val="sk-SK"/>
        </w:rPr>
        <w:t xml:space="preserve"> a </w:t>
      </w:r>
      <w:r w:rsidRPr="00CC26EA">
        <w:rPr>
          <w:noProof/>
          <w:spacing w:val="-6"/>
          <w:lang w:val="sk-SK"/>
        </w:rPr>
        <w:t>dohľadu zabezpečí, aby sa tieto údaje uchovávali, aby orgány EÚ mohli na požiadanie skontrolovať, keďže každé ministerstvo údaje uchováva decentralizovane. Údaje sa na požiadanie sprístupnia ministerstvu financií aj inštitúciám EÚ</w:t>
      </w:r>
      <w:r w:rsidR="00CC26EA" w:rsidRPr="00CC26EA">
        <w:rPr>
          <w:noProof/>
          <w:spacing w:val="-6"/>
          <w:lang w:val="sk-SK"/>
        </w:rPr>
        <w:t>.</w:t>
      </w:r>
    </w:p>
    <w:p w14:paraId="053AC30A" w14:textId="28B93311" w:rsidR="00F65654" w:rsidRPr="00CC26EA" w:rsidRDefault="0041081E">
      <w:pPr>
        <w:pStyle w:val="Text1"/>
        <w:ind w:left="0"/>
        <w:rPr>
          <w:noProof/>
          <w:spacing w:val="-6"/>
          <w:lang w:val="sk-SK"/>
        </w:rPr>
      </w:pPr>
      <w:r w:rsidRPr="00CC26EA">
        <w:rPr>
          <w:noProof/>
          <w:spacing w:val="-6"/>
          <w:lang w:val="sk-SK"/>
        </w:rPr>
        <w:t>V súlade</w:t>
      </w:r>
      <w:r w:rsidR="00CC26EA" w:rsidRPr="00CC26EA">
        <w:rPr>
          <w:noProof/>
          <w:spacing w:val="-6"/>
          <w:lang w:val="sk-SK"/>
        </w:rPr>
        <w:t xml:space="preserve"> s </w:t>
      </w:r>
      <w:r w:rsidRPr="00CC26EA">
        <w:rPr>
          <w:noProof/>
          <w:spacing w:val="-6"/>
          <w:lang w:val="sk-SK"/>
        </w:rPr>
        <w:t>článkom 24 ods. 2 nariadenia (EÚ) 2021/241 Dánsko po splnení príslušných dohodnutých míľnikov</w:t>
      </w:r>
      <w:r w:rsidR="00CC26EA" w:rsidRPr="00CC26EA">
        <w:rPr>
          <w:noProof/>
          <w:spacing w:val="-6"/>
          <w:lang w:val="sk-SK"/>
        </w:rPr>
        <w:t xml:space="preserve"> a </w:t>
      </w:r>
      <w:r w:rsidRPr="00CC26EA">
        <w:rPr>
          <w:noProof/>
          <w:spacing w:val="-6"/>
          <w:lang w:val="sk-SK"/>
        </w:rPr>
        <w:t>cieľov uvedených</w:t>
      </w:r>
      <w:r w:rsidR="00CC26EA" w:rsidRPr="00CC26EA">
        <w:rPr>
          <w:noProof/>
          <w:spacing w:val="-6"/>
          <w:lang w:val="sk-SK"/>
        </w:rPr>
        <w:t xml:space="preserve"> v </w:t>
      </w:r>
      <w:r w:rsidRPr="00CC26EA">
        <w:rPr>
          <w:noProof/>
          <w:spacing w:val="-6"/>
          <w:lang w:val="sk-SK"/>
        </w:rPr>
        <w:t>oddiele 2.1 tejto prílohy predloží Komisii riadne odôvodnenú žiadosť</w:t>
      </w:r>
      <w:r w:rsidR="00CC26EA" w:rsidRPr="00CC26EA">
        <w:rPr>
          <w:noProof/>
          <w:spacing w:val="-6"/>
          <w:lang w:val="sk-SK"/>
        </w:rPr>
        <w:t xml:space="preserve"> o </w:t>
      </w:r>
      <w:r w:rsidRPr="00CC26EA">
        <w:rPr>
          <w:noProof/>
          <w:spacing w:val="-6"/>
          <w:lang w:val="sk-SK"/>
        </w:rPr>
        <w:t>vyplatenie finančného príspevku. Dánsko zabezpečí, aby Komisia mala na požiadanie úplný prístup</w:t>
      </w:r>
      <w:r w:rsidR="00CC26EA" w:rsidRPr="00CC26EA">
        <w:rPr>
          <w:noProof/>
          <w:spacing w:val="-6"/>
          <w:lang w:val="sk-SK"/>
        </w:rPr>
        <w:t xml:space="preserve"> k </w:t>
      </w:r>
      <w:r w:rsidRPr="00CC26EA">
        <w:rPr>
          <w:noProof/>
          <w:spacing w:val="-6"/>
          <w:lang w:val="sk-SK"/>
        </w:rPr>
        <w:t>podkladovým relevantným údajom, ktoré podporujú riadne odôvodnenie žiadosti</w:t>
      </w:r>
      <w:r w:rsidR="00CC26EA" w:rsidRPr="00CC26EA">
        <w:rPr>
          <w:noProof/>
          <w:spacing w:val="-6"/>
          <w:lang w:val="sk-SK"/>
        </w:rPr>
        <w:t xml:space="preserve"> o </w:t>
      </w:r>
      <w:r w:rsidRPr="00CC26EA">
        <w:rPr>
          <w:noProof/>
          <w:spacing w:val="-6"/>
          <w:lang w:val="sk-SK"/>
        </w:rPr>
        <w:t>platbu,</w:t>
      </w:r>
      <w:r w:rsidR="00CC26EA" w:rsidRPr="00CC26EA">
        <w:rPr>
          <w:noProof/>
          <w:spacing w:val="-6"/>
          <w:lang w:val="sk-SK"/>
        </w:rPr>
        <w:t xml:space="preserve"> a </w:t>
      </w:r>
      <w:r w:rsidRPr="00CC26EA">
        <w:rPr>
          <w:noProof/>
          <w:spacing w:val="-6"/>
          <w:lang w:val="sk-SK"/>
        </w:rPr>
        <w:t>to tak na účely posúdenia žiadosti</w:t>
      </w:r>
      <w:r w:rsidR="00CC26EA" w:rsidRPr="00CC26EA">
        <w:rPr>
          <w:noProof/>
          <w:spacing w:val="-6"/>
          <w:lang w:val="sk-SK"/>
        </w:rPr>
        <w:t xml:space="preserve"> o </w:t>
      </w:r>
      <w:r w:rsidRPr="00CC26EA">
        <w:rPr>
          <w:noProof/>
          <w:spacing w:val="-6"/>
          <w:lang w:val="sk-SK"/>
        </w:rPr>
        <w:t>platbu</w:t>
      </w:r>
      <w:r w:rsidR="00CC26EA" w:rsidRPr="00CC26EA">
        <w:rPr>
          <w:noProof/>
          <w:spacing w:val="-6"/>
          <w:lang w:val="sk-SK"/>
        </w:rPr>
        <w:t xml:space="preserve"> v </w:t>
      </w:r>
      <w:r w:rsidRPr="00CC26EA">
        <w:rPr>
          <w:noProof/>
          <w:spacing w:val="-6"/>
          <w:lang w:val="sk-SK"/>
        </w:rPr>
        <w:t>súlade</w:t>
      </w:r>
      <w:r w:rsidR="00CC26EA" w:rsidRPr="00CC26EA">
        <w:rPr>
          <w:noProof/>
          <w:spacing w:val="-6"/>
          <w:lang w:val="sk-SK"/>
        </w:rPr>
        <w:t xml:space="preserve"> s </w:t>
      </w:r>
      <w:r w:rsidRPr="00CC26EA">
        <w:rPr>
          <w:noProof/>
          <w:spacing w:val="-6"/>
          <w:lang w:val="sk-SK"/>
        </w:rPr>
        <w:t>článkom 24 ods. 3 nariadenia (EÚ) 2021/241, ako aj na účely auditu</w:t>
      </w:r>
      <w:r w:rsidR="00CC26EA" w:rsidRPr="00CC26EA">
        <w:rPr>
          <w:noProof/>
          <w:spacing w:val="-6"/>
          <w:lang w:val="sk-SK"/>
        </w:rPr>
        <w:t xml:space="preserve"> a </w:t>
      </w:r>
      <w:r w:rsidRPr="00CC26EA">
        <w:rPr>
          <w:noProof/>
          <w:spacing w:val="-6"/>
          <w:lang w:val="sk-SK"/>
        </w:rPr>
        <w:t>kontroly.</w:t>
      </w:r>
    </w:p>
    <w:sectPr w:rsidR="00F65654" w:rsidRPr="00CC26EA">
      <w:headerReference w:type="even" r:id="rId127"/>
      <w:headerReference w:type="default" r:id="rId128"/>
      <w:footerReference w:type="even" r:id="rId129"/>
      <w:footerReference w:type="default" r:id="rId130"/>
      <w:headerReference w:type="first" r:id="rId131"/>
      <w:footerReference w:type="first" r:id="rId132"/>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6DA3" w14:textId="77777777" w:rsidR="00046E47" w:rsidRDefault="00046E47">
      <w:pPr>
        <w:spacing w:after="0" w:line="240" w:lineRule="auto"/>
      </w:pPr>
      <w:r>
        <w:separator/>
      </w:r>
    </w:p>
  </w:endnote>
  <w:endnote w:type="continuationSeparator" w:id="0">
    <w:p w14:paraId="2445A2B4" w14:textId="77777777" w:rsidR="00046E47" w:rsidRDefault="00046E47">
      <w:pPr>
        <w:spacing w:after="0" w:line="240" w:lineRule="auto"/>
      </w:pPr>
      <w:r>
        <w:continuationSeparator/>
      </w:r>
    </w:p>
  </w:endnote>
  <w:endnote w:type="continuationNotice" w:id="1">
    <w:p w14:paraId="1D9981FF" w14:textId="77777777" w:rsidR="00046E47" w:rsidRDefault="00046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7635" w14:textId="50749212" w:rsidR="00742E7F" w:rsidRPr="00742E7F" w:rsidRDefault="00742E7F" w:rsidP="00742E7F">
    <w:pPr>
      <w:pStyle w:val="FooterCoverPage"/>
      <w:rPr>
        <w:rFonts w:ascii="Arial" w:hAnsi="Arial" w:cs="Arial"/>
        <w:b/>
        <w:sz w:val="48"/>
      </w:rPr>
    </w:pPr>
    <w:r w:rsidRPr="00742E7F">
      <w:rPr>
        <w:rFonts w:ascii="Arial" w:hAnsi="Arial" w:cs="Arial"/>
        <w:b/>
        <w:sz w:val="48"/>
      </w:rPr>
      <w:t>SK</w:t>
    </w:r>
    <w:r w:rsidRPr="00742E7F">
      <w:rPr>
        <w:rFonts w:ascii="Arial" w:hAnsi="Arial" w:cs="Arial"/>
        <w:b/>
        <w:sz w:val="48"/>
      </w:rPr>
      <w:tab/>
    </w:r>
    <w:r w:rsidRPr="00742E7F">
      <w:rPr>
        <w:rFonts w:ascii="Arial" w:hAnsi="Arial" w:cs="Arial"/>
        <w:b/>
        <w:sz w:val="48"/>
      </w:rPr>
      <w:tab/>
    </w:r>
    <w:r w:rsidRPr="00742E7F">
      <w:tab/>
    </w:r>
    <w:proofErr w:type="spellStart"/>
    <w:r w:rsidRPr="00742E7F">
      <w:rPr>
        <w:rFonts w:ascii="Arial" w:hAnsi="Arial" w:cs="Arial"/>
        <w:b/>
        <w:sz w:val="48"/>
      </w:rPr>
      <w:t>SK</w:t>
    </w:r>
    <w:proofErr w:type="spellEnd"/>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9812" w14:textId="77777777" w:rsidR="00F65654" w:rsidRDefault="00F656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117687"/>
      <w:docPartObj>
        <w:docPartGallery w:val="Page Numbers (Bottom of Page)"/>
        <w:docPartUnique/>
      </w:docPartObj>
    </w:sdtPr>
    <w:sdtEndPr>
      <w:rPr>
        <w:noProof/>
      </w:rPr>
    </w:sdtEndPr>
    <w:sdtContent>
      <w:p w14:paraId="2981254A" w14:textId="49A2168E" w:rsidR="00F65654" w:rsidRDefault="0041081E">
        <w:pPr>
          <w:pStyle w:val="Footer"/>
          <w:jc w:val="center"/>
        </w:pPr>
        <w:r>
          <w:fldChar w:fldCharType="begin"/>
        </w:r>
        <w:r>
          <w:instrText xml:space="preserve"> PAGE   \* MERGEFORMAT </w:instrText>
        </w:r>
        <w:r>
          <w:fldChar w:fldCharType="separate"/>
        </w:r>
        <w:r>
          <w:rPr>
            <w:noProof/>
          </w:rPr>
          <w:t>7</w:t>
        </w:r>
        <w:r>
          <w:fldChar w:fldCharType="end"/>
        </w:r>
      </w:p>
    </w:sdtContent>
  </w:sdt>
  <w:p w14:paraId="2883667E" w14:textId="77777777" w:rsidR="00F65654" w:rsidRDefault="00F65654">
    <w:pPr>
      <w:pStyle w:val="FooterCouncil"/>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B327" w14:textId="77777777" w:rsidR="00F65654" w:rsidRDefault="00F656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CC0B" w14:textId="77777777" w:rsidR="00F65654" w:rsidRDefault="00F6565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239981"/>
      <w:docPartObj>
        <w:docPartGallery w:val="Page Numbers (Bottom of Page)"/>
        <w:docPartUnique/>
      </w:docPartObj>
    </w:sdtPr>
    <w:sdtEndPr>
      <w:rPr>
        <w:noProof/>
      </w:rPr>
    </w:sdtEndPr>
    <w:sdtContent>
      <w:p w14:paraId="6345A97D" w14:textId="2FEDF1E6" w:rsidR="00F65654" w:rsidRDefault="0041081E">
        <w:pPr>
          <w:pStyle w:val="P68B1DB1-Footer19"/>
          <w:jc w:val="center"/>
        </w:pPr>
        <w:r>
          <w:fldChar w:fldCharType="begin"/>
        </w:r>
        <w:r>
          <w:instrText xml:space="preserve"> PAGE   \* MERGEFORMAT </w:instrText>
        </w:r>
        <w:r>
          <w:fldChar w:fldCharType="separate"/>
        </w:r>
        <w:r>
          <w:rPr>
            <w:noProof/>
          </w:rPr>
          <w:t>14</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87C9" w14:textId="77777777" w:rsidR="00F65654" w:rsidRDefault="00F6565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9656" w14:textId="77777777" w:rsidR="00F65654" w:rsidRDefault="00F6565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988247"/>
      <w:docPartObj>
        <w:docPartGallery w:val="Page Numbers (Bottom of Page)"/>
        <w:docPartUnique/>
      </w:docPartObj>
    </w:sdtPr>
    <w:sdtEndPr>
      <w:rPr>
        <w:noProof/>
      </w:rPr>
    </w:sdtEndPr>
    <w:sdtContent>
      <w:p w14:paraId="29018DE4" w14:textId="275F94A0" w:rsidR="00F65654" w:rsidRDefault="0041081E">
        <w:pPr>
          <w:pStyle w:val="P68B1DB1-Footer19"/>
          <w:jc w:val="center"/>
        </w:pPr>
        <w:r>
          <w:fldChar w:fldCharType="begin"/>
        </w:r>
        <w:r>
          <w:instrText xml:space="preserve"> PAGE   \* MERGEFORMAT </w:instrText>
        </w:r>
        <w:r>
          <w:fldChar w:fldCharType="separate"/>
        </w:r>
        <w:r>
          <w:rPr>
            <w:noProof/>
          </w:rPr>
          <w:t>15</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2C4E" w14:textId="77777777" w:rsidR="00F65654" w:rsidRDefault="00F6565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5C0B" w14:textId="77777777" w:rsidR="00F65654" w:rsidRDefault="00F65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A002" w14:textId="70B0C322" w:rsidR="00742E7F" w:rsidRPr="00742E7F" w:rsidRDefault="00742E7F" w:rsidP="00742E7F">
    <w:pPr>
      <w:pStyle w:val="FooterCoverPage"/>
      <w:rPr>
        <w:rFonts w:ascii="Arial" w:hAnsi="Arial" w:cs="Arial"/>
        <w:b/>
        <w:sz w:val="48"/>
      </w:rPr>
    </w:pPr>
    <w:r w:rsidRPr="00742E7F">
      <w:rPr>
        <w:rFonts w:ascii="Arial" w:hAnsi="Arial" w:cs="Arial"/>
        <w:b/>
        <w:sz w:val="48"/>
      </w:rPr>
      <w:t>SK</w:t>
    </w:r>
    <w:r w:rsidRPr="00742E7F">
      <w:rPr>
        <w:rFonts w:ascii="Arial" w:hAnsi="Arial" w:cs="Arial"/>
        <w:b/>
        <w:sz w:val="48"/>
      </w:rPr>
      <w:tab/>
    </w:r>
    <w:r w:rsidRPr="00742E7F">
      <w:rPr>
        <w:rFonts w:ascii="Arial" w:hAnsi="Arial" w:cs="Arial"/>
        <w:b/>
        <w:sz w:val="48"/>
      </w:rPr>
      <w:tab/>
    </w:r>
    <w:r w:rsidRPr="00742E7F">
      <w:tab/>
    </w:r>
    <w:proofErr w:type="spellStart"/>
    <w:r w:rsidRPr="00742E7F">
      <w:rPr>
        <w:rFonts w:ascii="Arial" w:hAnsi="Arial" w:cs="Arial"/>
        <w:b/>
        <w:sz w:val="48"/>
      </w:rPr>
      <w:t>SK</w:t>
    </w:r>
    <w:proofErr w:type="spellEnd"/>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201887"/>
      <w:docPartObj>
        <w:docPartGallery w:val="Page Numbers (Bottom of Page)"/>
        <w:docPartUnique/>
      </w:docPartObj>
    </w:sdtPr>
    <w:sdtEndPr>
      <w:rPr>
        <w:noProof/>
      </w:rPr>
    </w:sdtEndPr>
    <w:sdtContent>
      <w:p w14:paraId="139AD2F9" w14:textId="00B889E5" w:rsidR="00F65654" w:rsidRDefault="0041081E">
        <w:pPr>
          <w:pStyle w:val="P68B1DB1-Footer19"/>
          <w:jc w:val="center"/>
        </w:pPr>
        <w:r>
          <w:fldChar w:fldCharType="begin"/>
        </w:r>
        <w:r>
          <w:instrText xml:space="preserve"> PAGE   \* MERGEFORMAT </w:instrText>
        </w:r>
        <w:r>
          <w:fldChar w:fldCharType="separate"/>
        </w:r>
        <w:r w:rsidR="00632216">
          <w:rPr>
            <w:noProof/>
          </w:rPr>
          <w:t>25</w:t>
        </w:r>
        <w: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DE98" w14:textId="77777777" w:rsidR="00F65654" w:rsidRDefault="00F6565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9E50" w14:textId="77777777" w:rsidR="00F65654" w:rsidRDefault="00F6565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607473"/>
      <w:docPartObj>
        <w:docPartGallery w:val="Page Numbers (Bottom of Page)"/>
        <w:docPartUnique/>
      </w:docPartObj>
    </w:sdtPr>
    <w:sdtEndPr>
      <w:rPr>
        <w:noProof/>
      </w:rPr>
    </w:sdtEndPr>
    <w:sdtContent>
      <w:p w14:paraId="223AAE32" w14:textId="10347B37" w:rsidR="00F65654" w:rsidRDefault="0041081E">
        <w:pPr>
          <w:pStyle w:val="P68B1DB1-Footer19"/>
          <w:jc w:val="center"/>
        </w:pPr>
        <w:r>
          <w:fldChar w:fldCharType="begin"/>
        </w:r>
        <w:r>
          <w:instrText xml:space="preserve"> PAGE   \* MERGEFORMAT </w:instrText>
        </w:r>
        <w:r>
          <w:fldChar w:fldCharType="separate"/>
        </w:r>
        <w:r w:rsidR="00632216">
          <w:rPr>
            <w:noProof/>
          </w:rPr>
          <w:t>27</w:t>
        </w:r>
        <w: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3A58" w14:textId="77777777" w:rsidR="00F65654" w:rsidRDefault="00F6565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38B2" w14:textId="77777777" w:rsidR="00F65654" w:rsidRDefault="00F6565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628783"/>
      <w:docPartObj>
        <w:docPartGallery w:val="Page Numbers (Bottom of Page)"/>
        <w:docPartUnique/>
      </w:docPartObj>
    </w:sdtPr>
    <w:sdtEndPr>
      <w:rPr>
        <w:noProof/>
      </w:rPr>
    </w:sdtEndPr>
    <w:sdtContent>
      <w:p w14:paraId="57FD477B" w14:textId="143192DB" w:rsidR="00F65654" w:rsidRDefault="0041081E">
        <w:pPr>
          <w:pStyle w:val="P68B1DB1-Footer19"/>
          <w:jc w:val="center"/>
        </w:pPr>
        <w:r>
          <w:fldChar w:fldCharType="begin"/>
        </w:r>
        <w:r>
          <w:instrText xml:space="preserve"> PAGE   \* MERGEFORMAT </w:instrText>
        </w:r>
        <w:r>
          <w:fldChar w:fldCharType="separate"/>
        </w:r>
        <w:r>
          <w:t>2</w:t>
        </w:r>
        <w: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B35F" w14:textId="77777777" w:rsidR="00F65654" w:rsidRDefault="00F6565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F12C" w14:textId="77777777" w:rsidR="00F65654" w:rsidRDefault="00F6565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950259"/>
      <w:docPartObj>
        <w:docPartGallery w:val="Page Numbers (Bottom of Page)"/>
        <w:docPartUnique/>
      </w:docPartObj>
    </w:sdtPr>
    <w:sdtEndPr>
      <w:rPr>
        <w:noProof/>
      </w:rPr>
    </w:sdtEndPr>
    <w:sdtContent>
      <w:p w14:paraId="6B50BB93" w14:textId="35B9E98B" w:rsidR="00F65654" w:rsidRDefault="0041081E">
        <w:pPr>
          <w:pStyle w:val="P68B1DB1-Footer19"/>
          <w:jc w:val="center"/>
        </w:pPr>
        <w:r>
          <w:fldChar w:fldCharType="begin"/>
        </w:r>
        <w:r>
          <w:instrText xml:space="preserve"> PAGE   \* MERGEFORMAT </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8A6C" w14:textId="77777777" w:rsidR="00742E7F" w:rsidRPr="00742E7F" w:rsidRDefault="00742E7F" w:rsidP="00742E7F">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3895" w14:textId="77777777" w:rsidR="00F65654" w:rsidRDefault="00F65654">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789C" w14:textId="77777777" w:rsidR="00F65654" w:rsidRDefault="00F6565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019812"/>
      <w:docPartObj>
        <w:docPartGallery w:val="Page Numbers (Bottom of Page)"/>
        <w:docPartUnique/>
      </w:docPartObj>
    </w:sdtPr>
    <w:sdtEndPr>
      <w:rPr>
        <w:noProof/>
      </w:rPr>
    </w:sdtEndPr>
    <w:sdtContent>
      <w:p w14:paraId="582C7979" w14:textId="6F4A6E4E" w:rsidR="00F65654" w:rsidRDefault="0041081E">
        <w:pPr>
          <w:pStyle w:val="P68B1DB1-Footer19"/>
          <w:jc w:val="center"/>
        </w:pPr>
        <w:r>
          <w:fldChar w:fldCharType="begin"/>
        </w:r>
        <w:r>
          <w:instrText xml:space="preserve"> PAGE   \* MERGEFORMAT </w:instrText>
        </w:r>
        <w:r>
          <w:fldChar w:fldCharType="separate"/>
        </w:r>
        <w:r>
          <w:t>2</w:t>
        </w:r>
        <w: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C10F" w14:textId="77777777" w:rsidR="00F65654" w:rsidRDefault="00F65654">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EC49" w14:textId="77777777" w:rsidR="00F65654" w:rsidRDefault="00F65654">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800896"/>
      <w:docPartObj>
        <w:docPartGallery w:val="Page Numbers (Bottom of Page)"/>
        <w:docPartUnique/>
      </w:docPartObj>
    </w:sdtPr>
    <w:sdtEndPr>
      <w:rPr>
        <w:noProof/>
      </w:rPr>
    </w:sdtEndPr>
    <w:sdtContent>
      <w:p w14:paraId="5E574224" w14:textId="213360A6" w:rsidR="00F65654" w:rsidRDefault="0041081E">
        <w:pPr>
          <w:pStyle w:val="P68B1DB1-Footer19"/>
          <w:jc w:val="center"/>
        </w:pPr>
        <w:r>
          <w:fldChar w:fldCharType="begin"/>
        </w:r>
        <w:r>
          <w:instrText xml:space="preserve"> PAGE   \* MERGEFORMAT </w:instrText>
        </w:r>
        <w:r>
          <w:fldChar w:fldCharType="separate"/>
        </w:r>
        <w:r>
          <w:t>2</w:t>
        </w:r>
        <w: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8148" w14:textId="77777777" w:rsidR="00F65654" w:rsidRDefault="00F65654">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B270" w14:textId="77777777" w:rsidR="00F65654" w:rsidRDefault="00F65654">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8823"/>
      <w:docPartObj>
        <w:docPartGallery w:val="Page Numbers (Bottom of Page)"/>
        <w:docPartUnique/>
      </w:docPartObj>
    </w:sdtPr>
    <w:sdtEndPr>
      <w:rPr>
        <w:noProof/>
      </w:rPr>
    </w:sdtEndPr>
    <w:sdtContent>
      <w:p w14:paraId="4718DCA2" w14:textId="4082CCCA" w:rsidR="00F65654" w:rsidRDefault="0041081E">
        <w:pPr>
          <w:pStyle w:val="P68B1DB1-Footer19"/>
          <w:jc w:val="center"/>
        </w:pPr>
        <w:r>
          <w:fldChar w:fldCharType="begin"/>
        </w:r>
        <w:r>
          <w:instrText xml:space="preserve"> PAGE   \* MERGEFORMAT </w:instrText>
        </w:r>
        <w:r>
          <w:fldChar w:fldCharType="separate"/>
        </w:r>
        <w:r>
          <w:t>2</w:t>
        </w:r>
        <w: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F88E" w14:textId="77777777" w:rsidR="00F65654" w:rsidRDefault="00F656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5423" w14:textId="77777777" w:rsidR="00F65654" w:rsidRDefault="00F65654">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0951" w14:textId="77777777" w:rsidR="00F65654" w:rsidRDefault="00F65654">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639407"/>
      <w:docPartObj>
        <w:docPartGallery w:val="Page Numbers (Bottom of Page)"/>
        <w:docPartUnique/>
      </w:docPartObj>
    </w:sdtPr>
    <w:sdtEndPr>
      <w:rPr>
        <w:noProof/>
      </w:rPr>
    </w:sdtEndPr>
    <w:sdtContent>
      <w:p w14:paraId="0B02C782" w14:textId="4CC24BCF" w:rsidR="00F65654" w:rsidRDefault="0041081E">
        <w:pPr>
          <w:pStyle w:val="P68B1DB1-Footer19"/>
          <w:jc w:val="center"/>
        </w:pPr>
        <w:r>
          <w:fldChar w:fldCharType="begin"/>
        </w:r>
        <w:r>
          <w:instrText xml:space="preserve"> PAGE   \* MERGEFORMAT </w:instrText>
        </w:r>
        <w:r>
          <w:fldChar w:fldCharType="separate"/>
        </w:r>
        <w:r>
          <w:t>2</w:t>
        </w:r>
        <w: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8852" w14:textId="77777777" w:rsidR="00F65654" w:rsidRDefault="00F65654">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2B18" w14:textId="77777777" w:rsidR="00F65654" w:rsidRDefault="00F65654">
    <w:pPr>
      <w:pStyle w:val="Footer"/>
    </w:pPr>
  </w:p>
  <w:p w14:paraId="4039D54F" w14:textId="77777777" w:rsidR="00F65654" w:rsidRDefault="00F65654"/>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345354"/>
      <w:docPartObj>
        <w:docPartGallery w:val="Page Numbers (Bottom of Page)"/>
        <w:docPartUnique/>
      </w:docPartObj>
    </w:sdtPr>
    <w:sdtEndPr>
      <w:rPr>
        <w:noProof/>
      </w:rPr>
    </w:sdtEndPr>
    <w:sdtContent>
      <w:p w14:paraId="6EB0D433" w14:textId="045E6383" w:rsidR="00F65654" w:rsidRDefault="0041081E">
        <w:pPr>
          <w:pStyle w:val="P68B1DB1-Footer19"/>
          <w:jc w:val="center"/>
        </w:pPr>
        <w:r>
          <w:fldChar w:fldCharType="begin"/>
        </w:r>
        <w:r>
          <w:instrText xml:space="preserve"> PAGE   \* MERGEFORMAT </w:instrText>
        </w:r>
        <w:r>
          <w:fldChar w:fldCharType="separate"/>
        </w:r>
        <w:r>
          <w:t>2</w:t>
        </w:r>
        <w: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844D" w14:textId="77777777" w:rsidR="00F65654" w:rsidRDefault="00F65654">
    <w:pPr>
      <w:pStyle w:val="Footer"/>
    </w:pPr>
  </w:p>
  <w:p w14:paraId="096AB377" w14:textId="77777777" w:rsidR="00F65654" w:rsidRDefault="00F65654"/>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98A4" w14:textId="77777777" w:rsidR="00F65654" w:rsidRDefault="00F65654">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546706"/>
      <w:docPartObj>
        <w:docPartGallery w:val="Page Numbers (Bottom of Page)"/>
        <w:docPartUnique/>
      </w:docPartObj>
    </w:sdtPr>
    <w:sdtEndPr>
      <w:rPr>
        <w:noProof/>
      </w:rPr>
    </w:sdtEndPr>
    <w:sdtContent>
      <w:p w14:paraId="1D5A3D19" w14:textId="225FEAC2" w:rsidR="00F65654" w:rsidRDefault="0041081E">
        <w:pPr>
          <w:pStyle w:val="Footer"/>
          <w:jc w:val="center"/>
        </w:pPr>
        <w:r>
          <w:fldChar w:fldCharType="begin"/>
        </w:r>
        <w:r>
          <w:instrText xml:space="preserve"> PAGE   \* MERGEFORMAT </w:instrText>
        </w:r>
        <w:r>
          <w:fldChar w:fldCharType="separate"/>
        </w:r>
        <w:r>
          <w:t>2</w:t>
        </w:r>
        <w:r>
          <w:fldChar w:fldCharType="end"/>
        </w:r>
      </w:p>
    </w:sdtContent>
  </w:sdt>
  <w:p w14:paraId="56162500" w14:textId="77777777" w:rsidR="00F65654" w:rsidRDefault="00F65654">
    <w:pPr>
      <w:pStyle w:val="FooterCouncil"/>
      <w:jc w:val="cen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58D7" w14:textId="77777777" w:rsidR="00F65654" w:rsidRDefault="00F65654">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634F" w14:textId="77777777" w:rsidR="00F65654" w:rsidRDefault="00F656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3550"/>
      <w:docPartObj>
        <w:docPartGallery w:val="Page Numbers (Bottom of Page)"/>
        <w:docPartUnique/>
      </w:docPartObj>
    </w:sdtPr>
    <w:sdtEndPr>
      <w:rPr>
        <w:noProof/>
      </w:rPr>
    </w:sdtEndPr>
    <w:sdtContent>
      <w:p w14:paraId="46BAD9A0" w14:textId="2BFAB303" w:rsidR="00F65654" w:rsidRDefault="0041081E">
        <w:pPr>
          <w:pStyle w:val="P68B1DB1-Footer19"/>
          <w:jc w:val="center"/>
        </w:pPr>
        <w:r>
          <w:fldChar w:fldCharType="begin"/>
        </w:r>
        <w:r>
          <w:instrText xml:space="preserve"> PAGE   \* MERGEFORMAT </w:instrText>
        </w:r>
        <w:r>
          <w:fldChar w:fldCharType="separate"/>
        </w:r>
        <w:r>
          <w:rPr>
            <w:noProof/>
          </w:rPr>
          <w:t>1</w:t>
        </w:r>
        <w:r>
          <w:fldChar w:fldCharType="end"/>
        </w:r>
      </w:p>
    </w:sdtContent>
  </w:sdt>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701645"/>
      <w:docPartObj>
        <w:docPartGallery w:val="Page Numbers (Bottom of Page)"/>
        <w:docPartUnique/>
      </w:docPartObj>
    </w:sdtPr>
    <w:sdtEndPr>
      <w:rPr>
        <w:noProof/>
      </w:rPr>
    </w:sdtEndPr>
    <w:sdtContent>
      <w:p w14:paraId="176182B3" w14:textId="3146AAB4" w:rsidR="00F65654" w:rsidRDefault="0041081E">
        <w:pPr>
          <w:pStyle w:val="Footer"/>
          <w:jc w:val="center"/>
        </w:pPr>
        <w:r>
          <w:fldChar w:fldCharType="begin"/>
        </w:r>
        <w:r>
          <w:instrText xml:space="preserve"> PAGE   \* MERGEFORMAT </w:instrText>
        </w:r>
        <w:r>
          <w:fldChar w:fldCharType="separate"/>
        </w:r>
        <w:r>
          <w:t>2</w:t>
        </w:r>
        <w:r>
          <w:fldChar w:fldCharType="end"/>
        </w:r>
      </w:p>
    </w:sdtContent>
  </w:sdt>
  <w:p w14:paraId="2D45A150" w14:textId="77777777" w:rsidR="00F65654" w:rsidRDefault="00F65654">
    <w:pPr>
      <w:pStyle w:val="FooterCouncil"/>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9184" w14:textId="77777777" w:rsidR="00F65654" w:rsidRDefault="00F65654">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6B6E" w14:textId="77777777" w:rsidR="00F65654" w:rsidRDefault="00F65654">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61862"/>
      <w:docPartObj>
        <w:docPartGallery w:val="Page Numbers (Bottom of Page)"/>
        <w:docPartUnique/>
      </w:docPartObj>
    </w:sdtPr>
    <w:sdtEndPr>
      <w:rPr>
        <w:noProof/>
      </w:rPr>
    </w:sdtEndPr>
    <w:sdtContent>
      <w:p w14:paraId="4294C333" w14:textId="3BDAAB1F" w:rsidR="00F65654" w:rsidRDefault="0041081E">
        <w:pPr>
          <w:pStyle w:val="Footer"/>
          <w:jc w:val="center"/>
        </w:pPr>
        <w:r>
          <w:fldChar w:fldCharType="begin"/>
        </w:r>
        <w:r>
          <w:instrText xml:space="preserve"> PAGE   \* MERGEFORMAT </w:instrText>
        </w:r>
        <w:r>
          <w:fldChar w:fldCharType="separate"/>
        </w:r>
        <w:r>
          <w:t>2</w:t>
        </w:r>
        <w:r>
          <w:fldChar w:fldCharType="end"/>
        </w:r>
      </w:p>
    </w:sdtContent>
  </w:sdt>
  <w:p w14:paraId="15D6EE62" w14:textId="77777777" w:rsidR="00F65654" w:rsidRDefault="00F65654">
    <w:pPr>
      <w:pStyle w:val="FooterCouncil"/>
      <w:jc w:val="cen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FE6C" w14:textId="77777777" w:rsidR="00F65654" w:rsidRDefault="00F65654">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C6B1" w14:textId="77777777" w:rsidR="00F65654" w:rsidRDefault="00F65654">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947523"/>
      <w:docPartObj>
        <w:docPartGallery w:val="Page Numbers (Bottom of Page)"/>
        <w:docPartUnique/>
      </w:docPartObj>
    </w:sdtPr>
    <w:sdtEndPr>
      <w:rPr>
        <w:noProof/>
      </w:rPr>
    </w:sdtEndPr>
    <w:sdtContent>
      <w:p w14:paraId="4ED73148" w14:textId="465BD466" w:rsidR="00F65654" w:rsidRDefault="0041081E">
        <w:pPr>
          <w:pStyle w:val="Footer"/>
          <w:jc w:val="center"/>
        </w:pPr>
        <w:r>
          <w:fldChar w:fldCharType="begin"/>
        </w:r>
        <w:r>
          <w:instrText xml:space="preserve"> PAGE   \* MERGEFORMAT </w:instrText>
        </w:r>
        <w:r>
          <w:fldChar w:fldCharType="separate"/>
        </w:r>
        <w:r>
          <w:t>2</w:t>
        </w:r>
        <w:r>
          <w:fldChar w:fldCharType="end"/>
        </w:r>
      </w:p>
    </w:sdtContent>
  </w:sdt>
  <w:p w14:paraId="31DC27C3" w14:textId="77777777" w:rsidR="00F65654" w:rsidRDefault="00F65654">
    <w:pPr>
      <w:pStyle w:val="FooterCouncil"/>
      <w:jc w:val="cen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11BA" w14:textId="77777777" w:rsidR="00F65654" w:rsidRDefault="00F65654">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249C" w14:textId="77777777" w:rsidR="00F65654" w:rsidRDefault="00F65654">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096519"/>
      <w:docPartObj>
        <w:docPartGallery w:val="Page Numbers (Bottom of Page)"/>
        <w:docPartUnique/>
      </w:docPartObj>
    </w:sdtPr>
    <w:sdtEndPr>
      <w:rPr>
        <w:noProof/>
      </w:rPr>
    </w:sdtEndPr>
    <w:sdtContent>
      <w:p w14:paraId="3B51EF43" w14:textId="3BC4693D" w:rsidR="00F65654" w:rsidRDefault="0041081E">
        <w:pPr>
          <w:pStyle w:val="Footer"/>
          <w:jc w:val="center"/>
        </w:pPr>
        <w:r>
          <w:fldChar w:fldCharType="begin"/>
        </w:r>
        <w:r>
          <w:instrText xml:space="preserve"> PAGE   \* MERGEFORMAT </w:instrText>
        </w:r>
        <w:r>
          <w:fldChar w:fldCharType="separate"/>
        </w:r>
        <w:r>
          <w:t>2</w:t>
        </w:r>
        <w:r>
          <w:fldChar w:fldCharType="end"/>
        </w:r>
      </w:p>
    </w:sdtContent>
  </w:sdt>
  <w:p w14:paraId="18CA28F7" w14:textId="77777777" w:rsidR="00F65654" w:rsidRDefault="00F65654">
    <w:pPr>
      <w:pStyle w:val="FooterCouncil"/>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FCF3" w14:textId="77777777" w:rsidR="00F65654" w:rsidRDefault="00F65654">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5686" w14:textId="77777777" w:rsidR="00F65654" w:rsidRDefault="00F656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DD58" w14:textId="77777777" w:rsidR="00F65654" w:rsidRDefault="00F656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892008"/>
      <w:docPartObj>
        <w:docPartGallery w:val="Page Numbers (Bottom of Page)"/>
        <w:docPartUnique/>
      </w:docPartObj>
    </w:sdtPr>
    <w:sdtEndPr>
      <w:rPr>
        <w:noProof/>
      </w:rPr>
    </w:sdtEndPr>
    <w:sdtContent>
      <w:p w14:paraId="33EE58C8" w14:textId="738E0B85" w:rsidR="00F65654" w:rsidRDefault="0041081E">
        <w:pPr>
          <w:pStyle w:val="Footer"/>
          <w:jc w:val="center"/>
        </w:pPr>
        <w:r>
          <w:fldChar w:fldCharType="begin"/>
        </w:r>
        <w:r>
          <w:instrText xml:space="preserve"> PAGE   \* MERGEFORMAT </w:instrText>
        </w:r>
        <w:r>
          <w:fldChar w:fldCharType="separate"/>
        </w:r>
        <w:r>
          <w:rPr>
            <w:noProof/>
          </w:rPr>
          <w:t>4</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42CF" w14:textId="77777777" w:rsidR="00F65654" w:rsidRDefault="00F65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659A" w14:textId="77777777" w:rsidR="00046E47" w:rsidRDefault="00046E47">
      <w:pPr>
        <w:spacing w:after="0" w:line="240" w:lineRule="auto"/>
      </w:pPr>
      <w:r>
        <w:separator/>
      </w:r>
    </w:p>
  </w:footnote>
  <w:footnote w:type="continuationSeparator" w:id="0">
    <w:p w14:paraId="00F79B48" w14:textId="77777777" w:rsidR="00046E47" w:rsidRDefault="00046E47">
      <w:pPr>
        <w:spacing w:after="0" w:line="240" w:lineRule="auto"/>
      </w:pPr>
      <w:r>
        <w:continuationSeparator/>
      </w:r>
    </w:p>
  </w:footnote>
  <w:footnote w:type="continuationNotice" w:id="1">
    <w:p w14:paraId="22ABE4B1" w14:textId="77777777" w:rsidR="00046E47" w:rsidRDefault="00046E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E0BE" w14:textId="77777777" w:rsidR="00742E7F" w:rsidRPr="00742E7F" w:rsidRDefault="00742E7F" w:rsidP="00742E7F">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E503" w14:textId="77777777" w:rsidR="00F65654" w:rsidRDefault="00F6565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6AD3" w14:textId="77777777" w:rsidR="00F65654" w:rsidRDefault="00F6565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1B45" w14:textId="77777777" w:rsidR="00F65654" w:rsidRDefault="00F6565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7FE3" w14:textId="77777777" w:rsidR="00F65654" w:rsidRDefault="00F6565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A2E4" w14:textId="77777777" w:rsidR="00F65654" w:rsidRDefault="00F6565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9C76" w14:textId="77777777" w:rsidR="00F65654" w:rsidRDefault="00F6565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DA93" w14:textId="77777777" w:rsidR="00F65654" w:rsidRDefault="00F6565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66B0" w14:textId="77777777" w:rsidR="00F65654" w:rsidRDefault="00F6565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6B07" w14:textId="77777777" w:rsidR="00F65654" w:rsidRDefault="00F6565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2436" w14:textId="77777777" w:rsidR="00F65654" w:rsidRDefault="00F65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22CF" w14:textId="77777777" w:rsidR="00742E7F" w:rsidRPr="00742E7F" w:rsidRDefault="00742E7F" w:rsidP="00742E7F">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ECFD" w14:textId="77777777" w:rsidR="00F65654" w:rsidRDefault="00F6565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997C" w14:textId="77777777" w:rsidR="00F65654" w:rsidRDefault="00F6565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3B88" w14:textId="77777777" w:rsidR="00F65654" w:rsidRDefault="00F6565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49FD" w14:textId="77777777" w:rsidR="00F65654" w:rsidRDefault="00F6565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0214" w14:textId="77777777" w:rsidR="00F65654" w:rsidRDefault="00F6565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5915" w14:textId="77777777" w:rsidR="00F65654" w:rsidRDefault="00F6565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6E59" w14:textId="77777777" w:rsidR="00F65654" w:rsidRDefault="00F6565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609B" w14:textId="77777777" w:rsidR="00F65654" w:rsidRDefault="00F6565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DDC3" w14:textId="77777777" w:rsidR="00F65654" w:rsidRDefault="00F6565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228E" w14:textId="77777777" w:rsidR="00F65654" w:rsidRDefault="00F656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C98C" w14:textId="77777777" w:rsidR="00742E7F" w:rsidRPr="00742E7F" w:rsidRDefault="00742E7F" w:rsidP="00742E7F">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CC76" w14:textId="77777777" w:rsidR="00F65654" w:rsidRDefault="00F6565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48A1" w14:textId="77777777" w:rsidR="00F65654" w:rsidRDefault="00F6565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9FEF" w14:textId="77777777" w:rsidR="00F65654" w:rsidRDefault="00F6565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F439" w14:textId="77777777" w:rsidR="00F65654" w:rsidRDefault="00F6565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7709" w14:textId="77777777" w:rsidR="00F65654" w:rsidRDefault="00F6565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B361" w14:textId="77777777" w:rsidR="00F65654" w:rsidRDefault="00F6565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1787" w14:textId="77777777" w:rsidR="00F65654" w:rsidRDefault="00F6565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1F88" w14:textId="77777777" w:rsidR="00F65654" w:rsidRDefault="00F6565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4E5C" w14:textId="77777777" w:rsidR="00F65654" w:rsidRDefault="00F65654">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6643" w14:textId="77777777" w:rsidR="00F65654" w:rsidRDefault="00F656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FE36" w14:textId="77777777" w:rsidR="00F65654" w:rsidRDefault="00F6565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64F3" w14:textId="77777777" w:rsidR="00F65654" w:rsidRDefault="00F65654">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70C5" w14:textId="77777777" w:rsidR="00F65654" w:rsidRDefault="00F65654">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63DE" w14:textId="77777777" w:rsidR="00F65654" w:rsidRDefault="00F65654">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CA3F" w14:textId="77777777" w:rsidR="00F65654" w:rsidRDefault="00F65654">
    <w:pPr>
      <w:pStyle w:val="Header"/>
    </w:pPr>
  </w:p>
  <w:p w14:paraId="0C0E1FA0" w14:textId="77777777" w:rsidR="00F65654" w:rsidRDefault="00F65654"/>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67C" w14:textId="77777777" w:rsidR="00F65654" w:rsidRDefault="00F65654">
    <w:pPr>
      <w:pStyle w:val="Header"/>
    </w:pPr>
  </w:p>
  <w:p w14:paraId="58CE0149" w14:textId="77777777" w:rsidR="00F65654" w:rsidRDefault="00F65654"/>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4E8D" w14:textId="77777777" w:rsidR="00F65654" w:rsidRDefault="00F65654">
    <w:pPr>
      <w:pStyle w:val="Header"/>
    </w:pPr>
  </w:p>
  <w:p w14:paraId="19D56D4F" w14:textId="77777777" w:rsidR="00F65654" w:rsidRDefault="00F65654"/>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3F09" w14:textId="77777777" w:rsidR="00F65654" w:rsidRDefault="00F65654">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75D5" w14:textId="77777777" w:rsidR="00F65654" w:rsidRDefault="00F65654">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CDC6" w14:textId="77777777" w:rsidR="00F65654" w:rsidRDefault="00F65654">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4124" w14:textId="77777777" w:rsidR="00F65654" w:rsidRDefault="00F656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0E48" w14:textId="77777777" w:rsidR="00F65654" w:rsidRDefault="00F65654">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CB61" w14:textId="77777777" w:rsidR="00F65654" w:rsidRDefault="00F65654">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EF8F" w14:textId="77777777" w:rsidR="00F65654" w:rsidRDefault="00F65654">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7E53" w14:textId="77777777" w:rsidR="00F65654" w:rsidRDefault="00F65654">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089C" w14:textId="77777777" w:rsidR="00F65654" w:rsidRDefault="00F65654">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F48F" w14:textId="77777777" w:rsidR="00F65654" w:rsidRDefault="00F65654">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DFE9" w14:textId="77777777" w:rsidR="00F65654" w:rsidRDefault="00F65654">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6F6D" w14:textId="77777777" w:rsidR="00F65654" w:rsidRDefault="00F65654">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68E1" w14:textId="77777777" w:rsidR="00F65654" w:rsidRDefault="00F65654">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1124" w14:textId="77777777" w:rsidR="00F65654" w:rsidRDefault="00F65654">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C435" w14:textId="77777777" w:rsidR="00F65654" w:rsidRDefault="00F656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E66A" w14:textId="77777777" w:rsidR="00F65654" w:rsidRDefault="0041081E">
    <w:pPr>
      <w:pStyle w:val="HeaderCouncil"/>
    </w:pPr>
    <w: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5F40" w14:textId="77777777" w:rsidR="00F65654" w:rsidRDefault="00F656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C330" w14:textId="77777777" w:rsidR="00F65654" w:rsidRDefault="00F656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7AB8" w14:textId="77777777" w:rsidR="00F65654" w:rsidRDefault="00F6565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7F2C" w14:textId="77777777" w:rsidR="00F65654" w:rsidRDefault="00F65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E140CA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5A6272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C20270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788A4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2A12F1"/>
    <w:multiLevelType w:val="hybridMultilevel"/>
    <w:tmpl w:val="6C52FE32"/>
    <w:lvl w:ilvl="0" w:tplc="0816001B">
      <w:start w:val="1"/>
      <w:numFmt w:val="lowerRoman"/>
      <w:lvlText w:val="%1."/>
      <w:lvlJc w:val="right"/>
      <w:pPr>
        <w:ind w:left="785" w:hanging="360"/>
      </w:pPr>
    </w:lvl>
    <w:lvl w:ilvl="1" w:tplc="08160019" w:tentative="1">
      <w:start w:val="1"/>
      <w:numFmt w:val="lowerLetter"/>
      <w:lvlText w:val="%2."/>
      <w:lvlJc w:val="left"/>
      <w:pPr>
        <w:ind w:left="1505" w:hanging="360"/>
      </w:pPr>
    </w:lvl>
    <w:lvl w:ilvl="2" w:tplc="0816001B" w:tentative="1">
      <w:start w:val="1"/>
      <w:numFmt w:val="lowerRoman"/>
      <w:lvlText w:val="%3."/>
      <w:lvlJc w:val="right"/>
      <w:pPr>
        <w:ind w:left="2225" w:hanging="180"/>
      </w:pPr>
    </w:lvl>
    <w:lvl w:ilvl="3" w:tplc="0816000F" w:tentative="1">
      <w:start w:val="1"/>
      <w:numFmt w:val="decimal"/>
      <w:lvlText w:val="%4."/>
      <w:lvlJc w:val="left"/>
      <w:pPr>
        <w:ind w:left="2945" w:hanging="360"/>
      </w:pPr>
    </w:lvl>
    <w:lvl w:ilvl="4" w:tplc="08160019" w:tentative="1">
      <w:start w:val="1"/>
      <w:numFmt w:val="lowerLetter"/>
      <w:lvlText w:val="%5."/>
      <w:lvlJc w:val="left"/>
      <w:pPr>
        <w:ind w:left="3665" w:hanging="360"/>
      </w:pPr>
    </w:lvl>
    <w:lvl w:ilvl="5" w:tplc="0816001B" w:tentative="1">
      <w:start w:val="1"/>
      <w:numFmt w:val="lowerRoman"/>
      <w:lvlText w:val="%6."/>
      <w:lvlJc w:val="right"/>
      <w:pPr>
        <w:ind w:left="4385" w:hanging="180"/>
      </w:pPr>
    </w:lvl>
    <w:lvl w:ilvl="6" w:tplc="0816000F" w:tentative="1">
      <w:start w:val="1"/>
      <w:numFmt w:val="decimal"/>
      <w:lvlText w:val="%7."/>
      <w:lvlJc w:val="left"/>
      <w:pPr>
        <w:ind w:left="5105" w:hanging="360"/>
      </w:pPr>
    </w:lvl>
    <w:lvl w:ilvl="7" w:tplc="08160019" w:tentative="1">
      <w:start w:val="1"/>
      <w:numFmt w:val="lowerLetter"/>
      <w:lvlText w:val="%8."/>
      <w:lvlJc w:val="left"/>
      <w:pPr>
        <w:ind w:left="5825" w:hanging="360"/>
      </w:pPr>
    </w:lvl>
    <w:lvl w:ilvl="8" w:tplc="0816001B" w:tentative="1">
      <w:start w:val="1"/>
      <w:numFmt w:val="lowerRoman"/>
      <w:lvlText w:val="%9."/>
      <w:lvlJc w:val="right"/>
      <w:pPr>
        <w:ind w:left="6545" w:hanging="180"/>
      </w:pPr>
    </w:lvl>
  </w:abstractNum>
  <w:abstractNum w:abstractNumId="9" w15:restartNumberingAfterBreak="0">
    <w:nsid w:val="0C386A7B"/>
    <w:multiLevelType w:val="hybridMultilevel"/>
    <w:tmpl w:val="596037B8"/>
    <w:lvl w:ilvl="0" w:tplc="080C0001">
      <w:start w:val="1"/>
      <w:numFmt w:val="bullet"/>
      <w:lvlText w:val=""/>
      <w:lvlJc w:val="left"/>
      <w:pPr>
        <w:ind w:left="1570" w:hanging="360"/>
      </w:pPr>
      <w:rPr>
        <w:rFonts w:ascii="Symbol" w:hAnsi="Symbol" w:hint="default"/>
      </w:rPr>
    </w:lvl>
    <w:lvl w:ilvl="1" w:tplc="080C0003" w:tentative="1">
      <w:start w:val="1"/>
      <w:numFmt w:val="bullet"/>
      <w:lvlText w:val="o"/>
      <w:lvlJc w:val="left"/>
      <w:pPr>
        <w:ind w:left="2290" w:hanging="360"/>
      </w:pPr>
      <w:rPr>
        <w:rFonts w:ascii="Courier New" w:hAnsi="Courier New" w:cs="Courier New" w:hint="default"/>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abstractNum w:abstractNumId="10" w15:restartNumberingAfterBreak="0">
    <w:nsid w:val="0DF93322"/>
    <w:multiLevelType w:val="hybridMultilevel"/>
    <w:tmpl w:val="F9BA07E2"/>
    <w:lvl w:ilvl="0" w:tplc="FE8CCBA4">
      <w:start w:val="1"/>
      <w:numFmt w:val="lowerRoman"/>
      <w:lvlText w:val="%1)"/>
      <w:lvlJc w:val="left"/>
      <w:pPr>
        <w:ind w:left="1690" w:hanging="720"/>
      </w:pPr>
      <w:rPr>
        <w:rFonts w:hint="default"/>
      </w:rPr>
    </w:lvl>
    <w:lvl w:ilvl="1" w:tplc="08090019" w:tentative="1">
      <w:start w:val="1"/>
      <w:numFmt w:val="lowerLetter"/>
      <w:lvlText w:val="%2."/>
      <w:lvlJc w:val="left"/>
      <w:pPr>
        <w:ind w:left="2050" w:hanging="360"/>
      </w:pPr>
    </w:lvl>
    <w:lvl w:ilvl="2" w:tplc="0809001B" w:tentative="1">
      <w:start w:val="1"/>
      <w:numFmt w:val="lowerRoman"/>
      <w:lvlText w:val="%3."/>
      <w:lvlJc w:val="right"/>
      <w:pPr>
        <w:ind w:left="2770" w:hanging="180"/>
      </w:pPr>
    </w:lvl>
    <w:lvl w:ilvl="3" w:tplc="0809000F" w:tentative="1">
      <w:start w:val="1"/>
      <w:numFmt w:val="decimal"/>
      <w:lvlText w:val="%4."/>
      <w:lvlJc w:val="left"/>
      <w:pPr>
        <w:ind w:left="3490" w:hanging="360"/>
      </w:pPr>
    </w:lvl>
    <w:lvl w:ilvl="4" w:tplc="08090019" w:tentative="1">
      <w:start w:val="1"/>
      <w:numFmt w:val="lowerLetter"/>
      <w:lvlText w:val="%5."/>
      <w:lvlJc w:val="left"/>
      <w:pPr>
        <w:ind w:left="4210" w:hanging="360"/>
      </w:pPr>
    </w:lvl>
    <w:lvl w:ilvl="5" w:tplc="0809001B" w:tentative="1">
      <w:start w:val="1"/>
      <w:numFmt w:val="lowerRoman"/>
      <w:lvlText w:val="%6."/>
      <w:lvlJc w:val="right"/>
      <w:pPr>
        <w:ind w:left="4930" w:hanging="180"/>
      </w:pPr>
    </w:lvl>
    <w:lvl w:ilvl="6" w:tplc="0809000F" w:tentative="1">
      <w:start w:val="1"/>
      <w:numFmt w:val="decimal"/>
      <w:lvlText w:val="%7."/>
      <w:lvlJc w:val="left"/>
      <w:pPr>
        <w:ind w:left="5650" w:hanging="360"/>
      </w:pPr>
    </w:lvl>
    <w:lvl w:ilvl="7" w:tplc="08090019" w:tentative="1">
      <w:start w:val="1"/>
      <w:numFmt w:val="lowerLetter"/>
      <w:lvlText w:val="%8."/>
      <w:lvlJc w:val="left"/>
      <w:pPr>
        <w:ind w:left="6370" w:hanging="360"/>
      </w:pPr>
    </w:lvl>
    <w:lvl w:ilvl="8" w:tplc="0809001B" w:tentative="1">
      <w:start w:val="1"/>
      <w:numFmt w:val="lowerRoman"/>
      <w:lvlText w:val="%9."/>
      <w:lvlJc w:val="right"/>
      <w:pPr>
        <w:ind w:left="7090" w:hanging="180"/>
      </w:pPr>
    </w:lvl>
  </w:abstractNum>
  <w:abstractNum w:abstractNumId="11" w15:restartNumberingAfterBreak="0">
    <w:nsid w:val="0EC0101F"/>
    <w:multiLevelType w:val="hybridMultilevel"/>
    <w:tmpl w:val="C8BAFCA4"/>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4F54122"/>
    <w:multiLevelType w:val="hybridMultilevel"/>
    <w:tmpl w:val="08482276"/>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1246B94"/>
    <w:multiLevelType w:val="hybridMultilevel"/>
    <w:tmpl w:val="C68EC62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8641021"/>
    <w:multiLevelType w:val="hybridMultilevel"/>
    <w:tmpl w:val="D7462E74"/>
    <w:lvl w:ilvl="0" w:tplc="A880D144">
      <w:start w:val="1"/>
      <w:numFmt w:val="upperRoman"/>
      <w:lvlText w:val="%1."/>
      <w:lvlJc w:val="right"/>
      <w:pPr>
        <w:ind w:left="720" w:hanging="360"/>
      </w:pPr>
    </w:lvl>
    <w:lvl w:ilvl="1" w:tplc="9AB81676">
      <w:start w:val="1"/>
      <w:numFmt w:val="lowerLetter"/>
      <w:lvlText w:val="%2."/>
      <w:lvlJc w:val="left"/>
      <w:pPr>
        <w:ind w:left="1440" w:hanging="360"/>
      </w:pPr>
    </w:lvl>
    <w:lvl w:ilvl="2" w:tplc="05144C48">
      <w:start w:val="1"/>
      <w:numFmt w:val="lowerRoman"/>
      <w:lvlText w:val="%3."/>
      <w:lvlJc w:val="right"/>
      <w:pPr>
        <w:ind w:left="2160" w:hanging="180"/>
      </w:pPr>
    </w:lvl>
    <w:lvl w:ilvl="3" w:tplc="DD0A662E">
      <w:start w:val="1"/>
      <w:numFmt w:val="decimal"/>
      <w:lvlText w:val="%4."/>
      <w:lvlJc w:val="left"/>
      <w:pPr>
        <w:ind w:left="2880" w:hanging="360"/>
      </w:pPr>
    </w:lvl>
    <w:lvl w:ilvl="4" w:tplc="5C663B9A">
      <w:start w:val="1"/>
      <w:numFmt w:val="lowerLetter"/>
      <w:lvlText w:val="%5."/>
      <w:lvlJc w:val="left"/>
      <w:pPr>
        <w:ind w:left="3600" w:hanging="360"/>
      </w:pPr>
    </w:lvl>
    <w:lvl w:ilvl="5" w:tplc="0A107E78">
      <w:start w:val="1"/>
      <w:numFmt w:val="lowerRoman"/>
      <w:lvlText w:val="%6."/>
      <w:lvlJc w:val="right"/>
      <w:pPr>
        <w:ind w:left="4320" w:hanging="180"/>
      </w:pPr>
    </w:lvl>
    <w:lvl w:ilvl="6" w:tplc="5E6E13B4">
      <w:start w:val="1"/>
      <w:numFmt w:val="decimal"/>
      <w:lvlText w:val="%7."/>
      <w:lvlJc w:val="left"/>
      <w:pPr>
        <w:ind w:left="5040" w:hanging="360"/>
      </w:pPr>
    </w:lvl>
    <w:lvl w:ilvl="7" w:tplc="5E0C6BF6">
      <w:start w:val="1"/>
      <w:numFmt w:val="lowerLetter"/>
      <w:lvlText w:val="%8."/>
      <w:lvlJc w:val="left"/>
      <w:pPr>
        <w:ind w:left="5760" w:hanging="360"/>
      </w:pPr>
    </w:lvl>
    <w:lvl w:ilvl="8" w:tplc="3B9ACBB2">
      <w:start w:val="1"/>
      <w:numFmt w:val="lowerRoman"/>
      <w:lvlText w:val="%9."/>
      <w:lvlJc w:val="right"/>
      <w:pPr>
        <w:ind w:left="6480" w:hanging="180"/>
      </w:pPr>
    </w:lvl>
  </w:abstractNum>
  <w:abstractNum w:abstractNumId="20" w15:restartNumberingAfterBreak="0">
    <w:nsid w:val="3D24B0AD"/>
    <w:multiLevelType w:val="hybridMultilevel"/>
    <w:tmpl w:val="1124FB98"/>
    <w:lvl w:ilvl="0" w:tplc="AEEAE87E">
      <w:start w:val="1"/>
      <w:numFmt w:val="decimal"/>
      <w:lvlText w:val="%1."/>
      <w:lvlJc w:val="left"/>
      <w:pPr>
        <w:ind w:left="720" w:hanging="360"/>
      </w:pPr>
    </w:lvl>
    <w:lvl w:ilvl="1" w:tplc="D97858EC">
      <w:start w:val="1"/>
      <w:numFmt w:val="lowerLetter"/>
      <w:lvlText w:val="%2."/>
      <w:lvlJc w:val="left"/>
      <w:pPr>
        <w:ind w:left="1440" w:hanging="360"/>
      </w:pPr>
    </w:lvl>
    <w:lvl w:ilvl="2" w:tplc="D85CDA8E">
      <w:start w:val="1"/>
      <w:numFmt w:val="lowerRoman"/>
      <w:lvlText w:val="%3."/>
      <w:lvlJc w:val="right"/>
      <w:pPr>
        <w:ind w:left="2160" w:hanging="180"/>
      </w:pPr>
    </w:lvl>
    <w:lvl w:ilvl="3" w:tplc="106C4FDA">
      <w:start w:val="1"/>
      <w:numFmt w:val="decimal"/>
      <w:lvlText w:val="%4."/>
      <w:lvlJc w:val="left"/>
      <w:pPr>
        <w:ind w:left="2880" w:hanging="360"/>
      </w:pPr>
    </w:lvl>
    <w:lvl w:ilvl="4" w:tplc="F39E9900">
      <w:start w:val="1"/>
      <w:numFmt w:val="lowerLetter"/>
      <w:lvlText w:val="%5."/>
      <w:lvlJc w:val="left"/>
      <w:pPr>
        <w:ind w:left="3600" w:hanging="360"/>
      </w:pPr>
    </w:lvl>
    <w:lvl w:ilvl="5" w:tplc="0EDC5FBA">
      <w:start w:val="1"/>
      <w:numFmt w:val="lowerRoman"/>
      <w:lvlText w:val="%6."/>
      <w:lvlJc w:val="right"/>
      <w:pPr>
        <w:ind w:left="4320" w:hanging="180"/>
      </w:pPr>
    </w:lvl>
    <w:lvl w:ilvl="6" w:tplc="CD024342">
      <w:start w:val="1"/>
      <w:numFmt w:val="decimal"/>
      <w:lvlText w:val="%7."/>
      <w:lvlJc w:val="left"/>
      <w:pPr>
        <w:ind w:left="5040" w:hanging="360"/>
      </w:pPr>
    </w:lvl>
    <w:lvl w:ilvl="7" w:tplc="9C4A6B54">
      <w:start w:val="1"/>
      <w:numFmt w:val="lowerLetter"/>
      <w:lvlText w:val="%8."/>
      <w:lvlJc w:val="left"/>
      <w:pPr>
        <w:ind w:left="5760" w:hanging="360"/>
      </w:pPr>
    </w:lvl>
    <w:lvl w:ilvl="8" w:tplc="10260924">
      <w:start w:val="1"/>
      <w:numFmt w:val="lowerRoman"/>
      <w:lvlText w:val="%9."/>
      <w:lvlJc w:val="right"/>
      <w:pPr>
        <w:ind w:left="6480" w:hanging="180"/>
      </w:pPr>
    </w:lvl>
  </w:abstractNum>
  <w:abstractNum w:abstractNumId="21" w15:restartNumberingAfterBreak="0">
    <w:nsid w:val="3F027913"/>
    <w:multiLevelType w:val="hybridMultilevel"/>
    <w:tmpl w:val="C48CBBF0"/>
    <w:lvl w:ilvl="0" w:tplc="C0B097DE">
      <w:start w:val="1"/>
      <w:numFmt w:val="low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15:restartNumberingAfterBreak="0">
    <w:nsid w:val="43D92DA1"/>
    <w:multiLevelType w:val="hybridMultilevel"/>
    <w:tmpl w:val="7BCCCEDA"/>
    <w:lvl w:ilvl="0" w:tplc="AF84DA86">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475F4459"/>
    <w:multiLevelType w:val="hybridMultilevel"/>
    <w:tmpl w:val="7F5446C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DABB2CE"/>
    <w:multiLevelType w:val="hybridMultilevel"/>
    <w:tmpl w:val="4B821F18"/>
    <w:lvl w:ilvl="0" w:tplc="3B0C9800">
      <w:start w:val="1"/>
      <w:numFmt w:val="bullet"/>
      <w:lvlText w:val="-"/>
      <w:lvlJc w:val="left"/>
      <w:pPr>
        <w:ind w:left="720" w:hanging="360"/>
      </w:pPr>
      <w:rPr>
        <w:rFonts w:ascii="Calibri" w:hAnsi="Calibri" w:hint="default"/>
      </w:rPr>
    </w:lvl>
    <w:lvl w:ilvl="1" w:tplc="DAEC2246">
      <w:start w:val="1"/>
      <w:numFmt w:val="bullet"/>
      <w:lvlText w:val="o"/>
      <w:lvlJc w:val="left"/>
      <w:pPr>
        <w:ind w:left="1440" w:hanging="360"/>
      </w:pPr>
      <w:rPr>
        <w:rFonts w:ascii="Courier New" w:hAnsi="Courier New" w:hint="default"/>
      </w:rPr>
    </w:lvl>
    <w:lvl w:ilvl="2" w:tplc="3EFCB176">
      <w:start w:val="1"/>
      <w:numFmt w:val="bullet"/>
      <w:lvlText w:val=""/>
      <w:lvlJc w:val="left"/>
      <w:pPr>
        <w:ind w:left="2160" w:hanging="360"/>
      </w:pPr>
      <w:rPr>
        <w:rFonts w:ascii="Wingdings" w:hAnsi="Wingdings" w:hint="default"/>
      </w:rPr>
    </w:lvl>
    <w:lvl w:ilvl="3" w:tplc="7A3A6C48">
      <w:start w:val="1"/>
      <w:numFmt w:val="bullet"/>
      <w:lvlText w:val=""/>
      <w:lvlJc w:val="left"/>
      <w:pPr>
        <w:ind w:left="2880" w:hanging="360"/>
      </w:pPr>
      <w:rPr>
        <w:rFonts w:ascii="Symbol" w:hAnsi="Symbol" w:hint="default"/>
      </w:rPr>
    </w:lvl>
    <w:lvl w:ilvl="4" w:tplc="6144D90A">
      <w:start w:val="1"/>
      <w:numFmt w:val="bullet"/>
      <w:lvlText w:val="o"/>
      <w:lvlJc w:val="left"/>
      <w:pPr>
        <w:ind w:left="3600" w:hanging="360"/>
      </w:pPr>
      <w:rPr>
        <w:rFonts w:ascii="Courier New" w:hAnsi="Courier New" w:hint="default"/>
      </w:rPr>
    </w:lvl>
    <w:lvl w:ilvl="5" w:tplc="CDE43D46">
      <w:start w:val="1"/>
      <w:numFmt w:val="bullet"/>
      <w:lvlText w:val=""/>
      <w:lvlJc w:val="left"/>
      <w:pPr>
        <w:ind w:left="4320" w:hanging="360"/>
      </w:pPr>
      <w:rPr>
        <w:rFonts w:ascii="Wingdings" w:hAnsi="Wingdings" w:hint="default"/>
      </w:rPr>
    </w:lvl>
    <w:lvl w:ilvl="6" w:tplc="27240D60">
      <w:start w:val="1"/>
      <w:numFmt w:val="bullet"/>
      <w:lvlText w:val=""/>
      <w:lvlJc w:val="left"/>
      <w:pPr>
        <w:ind w:left="5040" w:hanging="360"/>
      </w:pPr>
      <w:rPr>
        <w:rFonts w:ascii="Symbol" w:hAnsi="Symbol" w:hint="default"/>
      </w:rPr>
    </w:lvl>
    <w:lvl w:ilvl="7" w:tplc="5C06CCAA">
      <w:start w:val="1"/>
      <w:numFmt w:val="bullet"/>
      <w:lvlText w:val="o"/>
      <w:lvlJc w:val="left"/>
      <w:pPr>
        <w:ind w:left="5760" w:hanging="360"/>
      </w:pPr>
      <w:rPr>
        <w:rFonts w:ascii="Courier New" w:hAnsi="Courier New" w:hint="default"/>
      </w:rPr>
    </w:lvl>
    <w:lvl w:ilvl="8" w:tplc="4444427C">
      <w:start w:val="1"/>
      <w:numFmt w:val="bullet"/>
      <w:lvlText w:val=""/>
      <w:lvlJc w:val="left"/>
      <w:pPr>
        <w:ind w:left="6480" w:hanging="360"/>
      </w:pPr>
      <w:rPr>
        <w:rFonts w:ascii="Wingdings" w:hAnsi="Wingdings" w:hint="default"/>
      </w:rPr>
    </w:lvl>
  </w:abstractNum>
  <w:abstractNum w:abstractNumId="28" w15:restartNumberingAfterBreak="0">
    <w:nsid w:val="5137E584"/>
    <w:multiLevelType w:val="hybridMultilevel"/>
    <w:tmpl w:val="0D70020E"/>
    <w:lvl w:ilvl="0" w:tplc="2FC86C94">
      <w:start w:val="1"/>
      <w:numFmt w:val="upperRoman"/>
      <w:lvlText w:val="%1."/>
      <w:lvlJc w:val="left"/>
      <w:pPr>
        <w:ind w:left="720" w:hanging="360"/>
      </w:pPr>
    </w:lvl>
    <w:lvl w:ilvl="1" w:tplc="C4E40980">
      <w:start w:val="1"/>
      <w:numFmt w:val="lowerLetter"/>
      <w:lvlText w:val="%2."/>
      <w:lvlJc w:val="left"/>
      <w:pPr>
        <w:ind w:left="1440" w:hanging="360"/>
      </w:pPr>
    </w:lvl>
    <w:lvl w:ilvl="2" w:tplc="E7D6B9FC">
      <w:start w:val="1"/>
      <w:numFmt w:val="lowerRoman"/>
      <w:lvlText w:val="%3."/>
      <w:lvlJc w:val="right"/>
      <w:pPr>
        <w:ind w:left="2160" w:hanging="180"/>
      </w:pPr>
    </w:lvl>
    <w:lvl w:ilvl="3" w:tplc="A5183736">
      <w:start w:val="1"/>
      <w:numFmt w:val="decimal"/>
      <w:lvlText w:val="%4."/>
      <w:lvlJc w:val="left"/>
      <w:pPr>
        <w:ind w:left="2880" w:hanging="360"/>
      </w:pPr>
    </w:lvl>
    <w:lvl w:ilvl="4" w:tplc="9E080182">
      <w:start w:val="1"/>
      <w:numFmt w:val="lowerLetter"/>
      <w:lvlText w:val="%5."/>
      <w:lvlJc w:val="left"/>
      <w:pPr>
        <w:ind w:left="3600" w:hanging="360"/>
      </w:pPr>
    </w:lvl>
    <w:lvl w:ilvl="5" w:tplc="29CA89A0">
      <w:start w:val="1"/>
      <w:numFmt w:val="lowerRoman"/>
      <w:lvlText w:val="%6."/>
      <w:lvlJc w:val="right"/>
      <w:pPr>
        <w:ind w:left="4320" w:hanging="180"/>
      </w:pPr>
    </w:lvl>
    <w:lvl w:ilvl="6" w:tplc="5A04A216">
      <w:start w:val="1"/>
      <w:numFmt w:val="decimal"/>
      <w:lvlText w:val="%7."/>
      <w:lvlJc w:val="left"/>
      <w:pPr>
        <w:ind w:left="5040" w:hanging="360"/>
      </w:pPr>
    </w:lvl>
    <w:lvl w:ilvl="7" w:tplc="C5CE1E04">
      <w:start w:val="1"/>
      <w:numFmt w:val="lowerLetter"/>
      <w:lvlText w:val="%8."/>
      <w:lvlJc w:val="left"/>
      <w:pPr>
        <w:ind w:left="5760" w:hanging="360"/>
      </w:pPr>
    </w:lvl>
    <w:lvl w:ilvl="8" w:tplc="FFE22BA2">
      <w:start w:val="1"/>
      <w:numFmt w:val="lowerRoman"/>
      <w:lvlText w:val="%9."/>
      <w:lvlJc w:val="right"/>
      <w:pPr>
        <w:ind w:left="6480" w:hanging="180"/>
      </w:pPr>
    </w:lvl>
  </w:abstractNum>
  <w:abstractNum w:abstractNumId="2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15:restartNumberingAfterBreak="0">
    <w:nsid w:val="55F448D0"/>
    <w:multiLevelType w:val="hybridMultilevel"/>
    <w:tmpl w:val="2ADA3C0E"/>
    <w:lvl w:ilvl="0" w:tplc="AF84DA86">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15:restartNumberingAfterBreak="0">
    <w:nsid w:val="5BA2130F"/>
    <w:multiLevelType w:val="hybridMultilevel"/>
    <w:tmpl w:val="5732ADA4"/>
    <w:lvl w:ilvl="0" w:tplc="09C66552">
      <w:start w:val="1"/>
      <w:numFmt w:val="lowerLetter"/>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F575A64"/>
    <w:multiLevelType w:val="hybridMultilevel"/>
    <w:tmpl w:val="55CAB2F6"/>
    <w:lvl w:ilvl="0" w:tplc="88D4B47A">
      <w:start w:val="1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D049FA"/>
    <w:multiLevelType w:val="hybridMultilevel"/>
    <w:tmpl w:val="90905A06"/>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15:restartNumberingAfterBreak="0">
    <w:nsid w:val="67FB4E1A"/>
    <w:multiLevelType w:val="hybridMultilevel"/>
    <w:tmpl w:val="FA505F5E"/>
    <w:lvl w:ilvl="0" w:tplc="08090013">
      <w:start w:val="1"/>
      <w:numFmt w:val="upperRoman"/>
      <w:lvlText w:val="%1."/>
      <w:lvlJc w:val="righ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40" w15:restartNumberingAfterBreak="0">
    <w:nsid w:val="6A3B33B1"/>
    <w:multiLevelType w:val="hybridMultilevel"/>
    <w:tmpl w:val="81FAD0D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A7E379B"/>
    <w:multiLevelType w:val="hybridMultilevel"/>
    <w:tmpl w:val="10364D80"/>
    <w:lvl w:ilvl="0" w:tplc="AF84DA86">
      <w:start w:val="1"/>
      <w:numFmt w:val="bullet"/>
      <w:lvlText w:val="-"/>
      <w:lvlJc w:val="left"/>
      <w:pPr>
        <w:ind w:left="720" w:hanging="360"/>
      </w:pPr>
      <w:rPr>
        <w:rFonts w:ascii="Calibri" w:hAnsi="Calibri" w:hint="default"/>
      </w:rPr>
    </w:lvl>
    <w:lvl w:ilvl="1" w:tplc="E81E4E92">
      <w:start w:val="1"/>
      <w:numFmt w:val="bullet"/>
      <w:lvlText w:val="o"/>
      <w:lvlJc w:val="left"/>
      <w:pPr>
        <w:ind w:left="1440" w:hanging="360"/>
      </w:pPr>
      <w:rPr>
        <w:rFonts w:ascii="Courier New" w:hAnsi="Courier New" w:hint="default"/>
      </w:rPr>
    </w:lvl>
    <w:lvl w:ilvl="2" w:tplc="9984F2C6">
      <w:start w:val="1"/>
      <w:numFmt w:val="bullet"/>
      <w:lvlText w:val=""/>
      <w:lvlJc w:val="left"/>
      <w:pPr>
        <w:ind w:left="2160" w:hanging="360"/>
      </w:pPr>
      <w:rPr>
        <w:rFonts w:ascii="Wingdings" w:hAnsi="Wingdings" w:hint="default"/>
      </w:rPr>
    </w:lvl>
    <w:lvl w:ilvl="3" w:tplc="1D0E134C">
      <w:start w:val="1"/>
      <w:numFmt w:val="bullet"/>
      <w:lvlText w:val=""/>
      <w:lvlJc w:val="left"/>
      <w:pPr>
        <w:ind w:left="2880" w:hanging="360"/>
      </w:pPr>
      <w:rPr>
        <w:rFonts w:ascii="Symbol" w:hAnsi="Symbol" w:hint="default"/>
      </w:rPr>
    </w:lvl>
    <w:lvl w:ilvl="4" w:tplc="CC58F780">
      <w:start w:val="1"/>
      <w:numFmt w:val="bullet"/>
      <w:lvlText w:val="o"/>
      <w:lvlJc w:val="left"/>
      <w:pPr>
        <w:ind w:left="3600" w:hanging="360"/>
      </w:pPr>
      <w:rPr>
        <w:rFonts w:ascii="Courier New" w:hAnsi="Courier New" w:hint="default"/>
      </w:rPr>
    </w:lvl>
    <w:lvl w:ilvl="5" w:tplc="A4BC6446">
      <w:start w:val="1"/>
      <w:numFmt w:val="bullet"/>
      <w:lvlText w:val=""/>
      <w:lvlJc w:val="left"/>
      <w:pPr>
        <w:ind w:left="4320" w:hanging="360"/>
      </w:pPr>
      <w:rPr>
        <w:rFonts w:ascii="Wingdings" w:hAnsi="Wingdings" w:hint="default"/>
      </w:rPr>
    </w:lvl>
    <w:lvl w:ilvl="6" w:tplc="6D8E5D3C">
      <w:start w:val="1"/>
      <w:numFmt w:val="bullet"/>
      <w:lvlText w:val=""/>
      <w:lvlJc w:val="left"/>
      <w:pPr>
        <w:ind w:left="5040" w:hanging="360"/>
      </w:pPr>
      <w:rPr>
        <w:rFonts w:ascii="Symbol" w:hAnsi="Symbol" w:hint="default"/>
      </w:rPr>
    </w:lvl>
    <w:lvl w:ilvl="7" w:tplc="40406280">
      <w:start w:val="1"/>
      <w:numFmt w:val="bullet"/>
      <w:lvlText w:val="o"/>
      <w:lvlJc w:val="left"/>
      <w:pPr>
        <w:ind w:left="5760" w:hanging="360"/>
      </w:pPr>
      <w:rPr>
        <w:rFonts w:ascii="Courier New" w:hAnsi="Courier New" w:hint="default"/>
      </w:rPr>
    </w:lvl>
    <w:lvl w:ilvl="8" w:tplc="5FC6C90E">
      <w:start w:val="1"/>
      <w:numFmt w:val="bullet"/>
      <w:lvlText w:val=""/>
      <w:lvlJc w:val="left"/>
      <w:pPr>
        <w:ind w:left="6480" w:hanging="360"/>
      </w:pPr>
      <w:rPr>
        <w:rFonts w:ascii="Wingdings" w:hAnsi="Wingdings" w:hint="default"/>
      </w:rPr>
    </w:lvl>
  </w:abstractNum>
  <w:abstractNum w:abstractNumId="42" w15:restartNumberingAfterBreak="0">
    <w:nsid w:val="6C068ED6"/>
    <w:multiLevelType w:val="hybridMultilevel"/>
    <w:tmpl w:val="420AF0C6"/>
    <w:lvl w:ilvl="0" w:tplc="7E1A4308">
      <w:start w:val="1"/>
      <w:numFmt w:val="decimal"/>
      <w:lvlText w:val="%1."/>
      <w:lvlJc w:val="left"/>
      <w:pPr>
        <w:ind w:left="720" w:hanging="360"/>
      </w:pPr>
    </w:lvl>
    <w:lvl w:ilvl="1" w:tplc="DB062114">
      <w:start w:val="1"/>
      <w:numFmt w:val="lowerLetter"/>
      <w:lvlText w:val="%2."/>
      <w:lvlJc w:val="left"/>
      <w:pPr>
        <w:ind w:left="1440" w:hanging="360"/>
      </w:pPr>
    </w:lvl>
    <w:lvl w:ilvl="2" w:tplc="601810CA">
      <w:start w:val="1"/>
      <w:numFmt w:val="lowerRoman"/>
      <w:lvlText w:val="%3."/>
      <w:lvlJc w:val="right"/>
      <w:pPr>
        <w:ind w:left="2160" w:hanging="180"/>
      </w:pPr>
    </w:lvl>
    <w:lvl w:ilvl="3" w:tplc="912A9CC0">
      <w:start w:val="1"/>
      <w:numFmt w:val="decimal"/>
      <w:lvlText w:val="%4."/>
      <w:lvlJc w:val="left"/>
      <w:pPr>
        <w:ind w:left="2880" w:hanging="360"/>
      </w:pPr>
    </w:lvl>
    <w:lvl w:ilvl="4" w:tplc="192E72E8">
      <w:start w:val="1"/>
      <w:numFmt w:val="lowerLetter"/>
      <w:lvlText w:val="%5."/>
      <w:lvlJc w:val="left"/>
      <w:pPr>
        <w:ind w:left="3600" w:hanging="360"/>
      </w:pPr>
    </w:lvl>
    <w:lvl w:ilvl="5" w:tplc="B61E107A">
      <w:start w:val="1"/>
      <w:numFmt w:val="lowerRoman"/>
      <w:lvlText w:val="%6."/>
      <w:lvlJc w:val="right"/>
      <w:pPr>
        <w:ind w:left="4320" w:hanging="180"/>
      </w:pPr>
    </w:lvl>
    <w:lvl w:ilvl="6" w:tplc="90EC27B6">
      <w:start w:val="1"/>
      <w:numFmt w:val="decimal"/>
      <w:lvlText w:val="%7."/>
      <w:lvlJc w:val="left"/>
      <w:pPr>
        <w:ind w:left="5040" w:hanging="360"/>
      </w:pPr>
    </w:lvl>
    <w:lvl w:ilvl="7" w:tplc="B3C89640">
      <w:start w:val="1"/>
      <w:numFmt w:val="lowerLetter"/>
      <w:lvlText w:val="%8."/>
      <w:lvlJc w:val="left"/>
      <w:pPr>
        <w:ind w:left="5760" w:hanging="360"/>
      </w:pPr>
    </w:lvl>
    <w:lvl w:ilvl="8" w:tplc="C19E64F0">
      <w:start w:val="1"/>
      <w:numFmt w:val="lowerRoman"/>
      <w:lvlText w:val="%9."/>
      <w:lvlJc w:val="right"/>
      <w:pPr>
        <w:ind w:left="6480" w:hanging="180"/>
      </w:pPr>
    </w:lvl>
  </w:abstractNum>
  <w:abstractNum w:abstractNumId="43" w15:restartNumberingAfterBreak="0">
    <w:nsid w:val="747F7A0F"/>
    <w:multiLevelType w:val="hybridMultilevel"/>
    <w:tmpl w:val="4A642CB2"/>
    <w:lvl w:ilvl="0" w:tplc="F4B8C746">
      <w:start w:val="1"/>
      <w:numFmt w:val="bullet"/>
      <w:lvlText w:val="-"/>
      <w:lvlJc w:val="left"/>
      <w:pPr>
        <w:ind w:left="720" w:hanging="360"/>
      </w:pPr>
      <w:rPr>
        <w:rFonts w:ascii="Calibri" w:hAnsi="Calibri" w:hint="default"/>
      </w:rPr>
    </w:lvl>
    <w:lvl w:ilvl="1" w:tplc="57720598">
      <w:start w:val="1"/>
      <w:numFmt w:val="bullet"/>
      <w:lvlText w:val="o"/>
      <w:lvlJc w:val="left"/>
      <w:pPr>
        <w:ind w:left="1440" w:hanging="360"/>
      </w:pPr>
      <w:rPr>
        <w:rFonts w:ascii="Courier New" w:hAnsi="Courier New" w:hint="default"/>
      </w:rPr>
    </w:lvl>
    <w:lvl w:ilvl="2" w:tplc="FD30BDCA">
      <w:start w:val="1"/>
      <w:numFmt w:val="bullet"/>
      <w:lvlText w:val=""/>
      <w:lvlJc w:val="left"/>
      <w:pPr>
        <w:ind w:left="2160" w:hanging="360"/>
      </w:pPr>
      <w:rPr>
        <w:rFonts w:ascii="Wingdings" w:hAnsi="Wingdings" w:hint="default"/>
      </w:rPr>
    </w:lvl>
    <w:lvl w:ilvl="3" w:tplc="6A3E2466">
      <w:start w:val="1"/>
      <w:numFmt w:val="bullet"/>
      <w:lvlText w:val=""/>
      <w:lvlJc w:val="left"/>
      <w:pPr>
        <w:ind w:left="2880" w:hanging="360"/>
      </w:pPr>
      <w:rPr>
        <w:rFonts w:ascii="Symbol" w:hAnsi="Symbol" w:hint="default"/>
      </w:rPr>
    </w:lvl>
    <w:lvl w:ilvl="4" w:tplc="C8281B5E">
      <w:start w:val="1"/>
      <w:numFmt w:val="bullet"/>
      <w:lvlText w:val="o"/>
      <w:lvlJc w:val="left"/>
      <w:pPr>
        <w:ind w:left="3600" w:hanging="360"/>
      </w:pPr>
      <w:rPr>
        <w:rFonts w:ascii="Courier New" w:hAnsi="Courier New" w:hint="default"/>
      </w:rPr>
    </w:lvl>
    <w:lvl w:ilvl="5" w:tplc="6BC00F5E">
      <w:start w:val="1"/>
      <w:numFmt w:val="bullet"/>
      <w:lvlText w:val=""/>
      <w:lvlJc w:val="left"/>
      <w:pPr>
        <w:ind w:left="4320" w:hanging="360"/>
      </w:pPr>
      <w:rPr>
        <w:rFonts w:ascii="Wingdings" w:hAnsi="Wingdings" w:hint="default"/>
      </w:rPr>
    </w:lvl>
    <w:lvl w:ilvl="6" w:tplc="E79496FC">
      <w:start w:val="1"/>
      <w:numFmt w:val="bullet"/>
      <w:lvlText w:val=""/>
      <w:lvlJc w:val="left"/>
      <w:pPr>
        <w:ind w:left="5040" w:hanging="360"/>
      </w:pPr>
      <w:rPr>
        <w:rFonts w:ascii="Symbol" w:hAnsi="Symbol" w:hint="default"/>
      </w:rPr>
    </w:lvl>
    <w:lvl w:ilvl="7" w:tplc="BCE42162">
      <w:start w:val="1"/>
      <w:numFmt w:val="bullet"/>
      <w:lvlText w:val="o"/>
      <w:lvlJc w:val="left"/>
      <w:pPr>
        <w:ind w:left="5760" w:hanging="360"/>
      </w:pPr>
      <w:rPr>
        <w:rFonts w:ascii="Courier New" w:hAnsi="Courier New" w:hint="default"/>
      </w:rPr>
    </w:lvl>
    <w:lvl w:ilvl="8" w:tplc="08CE3238">
      <w:start w:val="1"/>
      <w:numFmt w:val="bullet"/>
      <w:lvlText w:val=""/>
      <w:lvlJc w:val="left"/>
      <w:pPr>
        <w:ind w:left="6480" w:hanging="360"/>
      </w:pPr>
      <w:rPr>
        <w:rFonts w:ascii="Wingdings" w:hAnsi="Wingdings" w:hint="default"/>
      </w:rPr>
    </w:lvl>
  </w:abstractNum>
  <w:abstractNum w:abstractNumId="44" w15:restartNumberingAfterBreak="0">
    <w:nsid w:val="797E1973"/>
    <w:multiLevelType w:val="hybridMultilevel"/>
    <w:tmpl w:val="CF6CE6E2"/>
    <w:lvl w:ilvl="0" w:tplc="AF84DA8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556209331">
    <w:abstractNumId w:val="7"/>
  </w:num>
  <w:num w:numId="2" w16cid:durableId="1907884501">
    <w:abstractNumId w:val="5"/>
  </w:num>
  <w:num w:numId="3" w16cid:durableId="1631519174">
    <w:abstractNumId w:val="4"/>
  </w:num>
  <w:num w:numId="4" w16cid:durableId="860750205">
    <w:abstractNumId w:val="3"/>
  </w:num>
  <w:num w:numId="5" w16cid:durableId="762883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412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0400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4887755">
    <w:abstractNumId w:val="6"/>
  </w:num>
  <w:num w:numId="9" w16cid:durableId="2071224708">
    <w:abstractNumId w:val="2"/>
  </w:num>
  <w:num w:numId="10" w16cid:durableId="1280262724">
    <w:abstractNumId w:val="1"/>
  </w:num>
  <w:num w:numId="11" w16cid:durableId="325135915">
    <w:abstractNumId w:val="0"/>
  </w:num>
  <w:num w:numId="12" w16cid:durableId="819082732">
    <w:abstractNumId w:val="34"/>
  </w:num>
  <w:num w:numId="13" w16cid:durableId="1210220298">
    <w:abstractNumId w:val="22"/>
  </w:num>
  <w:num w:numId="14" w16cid:durableId="925920882">
    <w:abstractNumId w:val="38"/>
  </w:num>
  <w:num w:numId="15" w16cid:durableId="14426787">
    <w:abstractNumId w:val="16"/>
  </w:num>
  <w:num w:numId="16" w16cid:durableId="2097554852">
    <w:abstractNumId w:val="23"/>
  </w:num>
  <w:num w:numId="17" w16cid:durableId="919218823">
    <w:abstractNumId w:val="14"/>
  </w:num>
  <w:num w:numId="18" w16cid:durableId="1394884836">
    <w:abstractNumId w:val="37"/>
  </w:num>
  <w:num w:numId="19" w16cid:durableId="1105272113">
    <w:abstractNumId w:val="13"/>
  </w:num>
  <w:num w:numId="20" w16cid:durableId="315914134">
    <w:abstractNumId w:val="25"/>
  </w:num>
  <w:num w:numId="21" w16cid:durableId="266816590">
    <w:abstractNumId w:val="31"/>
  </w:num>
  <w:num w:numId="22" w16cid:durableId="1988633371">
    <w:abstractNumId w:val="33"/>
  </w:num>
  <w:num w:numId="23" w16cid:durableId="317422279">
    <w:abstractNumId w:val="15"/>
  </w:num>
  <w:num w:numId="24" w16cid:durableId="1371415926">
    <w:abstractNumId w:val="29"/>
  </w:num>
  <w:num w:numId="25" w16cid:durableId="1562715047">
    <w:abstractNumId w:val="45"/>
  </w:num>
  <w:num w:numId="26" w16cid:durableId="1805074002">
    <w:abstractNumId w:val="17"/>
  </w:num>
  <w:num w:numId="27" w16cid:durableId="1529836316">
    <w:abstractNumId w:val="39"/>
  </w:num>
  <w:num w:numId="28" w16cid:durableId="1134372367">
    <w:abstractNumId w:val="21"/>
  </w:num>
  <w:num w:numId="29" w16cid:durableId="124087117">
    <w:abstractNumId w:val="9"/>
  </w:num>
  <w:num w:numId="30" w16cid:durableId="1186867123">
    <w:abstractNumId w:val="8"/>
  </w:num>
  <w:num w:numId="31" w16cid:durableId="1713312091">
    <w:abstractNumId w:val="35"/>
  </w:num>
  <w:num w:numId="32" w16cid:durableId="1155532269">
    <w:abstractNumId w:val="10"/>
  </w:num>
  <w:num w:numId="33" w16cid:durableId="1439982970">
    <w:abstractNumId w:val="36"/>
  </w:num>
  <w:num w:numId="34" w16cid:durableId="605202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6313019">
    <w:abstractNumId w:val="19"/>
  </w:num>
  <w:num w:numId="36" w16cid:durableId="1506439946">
    <w:abstractNumId w:val="28"/>
  </w:num>
  <w:num w:numId="37" w16cid:durableId="1017972829">
    <w:abstractNumId w:val="41"/>
  </w:num>
  <w:num w:numId="38" w16cid:durableId="251008236">
    <w:abstractNumId w:val="20"/>
  </w:num>
  <w:num w:numId="39" w16cid:durableId="1752388396">
    <w:abstractNumId w:val="43"/>
  </w:num>
  <w:num w:numId="40" w16cid:durableId="1014694361">
    <w:abstractNumId w:val="27"/>
  </w:num>
  <w:num w:numId="41" w16cid:durableId="1821071324">
    <w:abstractNumId w:val="42"/>
  </w:num>
  <w:num w:numId="42" w16cid:durableId="1923568180">
    <w:abstractNumId w:val="32"/>
  </w:num>
  <w:num w:numId="43" w16cid:durableId="1720015794">
    <w:abstractNumId w:val="18"/>
  </w:num>
  <w:num w:numId="44" w16cid:durableId="1168135785">
    <w:abstractNumId w:val="30"/>
  </w:num>
  <w:num w:numId="45" w16cid:durableId="1140610481">
    <w:abstractNumId w:val="24"/>
  </w:num>
  <w:num w:numId="46" w16cid:durableId="286281248">
    <w:abstractNumId w:val="11"/>
  </w:num>
  <w:num w:numId="47" w16cid:durableId="1694189151">
    <w:abstractNumId w:val="44"/>
  </w:num>
  <w:num w:numId="48" w16cid:durableId="89668904">
    <w:abstractNumId w:val="26"/>
  </w:num>
  <w:num w:numId="49" w16cid:durableId="1302267750">
    <w:abstractNumId w:val="12"/>
  </w:num>
  <w:num w:numId="50" w16cid:durableId="58985105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hideSpellingErrors/>
  <w:hideGrammaticalErrors/>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cil" w:val="true"/>
    <w:docVar w:name="CoverPageOnWordDoc" w:val="true"/>
    <w:docVar w:name="DocStatus" w:val="Green"/>
    <w:docVar w:name="DocuWriteMetaData" w:val="&lt;metadataset docuwriteversion=&quot;4.5.2&quot; technicalblockguid=&quot;470700057229717467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1-07-06&lt;/text&gt;_x000d__x000a_  &lt;/metadata&gt;_x000d__x000a_  &lt;metadata key=&quot;md_Prefix&quot;&gt;_x000d__x000a_    &lt;text&gt;&lt;/text&gt;_x000d__x000a_  &lt;/metadata&gt;_x000d__x000a_  &lt;metadata key=&quot;md_DocumentNumber&quot;&gt;_x000d__x000a_    &lt;text&gt;10154&lt;/text&gt;_x000d__x000a_  &lt;/metadata&gt;_x000d__x000a_  &lt;metadata key=&quot;md_YearDocumentNumber&quot;&gt;_x000d__x000a_    &lt;text&gt;2021&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COFIN 639&lt;/text&gt;_x000d__x000a_      &lt;text&gt;CADREFIN 334&lt;/text&gt;_x000d__x000a_      &lt;text&gt;UEM 174&lt;/text&gt;_x000d__x000a_      &lt;text&gt;FIN 51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1/0158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ANNEX to the Council Implementing Decision on the approval of the assessment of the recovery and resilience plan for Denmark&quot;&gt;&amp;lt;FlowDocument FontFamily=&quot;Segoe UI&quot; FontSize=&quot;12&quot; LineHeight=&quot;6&quot; PageWidth=&quot;329&quot; PagePadding=&quot;2,2,2,2&quot; AllowDrop=&quot;False&quot; xmlns=&quot;http://schemas.microsoft.com/winfx/2006/xaml/presentation&quot;&amp;gt;&amp;lt;Paragraph&amp;gt;ANNEX to the Council Implementing Decision on the approval of the assessment of the recovery and resilience plan for &amp;lt;Run xml:lang=&quot;fr-be&quot;&amp;gt;Denmark&amp;lt;/Run&amp;gt;&amp;lt;/Paragraph&amp;gt;&amp;lt;/FlowDocument&amp;gt;&lt;/xaml&gt;_x000d__x000a_  &lt;/metadata&gt;_x000d__x000a_  &lt;metadata key=&quot;md_SubjectFootnote&quot; /&gt;_x000d__x000a_  &lt;metadata key=&quot;md_DG&quot;&gt;_x000d__x000a_    &lt;text&gt;ECOMP 1A&lt;/text&gt;_x000d__x000a_  &lt;/metadata&gt;_x000d__x000a_  &lt;metadata key=&quot;md_Initials&quot;&gt;_x000d__x000a_    &lt;text&gt;FDC/sr&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1&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Normal"/>
    <w:docVar w:name="LW_ACCOMPAGNANT.CP" w:val="k"/>
    <w:docVar w:name="LW_ANNEX_NBR_FIRST" w:val="1"/>
    <w:docVar w:name="LW_ANNEX_NBR_LAST" w:val="1"/>
    <w:docVar w:name="LW_ANNEX_UNIQUE" w:val="1"/>
    <w:docVar w:name="LW_CORRIGENDUM" w:val="&lt;UNUSED&gt;"/>
    <w:docVar w:name="LW_COVERPAGE_EXISTS" w:val="True"/>
    <w:docVar w:name="LW_COVERPAGE_GUID" w:val="36AE8645-21B3-4D5E-9F22-45717219B6DC"/>
    <w:docVar w:name="LW_COVERPAGE_TYPE" w:val="1"/>
    <w:docVar w:name="LW_CROSSREFERENCE" w:val="{SWD(2023) 343 final}"/>
    <w:docVar w:name="LW_DocType" w:val="NORMAL"/>
    <w:docVar w:name="LW_EMISSION" w:val="19. 10. 2023"/>
    <w:docVar w:name="LW_EMISSION_ISODATE" w:val="2023-10-19"/>
    <w:docVar w:name="LW_EMISSION_LOCATION" w:val="BRX"/>
    <w:docVar w:name="LW_EMISSION_PREFIX" w:val="V Bruseli"/>
    <w:docVar w:name="LW_EMISSION_SUFFIX" w:val=" "/>
    <w:docVar w:name="LW_ID_DOCTYPE_NONLW" w:val="CP-036"/>
    <w:docVar w:name="LW_LANGUE" w:val="SK"/>
    <w:docVar w:name="LW_LEVEL_OF_SENSITIVITY" w:val="Standard treatment"/>
    <w:docVar w:name="LW_NOM.INST" w:val="EURÓPSKA KOMISIA"/>
    <w:docVar w:name="LW_NOM.INST_JOINTDOC" w:val="&lt;EMPTY&gt;"/>
    <w:docVar w:name="LW_OBJETACTEPRINCIPAL.CP" w:val="ktorým sa mení vykonávacie rozhodnutie (EÚ) (ST 10154/21 INIT; ST 10154/21 ADD 1) z 13. júla 2021 o schválení posúdenia plánu obnovy a odolnosti Dánska"/>
    <w:docVar w:name="LW_PART_NBR" w:val="1"/>
    <w:docVar w:name="LW_PART_NBR_TOTAL" w:val="1"/>
    <w:docVar w:name="LW_REF.INST.NEW" w:val="COM"/>
    <w:docVar w:name="LW_REF.INST.NEW_ADOPTED" w:val="final"/>
    <w:docVar w:name="LW_REF.INST.NEW_TEXT" w:val="(2023) 67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ÍLOHA_x000b_"/>
    <w:docVar w:name="LW_TYPEACTEPRINCIPAL.CP" w:val="Návrhu VYKONÁVACIEHO ROZHODNUTIA RADY,"/>
    <w:docVar w:name="LwApiVersions" w:val="LW4CoDe 1.23.2.0; LW 8.0, Build 20211117"/>
  </w:docVars>
  <w:rsids>
    <w:rsidRoot w:val="00F67BD2"/>
    <w:rsid w:val="00046E47"/>
    <w:rsid w:val="00065A93"/>
    <w:rsid w:val="00095086"/>
    <w:rsid w:val="000C26BA"/>
    <w:rsid w:val="00103104"/>
    <w:rsid w:val="001262C6"/>
    <w:rsid w:val="00133876"/>
    <w:rsid w:val="00144D83"/>
    <w:rsid w:val="001709F3"/>
    <w:rsid w:val="00174413"/>
    <w:rsid w:val="001941F5"/>
    <w:rsid w:val="001B1991"/>
    <w:rsid w:val="00255CFF"/>
    <w:rsid w:val="00262B6E"/>
    <w:rsid w:val="00285164"/>
    <w:rsid w:val="002863E4"/>
    <w:rsid w:val="0029054B"/>
    <w:rsid w:val="00293384"/>
    <w:rsid w:val="002E66C0"/>
    <w:rsid w:val="002F6965"/>
    <w:rsid w:val="00316E6C"/>
    <w:rsid w:val="00336A3F"/>
    <w:rsid w:val="003417DF"/>
    <w:rsid w:val="0041081E"/>
    <w:rsid w:val="00422406"/>
    <w:rsid w:val="0046670A"/>
    <w:rsid w:val="004F39FD"/>
    <w:rsid w:val="00520393"/>
    <w:rsid w:val="00557902"/>
    <w:rsid w:val="00573431"/>
    <w:rsid w:val="005806CE"/>
    <w:rsid w:val="0058152C"/>
    <w:rsid w:val="0058450A"/>
    <w:rsid w:val="005D07F9"/>
    <w:rsid w:val="00607DD7"/>
    <w:rsid w:val="0062670D"/>
    <w:rsid w:val="00632216"/>
    <w:rsid w:val="0067251C"/>
    <w:rsid w:val="006A1946"/>
    <w:rsid w:val="006B2073"/>
    <w:rsid w:val="006B7AF0"/>
    <w:rsid w:val="006E1339"/>
    <w:rsid w:val="006E1477"/>
    <w:rsid w:val="006E190B"/>
    <w:rsid w:val="006E655D"/>
    <w:rsid w:val="006F1E17"/>
    <w:rsid w:val="00705B5A"/>
    <w:rsid w:val="00723F70"/>
    <w:rsid w:val="00724F58"/>
    <w:rsid w:val="00742E7F"/>
    <w:rsid w:val="00746E5D"/>
    <w:rsid w:val="00761668"/>
    <w:rsid w:val="007B482F"/>
    <w:rsid w:val="007B711D"/>
    <w:rsid w:val="007F5AD3"/>
    <w:rsid w:val="008119FD"/>
    <w:rsid w:val="008B0A41"/>
    <w:rsid w:val="008E197A"/>
    <w:rsid w:val="008E2644"/>
    <w:rsid w:val="00901379"/>
    <w:rsid w:val="009077C3"/>
    <w:rsid w:val="0092121E"/>
    <w:rsid w:val="009B6A03"/>
    <w:rsid w:val="009D771C"/>
    <w:rsid w:val="00A02DAD"/>
    <w:rsid w:val="00A04AC9"/>
    <w:rsid w:val="00A57302"/>
    <w:rsid w:val="00A61D33"/>
    <w:rsid w:val="00A63F09"/>
    <w:rsid w:val="00AA2DA3"/>
    <w:rsid w:val="00AC7116"/>
    <w:rsid w:val="00AE5D50"/>
    <w:rsid w:val="00AF06B1"/>
    <w:rsid w:val="00B57863"/>
    <w:rsid w:val="00BB1571"/>
    <w:rsid w:val="00BF660A"/>
    <w:rsid w:val="00C05B9D"/>
    <w:rsid w:val="00C24FCF"/>
    <w:rsid w:val="00C26B95"/>
    <w:rsid w:val="00C502B3"/>
    <w:rsid w:val="00C64C69"/>
    <w:rsid w:val="00C83474"/>
    <w:rsid w:val="00C84948"/>
    <w:rsid w:val="00C85241"/>
    <w:rsid w:val="00C93CDF"/>
    <w:rsid w:val="00CA68D3"/>
    <w:rsid w:val="00CC26EA"/>
    <w:rsid w:val="00CD2DA7"/>
    <w:rsid w:val="00CD5DA0"/>
    <w:rsid w:val="00CD7DF3"/>
    <w:rsid w:val="00CE2F32"/>
    <w:rsid w:val="00CE4C6C"/>
    <w:rsid w:val="00CE7B99"/>
    <w:rsid w:val="00D4118D"/>
    <w:rsid w:val="00D50EFC"/>
    <w:rsid w:val="00D83869"/>
    <w:rsid w:val="00D859BF"/>
    <w:rsid w:val="00D91E4F"/>
    <w:rsid w:val="00DA6BFE"/>
    <w:rsid w:val="00DB6382"/>
    <w:rsid w:val="00DB7F9A"/>
    <w:rsid w:val="00DD48D1"/>
    <w:rsid w:val="00DD4EC8"/>
    <w:rsid w:val="00DD69D8"/>
    <w:rsid w:val="00DF2F53"/>
    <w:rsid w:val="00E267C1"/>
    <w:rsid w:val="00E34D97"/>
    <w:rsid w:val="00E74CAD"/>
    <w:rsid w:val="00E76F0A"/>
    <w:rsid w:val="00E81577"/>
    <w:rsid w:val="00EC2AED"/>
    <w:rsid w:val="00EE15BA"/>
    <w:rsid w:val="00F05212"/>
    <w:rsid w:val="00F367AB"/>
    <w:rsid w:val="00F46B71"/>
    <w:rsid w:val="00F6321A"/>
    <w:rsid w:val="00F65654"/>
    <w:rsid w:val="00F661D6"/>
    <w:rsid w:val="00F67BD2"/>
    <w:rsid w:val="00FA1823"/>
    <w:rsid w:val="021F72F8"/>
    <w:rsid w:val="024FD7E8"/>
    <w:rsid w:val="044F7338"/>
    <w:rsid w:val="04A88700"/>
    <w:rsid w:val="05EAA795"/>
    <w:rsid w:val="06BE93E5"/>
    <w:rsid w:val="06ED4EA3"/>
    <w:rsid w:val="08CA6518"/>
    <w:rsid w:val="09AFE0BD"/>
    <w:rsid w:val="0A9085BD"/>
    <w:rsid w:val="0C43AE39"/>
    <w:rsid w:val="18BE034F"/>
    <w:rsid w:val="1B11D5F4"/>
    <w:rsid w:val="1B92395F"/>
    <w:rsid w:val="1BFE1E72"/>
    <w:rsid w:val="1E08AEB8"/>
    <w:rsid w:val="1EFD345E"/>
    <w:rsid w:val="1F2F86FC"/>
    <w:rsid w:val="1FFDFA7B"/>
    <w:rsid w:val="2153A8D2"/>
    <w:rsid w:val="22379C1D"/>
    <w:rsid w:val="2383218B"/>
    <w:rsid w:val="29068CA7"/>
    <w:rsid w:val="2A05C05A"/>
    <w:rsid w:val="2AA25D08"/>
    <w:rsid w:val="2E75F3D9"/>
    <w:rsid w:val="2ECB1EB6"/>
    <w:rsid w:val="32E31D8D"/>
    <w:rsid w:val="35BE28D6"/>
    <w:rsid w:val="3667DD61"/>
    <w:rsid w:val="38AC30F6"/>
    <w:rsid w:val="39BBF28E"/>
    <w:rsid w:val="3A258EF6"/>
    <w:rsid w:val="3BC1D894"/>
    <w:rsid w:val="3D013A68"/>
    <w:rsid w:val="3D7F9F6C"/>
    <w:rsid w:val="3EEF35A9"/>
    <w:rsid w:val="3F6D8281"/>
    <w:rsid w:val="429E52FB"/>
    <w:rsid w:val="439C91FA"/>
    <w:rsid w:val="4472A1C0"/>
    <w:rsid w:val="450C0248"/>
    <w:rsid w:val="459D2D71"/>
    <w:rsid w:val="4678B713"/>
    <w:rsid w:val="46C5F648"/>
    <w:rsid w:val="47D5F1FF"/>
    <w:rsid w:val="48E0F213"/>
    <w:rsid w:val="4A418F90"/>
    <w:rsid w:val="4A5B9AF9"/>
    <w:rsid w:val="4B0D92C1"/>
    <w:rsid w:val="4CF53035"/>
    <w:rsid w:val="4D7C1032"/>
    <w:rsid w:val="4E675763"/>
    <w:rsid w:val="4EDFB34E"/>
    <w:rsid w:val="5051C9A8"/>
    <w:rsid w:val="5591293D"/>
    <w:rsid w:val="56E93CA5"/>
    <w:rsid w:val="58E44CE0"/>
    <w:rsid w:val="590C6E38"/>
    <w:rsid w:val="5982F01E"/>
    <w:rsid w:val="59AFA5EC"/>
    <w:rsid w:val="5C2678A3"/>
    <w:rsid w:val="5CAD93E9"/>
    <w:rsid w:val="5F1EE326"/>
    <w:rsid w:val="6303CDC4"/>
    <w:rsid w:val="632A54F9"/>
    <w:rsid w:val="649F6DB2"/>
    <w:rsid w:val="6549C3E1"/>
    <w:rsid w:val="665BD65A"/>
    <w:rsid w:val="6A5D033E"/>
    <w:rsid w:val="6A5F7C2D"/>
    <w:rsid w:val="6F7B8EFD"/>
    <w:rsid w:val="70C42417"/>
    <w:rsid w:val="71C192B0"/>
    <w:rsid w:val="723897EC"/>
    <w:rsid w:val="74790EE5"/>
    <w:rsid w:val="74B7DA3D"/>
    <w:rsid w:val="74D2E560"/>
    <w:rsid w:val="7832446E"/>
    <w:rsid w:val="788D8432"/>
    <w:rsid w:val="79A1E30C"/>
    <w:rsid w:val="7B21A9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116035"/>
  <w15:chartTrackingRefBased/>
  <w15:docId w15:val="{70F803BF-6A70-4688-9E07-0BF964B2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sk"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DF"/>
    <w:rPr>
      <w:rFonts w:ascii="Calibri" w:eastAsia="Calibri" w:hAnsi="Calibri" w:cs="Times New Roman"/>
    </w:rPr>
  </w:style>
  <w:style w:type="paragraph" w:styleId="Heading1">
    <w:name w:val="heading 1"/>
    <w:basedOn w:val="Normal"/>
    <w:next w:val="Text1"/>
    <w:link w:val="Heading1Char"/>
    <w:uiPriority w:val="9"/>
    <w:qFormat/>
    <w:rsid w:val="003417DF"/>
    <w:pPr>
      <w:keepNext/>
      <w:numPr>
        <w:numId w:val="18"/>
      </w:numPr>
      <w:spacing w:before="360" w:after="120" w:line="240" w:lineRule="auto"/>
      <w:jc w:val="both"/>
      <w:outlineLvl w:val="0"/>
    </w:pPr>
    <w:rPr>
      <w:rFonts w:ascii="Times New Roman" w:eastAsia="Times New Roman" w:hAnsi="Times New Roman"/>
      <w:b/>
      <w:smallCaps/>
      <w:sz w:val="24"/>
    </w:rPr>
  </w:style>
  <w:style w:type="paragraph" w:styleId="Heading2">
    <w:name w:val="heading 2"/>
    <w:basedOn w:val="Normal"/>
    <w:next w:val="Text1"/>
    <w:link w:val="Heading2Char"/>
    <w:uiPriority w:val="9"/>
    <w:semiHidden/>
    <w:unhideWhenUsed/>
    <w:qFormat/>
    <w:rsid w:val="003417DF"/>
    <w:pPr>
      <w:keepNext/>
      <w:numPr>
        <w:ilvl w:val="1"/>
        <w:numId w:val="18"/>
      </w:numPr>
      <w:spacing w:before="120" w:after="120" w:line="240" w:lineRule="auto"/>
      <w:jc w:val="both"/>
      <w:outlineLvl w:val="1"/>
    </w:pPr>
    <w:rPr>
      <w:rFonts w:ascii="Times New Roman" w:eastAsia="Times New Roman" w:hAnsi="Times New Roman"/>
      <w:b/>
      <w:sz w:val="24"/>
    </w:rPr>
  </w:style>
  <w:style w:type="paragraph" w:styleId="Heading3">
    <w:name w:val="heading 3"/>
    <w:basedOn w:val="Normal"/>
    <w:next w:val="Text1"/>
    <w:link w:val="Heading3Char"/>
    <w:uiPriority w:val="9"/>
    <w:semiHidden/>
    <w:unhideWhenUsed/>
    <w:qFormat/>
    <w:rsid w:val="003417DF"/>
    <w:pPr>
      <w:keepNext/>
      <w:numPr>
        <w:ilvl w:val="2"/>
        <w:numId w:val="18"/>
      </w:numPr>
      <w:spacing w:before="120" w:after="120" w:line="240" w:lineRule="auto"/>
      <w:jc w:val="both"/>
      <w:outlineLvl w:val="2"/>
    </w:pPr>
    <w:rPr>
      <w:rFonts w:ascii="Times New Roman" w:eastAsia="Times New Roman" w:hAnsi="Times New Roman"/>
      <w:i/>
      <w:sz w:val="24"/>
    </w:rPr>
  </w:style>
  <w:style w:type="paragraph" w:styleId="Heading4">
    <w:name w:val="heading 4"/>
    <w:basedOn w:val="Normal"/>
    <w:next w:val="Text1"/>
    <w:link w:val="Heading4Char"/>
    <w:uiPriority w:val="9"/>
    <w:semiHidden/>
    <w:unhideWhenUsed/>
    <w:qFormat/>
    <w:rsid w:val="003417DF"/>
    <w:pPr>
      <w:keepNext/>
      <w:numPr>
        <w:ilvl w:val="3"/>
        <w:numId w:val="18"/>
      </w:numPr>
      <w:spacing w:before="120" w:after="120" w:line="240" w:lineRule="auto"/>
      <w:jc w:val="both"/>
      <w:outlineLvl w:val="3"/>
    </w:pPr>
    <w:rPr>
      <w:rFonts w:ascii="Times New Roman" w:eastAsia="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7DF"/>
    <w:rPr>
      <w:rFonts w:ascii="Times New Roman" w:eastAsia="Times New Roman" w:hAnsi="Times New Roman" w:cs="Times New Roman"/>
      <w:b/>
      <w:smallCaps/>
      <w:sz w:val="24"/>
    </w:rPr>
  </w:style>
  <w:style w:type="character" w:customStyle="1" w:styleId="Heading2Char">
    <w:name w:val="Heading 2 Char"/>
    <w:basedOn w:val="DefaultParagraphFont"/>
    <w:link w:val="Heading2"/>
    <w:uiPriority w:val="9"/>
    <w:semiHidden/>
    <w:rsid w:val="003417DF"/>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semiHidden/>
    <w:rsid w:val="003417DF"/>
    <w:rPr>
      <w:rFonts w:ascii="Times New Roman" w:eastAsia="Times New Roman" w:hAnsi="Times New Roman" w:cs="Times New Roman"/>
      <w:i/>
      <w:sz w:val="24"/>
    </w:rPr>
  </w:style>
  <w:style w:type="character" w:customStyle="1" w:styleId="Heading4Char">
    <w:name w:val="Heading 4 Char"/>
    <w:basedOn w:val="DefaultParagraphFont"/>
    <w:link w:val="Heading4"/>
    <w:uiPriority w:val="9"/>
    <w:semiHidden/>
    <w:rsid w:val="003417DF"/>
    <w:rPr>
      <w:rFonts w:ascii="Times New Roman" w:eastAsia="Times New Roman" w:hAnsi="Times New Roman" w:cs="Times New Roman"/>
      <w:sz w:val="24"/>
    </w:rPr>
  </w:style>
  <w:style w:type="numbering" w:customStyle="1" w:styleId="NoList1">
    <w:name w:val="No List1"/>
    <w:next w:val="NoList"/>
    <w:uiPriority w:val="99"/>
    <w:semiHidden/>
    <w:unhideWhenUsed/>
    <w:rsid w:val="003417DF"/>
  </w:style>
  <w:style w:type="character" w:styleId="CommentReference">
    <w:name w:val="annotation reference"/>
    <w:uiPriority w:val="99"/>
    <w:unhideWhenUsed/>
    <w:rsid w:val="003417DF"/>
    <w:rPr>
      <w:sz w:val="16"/>
    </w:rPr>
  </w:style>
  <w:style w:type="paragraph" w:styleId="CommentText">
    <w:name w:val="annotation text"/>
    <w:basedOn w:val="Normal"/>
    <w:link w:val="CommentTextChar"/>
    <w:uiPriority w:val="99"/>
    <w:unhideWhenUsed/>
    <w:rsid w:val="003417DF"/>
    <w:pPr>
      <w:spacing w:before="120" w:after="120" w:line="240" w:lineRule="auto"/>
      <w:jc w:val="both"/>
    </w:pPr>
    <w:rPr>
      <w:rFonts w:ascii="Times New Roman" w:hAnsi="Times New Roman"/>
      <w:sz w:val="20"/>
    </w:rPr>
  </w:style>
  <w:style w:type="character" w:customStyle="1" w:styleId="CommentTextChar">
    <w:name w:val="Comment Text Char"/>
    <w:basedOn w:val="DefaultParagraphFont"/>
    <w:link w:val="CommentText"/>
    <w:uiPriority w:val="99"/>
    <w:rsid w:val="003417DF"/>
    <w:rPr>
      <w:rFonts w:ascii="Times New Roman" w:eastAsia="Calibri" w:hAnsi="Times New Roman" w:cs="Times New Roman"/>
      <w:sz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rsid w:val="003417DF"/>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locked/>
    <w:rsid w:val="003417DF"/>
    <w:rPr>
      <w:rFonts w:ascii="Calibri" w:eastAsia="Calibri" w:hAnsi="Calibri" w:cs="Times New Roman"/>
    </w:rPr>
  </w:style>
  <w:style w:type="character" w:styleId="IntenseEmphasis">
    <w:name w:val="Intense Emphasis"/>
    <w:uiPriority w:val="21"/>
    <w:qFormat/>
    <w:rsid w:val="003417DF"/>
    <w:rPr>
      <w:i/>
      <w:color w:val="4F81BD"/>
    </w:rPr>
  </w:style>
  <w:style w:type="paragraph" w:styleId="BalloonText">
    <w:name w:val="Balloon Text"/>
    <w:basedOn w:val="Normal"/>
    <w:link w:val="BalloonTextChar"/>
    <w:uiPriority w:val="99"/>
    <w:semiHidden/>
    <w:unhideWhenUsed/>
    <w:rsid w:val="003417DF"/>
    <w:pPr>
      <w:spacing w:after="0" w:line="240" w:lineRule="auto"/>
      <w:jc w:val="both"/>
    </w:pPr>
    <w:rPr>
      <w:rFonts w:ascii="Segoe UI" w:hAnsi="Segoe UI" w:cs="Segoe UI"/>
      <w:sz w:val="18"/>
    </w:rPr>
  </w:style>
  <w:style w:type="character" w:customStyle="1" w:styleId="BalloonTextChar">
    <w:name w:val="Balloon Text Char"/>
    <w:basedOn w:val="DefaultParagraphFont"/>
    <w:link w:val="BalloonText"/>
    <w:uiPriority w:val="99"/>
    <w:semiHidden/>
    <w:rsid w:val="003417DF"/>
    <w:rPr>
      <w:rFonts w:ascii="Segoe UI" w:eastAsia="Calibri" w:hAnsi="Segoe UI" w:cs="Segoe UI"/>
      <w:sz w:val="18"/>
    </w:rPr>
  </w:style>
  <w:style w:type="paragraph" w:styleId="ListBullet">
    <w:name w:val="List Bullet"/>
    <w:basedOn w:val="Normal"/>
    <w:uiPriority w:val="99"/>
    <w:semiHidden/>
    <w:unhideWhenUsed/>
    <w:rsid w:val="003417DF"/>
    <w:pPr>
      <w:numPr>
        <w:numId w:val="1"/>
      </w:numPr>
      <w:spacing w:before="120" w:after="120" w:line="240" w:lineRule="auto"/>
      <w:contextualSpacing/>
      <w:jc w:val="both"/>
    </w:pPr>
    <w:rPr>
      <w:rFonts w:ascii="Times New Roman" w:hAnsi="Times New Roman"/>
      <w:sz w:val="24"/>
    </w:rPr>
  </w:style>
  <w:style w:type="paragraph" w:styleId="ListBullet2">
    <w:name w:val="List Bullet 2"/>
    <w:basedOn w:val="Normal"/>
    <w:uiPriority w:val="99"/>
    <w:semiHidden/>
    <w:unhideWhenUsed/>
    <w:rsid w:val="003417DF"/>
    <w:pPr>
      <w:numPr>
        <w:numId w:val="2"/>
      </w:numPr>
      <w:spacing w:before="120" w:after="120" w:line="240" w:lineRule="auto"/>
      <w:contextualSpacing/>
      <w:jc w:val="both"/>
    </w:pPr>
    <w:rPr>
      <w:rFonts w:ascii="Times New Roman" w:hAnsi="Times New Roman"/>
      <w:sz w:val="24"/>
    </w:rPr>
  </w:style>
  <w:style w:type="paragraph" w:styleId="ListBullet3">
    <w:name w:val="List Bullet 3"/>
    <w:basedOn w:val="Normal"/>
    <w:uiPriority w:val="99"/>
    <w:semiHidden/>
    <w:unhideWhenUsed/>
    <w:rsid w:val="003417DF"/>
    <w:pPr>
      <w:numPr>
        <w:numId w:val="3"/>
      </w:numPr>
      <w:spacing w:before="120" w:after="120" w:line="240" w:lineRule="auto"/>
      <w:contextualSpacing/>
      <w:jc w:val="both"/>
    </w:pPr>
    <w:rPr>
      <w:rFonts w:ascii="Times New Roman" w:hAnsi="Times New Roman"/>
      <w:sz w:val="24"/>
    </w:rPr>
  </w:style>
  <w:style w:type="paragraph" w:styleId="ListBullet4">
    <w:name w:val="List Bullet 4"/>
    <w:basedOn w:val="Normal"/>
    <w:uiPriority w:val="99"/>
    <w:semiHidden/>
    <w:unhideWhenUsed/>
    <w:rsid w:val="003417DF"/>
    <w:pPr>
      <w:numPr>
        <w:numId w:val="4"/>
      </w:numPr>
      <w:spacing w:before="120" w:after="120" w:line="240" w:lineRule="auto"/>
      <w:contextualSpacing/>
      <w:jc w:val="both"/>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3417DF"/>
    <w:rPr>
      <w:b/>
    </w:rPr>
  </w:style>
  <w:style w:type="character" w:customStyle="1" w:styleId="CommentSubjectChar">
    <w:name w:val="Comment Subject Char"/>
    <w:basedOn w:val="CommentTextChar"/>
    <w:link w:val="CommentSubject"/>
    <w:uiPriority w:val="99"/>
    <w:semiHidden/>
    <w:rsid w:val="003417DF"/>
    <w:rPr>
      <w:rFonts w:ascii="Times New Roman" w:eastAsia="Calibri" w:hAnsi="Times New Roman" w:cs="Times New Roman"/>
      <w:b/>
      <w:sz w:val="20"/>
    </w:rPr>
  </w:style>
  <w:style w:type="paragraph" w:styleId="Revision">
    <w:name w:val="Revision"/>
    <w:hidden/>
    <w:uiPriority w:val="99"/>
    <w:semiHidden/>
    <w:rsid w:val="003417DF"/>
    <w:pPr>
      <w:spacing w:after="0" w:line="240" w:lineRule="auto"/>
    </w:pPr>
    <w:rPr>
      <w:rFonts w:ascii="Times New Roman" w:eastAsia="Calibri" w:hAnsi="Times New Roman" w:cs="Times New Roman"/>
      <w:sz w:val="24"/>
    </w:rPr>
  </w:style>
  <w:style w:type="paragraph" w:styleId="Caption">
    <w:name w:val="caption"/>
    <w:basedOn w:val="Normal"/>
    <w:next w:val="Normal"/>
    <w:uiPriority w:val="35"/>
    <w:semiHidden/>
    <w:unhideWhenUsed/>
    <w:qFormat/>
    <w:rsid w:val="003417DF"/>
    <w:pPr>
      <w:spacing w:line="240" w:lineRule="auto"/>
      <w:jc w:val="both"/>
    </w:pPr>
    <w:rPr>
      <w:rFonts w:ascii="Times New Roman" w:hAnsi="Times New Roman"/>
      <w:i/>
      <w:color w:val="1F497D"/>
      <w:sz w:val="18"/>
    </w:rPr>
  </w:style>
  <w:style w:type="paragraph" w:styleId="TableofFigures">
    <w:name w:val="table of figures"/>
    <w:basedOn w:val="Normal"/>
    <w:next w:val="Normal"/>
    <w:uiPriority w:val="99"/>
    <w:semiHidden/>
    <w:unhideWhenUsed/>
    <w:rsid w:val="003417DF"/>
    <w:pPr>
      <w:spacing w:before="120" w:after="0" w:line="240" w:lineRule="auto"/>
      <w:jc w:val="both"/>
    </w:pPr>
    <w:rPr>
      <w:rFonts w:ascii="Times New Roman" w:hAnsi="Times New Roman"/>
      <w:sz w:val="24"/>
    </w:rPr>
  </w:style>
  <w:style w:type="paragraph" w:styleId="ListNumber">
    <w:name w:val="List Number"/>
    <w:basedOn w:val="Normal"/>
    <w:uiPriority w:val="99"/>
    <w:semiHidden/>
    <w:unhideWhenUsed/>
    <w:rsid w:val="003417DF"/>
    <w:pPr>
      <w:numPr>
        <w:numId w:val="8"/>
      </w:numPr>
      <w:spacing w:before="120" w:after="120" w:line="240" w:lineRule="auto"/>
      <w:contextualSpacing/>
      <w:jc w:val="both"/>
    </w:pPr>
    <w:rPr>
      <w:rFonts w:ascii="Times New Roman" w:hAnsi="Times New Roman"/>
      <w:sz w:val="24"/>
    </w:rPr>
  </w:style>
  <w:style w:type="paragraph" w:styleId="ListNumber2">
    <w:name w:val="List Number 2"/>
    <w:basedOn w:val="Normal"/>
    <w:uiPriority w:val="99"/>
    <w:semiHidden/>
    <w:unhideWhenUsed/>
    <w:rsid w:val="003417DF"/>
    <w:pPr>
      <w:numPr>
        <w:numId w:val="9"/>
      </w:numPr>
      <w:spacing w:before="120" w:after="120" w:line="240" w:lineRule="auto"/>
      <w:contextualSpacing/>
      <w:jc w:val="both"/>
    </w:pPr>
    <w:rPr>
      <w:rFonts w:ascii="Times New Roman" w:hAnsi="Times New Roman"/>
      <w:sz w:val="24"/>
    </w:rPr>
  </w:style>
  <w:style w:type="paragraph" w:styleId="ListNumber3">
    <w:name w:val="List Number 3"/>
    <w:basedOn w:val="Normal"/>
    <w:uiPriority w:val="99"/>
    <w:semiHidden/>
    <w:unhideWhenUsed/>
    <w:rsid w:val="003417DF"/>
    <w:pPr>
      <w:numPr>
        <w:numId w:val="10"/>
      </w:numPr>
      <w:spacing w:before="120" w:after="120" w:line="240" w:lineRule="auto"/>
      <w:contextualSpacing/>
      <w:jc w:val="both"/>
    </w:pPr>
    <w:rPr>
      <w:rFonts w:ascii="Times New Roman" w:hAnsi="Times New Roman"/>
      <w:sz w:val="24"/>
    </w:rPr>
  </w:style>
  <w:style w:type="paragraph" w:styleId="ListNumber4">
    <w:name w:val="List Number 4"/>
    <w:basedOn w:val="Normal"/>
    <w:uiPriority w:val="99"/>
    <w:semiHidden/>
    <w:unhideWhenUsed/>
    <w:rsid w:val="003417DF"/>
    <w:pPr>
      <w:numPr>
        <w:numId w:val="11"/>
      </w:numPr>
      <w:spacing w:before="120" w:after="120" w:line="240" w:lineRule="auto"/>
      <w:contextualSpacing/>
      <w:jc w:val="both"/>
    </w:pPr>
    <w:rPr>
      <w:rFonts w:ascii="Times New Roman" w:hAnsi="Times New Roman"/>
      <w:sz w:val="24"/>
    </w:rPr>
  </w:style>
  <w:style w:type="character" w:styleId="Hyperlink">
    <w:name w:val="Hyperlink"/>
    <w:uiPriority w:val="99"/>
    <w:unhideWhenUsed/>
    <w:rsid w:val="003417DF"/>
    <w:rPr>
      <w:color w:val="0000FF"/>
      <w:u w:val="single"/>
    </w:rPr>
  </w:style>
  <w:style w:type="paragraph" w:styleId="Header">
    <w:name w:val="header"/>
    <w:basedOn w:val="Normal"/>
    <w:link w:val="HeaderChar"/>
    <w:uiPriority w:val="99"/>
    <w:unhideWhenUsed/>
    <w:rsid w:val="003417DF"/>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3417DF"/>
    <w:rPr>
      <w:rFonts w:ascii="Times New Roman" w:eastAsia="Calibri" w:hAnsi="Times New Roman" w:cs="Times New Roman"/>
      <w:sz w:val="24"/>
    </w:rPr>
  </w:style>
  <w:style w:type="paragraph" w:styleId="Footer">
    <w:name w:val="footer"/>
    <w:basedOn w:val="Normal"/>
    <w:link w:val="FooterChar"/>
    <w:uiPriority w:val="99"/>
    <w:unhideWhenUsed/>
    <w:rsid w:val="003417DF"/>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basedOn w:val="DefaultParagraphFont"/>
    <w:link w:val="Footer"/>
    <w:uiPriority w:val="99"/>
    <w:rsid w:val="003417DF"/>
    <w:rPr>
      <w:rFonts w:ascii="Times New Roman" w:eastAsia="Calibri" w:hAnsi="Times New Roman" w:cs="Times New Roman"/>
      <w:sz w:val="24"/>
    </w:rPr>
  </w:style>
  <w:style w:type="paragraph" w:styleId="FootnoteText">
    <w:name w:val="footnote text"/>
    <w:basedOn w:val="Normal"/>
    <w:link w:val="FootnoteTextChar"/>
    <w:uiPriority w:val="99"/>
    <w:semiHidden/>
    <w:unhideWhenUsed/>
    <w:rsid w:val="003417DF"/>
    <w:pPr>
      <w:spacing w:after="0" w:line="240" w:lineRule="auto"/>
      <w:ind w:left="720" w:hanging="720"/>
      <w:jc w:val="both"/>
    </w:pPr>
    <w:rPr>
      <w:rFonts w:ascii="Times New Roman" w:hAnsi="Times New Roman"/>
      <w:sz w:val="20"/>
    </w:rPr>
  </w:style>
  <w:style w:type="character" w:customStyle="1" w:styleId="FootnoteTextChar">
    <w:name w:val="Footnote Text Char"/>
    <w:basedOn w:val="DefaultParagraphFont"/>
    <w:link w:val="FootnoteText"/>
    <w:uiPriority w:val="99"/>
    <w:semiHidden/>
    <w:rsid w:val="003417DF"/>
    <w:rPr>
      <w:rFonts w:ascii="Times New Roman" w:eastAsia="Calibri" w:hAnsi="Times New Roman" w:cs="Times New Roman"/>
      <w:sz w:val="20"/>
    </w:rPr>
  </w:style>
  <w:style w:type="paragraph" w:styleId="TOCHeading">
    <w:name w:val="TOC Heading"/>
    <w:basedOn w:val="Normal"/>
    <w:next w:val="Normal"/>
    <w:uiPriority w:val="39"/>
    <w:semiHidden/>
    <w:unhideWhenUsed/>
    <w:qFormat/>
    <w:rsid w:val="003417DF"/>
    <w:pPr>
      <w:spacing w:before="120" w:after="240" w:line="240" w:lineRule="auto"/>
      <w:jc w:val="center"/>
    </w:pPr>
    <w:rPr>
      <w:rFonts w:ascii="Times New Roman" w:hAnsi="Times New Roman"/>
      <w:b/>
      <w:sz w:val="28"/>
    </w:rPr>
  </w:style>
  <w:style w:type="paragraph" w:styleId="TOC1">
    <w:name w:val="toc 1"/>
    <w:basedOn w:val="Normal"/>
    <w:next w:val="Normal"/>
    <w:uiPriority w:val="39"/>
    <w:semiHidden/>
    <w:unhideWhenUsed/>
    <w:rsid w:val="003417DF"/>
    <w:pPr>
      <w:tabs>
        <w:tab w:val="right" w:leader="dot" w:pos="9071"/>
      </w:tabs>
      <w:spacing w:before="60" w:after="120" w:line="240" w:lineRule="auto"/>
      <w:ind w:left="850" w:hanging="850"/>
    </w:pPr>
    <w:rPr>
      <w:rFonts w:ascii="Times New Roman" w:hAnsi="Times New Roman"/>
      <w:sz w:val="24"/>
    </w:rPr>
  </w:style>
  <w:style w:type="paragraph" w:styleId="TOC2">
    <w:name w:val="toc 2"/>
    <w:basedOn w:val="Normal"/>
    <w:next w:val="Normal"/>
    <w:uiPriority w:val="39"/>
    <w:semiHidden/>
    <w:unhideWhenUsed/>
    <w:rsid w:val="003417DF"/>
    <w:pPr>
      <w:tabs>
        <w:tab w:val="right" w:leader="dot" w:pos="9071"/>
      </w:tabs>
      <w:spacing w:before="60" w:after="120" w:line="240" w:lineRule="auto"/>
      <w:ind w:left="850" w:hanging="850"/>
    </w:pPr>
    <w:rPr>
      <w:rFonts w:ascii="Times New Roman" w:hAnsi="Times New Roman"/>
      <w:sz w:val="24"/>
    </w:rPr>
  </w:style>
  <w:style w:type="paragraph" w:styleId="TOC3">
    <w:name w:val="toc 3"/>
    <w:basedOn w:val="Normal"/>
    <w:next w:val="Normal"/>
    <w:uiPriority w:val="39"/>
    <w:semiHidden/>
    <w:unhideWhenUsed/>
    <w:rsid w:val="003417DF"/>
    <w:pPr>
      <w:tabs>
        <w:tab w:val="right" w:leader="dot" w:pos="9071"/>
      </w:tabs>
      <w:spacing w:before="60" w:after="120" w:line="240" w:lineRule="auto"/>
      <w:ind w:left="850" w:hanging="850"/>
    </w:pPr>
    <w:rPr>
      <w:rFonts w:ascii="Times New Roman" w:hAnsi="Times New Roman"/>
      <w:sz w:val="24"/>
    </w:rPr>
  </w:style>
  <w:style w:type="paragraph" w:styleId="TOC4">
    <w:name w:val="toc 4"/>
    <w:basedOn w:val="Normal"/>
    <w:next w:val="Normal"/>
    <w:uiPriority w:val="39"/>
    <w:semiHidden/>
    <w:unhideWhenUsed/>
    <w:rsid w:val="003417DF"/>
    <w:pPr>
      <w:tabs>
        <w:tab w:val="right" w:leader="dot" w:pos="9071"/>
      </w:tabs>
      <w:spacing w:before="60" w:after="120" w:line="240" w:lineRule="auto"/>
      <w:ind w:left="850" w:hanging="850"/>
    </w:pPr>
    <w:rPr>
      <w:rFonts w:ascii="Times New Roman" w:hAnsi="Times New Roman"/>
      <w:sz w:val="24"/>
    </w:rPr>
  </w:style>
  <w:style w:type="paragraph" w:styleId="TOC5">
    <w:name w:val="toc 5"/>
    <w:basedOn w:val="Normal"/>
    <w:next w:val="Normal"/>
    <w:uiPriority w:val="39"/>
    <w:semiHidden/>
    <w:unhideWhenUsed/>
    <w:rsid w:val="003417DF"/>
    <w:pPr>
      <w:tabs>
        <w:tab w:val="right" w:leader="dot" w:pos="9071"/>
      </w:tabs>
      <w:spacing w:before="300" w:after="120" w:line="240" w:lineRule="auto"/>
    </w:pPr>
    <w:rPr>
      <w:rFonts w:ascii="Times New Roman" w:hAnsi="Times New Roman"/>
      <w:sz w:val="24"/>
    </w:rPr>
  </w:style>
  <w:style w:type="paragraph" w:styleId="TOC6">
    <w:name w:val="toc 6"/>
    <w:basedOn w:val="Normal"/>
    <w:next w:val="Normal"/>
    <w:uiPriority w:val="39"/>
    <w:semiHidden/>
    <w:unhideWhenUsed/>
    <w:rsid w:val="003417DF"/>
    <w:pPr>
      <w:tabs>
        <w:tab w:val="right" w:leader="dot" w:pos="9071"/>
      </w:tabs>
      <w:spacing w:before="240" w:after="120" w:line="240" w:lineRule="auto"/>
    </w:pPr>
    <w:rPr>
      <w:rFonts w:ascii="Times New Roman" w:hAnsi="Times New Roman"/>
      <w:sz w:val="24"/>
    </w:rPr>
  </w:style>
  <w:style w:type="paragraph" w:styleId="TOC7">
    <w:name w:val="toc 7"/>
    <w:basedOn w:val="Normal"/>
    <w:next w:val="Normal"/>
    <w:uiPriority w:val="39"/>
    <w:semiHidden/>
    <w:unhideWhenUsed/>
    <w:rsid w:val="003417DF"/>
    <w:pPr>
      <w:tabs>
        <w:tab w:val="right" w:leader="dot" w:pos="9071"/>
      </w:tabs>
      <w:spacing w:before="180" w:after="120" w:line="240" w:lineRule="auto"/>
    </w:pPr>
    <w:rPr>
      <w:rFonts w:ascii="Times New Roman" w:hAnsi="Times New Roman"/>
      <w:sz w:val="24"/>
    </w:rPr>
  </w:style>
  <w:style w:type="paragraph" w:styleId="TOC8">
    <w:name w:val="toc 8"/>
    <w:basedOn w:val="Normal"/>
    <w:next w:val="Normal"/>
    <w:uiPriority w:val="39"/>
    <w:semiHidden/>
    <w:unhideWhenUsed/>
    <w:rsid w:val="003417DF"/>
    <w:pPr>
      <w:tabs>
        <w:tab w:val="right" w:leader="dot" w:pos="9071"/>
      </w:tabs>
      <w:spacing w:before="120" w:after="120" w:line="240" w:lineRule="auto"/>
    </w:pPr>
    <w:rPr>
      <w:rFonts w:ascii="Times New Roman" w:hAnsi="Times New Roman"/>
      <w:sz w:val="24"/>
    </w:rPr>
  </w:style>
  <w:style w:type="paragraph" w:styleId="TOC9">
    <w:name w:val="toc 9"/>
    <w:basedOn w:val="Normal"/>
    <w:next w:val="Normal"/>
    <w:uiPriority w:val="39"/>
    <w:semiHidden/>
    <w:unhideWhenUsed/>
    <w:rsid w:val="003417DF"/>
    <w:pPr>
      <w:tabs>
        <w:tab w:val="right" w:leader="dot" w:pos="9071"/>
      </w:tabs>
      <w:spacing w:before="120" w:after="120" w:line="240" w:lineRule="auto"/>
      <w:jc w:val="both"/>
    </w:pPr>
    <w:rPr>
      <w:rFonts w:ascii="Times New Roman" w:hAnsi="Times New Roman"/>
      <w:sz w:val="24"/>
    </w:rPr>
  </w:style>
  <w:style w:type="paragraph" w:customStyle="1" w:styleId="HeaderLandscape">
    <w:name w:val="HeaderLandscape"/>
    <w:basedOn w:val="Normal"/>
    <w:rsid w:val="003417DF"/>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rsid w:val="003417DF"/>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uiPriority w:val="99"/>
    <w:semiHidden/>
    <w:unhideWhenUsed/>
    <w:rsid w:val="003417DF"/>
    <w:rPr>
      <w:shd w:val="clear" w:color="auto" w:fill="auto"/>
      <w:vertAlign w:val="superscript"/>
    </w:rPr>
  </w:style>
  <w:style w:type="paragraph" w:customStyle="1" w:styleId="HeaderSensitivity">
    <w:name w:val="Header Sensitivity"/>
    <w:basedOn w:val="Normal"/>
    <w:rsid w:val="003417D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HeaderSensitivityRight">
    <w:name w:val="Header Sensitivity Right"/>
    <w:basedOn w:val="Normal"/>
    <w:rsid w:val="003417DF"/>
    <w:pPr>
      <w:spacing w:after="120" w:line="240" w:lineRule="auto"/>
      <w:jc w:val="right"/>
    </w:pPr>
    <w:rPr>
      <w:rFonts w:ascii="Times New Roman" w:hAnsi="Times New Roman"/>
      <w:sz w:val="28"/>
    </w:rPr>
  </w:style>
  <w:style w:type="paragraph" w:customStyle="1" w:styleId="FooterSensitivity">
    <w:name w:val="Footer Sensitivity"/>
    <w:basedOn w:val="Normal"/>
    <w:rsid w:val="003417D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Text1">
    <w:name w:val="Text 1"/>
    <w:basedOn w:val="Normal"/>
    <w:link w:val="Text1Char"/>
    <w:rsid w:val="003417DF"/>
    <w:pPr>
      <w:spacing w:before="120" w:after="120" w:line="240" w:lineRule="auto"/>
      <w:ind w:left="850"/>
      <w:jc w:val="both"/>
    </w:pPr>
    <w:rPr>
      <w:rFonts w:ascii="Times New Roman" w:hAnsi="Times New Roman"/>
      <w:sz w:val="24"/>
    </w:rPr>
  </w:style>
  <w:style w:type="paragraph" w:customStyle="1" w:styleId="Text2">
    <w:name w:val="Text 2"/>
    <w:basedOn w:val="Normal"/>
    <w:rsid w:val="003417DF"/>
    <w:pPr>
      <w:spacing w:before="120" w:after="120" w:line="240" w:lineRule="auto"/>
      <w:ind w:left="1417"/>
      <w:jc w:val="both"/>
    </w:pPr>
    <w:rPr>
      <w:rFonts w:ascii="Times New Roman" w:hAnsi="Times New Roman"/>
      <w:sz w:val="24"/>
    </w:rPr>
  </w:style>
  <w:style w:type="paragraph" w:customStyle="1" w:styleId="Text3">
    <w:name w:val="Text 3"/>
    <w:basedOn w:val="Normal"/>
    <w:rsid w:val="003417DF"/>
    <w:pPr>
      <w:spacing w:before="120" w:after="120" w:line="240" w:lineRule="auto"/>
      <w:ind w:left="1984"/>
      <w:jc w:val="both"/>
    </w:pPr>
    <w:rPr>
      <w:rFonts w:ascii="Times New Roman" w:hAnsi="Times New Roman"/>
      <w:sz w:val="24"/>
    </w:rPr>
  </w:style>
  <w:style w:type="paragraph" w:customStyle="1" w:styleId="Text4">
    <w:name w:val="Text 4"/>
    <w:basedOn w:val="Normal"/>
    <w:rsid w:val="003417DF"/>
    <w:pPr>
      <w:spacing w:before="120" w:after="120" w:line="240" w:lineRule="auto"/>
      <w:ind w:left="2551"/>
      <w:jc w:val="both"/>
    </w:pPr>
    <w:rPr>
      <w:rFonts w:ascii="Times New Roman" w:hAnsi="Times New Roman"/>
      <w:sz w:val="24"/>
    </w:rPr>
  </w:style>
  <w:style w:type="paragraph" w:customStyle="1" w:styleId="NormalCentered">
    <w:name w:val="Normal Centered"/>
    <w:basedOn w:val="Normal"/>
    <w:rsid w:val="003417DF"/>
    <w:pPr>
      <w:spacing w:before="120" w:after="120" w:line="240" w:lineRule="auto"/>
      <w:jc w:val="center"/>
    </w:pPr>
    <w:rPr>
      <w:rFonts w:ascii="Times New Roman" w:hAnsi="Times New Roman"/>
      <w:sz w:val="24"/>
    </w:rPr>
  </w:style>
  <w:style w:type="paragraph" w:customStyle="1" w:styleId="NormalLeft">
    <w:name w:val="Normal Left"/>
    <w:basedOn w:val="Normal"/>
    <w:rsid w:val="003417DF"/>
    <w:pPr>
      <w:spacing w:before="120" w:after="120" w:line="240" w:lineRule="auto"/>
    </w:pPr>
    <w:rPr>
      <w:rFonts w:ascii="Times New Roman" w:hAnsi="Times New Roman"/>
      <w:sz w:val="24"/>
    </w:rPr>
  </w:style>
  <w:style w:type="paragraph" w:customStyle="1" w:styleId="NormalRight">
    <w:name w:val="Normal Right"/>
    <w:basedOn w:val="Normal"/>
    <w:rsid w:val="003417DF"/>
    <w:pPr>
      <w:spacing w:before="120" w:after="120" w:line="240" w:lineRule="auto"/>
      <w:jc w:val="right"/>
    </w:pPr>
    <w:rPr>
      <w:rFonts w:ascii="Times New Roman" w:hAnsi="Times New Roman"/>
      <w:sz w:val="24"/>
    </w:rPr>
  </w:style>
  <w:style w:type="paragraph" w:customStyle="1" w:styleId="QuotedText">
    <w:name w:val="Quoted Text"/>
    <w:basedOn w:val="Normal"/>
    <w:rsid w:val="003417DF"/>
    <w:pPr>
      <w:spacing w:before="120" w:after="120" w:line="240" w:lineRule="auto"/>
      <w:ind w:left="1417"/>
      <w:jc w:val="both"/>
    </w:pPr>
    <w:rPr>
      <w:rFonts w:ascii="Times New Roman" w:hAnsi="Times New Roman"/>
      <w:sz w:val="24"/>
    </w:rPr>
  </w:style>
  <w:style w:type="paragraph" w:customStyle="1" w:styleId="Point0">
    <w:name w:val="Point 0"/>
    <w:basedOn w:val="Normal"/>
    <w:rsid w:val="003417DF"/>
    <w:pPr>
      <w:spacing w:before="120" w:after="120" w:line="240" w:lineRule="auto"/>
      <w:ind w:left="850" w:hanging="850"/>
      <w:jc w:val="both"/>
    </w:pPr>
    <w:rPr>
      <w:rFonts w:ascii="Times New Roman" w:hAnsi="Times New Roman"/>
      <w:sz w:val="24"/>
    </w:rPr>
  </w:style>
  <w:style w:type="paragraph" w:customStyle="1" w:styleId="Point1">
    <w:name w:val="Point 1"/>
    <w:basedOn w:val="Normal"/>
    <w:rsid w:val="003417DF"/>
    <w:pPr>
      <w:spacing w:before="120" w:after="120" w:line="240" w:lineRule="auto"/>
      <w:ind w:left="1417" w:hanging="567"/>
      <w:jc w:val="both"/>
    </w:pPr>
    <w:rPr>
      <w:rFonts w:ascii="Times New Roman" w:hAnsi="Times New Roman"/>
      <w:sz w:val="24"/>
    </w:rPr>
  </w:style>
  <w:style w:type="paragraph" w:customStyle="1" w:styleId="Point2">
    <w:name w:val="Point 2"/>
    <w:basedOn w:val="Normal"/>
    <w:rsid w:val="003417DF"/>
    <w:pPr>
      <w:spacing w:before="120" w:after="120" w:line="240" w:lineRule="auto"/>
      <w:ind w:left="1984" w:hanging="567"/>
      <w:jc w:val="both"/>
    </w:pPr>
    <w:rPr>
      <w:rFonts w:ascii="Times New Roman" w:hAnsi="Times New Roman"/>
      <w:sz w:val="24"/>
    </w:rPr>
  </w:style>
  <w:style w:type="paragraph" w:customStyle="1" w:styleId="Point3">
    <w:name w:val="Point 3"/>
    <w:basedOn w:val="Normal"/>
    <w:rsid w:val="003417DF"/>
    <w:pPr>
      <w:spacing w:before="120" w:after="120" w:line="240" w:lineRule="auto"/>
      <w:ind w:left="2551" w:hanging="567"/>
      <w:jc w:val="both"/>
    </w:pPr>
    <w:rPr>
      <w:rFonts w:ascii="Times New Roman" w:hAnsi="Times New Roman"/>
      <w:sz w:val="24"/>
    </w:rPr>
  </w:style>
  <w:style w:type="paragraph" w:customStyle="1" w:styleId="Point4">
    <w:name w:val="Point 4"/>
    <w:basedOn w:val="Normal"/>
    <w:rsid w:val="003417DF"/>
    <w:pPr>
      <w:spacing w:before="120" w:after="120" w:line="240" w:lineRule="auto"/>
      <w:ind w:left="3118" w:hanging="567"/>
      <w:jc w:val="both"/>
    </w:pPr>
    <w:rPr>
      <w:rFonts w:ascii="Times New Roman" w:hAnsi="Times New Roman"/>
      <w:sz w:val="24"/>
    </w:rPr>
  </w:style>
  <w:style w:type="paragraph" w:customStyle="1" w:styleId="Tiret0">
    <w:name w:val="Tiret 0"/>
    <w:basedOn w:val="Point0"/>
    <w:rsid w:val="003417DF"/>
    <w:pPr>
      <w:numPr>
        <w:numId w:val="12"/>
      </w:numPr>
    </w:pPr>
  </w:style>
  <w:style w:type="paragraph" w:customStyle="1" w:styleId="Tiret1">
    <w:name w:val="Tiret 1"/>
    <w:basedOn w:val="Point1"/>
    <w:rsid w:val="003417DF"/>
    <w:pPr>
      <w:numPr>
        <w:numId w:val="13"/>
      </w:numPr>
    </w:pPr>
  </w:style>
  <w:style w:type="paragraph" w:customStyle="1" w:styleId="Tiret2">
    <w:name w:val="Tiret 2"/>
    <w:basedOn w:val="Point2"/>
    <w:rsid w:val="003417DF"/>
    <w:pPr>
      <w:numPr>
        <w:numId w:val="14"/>
      </w:numPr>
    </w:pPr>
  </w:style>
  <w:style w:type="paragraph" w:customStyle="1" w:styleId="Tiret3">
    <w:name w:val="Tiret 3"/>
    <w:basedOn w:val="Point3"/>
    <w:rsid w:val="003417DF"/>
    <w:pPr>
      <w:numPr>
        <w:numId w:val="15"/>
      </w:numPr>
    </w:pPr>
  </w:style>
  <w:style w:type="paragraph" w:customStyle="1" w:styleId="Tiret4">
    <w:name w:val="Tiret 4"/>
    <w:basedOn w:val="Point4"/>
    <w:rsid w:val="003417DF"/>
    <w:pPr>
      <w:numPr>
        <w:numId w:val="16"/>
      </w:numPr>
    </w:pPr>
  </w:style>
  <w:style w:type="paragraph" w:customStyle="1" w:styleId="PointDouble0">
    <w:name w:val="PointDouble 0"/>
    <w:basedOn w:val="Normal"/>
    <w:rsid w:val="003417DF"/>
    <w:pPr>
      <w:tabs>
        <w:tab w:val="left" w:pos="850"/>
      </w:tabs>
      <w:spacing w:before="120" w:after="120" w:line="240" w:lineRule="auto"/>
      <w:ind w:left="1417" w:hanging="1417"/>
      <w:jc w:val="both"/>
    </w:pPr>
    <w:rPr>
      <w:rFonts w:ascii="Times New Roman" w:hAnsi="Times New Roman"/>
      <w:sz w:val="24"/>
    </w:rPr>
  </w:style>
  <w:style w:type="paragraph" w:customStyle="1" w:styleId="PointDouble1">
    <w:name w:val="PointDouble 1"/>
    <w:basedOn w:val="Normal"/>
    <w:rsid w:val="003417DF"/>
    <w:pPr>
      <w:tabs>
        <w:tab w:val="left" w:pos="1417"/>
      </w:tabs>
      <w:spacing w:before="120" w:after="120" w:line="240" w:lineRule="auto"/>
      <w:ind w:left="1984" w:hanging="1134"/>
      <w:jc w:val="both"/>
    </w:pPr>
    <w:rPr>
      <w:rFonts w:ascii="Times New Roman" w:hAnsi="Times New Roman"/>
      <w:sz w:val="24"/>
    </w:rPr>
  </w:style>
  <w:style w:type="paragraph" w:customStyle="1" w:styleId="PointDouble2">
    <w:name w:val="PointDouble 2"/>
    <w:basedOn w:val="Normal"/>
    <w:rsid w:val="003417DF"/>
    <w:pPr>
      <w:tabs>
        <w:tab w:val="left" w:pos="1984"/>
      </w:tabs>
      <w:spacing w:before="120" w:after="120" w:line="240" w:lineRule="auto"/>
      <w:ind w:left="2551" w:hanging="1134"/>
      <w:jc w:val="both"/>
    </w:pPr>
    <w:rPr>
      <w:rFonts w:ascii="Times New Roman" w:hAnsi="Times New Roman"/>
      <w:sz w:val="24"/>
    </w:rPr>
  </w:style>
  <w:style w:type="paragraph" w:customStyle="1" w:styleId="PointDouble3">
    <w:name w:val="PointDouble 3"/>
    <w:basedOn w:val="Normal"/>
    <w:rsid w:val="003417DF"/>
    <w:pPr>
      <w:tabs>
        <w:tab w:val="left" w:pos="2551"/>
      </w:tabs>
      <w:spacing w:before="120" w:after="120" w:line="240" w:lineRule="auto"/>
      <w:ind w:left="3118" w:hanging="1134"/>
      <w:jc w:val="both"/>
    </w:pPr>
    <w:rPr>
      <w:rFonts w:ascii="Times New Roman" w:hAnsi="Times New Roman"/>
      <w:sz w:val="24"/>
    </w:rPr>
  </w:style>
  <w:style w:type="paragraph" w:customStyle="1" w:styleId="PointDouble4">
    <w:name w:val="PointDouble 4"/>
    <w:basedOn w:val="Normal"/>
    <w:rsid w:val="003417DF"/>
    <w:pPr>
      <w:tabs>
        <w:tab w:val="left" w:pos="3118"/>
      </w:tabs>
      <w:spacing w:before="120" w:after="120" w:line="240" w:lineRule="auto"/>
      <w:ind w:left="3685" w:hanging="1134"/>
      <w:jc w:val="both"/>
    </w:pPr>
    <w:rPr>
      <w:rFonts w:ascii="Times New Roman" w:hAnsi="Times New Roman"/>
      <w:sz w:val="24"/>
    </w:rPr>
  </w:style>
  <w:style w:type="paragraph" w:customStyle="1" w:styleId="PointTriple0">
    <w:name w:val="PointTriple 0"/>
    <w:basedOn w:val="Normal"/>
    <w:rsid w:val="003417DF"/>
    <w:pPr>
      <w:tabs>
        <w:tab w:val="left" w:pos="850"/>
        <w:tab w:val="left" w:pos="1417"/>
      </w:tabs>
      <w:spacing w:before="120" w:after="120" w:line="240" w:lineRule="auto"/>
      <w:ind w:left="1984" w:hanging="1984"/>
      <w:jc w:val="both"/>
    </w:pPr>
    <w:rPr>
      <w:rFonts w:ascii="Times New Roman" w:hAnsi="Times New Roman"/>
      <w:sz w:val="24"/>
    </w:rPr>
  </w:style>
  <w:style w:type="paragraph" w:customStyle="1" w:styleId="PointTriple1">
    <w:name w:val="PointTriple 1"/>
    <w:basedOn w:val="Normal"/>
    <w:rsid w:val="003417DF"/>
    <w:pPr>
      <w:tabs>
        <w:tab w:val="left" w:pos="1417"/>
        <w:tab w:val="left" w:pos="1984"/>
      </w:tabs>
      <w:spacing w:before="120" w:after="120" w:line="240" w:lineRule="auto"/>
      <w:ind w:left="2551" w:hanging="1701"/>
      <w:jc w:val="both"/>
    </w:pPr>
    <w:rPr>
      <w:rFonts w:ascii="Times New Roman" w:hAnsi="Times New Roman"/>
      <w:sz w:val="24"/>
    </w:rPr>
  </w:style>
  <w:style w:type="paragraph" w:customStyle="1" w:styleId="PointTriple2">
    <w:name w:val="PointTriple 2"/>
    <w:basedOn w:val="Normal"/>
    <w:rsid w:val="003417DF"/>
    <w:pPr>
      <w:tabs>
        <w:tab w:val="left" w:pos="1984"/>
        <w:tab w:val="left" w:pos="2551"/>
      </w:tabs>
      <w:spacing w:before="120" w:after="120" w:line="240" w:lineRule="auto"/>
      <w:ind w:left="3118" w:hanging="1701"/>
      <w:jc w:val="both"/>
    </w:pPr>
    <w:rPr>
      <w:rFonts w:ascii="Times New Roman" w:hAnsi="Times New Roman"/>
      <w:sz w:val="24"/>
    </w:rPr>
  </w:style>
  <w:style w:type="paragraph" w:customStyle="1" w:styleId="PointTriple3">
    <w:name w:val="PointTriple 3"/>
    <w:basedOn w:val="Normal"/>
    <w:rsid w:val="003417DF"/>
    <w:pPr>
      <w:tabs>
        <w:tab w:val="left" w:pos="2551"/>
        <w:tab w:val="left" w:pos="3118"/>
      </w:tabs>
      <w:spacing w:before="120" w:after="120" w:line="240" w:lineRule="auto"/>
      <w:ind w:left="3685" w:hanging="1701"/>
      <w:jc w:val="both"/>
    </w:pPr>
    <w:rPr>
      <w:rFonts w:ascii="Times New Roman" w:hAnsi="Times New Roman"/>
      <w:sz w:val="24"/>
    </w:rPr>
  </w:style>
  <w:style w:type="paragraph" w:customStyle="1" w:styleId="PointTriple4">
    <w:name w:val="PointTriple 4"/>
    <w:basedOn w:val="Normal"/>
    <w:rsid w:val="003417DF"/>
    <w:pPr>
      <w:tabs>
        <w:tab w:val="left" w:pos="3118"/>
        <w:tab w:val="left" w:pos="3685"/>
      </w:tabs>
      <w:spacing w:before="120" w:after="120" w:line="240" w:lineRule="auto"/>
      <w:ind w:left="4252" w:hanging="1701"/>
      <w:jc w:val="both"/>
    </w:pPr>
    <w:rPr>
      <w:rFonts w:ascii="Times New Roman" w:hAnsi="Times New Roman"/>
      <w:sz w:val="24"/>
    </w:rPr>
  </w:style>
  <w:style w:type="paragraph" w:customStyle="1" w:styleId="NumPar1">
    <w:name w:val="NumPar 1"/>
    <w:basedOn w:val="Normal"/>
    <w:next w:val="Text1"/>
    <w:rsid w:val="003417DF"/>
    <w:pPr>
      <w:numPr>
        <w:numId w:val="5"/>
      </w:numPr>
      <w:spacing w:before="120" w:after="120" w:line="240" w:lineRule="auto"/>
      <w:jc w:val="both"/>
    </w:pPr>
    <w:rPr>
      <w:rFonts w:ascii="Times New Roman" w:hAnsi="Times New Roman"/>
      <w:sz w:val="24"/>
    </w:rPr>
  </w:style>
  <w:style w:type="paragraph" w:customStyle="1" w:styleId="NumPar2">
    <w:name w:val="NumPar 2"/>
    <w:basedOn w:val="Normal"/>
    <w:next w:val="Text1"/>
    <w:rsid w:val="003417DF"/>
    <w:pPr>
      <w:numPr>
        <w:ilvl w:val="1"/>
        <w:numId w:val="5"/>
      </w:numPr>
      <w:spacing w:before="120" w:after="120" w:line="240" w:lineRule="auto"/>
      <w:jc w:val="both"/>
    </w:pPr>
    <w:rPr>
      <w:rFonts w:ascii="Times New Roman" w:hAnsi="Times New Roman"/>
      <w:sz w:val="24"/>
    </w:rPr>
  </w:style>
  <w:style w:type="paragraph" w:customStyle="1" w:styleId="NumPar3">
    <w:name w:val="NumPar 3"/>
    <w:basedOn w:val="Normal"/>
    <w:next w:val="Text1"/>
    <w:rsid w:val="003417DF"/>
    <w:pPr>
      <w:numPr>
        <w:ilvl w:val="2"/>
        <w:numId w:val="5"/>
      </w:numPr>
      <w:spacing w:before="120" w:after="120" w:line="240" w:lineRule="auto"/>
      <w:jc w:val="both"/>
    </w:pPr>
    <w:rPr>
      <w:rFonts w:ascii="Times New Roman" w:hAnsi="Times New Roman"/>
      <w:sz w:val="24"/>
    </w:rPr>
  </w:style>
  <w:style w:type="paragraph" w:customStyle="1" w:styleId="NumPar4">
    <w:name w:val="NumPar 4"/>
    <w:basedOn w:val="Normal"/>
    <w:next w:val="Text1"/>
    <w:rsid w:val="003417DF"/>
    <w:pPr>
      <w:numPr>
        <w:ilvl w:val="3"/>
        <w:numId w:val="5"/>
      </w:numPr>
      <w:spacing w:before="120" w:after="120" w:line="240" w:lineRule="auto"/>
      <w:jc w:val="both"/>
    </w:pPr>
    <w:rPr>
      <w:rFonts w:ascii="Times New Roman" w:hAnsi="Times New Roman"/>
      <w:sz w:val="24"/>
    </w:rPr>
  </w:style>
  <w:style w:type="paragraph" w:customStyle="1" w:styleId="ManualNumPar1">
    <w:name w:val="Manual NumPar 1"/>
    <w:basedOn w:val="Normal"/>
    <w:next w:val="Text1"/>
    <w:rsid w:val="003417DF"/>
    <w:pPr>
      <w:spacing w:before="120" w:after="120" w:line="240" w:lineRule="auto"/>
      <w:ind w:left="850" w:hanging="850"/>
      <w:jc w:val="both"/>
    </w:pPr>
    <w:rPr>
      <w:rFonts w:ascii="Times New Roman" w:hAnsi="Times New Roman"/>
      <w:sz w:val="24"/>
    </w:rPr>
  </w:style>
  <w:style w:type="paragraph" w:customStyle="1" w:styleId="ManualNumPar2">
    <w:name w:val="Manual NumPar 2"/>
    <w:basedOn w:val="Normal"/>
    <w:next w:val="Text1"/>
    <w:rsid w:val="003417DF"/>
    <w:pPr>
      <w:spacing w:before="120" w:after="120" w:line="240" w:lineRule="auto"/>
      <w:ind w:left="850" w:hanging="850"/>
      <w:jc w:val="both"/>
    </w:pPr>
    <w:rPr>
      <w:rFonts w:ascii="Times New Roman" w:hAnsi="Times New Roman"/>
      <w:sz w:val="24"/>
    </w:rPr>
  </w:style>
  <w:style w:type="paragraph" w:customStyle="1" w:styleId="ManualNumPar3">
    <w:name w:val="Manual NumPar 3"/>
    <w:basedOn w:val="Normal"/>
    <w:next w:val="Text1"/>
    <w:rsid w:val="003417DF"/>
    <w:pPr>
      <w:spacing w:before="120" w:after="120" w:line="240" w:lineRule="auto"/>
      <w:ind w:left="850" w:hanging="850"/>
      <w:jc w:val="both"/>
    </w:pPr>
    <w:rPr>
      <w:rFonts w:ascii="Times New Roman" w:hAnsi="Times New Roman"/>
      <w:sz w:val="24"/>
    </w:rPr>
  </w:style>
  <w:style w:type="paragraph" w:customStyle="1" w:styleId="ManualNumPar4">
    <w:name w:val="Manual NumPar 4"/>
    <w:basedOn w:val="Normal"/>
    <w:next w:val="Text1"/>
    <w:rsid w:val="003417DF"/>
    <w:pPr>
      <w:spacing w:before="120" w:after="120" w:line="240" w:lineRule="auto"/>
      <w:ind w:left="850" w:hanging="850"/>
      <w:jc w:val="both"/>
    </w:pPr>
    <w:rPr>
      <w:rFonts w:ascii="Times New Roman" w:hAnsi="Times New Roman"/>
      <w:sz w:val="24"/>
    </w:rPr>
  </w:style>
  <w:style w:type="paragraph" w:customStyle="1" w:styleId="QuotedNumPar">
    <w:name w:val="Quoted NumPar"/>
    <w:basedOn w:val="Normal"/>
    <w:rsid w:val="003417DF"/>
    <w:pPr>
      <w:spacing w:before="120" w:after="120" w:line="240" w:lineRule="auto"/>
      <w:ind w:left="1417" w:hanging="567"/>
      <w:jc w:val="both"/>
    </w:pPr>
    <w:rPr>
      <w:rFonts w:ascii="Times New Roman" w:hAnsi="Times New Roman"/>
      <w:sz w:val="24"/>
    </w:rPr>
  </w:style>
  <w:style w:type="paragraph" w:customStyle="1" w:styleId="ManualHeading1">
    <w:name w:val="Manual Heading 1"/>
    <w:basedOn w:val="Normal"/>
    <w:next w:val="Text1"/>
    <w:rsid w:val="003417DF"/>
    <w:pPr>
      <w:keepNext/>
      <w:tabs>
        <w:tab w:val="left" w:pos="850"/>
      </w:tabs>
      <w:spacing w:before="360" w:after="120" w:line="240" w:lineRule="auto"/>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rsid w:val="003417DF"/>
    <w:pPr>
      <w:keepNext/>
      <w:tabs>
        <w:tab w:val="left" w:pos="850"/>
      </w:tabs>
      <w:spacing w:before="120" w:after="120" w:line="240" w:lineRule="auto"/>
      <w:ind w:left="850" w:hanging="850"/>
      <w:jc w:val="both"/>
      <w:outlineLvl w:val="1"/>
    </w:pPr>
    <w:rPr>
      <w:rFonts w:ascii="Times New Roman" w:hAnsi="Times New Roman"/>
      <w:b/>
      <w:sz w:val="24"/>
    </w:rPr>
  </w:style>
  <w:style w:type="paragraph" w:customStyle="1" w:styleId="ManualHeading3">
    <w:name w:val="Manual Heading 3"/>
    <w:basedOn w:val="Normal"/>
    <w:next w:val="Text1"/>
    <w:rsid w:val="003417DF"/>
    <w:pPr>
      <w:keepNext/>
      <w:tabs>
        <w:tab w:val="left" w:pos="850"/>
      </w:tabs>
      <w:spacing w:before="120" w:after="120" w:line="240" w:lineRule="auto"/>
      <w:ind w:left="850" w:hanging="850"/>
      <w:jc w:val="both"/>
      <w:outlineLvl w:val="2"/>
    </w:pPr>
    <w:rPr>
      <w:rFonts w:ascii="Times New Roman" w:hAnsi="Times New Roman"/>
      <w:i/>
      <w:sz w:val="24"/>
    </w:rPr>
  </w:style>
  <w:style w:type="paragraph" w:customStyle="1" w:styleId="ManualHeading4">
    <w:name w:val="Manual Heading 4"/>
    <w:basedOn w:val="Normal"/>
    <w:next w:val="Text1"/>
    <w:rsid w:val="003417DF"/>
    <w:pPr>
      <w:keepNext/>
      <w:tabs>
        <w:tab w:val="left" w:pos="850"/>
      </w:tabs>
      <w:spacing w:before="120" w:after="120" w:line="240" w:lineRule="auto"/>
      <w:ind w:left="850" w:hanging="850"/>
      <w:jc w:val="both"/>
      <w:outlineLvl w:val="3"/>
    </w:pPr>
    <w:rPr>
      <w:rFonts w:ascii="Times New Roman" w:hAnsi="Times New Roman"/>
      <w:sz w:val="24"/>
    </w:rPr>
  </w:style>
  <w:style w:type="paragraph" w:customStyle="1" w:styleId="ChapterTitle">
    <w:name w:val="ChapterTitle"/>
    <w:basedOn w:val="Normal"/>
    <w:next w:val="Normal"/>
    <w:rsid w:val="003417DF"/>
    <w:pPr>
      <w:keepNext/>
      <w:spacing w:before="120" w:after="360" w:line="240" w:lineRule="auto"/>
      <w:jc w:val="center"/>
    </w:pPr>
    <w:rPr>
      <w:rFonts w:ascii="Times New Roman" w:hAnsi="Times New Roman"/>
      <w:b/>
      <w:sz w:val="32"/>
    </w:rPr>
  </w:style>
  <w:style w:type="paragraph" w:customStyle="1" w:styleId="PartTitle">
    <w:name w:val="PartTitle"/>
    <w:basedOn w:val="Normal"/>
    <w:next w:val="ChapterTitle"/>
    <w:rsid w:val="003417DF"/>
    <w:pPr>
      <w:keepNext/>
      <w:pageBreakBefore/>
      <w:spacing w:before="120" w:after="360" w:line="240" w:lineRule="auto"/>
      <w:jc w:val="center"/>
    </w:pPr>
    <w:rPr>
      <w:rFonts w:ascii="Times New Roman" w:hAnsi="Times New Roman"/>
      <w:b/>
      <w:sz w:val="36"/>
    </w:rPr>
  </w:style>
  <w:style w:type="paragraph" w:customStyle="1" w:styleId="SectionTitle">
    <w:name w:val="SectionTitle"/>
    <w:basedOn w:val="Normal"/>
    <w:next w:val="Heading1"/>
    <w:rsid w:val="003417DF"/>
    <w:pPr>
      <w:keepNext/>
      <w:spacing w:before="120" w:after="360" w:line="240" w:lineRule="auto"/>
      <w:jc w:val="center"/>
    </w:pPr>
    <w:rPr>
      <w:rFonts w:ascii="Times New Roman" w:hAnsi="Times New Roman"/>
      <w:b/>
      <w:smallCaps/>
      <w:sz w:val="28"/>
    </w:rPr>
  </w:style>
  <w:style w:type="paragraph" w:customStyle="1" w:styleId="TableTitle">
    <w:name w:val="Table Title"/>
    <w:basedOn w:val="Normal"/>
    <w:next w:val="Normal"/>
    <w:rsid w:val="003417DF"/>
    <w:pPr>
      <w:spacing w:before="120" w:after="120" w:line="240" w:lineRule="auto"/>
      <w:jc w:val="center"/>
    </w:pPr>
    <w:rPr>
      <w:rFonts w:ascii="Times New Roman" w:hAnsi="Times New Roman"/>
      <w:b/>
      <w:sz w:val="24"/>
    </w:rPr>
  </w:style>
  <w:style w:type="character" w:customStyle="1" w:styleId="Marker">
    <w:name w:val="Marker"/>
    <w:basedOn w:val="DefaultParagraphFont"/>
    <w:rsid w:val="00AF06B1"/>
    <w:rPr>
      <w:color w:val="0000FF"/>
      <w:shd w:val="clear" w:color="auto" w:fill="auto"/>
    </w:rPr>
  </w:style>
  <w:style w:type="character" w:customStyle="1" w:styleId="Marker1">
    <w:name w:val="Marker1"/>
    <w:rsid w:val="003417DF"/>
    <w:rPr>
      <w:color w:val="008000"/>
      <w:shd w:val="clear" w:color="auto" w:fill="auto"/>
    </w:rPr>
  </w:style>
  <w:style w:type="character" w:customStyle="1" w:styleId="Marker2">
    <w:name w:val="Marker2"/>
    <w:rsid w:val="003417DF"/>
    <w:rPr>
      <w:color w:val="FF0000"/>
      <w:shd w:val="clear" w:color="auto" w:fill="auto"/>
    </w:rPr>
  </w:style>
  <w:style w:type="paragraph" w:customStyle="1" w:styleId="Point0number">
    <w:name w:val="Point 0 (number)"/>
    <w:basedOn w:val="Normal"/>
    <w:rsid w:val="003417DF"/>
    <w:pPr>
      <w:numPr>
        <w:numId w:val="19"/>
      </w:numPr>
      <w:spacing w:before="120" w:after="120" w:line="240" w:lineRule="auto"/>
      <w:jc w:val="both"/>
    </w:pPr>
    <w:rPr>
      <w:rFonts w:ascii="Times New Roman" w:hAnsi="Times New Roman"/>
      <w:sz w:val="24"/>
    </w:rPr>
  </w:style>
  <w:style w:type="paragraph" w:customStyle="1" w:styleId="Point1number">
    <w:name w:val="Point 1 (number)"/>
    <w:basedOn w:val="Normal"/>
    <w:rsid w:val="003417DF"/>
    <w:pPr>
      <w:numPr>
        <w:ilvl w:val="2"/>
        <w:numId w:val="19"/>
      </w:numPr>
      <w:spacing w:before="120" w:after="120" w:line="240" w:lineRule="auto"/>
      <w:jc w:val="both"/>
    </w:pPr>
    <w:rPr>
      <w:rFonts w:ascii="Times New Roman" w:hAnsi="Times New Roman"/>
      <w:sz w:val="24"/>
    </w:rPr>
  </w:style>
  <w:style w:type="paragraph" w:customStyle="1" w:styleId="Point2number">
    <w:name w:val="Point 2 (number)"/>
    <w:basedOn w:val="Normal"/>
    <w:rsid w:val="003417DF"/>
    <w:pPr>
      <w:numPr>
        <w:ilvl w:val="4"/>
        <w:numId w:val="19"/>
      </w:numPr>
      <w:spacing w:before="120" w:after="120" w:line="240" w:lineRule="auto"/>
      <w:jc w:val="both"/>
    </w:pPr>
    <w:rPr>
      <w:rFonts w:ascii="Times New Roman" w:hAnsi="Times New Roman"/>
      <w:sz w:val="24"/>
    </w:rPr>
  </w:style>
  <w:style w:type="paragraph" w:customStyle="1" w:styleId="Point3number">
    <w:name w:val="Point 3 (number)"/>
    <w:basedOn w:val="Normal"/>
    <w:rsid w:val="003417DF"/>
    <w:pPr>
      <w:numPr>
        <w:ilvl w:val="6"/>
        <w:numId w:val="19"/>
      </w:numPr>
      <w:spacing w:before="120" w:after="120" w:line="240" w:lineRule="auto"/>
      <w:jc w:val="both"/>
    </w:pPr>
    <w:rPr>
      <w:rFonts w:ascii="Times New Roman" w:hAnsi="Times New Roman"/>
      <w:sz w:val="24"/>
    </w:rPr>
  </w:style>
  <w:style w:type="paragraph" w:customStyle="1" w:styleId="Point0letter">
    <w:name w:val="Point 0 (letter)"/>
    <w:basedOn w:val="Normal"/>
    <w:rsid w:val="003417DF"/>
    <w:pPr>
      <w:numPr>
        <w:ilvl w:val="1"/>
        <w:numId w:val="19"/>
      </w:numPr>
      <w:spacing w:before="120" w:after="120" w:line="240" w:lineRule="auto"/>
      <w:jc w:val="both"/>
    </w:pPr>
    <w:rPr>
      <w:rFonts w:ascii="Times New Roman" w:hAnsi="Times New Roman"/>
      <w:sz w:val="24"/>
    </w:rPr>
  </w:style>
  <w:style w:type="paragraph" w:customStyle="1" w:styleId="Point1letter">
    <w:name w:val="Point 1 (letter)"/>
    <w:basedOn w:val="Normal"/>
    <w:rsid w:val="003417DF"/>
    <w:pPr>
      <w:numPr>
        <w:ilvl w:val="3"/>
        <w:numId w:val="19"/>
      </w:numPr>
      <w:spacing w:before="120" w:after="120" w:line="240" w:lineRule="auto"/>
      <w:jc w:val="both"/>
    </w:pPr>
    <w:rPr>
      <w:rFonts w:ascii="Times New Roman" w:hAnsi="Times New Roman"/>
      <w:sz w:val="24"/>
    </w:rPr>
  </w:style>
  <w:style w:type="paragraph" w:customStyle="1" w:styleId="Point2letter">
    <w:name w:val="Point 2 (letter)"/>
    <w:basedOn w:val="Normal"/>
    <w:rsid w:val="003417DF"/>
    <w:pPr>
      <w:numPr>
        <w:ilvl w:val="5"/>
        <w:numId w:val="19"/>
      </w:numPr>
      <w:spacing w:before="120" w:after="120" w:line="240" w:lineRule="auto"/>
      <w:jc w:val="both"/>
    </w:pPr>
    <w:rPr>
      <w:rFonts w:ascii="Times New Roman" w:hAnsi="Times New Roman"/>
      <w:sz w:val="24"/>
    </w:rPr>
  </w:style>
  <w:style w:type="paragraph" w:customStyle="1" w:styleId="Point3letter">
    <w:name w:val="Point 3 (letter)"/>
    <w:basedOn w:val="Normal"/>
    <w:rsid w:val="003417DF"/>
    <w:pPr>
      <w:numPr>
        <w:ilvl w:val="7"/>
        <w:numId w:val="19"/>
      </w:numPr>
      <w:spacing w:before="120" w:after="120" w:line="240" w:lineRule="auto"/>
      <w:jc w:val="both"/>
    </w:pPr>
    <w:rPr>
      <w:rFonts w:ascii="Times New Roman" w:hAnsi="Times New Roman"/>
      <w:sz w:val="24"/>
    </w:rPr>
  </w:style>
  <w:style w:type="paragraph" w:customStyle="1" w:styleId="Point4letter">
    <w:name w:val="Point 4 (letter)"/>
    <w:basedOn w:val="Normal"/>
    <w:rsid w:val="003417DF"/>
    <w:pPr>
      <w:numPr>
        <w:ilvl w:val="8"/>
        <w:numId w:val="19"/>
      </w:numPr>
      <w:spacing w:before="120" w:after="120" w:line="240" w:lineRule="auto"/>
      <w:jc w:val="both"/>
    </w:pPr>
    <w:rPr>
      <w:rFonts w:ascii="Times New Roman" w:hAnsi="Times New Roman"/>
      <w:sz w:val="24"/>
    </w:rPr>
  </w:style>
  <w:style w:type="paragraph" w:customStyle="1" w:styleId="Bullet0">
    <w:name w:val="Bullet 0"/>
    <w:basedOn w:val="Normal"/>
    <w:rsid w:val="003417DF"/>
    <w:pPr>
      <w:numPr>
        <w:numId w:val="20"/>
      </w:numPr>
      <w:spacing w:before="120" w:after="120" w:line="240" w:lineRule="auto"/>
      <w:jc w:val="both"/>
    </w:pPr>
    <w:rPr>
      <w:rFonts w:ascii="Times New Roman" w:hAnsi="Times New Roman"/>
      <w:sz w:val="24"/>
    </w:rPr>
  </w:style>
  <w:style w:type="paragraph" w:customStyle="1" w:styleId="Bullet1">
    <w:name w:val="Bullet 1"/>
    <w:basedOn w:val="Normal"/>
    <w:rsid w:val="003417DF"/>
    <w:pPr>
      <w:numPr>
        <w:numId w:val="21"/>
      </w:numPr>
      <w:spacing w:before="120" w:after="120" w:line="240" w:lineRule="auto"/>
      <w:jc w:val="both"/>
    </w:pPr>
    <w:rPr>
      <w:rFonts w:ascii="Times New Roman" w:hAnsi="Times New Roman"/>
      <w:sz w:val="24"/>
    </w:rPr>
  </w:style>
  <w:style w:type="paragraph" w:customStyle="1" w:styleId="Bullet2">
    <w:name w:val="Bullet 2"/>
    <w:basedOn w:val="Normal"/>
    <w:rsid w:val="003417DF"/>
    <w:pPr>
      <w:numPr>
        <w:numId w:val="22"/>
      </w:numPr>
      <w:spacing w:before="120" w:after="120" w:line="240" w:lineRule="auto"/>
      <w:jc w:val="both"/>
    </w:pPr>
    <w:rPr>
      <w:rFonts w:ascii="Times New Roman" w:hAnsi="Times New Roman"/>
      <w:sz w:val="24"/>
    </w:rPr>
  </w:style>
  <w:style w:type="paragraph" w:customStyle="1" w:styleId="Bullet3">
    <w:name w:val="Bullet 3"/>
    <w:basedOn w:val="Normal"/>
    <w:rsid w:val="003417DF"/>
    <w:pPr>
      <w:numPr>
        <w:numId w:val="23"/>
      </w:numPr>
      <w:spacing w:before="120" w:after="120" w:line="240" w:lineRule="auto"/>
      <w:jc w:val="both"/>
    </w:pPr>
    <w:rPr>
      <w:rFonts w:ascii="Times New Roman" w:hAnsi="Times New Roman"/>
      <w:sz w:val="24"/>
    </w:rPr>
  </w:style>
  <w:style w:type="paragraph" w:customStyle="1" w:styleId="Bullet4">
    <w:name w:val="Bullet 4"/>
    <w:basedOn w:val="Normal"/>
    <w:rsid w:val="003417DF"/>
    <w:pPr>
      <w:numPr>
        <w:numId w:val="24"/>
      </w:numPr>
      <w:spacing w:before="120" w:after="120" w:line="240" w:lineRule="auto"/>
      <w:jc w:val="both"/>
    </w:pPr>
    <w:rPr>
      <w:rFonts w:ascii="Times New Roman" w:hAnsi="Times New Roman"/>
      <w:sz w:val="24"/>
    </w:rPr>
  </w:style>
  <w:style w:type="paragraph" w:customStyle="1" w:styleId="Langue">
    <w:name w:val="Langue"/>
    <w:basedOn w:val="Normal"/>
    <w:next w:val="Rfrenceinterne"/>
    <w:rsid w:val="003417DF"/>
    <w:pPr>
      <w:framePr w:wrap="around" w:vAnchor="page" w:hAnchor="text" w:xAlign="center" w:y="14741"/>
      <w:spacing w:after="600" w:line="240" w:lineRule="auto"/>
      <w:jc w:val="center"/>
    </w:pPr>
    <w:rPr>
      <w:rFonts w:ascii="Times New Roman" w:hAnsi="Times New Roman"/>
      <w:b/>
      <w:caps/>
      <w:sz w:val="24"/>
    </w:rPr>
  </w:style>
  <w:style w:type="paragraph" w:customStyle="1" w:styleId="Nomdelinstitution">
    <w:name w:val="Nom de l'institution"/>
    <w:basedOn w:val="Normal"/>
    <w:next w:val="Emission"/>
    <w:rsid w:val="003417DF"/>
    <w:pPr>
      <w:spacing w:after="0" w:line="240" w:lineRule="auto"/>
    </w:pPr>
    <w:rPr>
      <w:rFonts w:ascii="Arial" w:hAnsi="Arial" w:cs="Arial"/>
      <w:sz w:val="24"/>
    </w:rPr>
  </w:style>
  <w:style w:type="paragraph" w:customStyle="1" w:styleId="Emission">
    <w:name w:val="Emission"/>
    <w:basedOn w:val="Normal"/>
    <w:next w:val="Rfrenceinstitutionnelle"/>
    <w:rsid w:val="003417DF"/>
    <w:pPr>
      <w:spacing w:after="0" w:line="240" w:lineRule="auto"/>
      <w:ind w:left="5103"/>
    </w:pPr>
    <w:rPr>
      <w:rFonts w:ascii="Times New Roman" w:hAnsi="Times New Roman"/>
      <w:sz w:val="24"/>
    </w:rPr>
  </w:style>
  <w:style w:type="paragraph" w:customStyle="1" w:styleId="Rfrenceinstitutionnelle">
    <w:name w:val="Référence institutionnelle"/>
    <w:basedOn w:val="Normal"/>
    <w:next w:val="Confidentialit"/>
    <w:rsid w:val="003417DF"/>
    <w:pPr>
      <w:spacing w:after="240" w:line="240" w:lineRule="auto"/>
      <w:ind w:left="5103"/>
    </w:pPr>
    <w:rPr>
      <w:rFonts w:ascii="Times New Roman" w:hAnsi="Times New Roman"/>
      <w:sz w:val="24"/>
    </w:rPr>
  </w:style>
  <w:style w:type="paragraph" w:customStyle="1" w:styleId="Pagedecouverture">
    <w:name w:val="Page de couverture"/>
    <w:basedOn w:val="Normal"/>
    <w:next w:val="Normal"/>
    <w:rsid w:val="003417DF"/>
    <w:pPr>
      <w:spacing w:after="0" w:line="240" w:lineRule="auto"/>
      <w:jc w:val="both"/>
    </w:pPr>
    <w:rPr>
      <w:rFonts w:ascii="Times New Roman" w:hAnsi="Times New Roman"/>
      <w:sz w:val="24"/>
    </w:rPr>
  </w:style>
  <w:style w:type="paragraph" w:customStyle="1" w:styleId="Declassification">
    <w:name w:val="Declassification"/>
    <w:basedOn w:val="Normal"/>
    <w:next w:val="Normal"/>
    <w:rsid w:val="003417DF"/>
    <w:pPr>
      <w:spacing w:after="0" w:line="240" w:lineRule="auto"/>
      <w:jc w:val="both"/>
    </w:pPr>
    <w:rPr>
      <w:rFonts w:ascii="Times New Roman" w:hAnsi="Times New Roman"/>
      <w:sz w:val="24"/>
    </w:rPr>
  </w:style>
  <w:style w:type="paragraph" w:customStyle="1" w:styleId="Disclaimer">
    <w:name w:val="Disclaimer"/>
    <w:basedOn w:val="Normal"/>
    <w:rsid w:val="003417DF"/>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SecurityMarking">
    <w:name w:val="SecurityMarking"/>
    <w:basedOn w:val="Normal"/>
    <w:rsid w:val="003417DF"/>
    <w:pPr>
      <w:spacing w:after="0"/>
      <w:ind w:left="5103"/>
    </w:pPr>
    <w:rPr>
      <w:rFonts w:ascii="Times New Roman" w:hAnsi="Times New Roman"/>
      <w:sz w:val="28"/>
    </w:rPr>
  </w:style>
  <w:style w:type="paragraph" w:customStyle="1" w:styleId="DateMarking">
    <w:name w:val="DateMarking"/>
    <w:basedOn w:val="Normal"/>
    <w:rsid w:val="003417DF"/>
    <w:pPr>
      <w:spacing w:after="0"/>
      <w:ind w:left="5103"/>
    </w:pPr>
    <w:rPr>
      <w:rFonts w:ascii="Times New Roman" w:hAnsi="Times New Roman"/>
      <w:i/>
      <w:sz w:val="28"/>
    </w:rPr>
  </w:style>
  <w:style w:type="paragraph" w:customStyle="1" w:styleId="ReleasableTo">
    <w:name w:val="ReleasableTo"/>
    <w:basedOn w:val="Normal"/>
    <w:rsid w:val="003417DF"/>
    <w:pPr>
      <w:spacing w:after="0"/>
      <w:ind w:left="5103"/>
    </w:pPr>
    <w:rPr>
      <w:rFonts w:ascii="Times New Roman" w:hAnsi="Times New Roman"/>
      <w:i/>
      <w:sz w:val="28"/>
    </w:rPr>
  </w:style>
  <w:style w:type="paragraph" w:customStyle="1" w:styleId="Annexetitreexpos">
    <w:name w:val="Annexe titre (exposé)"/>
    <w:basedOn w:val="Normal"/>
    <w:next w:val="Normal"/>
    <w:rsid w:val="003417DF"/>
    <w:pPr>
      <w:spacing w:before="120" w:after="120" w:line="240" w:lineRule="auto"/>
      <w:jc w:val="center"/>
    </w:pPr>
    <w:rPr>
      <w:rFonts w:ascii="Times New Roman" w:hAnsi="Times New Roman"/>
      <w:b/>
      <w:sz w:val="24"/>
      <w:u w:val="single"/>
    </w:rPr>
  </w:style>
  <w:style w:type="paragraph" w:customStyle="1" w:styleId="Annexetitre">
    <w:name w:val="Annexe titre"/>
    <w:basedOn w:val="Normal"/>
    <w:next w:val="Normal"/>
    <w:rsid w:val="003417DF"/>
    <w:pPr>
      <w:spacing w:before="120" w:after="120" w:line="240" w:lineRule="auto"/>
      <w:jc w:val="center"/>
    </w:pPr>
    <w:rPr>
      <w:rFonts w:ascii="Times New Roman" w:hAnsi="Times New Roman"/>
      <w:b/>
      <w:sz w:val="24"/>
      <w:u w:val="single"/>
    </w:rPr>
  </w:style>
  <w:style w:type="paragraph" w:customStyle="1" w:styleId="Annexetitrefichefinancire">
    <w:name w:val="Annexe titre (fiche financière)"/>
    <w:basedOn w:val="Normal"/>
    <w:next w:val="Normal"/>
    <w:rsid w:val="003417DF"/>
    <w:pPr>
      <w:spacing w:before="120" w:after="120" w:line="240" w:lineRule="auto"/>
      <w:jc w:val="center"/>
    </w:pPr>
    <w:rPr>
      <w:rFonts w:ascii="Times New Roman" w:hAnsi="Times New Roman"/>
      <w:b/>
      <w:sz w:val="24"/>
      <w:u w:val="single"/>
    </w:rPr>
  </w:style>
  <w:style w:type="paragraph" w:customStyle="1" w:styleId="Applicationdirecte">
    <w:name w:val="Application directe"/>
    <w:basedOn w:val="Normal"/>
    <w:next w:val="Fait"/>
    <w:rsid w:val="003417DF"/>
    <w:pPr>
      <w:spacing w:before="480" w:after="120" w:line="240" w:lineRule="auto"/>
      <w:jc w:val="both"/>
    </w:pPr>
    <w:rPr>
      <w:rFonts w:ascii="Times New Roman" w:hAnsi="Times New Roman"/>
      <w:sz w:val="24"/>
    </w:rPr>
  </w:style>
  <w:style w:type="paragraph" w:customStyle="1" w:styleId="Avertissementtitre">
    <w:name w:val="Avertissement titre"/>
    <w:basedOn w:val="Normal"/>
    <w:next w:val="Normal"/>
    <w:rsid w:val="003417DF"/>
    <w:pPr>
      <w:keepNext/>
      <w:spacing w:before="480" w:after="120" w:line="240" w:lineRule="auto"/>
      <w:jc w:val="both"/>
    </w:pPr>
    <w:rPr>
      <w:rFonts w:ascii="Times New Roman" w:hAnsi="Times New Roman"/>
      <w:sz w:val="24"/>
      <w:u w:val="single"/>
    </w:rPr>
  </w:style>
  <w:style w:type="paragraph" w:customStyle="1" w:styleId="Confidence">
    <w:name w:val="Confidence"/>
    <w:basedOn w:val="Normal"/>
    <w:next w:val="Normal"/>
    <w:rsid w:val="003417DF"/>
    <w:pPr>
      <w:spacing w:before="360" w:after="120" w:line="240" w:lineRule="auto"/>
      <w:jc w:val="center"/>
    </w:pPr>
    <w:rPr>
      <w:rFonts w:ascii="Times New Roman" w:hAnsi="Times New Roman"/>
      <w:sz w:val="24"/>
    </w:rPr>
  </w:style>
  <w:style w:type="paragraph" w:customStyle="1" w:styleId="Confidentialit">
    <w:name w:val="Confidentialité"/>
    <w:basedOn w:val="Normal"/>
    <w:next w:val="TypedudocumentPagedecouverture"/>
    <w:rsid w:val="003417DF"/>
    <w:pPr>
      <w:spacing w:before="240" w:after="240" w:line="240" w:lineRule="auto"/>
      <w:ind w:left="5103"/>
    </w:pPr>
    <w:rPr>
      <w:rFonts w:ascii="Times New Roman" w:hAnsi="Times New Roman"/>
      <w:i/>
      <w:sz w:val="32"/>
    </w:rPr>
  </w:style>
  <w:style w:type="paragraph" w:customStyle="1" w:styleId="Considrant">
    <w:name w:val="Considérant"/>
    <w:basedOn w:val="Normal"/>
    <w:rsid w:val="003417DF"/>
    <w:pPr>
      <w:numPr>
        <w:numId w:val="25"/>
      </w:numPr>
      <w:spacing w:before="120" w:after="120" w:line="240" w:lineRule="auto"/>
      <w:jc w:val="both"/>
    </w:pPr>
    <w:rPr>
      <w:rFonts w:ascii="Times New Roman" w:hAnsi="Times New Roman"/>
      <w:sz w:val="24"/>
    </w:rPr>
  </w:style>
  <w:style w:type="paragraph" w:customStyle="1" w:styleId="Corrigendum">
    <w:name w:val="Corrigendum"/>
    <w:basedOn w:val="Normal"/>
    <w:next w:val="Normal"/>
    <w:rsid w:val="003417DF"/>
    <w:pPr>
      <w:spacing w:after="240" w:line="240" w:lineRule="auto"/>
    </w:pPr>
    <w:rPr>
      <w:rFonts w:ascii="Times New Roman" w:hAnsi="Times New Roman"/>
      <w:sz w:val="24"/>
    </w:rPr>
  </w:style>
  <w:style w:type="paragraph" w:customStyle="1" w:styleId="Datedadoption">
    <w:name w:val="Date d'adoption"/>
    <w:basedOn w:val="Normal"/>
    <w:next w:val="IntrtEEE"/>
    <w:rsid w:val="003417DF"/>
    <w:pPr>
      <w:spacing w:before="360" w:after="0" w:line="240" w:lineRule="auto"/>
      <w:jc w:val="center"/>
    </w:pPr>
    <w:rPr>
      <w:rFonts w:ascii="Times New Roman" w:hAnsi="Times New Roman"/>
      <w:b/>
      <w:sz w:val="24"/>
    </w:rPr>
  </w:style>
  <w:style w:type="paragraph" w:customStyle="1" w:styleId="Exposdesmotifstitre">
    <w:name w:val="Exposé des motifs titre"/>
    <w:basedOn w:val="Normal"/>
    <w:next w:val="Normal"/>
    <w:rsid w:val="003417DF"/>
    <w:pPr>
      <w:spacing w:before="120" w:after="120" w:line="240" w:lineRule="auto"/>
      <w:jc w:val="center"/>
    </w:pPr>
    <w:rPr>
      <w:rFonts w:ascii="Times New Roman" w:hAnsi="Times New Roman"/>
      <w:b/>
      <w:sz w:val="24"/>
      <w:u w:val="single"/>
    </w:rPr>
  </w:style>
  <w:style w:type="paragraph" w:customStyle="1" w:styleId="Fait">
    <w:name w:val="Fait à"/>
    <w:basedOn w:val="Normal"/>
    <w:next w:val="Institutionquisigne"/>
    <w:rsid w:val="003417DF"/>
    <w:pPr>
      <w:keepNext/>
      <w:spacing w:before="120" w:after="0" w:line="240" w:lineRule="auto"/>
      <w:jc w:val="both"/>
    </w:pPr>
    <w:rPr>
      <w:rFonts w:ascii="Times New Roman" w:hAnsi="Times New Roman"/>
      <w:sz w:val="24"/>
    </w:rPr>
  </w:style>
  <w:style w:type="paragraph" w:customStyle="1" w:styleId="Formuledadoption">
    <w:name w:val="Formule d'adoption"/>
    <w:basedOn w:val="Normal"/>
    <w:next w:val="Titrearticle"/>
    <w:rsid w:val="003417DF"/>
    <w:pPr>
      <w:keepNext/>
      <w:spacing w:before="120" w:after="120" w:line="240" w:lineRule="auto"/>
      <w:jc w:val="both"/>
    </w:pPr>
    <w:rPr>
      <w:rFonts w:ascii="Times New Roman" w:hAnsi="Times New Roman"/>
      <w:sz w:val="24"/>
    </w:rPr>
  </w:style>
  <w:style w:type="paragraph" w:customStyle="1" w:styleId="Institutionquiagit">
    <w:name w:val="Institution qui agit"/>
    <w:basedOn w:val="Normal"/>
    <w:next w:val="Normal"/>
    <w:rsid w:val="003417DF"/>
    <w:pPr>
      <w:keepNext/>
      <w:spacing w:before="600" w:after="120" w:line="240" w:lineRule="auto"/>
      <w:jc w:val="both"/>
    </w:pPr>
    <w:rPr>
      <w:rFonts w:ascii="Times New Roman" w:hAnsi="Times New Roman"/>
      <w:sz w:val="24"/>
    </w:rPr>
  </w:style>
  <w:style w:type="paragraph" w:customStyle="1" w:styleId="Institutionquisigne">
    <w:name w:val="Institution qui signe"/>
    <w:basedOn w:val="Normal"/>
    <w:next w:val="Personnequisigne"/>
    <w:rsid w:val="003417DF"/>
    <w:pPr>
      <w:keepNext/>
      <w:tabs>
        <w:tab w:val="left" w:pos="4252"/>
      </w:tabs>
      <w:spacing w:before="720" w:after="0" w:line="240" w:lineRule="auto"/>
      <w:jc w:val="both"/>
    </w:pPr>
    <w:rPr>
      <w:rFonts w:ascii="Times New Roman" w:hAnsi="Times New Roman"/>
      <w:i/>
      <w:sz w:val="24"/>
    </w:rPr>
  </w:style>
  <w:style w:type="paragraph" w:customStyle="1" w:styleId="ManualConsidrant">
    <w:name w:val="Manual Considérant"/>
    <w:basedOn w:val="Normal"/>
    <w:rsid w:val="003417DF"/>
    <w:pPr>
      <w:spacing w:before="120" w:after="120" w:line="240" w:lineRule="auto"/>
      <w:ind w:left="709" w:hanging="709"/>
      <w:jc w:val="both"/>
    </w:pPr>
    <w:rPr>
      <w:rFonts w:ascii="Times New Roman" w:hAnsi="Times New Roman"/>
      <w:sz w:val="24"/>
    </w:rPr>
  </w:style>
  <w:style w:type="paragraph" w:customStyle="1" w:styleId="Personnequisigne">
    <w:name w:val="Personne qui signe"/>
    <w:basedOn w:val="Normal"/>
    <w:next w:val="Institutionquisigne"/>
    <w:rsid w:val="003417DF"/>
    <w:pPr>
      <w:tabs>
        <w:tab w:val="left" w:pos="4252"/>
      </w:tabs>
      <w:spacing w:after="0" w:line="240" w:lineRule="auto"/>
    </w:pPr>
    <w:rPr>
      <w:rFonts w:ascii="Times New Roman" w:hAnsi="Times New Roman"/>
      <w:i/>
      <w:sz w:val="24"/>
    </w:rPr>
  </w:style>
  <w:style w:type="paragraph" w:customStyle="1" w:styleId="Rfrenceinterinstitutionnelle">
    <w:name w:val="Référence interinstitutionnelle"/>
    <w:basedOn w:val="Normal"/>
    <w:next w:val="Statut"/>
    <w:rsid w:val="003417DF"/>
    <w:pPr>
      <w:spacing w:after="0" w:line="240" w:lineRule="auto"/>
      <w:ind w:left="5103"/>
    </w:pPr>
    <w:rPr>
      <w:rFonts w:ascii="Times New Roman" w:hAnsi="Times New Roman"/>
      <w:sz w:val="24"/>
    </w:rPr>
  </w:style>
  <w:style w:type="paragraph" w:customStyle="1" w:styleId="Rfrenceinterne">
    <w:name w:val="Référence interne"/>
    <w:basedOn w:val="Normal"/>
    <w:next w:val="Rfrenceinterinstitutionnelle"/>
    <w:rsid w:val="003417DF"/>
    <w:pPr>
      <w:spacing w:after="0" w:line="240" w:lineRule="auto"/>
      <w:ind w:left="5103"/>
    </w:pPr>
    <w:rPr>
      <w:rFonts w:ascii="Times New Roman" w:hAnsi="Times New Roman"/>
      <w:sz w:val="24"/>
    </w:rPr>
  </w:style>
  <w:style w:type="paragraph" w:customStyle="1" w:styleId="Statut">
    <w:name w:val="Statut"/>
    <w:basedOn w:val="Normal"/>
    <w:next w:val="Typedudocument"/>
    <w:rsid w:val="003417DF"/>
    <w:pPr>
      <w:spacing w:after="240" w:line="240" w:lineRule="auto"/>
      <w:jc w:val="center"/>
    </w:pPr>
    <w:rPr>
      <w:rFonts w:ascii="Times New Roman" w:hAnsi="Times New Roman"/>
      <w:sz w:val="24"/>
    </w:rPr>
  </w:style>
  <w:style w:type="paragraph" w:customStyle="1" w:styleId="Titrearticle">
    <w:name w:val="Titre article"/>
    <w:basedOn w:val="Normal"/>
    <w:next w:val="Normal"/>
    <w:rsid w:val="003417DF"/>
    <w:pPr>
      <w:keepNext/>
      <w:spacing w:before="360" w:after="120" w:line="240" w:lineRule="auto"/>
      <w:jc w:val="center"/>
    </w:pPr>
    <w:rPr>
      <w:rFonts w:ascii="Times New Roman" w:hAnsi="Times New Roman"/>
      <w:i/>
      <w:sz w:val="24"/>
    </w:rPr>
  </w:style>
  <w:style w:type="paragraph" w:customStyle="1" w:styleId="Typedudocument">
    <w:name w:val="Type du document"/>
    <w:basedOn w:val="Normal"/>
    <w:next w:val="Accompagnant"/>
    <w:rsid w:val="003417DF"/>
    <w:pPr>
      <w:spacing w:before="360" w:after="180" w:line="240" w:lineRule="auto"/>
      <w:jc w:val="center"/>
    </w:pPr>
    <w:rPr>
      <w:rFonts w:ascii="Times New Roman" w:hAnsi="Times New Roman"/>
      <w:b/>
      <w:sz w:val="24"/>
    </w:rPr>
  </w:style>
  <w:style w:type="character" w:customStyle="1" w:styleId="Added">
    <w:name w:val="Added"/>
    <w:rsid w:val="003417DF"/>
    <w:rPr>
      <w:b/>
      <w:u w:val="single"/>
      <w:shd w:val="clear" w:color="auto" w:fill="auto"/>
    </w:rPr>
  </w:style>
  <w:style w:type="character" w:customStyle="1" w:styleId="Deleted">
    <w:name w:val="Deleted"/>
    <w:rsid w:val="003417DF"/>
    <w:rPr>
      <w:strike/>
      <w:dstrike w:val="0"/>
      <w:shd w:val="clear" w:color="auto" w:fill="auto"/>
    </w:rPr>
  </w:style>
  <w:style w:type="paragraph" w:customStyle="1" w:styleId="Address">
    <w:name w:val="Address"/>
    <w:basedOn w:val="Normal"/>
    <w:next w:val="Normal"/>
    <w:rsid w:val="003417DF"/>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rsid w:val="003417DF"/>
    <w:pPr>
      <w:spacing w:before="120" w:after="120" w:line="240" w:lineRule="auto"/>
      <w:jc w:val="both"/>
    </w:pPr>
    <w:rPr>
      <w:rFonts w:ascii="Times New Roman" w:hAnsi="Times New Roman"/>
      <w:i/>
      <w:caps/>
      <w:sz w:val="24"/>
    </w:rPr>
  </w:style>
  <w:style w:type="paragraph" w:customStyle="1" w:styleId="Supertitre">
    <w:name w:val="Supertitre"/>
    <w:basedOn w:val="Normal"/>
    <w:next w:val="Normal"/>
    <w:rsid w:val="003417DF"/>
    <w:pPr>
      <w:spacing w:after="600" w:line="240" w:lineRule="auto"/>
      <w:jc w:val="center"/>
    </w:pPr>
    <w:rPr>
      <w:rFonts w:ascii="Times New Roman" w:hAnsi="Times New Roman"/>
      <w:b/>
      <w:sz w:val="24"/>
    </w:rPr>
  </w:style>
  <w:style w:type="paragraph" w:customStyle="1" w:styleId="Languesfaisantfoi">
    <w:name w:val="Langues faisant foi"/>
    <w:basedOn w:val="Normal"/>
    <w:next w:val="Normal"/>
    <w:rsid w:val="003417DF"/>
    <w:pPr>
      <w:spacing w:before="360" w:after="0" w:line="240" w:lineRule="auto"/>
      <w:jc w:val="center"/>
    </w:pPr>
    <w:rPr>
      <w:rFonts w:ascii="Times New Roman" w:hAnsi="Times New Roman"/>
      <w:sz w:val="24"/>
    </w:rPr>
  </w:style>
  <w:style w:type="paragraph" w:customStyle="1" w:styleId="Rfrencecroise">
    <w:name w:val="Référence croisée"/>
    <w:basedOn w:val="Normal"/>
    <w:rsid w:val="003417DF"/>
    <w:pPr>
      <w:spacing w:after="0" w:line="240" w:lineRule="auto"/>
      <w:jc w:val="center"/>
    </w:pPr>
    <w:rPr>
      <w:rFonts w:ascii="Times New Roman" w:hAnsi="Times New Roman"/>
      <w:sz w:val="24"/>
    </w:rPr>
  </w:style>
  <w:style w:type="paragraph" w:customStyle="1" w:styleId="Fichefinanciretitre">
    <w:name w:val="Fiche financière titre"/>
    <w:basedOn w:val="Normal"/>
    <w:next w:val="Normal"/>
    <w:rsid w:val="003417DF"/>
    <w:pPr>
      <w:spacing w:before="120" w:after="120" w:line="240" w:lineRule="auto"/>
      <w:jc w:val="center"/>
    </w:pPr>
    <w:rPr>
      <w:rFonts w:ascii="Times New Roman" w:hAnsi="Times New Roman"/>
      <w:b/>
      <w:sz w:val="24"/>
      <w:u w:val="single"/>
    </w:rPr>
  </w:style>
  <w:style w:type="paragraph" w:customStyle="1" w:styleId="DatedadoptionPagedecouverture">
    <w:name w:val="Date d'adoption (Page de couverture)"/>
    <w:basedOn w:val="Datedadoption"/>
    <w:next w:val="IntrtEEEPagedecouverture"/>
    <w:rsid w:val="003417DF"/>
  </w:style>
  <w:style w:type="paragraph" w:customStyle="1" w:styleId="RfrenceinterinstitutionnellePagedecouverture">
    <w:name w:val="Référence interinstitutionnelle (Page de couverture)"/>
    <w:basedOn w:val="Rfrenceinterinstitutionnelle"/>
    <w:next w:val="Confidentialit"/>
    <w:rsid w:val="003417DF"/>
  </w:style>
  <w:style w:type="paragraph" w:customStyle="1" w:styleId="StatutPagedecouverture">
    <w:name w:val="Statut (Page de couverture)"/>
    <w:basedOn w:val="Statut"/>
    <w:next w:val="TypedudocumentPagedecouverture"/>
    <w:rsid w:val="003417DF"/>
  </w:style>
  <w:style w:type="paragraph" w:customStyle="1" w:styleId="TypedudocumentPagedecouverture">
    <w:name w:val="Type du document (Page de couverture)"/>
    <w:basedOn w:val="Typedudocument"/>
    <w:next w:val="AccompagnantPagedecouverture"/>
    <w:rsid w:val="003417DF"/>
  </w:style>
  <w:style w:type="paragraph" w:customStyle="1" w:styleId="Volume">
    <w:name w:val="Volume"/>
    <w:basedOn w:val="Normal"/>
    <w:next w:val="Confidentialit"/>
    <w:rsid w:val="003417DF"/>
    <w:pPr>
      <w:spacing w:after="240" w:line="240" w:lineRule="auto"/>
      <w:ind w:left="5103"/>
    </w:pPr>
    <w:rPr>
      <w:rFonts w:ascii="Times New Roman" w:hAnsi="Times New Roman"/>
      <w:sz w:val="24"/>
    </w:rPr>
  </w:style>
  <w:style w:type="paragraph" w:customStyle="1" w:styleId="IntrtEEE">
    <w:name w:val="Intérêt EEE"/>
    <w:basedOn w:val="Languesfaisantfoi"/>
    <w:next w:val="Normal"/>
    <w:rsid w:val="003417DF"/>
    <w:pPr>
      <w:spacing w:after="240"/>
    </w:pPr>
  </w:style>
  <w:style w:type="paragraph" w:customStyle="1" w:styleId="Accompagnant">
    <w:name w:val="Accompagnant"/>
    <w:basedOn w:val="Normal"/>
    <w:next w:val="Typeacteprincipal"/>
    <w:rsid w:val="003417DF"/>
    <w:pPr>
      <w:spacing w:before="180" w:after="240" w:line="240" w:lineRule="auto"/>
      <w:jc w:val="center"/>
    </w:pPr>
    <w:rPr>
      <w:rFonts w:ascii="Times New Roman" w:hAnsi="Times New Roman"/>
      <w:b/>
      <w:sz w:val="24"/>
    </w:rPr>
  </w:style>
  <w:style w:type="paragraph" w:customStyle="1" w:styleId="Typeacteprincipal">
    <w:name w:val="Type acte principal"/>
    <w:basedOn w:val="Normal"/>
    <w:next w:val="Objetacteprincipal"/>
    <w:rsid w:val="003417DF"/>
    <w:pPr>
      <w:spacing w:after="240" w:line="240" w:lineRule="auto"/>
      <w:jc w:val="center"/>
    </w:pPr>
    <w:rPr>
      <w:rFonts w:ascii="Times New Roman" w:hAnsi="Times New Roman"/>
      <w:b/>
      <w:sz w:val="24"/>
    </w:rPr>
  </w:style>
  <w:style w:type="paragraph" w:customStyle="1" w:styleId="Objetacteprincipal">
    <w:name w:val="Objet acte principal"/>
    <w:basedOn w:val="Normal"/>
    <w:next w:val="Titrearticle"/>
    <w:rsid w:val="003417DF"/>
    <w:pPr>
      <w:spacing w:after="360" w:line="240" w:lineRule="auto"/>
      <w:jc w:val="center"/>
    </w:pPr>
    <w:rPr>
      <w:rFonts w:ascii="Times New Roman" w:hAnsi="Times New Roman"/>
      <w:b/>
      <w:sz w:val="24"/>
    </w:rPr>
  </w:style>
  <w:style w:type="paragraph" w:customStyle="1" w:styleId="IntrtEEEPagedecouverture">
    <w:name w:val="Intérêt EEE (Page de couverture)"/>
    <w:basedOn w:val="IntrtEEE"/>
    <w:next w:val="Rfrencecroise"/>
    <w:rsid w:val="003417DF"/>
  </w:style>
  <w:style w:type="paragraph" w:customStyle="1" w:styleId="AccompagnantPagedecouverture">
    <w:name w:val="Accompagnant (Page de couverture)"/>
    <w:basedOn w:val="Accompagnant"/>
    <w:next w:val="TypeacteprincipalPagedecouverture"/>
    <w:rsid w:val="003417DF"/>
  </w:style>
  <w:style w:type="paragraph" w:customStyle="1" w:styleId="TypeacteprincipalPagedecouverture">
    <w:name w:val="Type acte principal (Page de couverture)"/>
    <w:basedOn w:val="Typeacteprincipal"/>
    <w:next w:val="ObjetacteprincipalPagedecouverture"/>
    <w:rsid w:val="003417DF"/>
  </w:style>
  <w:style w:type="paragraph" w:customStyle="1" w:styleId="ObjetacteprincipalPagedecouverture">
    <w:name w:val="Objet acte principal (Page de couverture)"/>
    <w:basedOn w:val="Objetacteprincipal"/>
    <w:next w:val="Rfrencecroise"/>
    <w:rsid w:val="003417DF"/>
  </w:style>
  <w:style w:type="paragraph" w:customStyle="1" w:styleId="LanguesfaisantfoiPagedecouverture">
    <w:name w:val="Langues faisant foi (Page de couverture)"/>
    <w:basedOn w:val="Normal"/>
    <w:next w:val="Normal"/>
    <w:rsid w:val="003417DF"/>
    <w:pPr>
      <w:spacing w:before="360" w:after="0" w:line="240" w:lineRule="auto"/>
      <w:jc w:val="center"/>
    </w:pPr>
    <w:rPr>
      <w:rFonts w:ascii="Times New Roman" w:hAnsi="Times New Roman"/>
      <w:sz w:val="24"/>
    </w:rPr>
  </w:style>
  <w:style w:type="paragraph" w:customStyle="1" w:styleId="LegalNumPar">
    <w:name w:val="LegalNumPar"/>
    <w:basedOn w:val="Normal"/>
    <w:rsid w:val="003417DF"/>
    <w:pPr>
      <w:numPr>
        <w:numId w:val="26"/>
      </w:numPr>
      <w:spacing w:before="120" w:after="120" w:line="360" w:lineRule="auto"/>
      <w:jc w:val="both"/>
    </w:pPr>
    <w:rPr>
      <w:rFonts w:ascii="Times New Roman" w:hAnsi="Times New Roman"/>
      <w:sz w:val="24"/>
    </w:rPr>
  </w:style>
  <w:style w:type="paragraph" w:customStyle="1" w:styleId="LegalNumPar2">
    <w:name w:val="LegalNumPar2"/>
    <w:basedOn w:val="Normal"/>
    <w:rsid w:val="003417DF"/>
    <w:pPr>
      <w:numPr>
        <w:ilvl w:val="1"/>
        <w:numId w:val="26"/>
      </w:numPr>
      <w:spacing w:before="120" w:after="120" w:line="360" w:lineRule="auto"/>
      <w:jc w:val="both"/>
    </w:pPr>
    <w:rPr>
      <w:rFonts w:ascii="Times New Roman" w:hAnsi="Times New Roman"/>
      <w:sz w:val="24"/>
    </w:rPr>
  </w:style>
  <w:style w:type="paragraph" w:customStyle="1" w:styleId="LegalNumPar3">
    <w:name w:val="LegalNumPar3"/>
    <w:basedOn w:val="Normal"/>
    <w:rsid w:val="003417DF"/>
    <w:pPr>
      <w:numPr>
        <w:ilvl w:val="2"/>
        <w:numId w:val="26"/>
      </w:numPr>
      <w:spacing w:before="120" w:after="120" w:line="360" w:lineRule="auto"/>
      <w:jc w:val="both"/>
    </w:pPr>
    <w:rPr>
      <w:rFonts w:ascii="Times New Roman" w:hAnsi="Times New Roman"/>
      <w:sz w:val="24"/>
    </w:rPr>
  </w:style>
  <w:style w:type="character" w:customStyle="1" w:styleId="normaltextrun">
    <w:name w:val="normaltextrun"/>
    <w:basedOn w:val="DefaultParagraphFont"/>
    <w:rsid w:val="003417DF"/>
  </w:style>
  <w:style w:type="character" w:customStyle="1" w:styleId="eop">
    <w:name w:val="eop"/>
    <w:basedOn w:val="DefaultParagraphFont"/>
    <w:rsid w:val="003417DF"/>
  </w:style>
  <w:style w:type="paragraph" w:customStyle="1" w:styleId="FooterCoverPage">
    <w:name w:val="Footer Cover Page"/>
    <w:basedOn w:val="Normal"/>
    <w:link w:val="FooterCoverPageChar"/>
    <w:rsid w:val="003417DF"/>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sid w:val="003417DF"/>
    <w:rPr>
      <w:rFonts w:ascii="Times New Roman" w:eastAsia="Calibri" w:hAnsi="Times New Roman" w:cs="Times New Roman"/>
      <w:sz w:val="24"/>
    </w:rPr>
  </w:style>
  <w:style w:type="paragraph" w:customStyle="1" w:styleId="HeaderCoverPage">
    <w:name w:val="Header Cover Page"/>
    <w:basedOn w:val="Normal"/>
    <w:link w:val="HeaderCoverPageChar"/>
    <w:rsid w:val="003417DF"/>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sid w:val="003417DF"/>
    <w:rPr>
      <w:rFonts w:ascii="Times New Roman" w:eastAsia="Calibri" w:hAnsi="Times New Roman" w:cs="Times New Roman"/>
      <w:sz w:val="24"/>
    </w:rPr>
  </w:style>
  <w:style w:type="paragraph" w:customStyle="1" w:styleId="TechnicalBlock">
    <w:name w:val="Technical Block"/>
    <w:basedOn w:val="Text1"/>
    <w:link w:val="TechnicalBlockChar"/>
    <w:rsid w:val="003417DF"/>
    <w:pPr>
      <w:spacing w:before="0" w:after="240"/>
      <w:ind w:left="0"/>
      <w:jc w:val="center"/>
    </w:pPr>
  </w:style>
  <w:style w:type="character" w:customStyle="1" w:styleId="Text1Char">
    <w:name w:val="Text 1 Char"/>
    <w:basedOn w:val="DefaultParagraphFont"/>
    <w:link w:val="Text1"/>
    <w:rsid w:val="003417DF"/>
    <w:rPr>
      <w:rFonts w:ascii="Times New Roman" w:eastAsia="Calibri" w:hAnsi="Times New Roman" w:cs="Times New Roman"/>
      <w:sz w:val="24"/>
    </w:rPr>
  </w:style>
  <w:style w:type="character" w:customStyle="1" w:styleId="TechnicalBlockChar">
    <w:name w:val="Technical Block Char"/>
    <w:basedOn w:val="Text1Char"/>
    <w:link w:val="TechnicalBlock"/>
    <w:rsid w:val="003417DF"/>
    <w:rPr>
      <w:rFonts w:ascii="Times New Roman" w:eastAsia="Calibri" w:hAnsi="Times New Roman" w:cs="Times New Roman"/>
      <w:sz w:val="24"/>
    </w:rPr>
  </w:style>
  <w:style w:type="paragraph" w:customStyle="1" w:styleId="EntText">
    <w:name w:val="EntText"/>
    <w:basedOn w:val="Normal"/>
    <w:rsid w:val="00AF06B1"/>
    <w:pPr>
      <w:spacing w:before="120" w:after="120" w:line="360" w:lineRule="auto"/>
    </w:pPr>
    <w:rPr>
      <w:rFonts w:ascii="Times New Roman" w:eastAsiaTheme="minorHAnsi" w:hAnsi="Times New Roman"/>
      <w:sz w:val="24"/>
    </w:rPr>
  </w:style>
  <w:style w:type="paragraph" w:customStyle="1" w:styleId="Lignefinal">
    <w:name w:val="Ligne final"/>
    <w:basedOn w:val="Normal"/>
    <w:next w:val="Normal"/>
    <w:rsid w:val="00AF06B1"/>
    <w:pPr>
      <w:pBdr>
        <w:bottom w:val="single" w:sz="4" w:space="0" w:color="000000"/>
      </w:pBdr>
      <w:spacing w:before="360" w:after="120" w:line="360" w:lineRule="auto"/>
      <w:ind w:left="3400" w:right="3400"/>
      <w:jc w:val="center"/>
    </w:pPr>
    <w:rPr>
      <w:rFonts w:ascii="Times New Roman" w:eastAsiaTheme="minorHAnsi" w:hAnsi="Times New Roman"/>
      <w:b/>
      <w:sz w:val="24"/>
    </w:rPr>
  </w:style>
  <w:style w:type="paragraph" w:customStyle="1" w:styleId="pj">
    <w:name w:val="p.j."/>
    <w:basedOn w:val="Normal"/>
    <w:link w:val="pjChar"/>
    <w:rsid w:val="003417DF"/>
    <w:pPr>
      <w:spacing w:before="1200" w:after="120" w:line="240" w:lineRule="auto"/>
      <w:ind w:left="1440" w:hanging="1440"/>
    </w:pPr>
    <w:rPr>
      <w:rFonts w:ascii="Times New Roman" w:hAnsi="Times New Roman"/>
      <w:sz w:val="24"/>
    </w:rPr>
  </w:style>
  <w:style w:type="character" w:customStyle="1" w:styleId="pjChar">
    <w:name w:val="p.j. Char"/>
    <w:basedOn w:val="Text1Char"/>
    <w:link w:val="pj"/>
    <w:rsid w:val="003417DF"/>
    <w:rPr>
      <w:rFonts w:ascii="Times New Roman" w:eastAsia="Calibri" w:hAnsi="Times New Roman" w:cs="Times New Roman"/>
      <w:sz w:val="24"/>
    </w:rPr>
  </w:style>
  <w:style w:type="paragraph" w:customStyle="1" w:styleId="nbbordered">
    <w:name w:val="nb bordered"/>
    <w:basedOn w:val="Normal"/>
    <w:link w:val="nbborderedChar"/>
    <w:rsid w:val="003417DF"/>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rFonts w:ascii="Times New Roman" w:hAnsi="Times New Roman"/>
      <w:b/>
      <w:sz w:val="24"/>
    </w:rPr>
  </w:style>
  <w:style w:type="character" w:customStyle="1" w:styleId="nbborderedChar">
    <w:name w:val="nb bordered Char"/>
    <w:basedOn w:val="Text1Char"/>
    <w:link w:val="nbbordered"/>
    <w:rsid w:val="003417DF"/>
    <w:rPr>
      <w:rFonts w:ascii="Times New Roman" w:eastAsia="Calibri" w:hAnsi="Times New Roman" w:cs="Times New Roman"/>
      <w:b/>
      <w:sz w:val="24"/>
    </w:rPr>
  </w:style>
  <w:style w:type="paragraph" w:customStyle="1" w:styleId="HeaderCouncil">
    <w:name w:val="Header Council"/>
    <w:basedOn w:val="Normal"/>
    <w:link w:val="HeaderCouncilChar"/>
    <w:rsid w:val="003417DF"/>
    <w:pPr>
      <w:spacing w:after="0"/>
    </w:pPr>
    <w:rPr>
      <w:sz w:val="2"/>
    </w:rPr>
  </w:style>
  <w:style w:type="character" w:customStyle="1" w:styleId="HeaderCouncilChar">
    <w:name w:val="Header Council Char"/>
    <w:basedOn w:val="DefaultParagraphFont"/>
    <w:link w:val="HeaderCouncil"/>
    <w:rsid w:val="003417DF"/>
    <w:rPr>
      <w:rFonts w:ascii="Calibri" w:eastAsia="Calibri" w:hAnsi="Calibri" w:cs="Times New Roman"/>
      <w:sz w:val="2"/>
    </w:rPr>
  </w:style>
  <w:style w:type="paragraph" w:customStyle="1" w:styleId="HeaderCouncilLarge">
    <w:name w:val="Header Council Large"/>
    <w:basedOn w:val="Normal"/>
    <w:link w:val="HeaderCouncilLargeChar"/>
    <w:rsid w:val="003417DF"/>
    <w:pPr>
      <w:spacing w:after="440"/>
    </w:pPr>
    <w:rPr>
      <w:sz w:val="2"/>
    </w:rPr>
  </w:style>
  <w:style w:type="character" w:customStyle="1" w:styleId="HeaderCouncilLargeChar">
    <w:name w:val="Header Council Large Char"/>
    <w:basedOn w:val="DefaultParagraphFont"/>
    <w:link w:val="HeaderCouncilLarge"/>
    <w:rsid w:val="003417DF"/>
    <w:rPr>
      <w:rFonts w:ascii="Calibri" w:eastAsia="Calibri" w:hAnsi="Calibri" w:cs="Times New Roman"/>
      <w:sz w:val="2"/>
    </w:rPr>
  </w:style>
  <w:style w:type="paragraph" w:customStyle="1" w:styleId="FooterCouncil">
    <w:name w:val="Footer Council"/>
    <w:basedOn w:val="Normal"/>
    <w:link w:val="FooterCouncilChar"/>
    <w:rsid w:val="003417DF"/>
    <w:pPr>
      <w:spacing w:after="0"/>
    </w:pPr>
    <w:rPr>
      <w:sz w:val="2"/>
    </w:rPr>
  </w:style>
  <w:style w:type="character" w:customStyle="1" w:styleId="FooterCouncilChar">
    <w:name w:val="Footer Council Char"/>
    <w:basedOn w:val="DefaultParagraphFont"/>
    <w:link w:val="FooterCouncil"/>
    <w:rsid w:val="003417DF"/>
    <w:rPr>
      <w:rFonts w:ascii="Calibri" w:eastAsia="Calibri" w:hAnsi="Calibri" w:cs="Times New Roman"/>
      <w:sz w:val="2"/>
    </w:rPr>
  </w:style>
  <w:style w:type="paragraph" w:customStyle="1" w:styleId="FooterText">
    <w:name w:val="Footer Text"/>
    <w:basedOn w:val="Normal"/>
    <w:rsid w:val="003417DF"/>
    <w:pPr>
      <w:spacing w:after="0" w:line="240" w:lineRule="auto"/>
    </w:pPr>
    <w:rPr>
      <w:rFonts w:ascii="Times New Roman" w:eastAsia="Times New Roman" w:hAnsi="Times New Roman"/>
      <w:sz w:val="24"/>
    </w:rPr>
  </w:style>
  <w:style w:type="character" w:styleId="PlaceholderText">
    <w:name w:val="Placeholder Text"/>
    <w:basedOn w:val="DefaultParagraphFont"/>
    <w:uiPriority w:val="99"/>
    <w:semiHidden/>
    <w:rsid w:val="003417DF"/>
    <w:rPr>
      <w:color w:val="808080"/>
    </w:rPr>
  </w:style>
  <w:style w:type="character" w:styleId="FollowedHyperlink">
    <w:name w:val="FollowedHyperlink"/>
    <w:basedOn w:val="DefaultParagraphFont"/>
    <w:uiPriority w:val="99"/>
    <w:semiHidden/>
    <w:unhideWhenUsed/>
    <w:rsid w:val="003417DF"/>
    <w:rPr>
      <w:color w:val="800080" w:themeColor="followedHyperlink"/>
      <w:u w:val="single"/>
    </w:rPr>
  </w:style>
  <w:style w:type="paragraph" w:customStyle="1" w:styleId="P68B1DB1-Normal1">
    <w:name w:val="P68B1DB1-Normal1"/>
    <w:basedOn w:val="Normal"/>
    <w:rPr>
      <w:b/>
    </w:rPr>
  </w:style>
  <w:style w:type="paragraph" w:customStyle="1" w:styleId="P68B1DB1-NumPar12">
    <w:name w:val="P68B1DB1-NumPar12"/>
    <w:basedOn w:val="NumPar1"/>
    <w:rPr>
      <w:b/>
    </w:rPr>
  </w:style>
  <w:style w:type="paragraph" w:customStyle="1" w:styleId="P68B1DB1-Text13">
    <w:name w:val="P68B1DB1-Text13"/>
    <w:basedOn w:val="Text1"/>
    <w:rPr>
      <w:u w:val="single"/>
    </w:rPr>
  </w:style>
  <w:style w:type="paragraph" w:customStyle="1" w:styleId="P68B1DB1-Normal4">
    <w:name w:val="P68B1DB1-Normal4"/>
    <w:basedOn w:val="Normal"/>
    <w:rPr>
      <w:color w:val="006100"/>
    </w:rPr>
  </w:style>
  <w:style w:type="paragraph" w:customStyle="1" w:styleId="P68B1DB1-Normal5">
    <w:name w:val="P68B1DB1-Normal5"/>
    <w:basedOn w:val="Normal"/>
    <w:rPr>
      <w:b/>
      <w:sz w:val="20"/>
    </w:rPr>
  </w:style>
  <w:style w:type="paragraph" w:customStyle="1" w:styleId="P68B1DB1-Normal6">
    <w:name w:val="P68B1DB1-Normal6"/>
    <w:basedOn w:val="Normal"/>
    <w:rPr>
      <w:sz w:val="20"/>
    </w:rPr>
  </w:style>
  <w:style w:type="paragraph" w:customStyle="1" w:styleId="P68B1DB1-CommentText7">
    <w:name w:val="P68B1DB1-CommentText7"/>
    <w:basedOn w:val="CommentText"/>
    <w:rPr>
      <w:color w:val="006100"/>
      <w:sz w:val="22"/>
    </w:rPr>
  </w:style>
  <w:style w:type="paragraph" w:customStyle="1" w:styleId="P68B1DB1-CommentSubject8">
    <w:name w:val="P68B1DB1-CommentSubject8"/>
    <w:basedOn w:val="CommentSubject"/>
    <w:rPr>
      <w:b w:val="0"/>
      <w:color w:val="006100"/>
      <w:sz w:val="22"/>
    </w:rPr>
  </w:style>
  <w:style w:type="paragraph" w:customStyle="1" w:styleId="P68B1DB1-Normal9">
    <w:name w:val="P68B1DB1-Normal9"/>
    <w:basedOn w:val="Normal"/>
    <w:rPr>
      <w:rFonts w:ascii="Times New Roman" w:hAnsi="Times New Roman"/>
      <w:sz w:val="24"/>
      <w:u w:val="single"/>
    </w:rPr>
  </w:style>
  <w:style w:type="paragraph" w:customStyle="1" w:styleId="P68B1DB1-Normal10">
    <w:name w:val="P68B1DB1-Normal10"/>
    <w:basedOn w:val="Normal"/>
    <w:rPr>
      <w:rFonts w:ascii="Times New Roman" w:hAnsi="Times New Roman"/>
      <w:b/>
      <w:smallCaps/>
      <w:sz w:val="24"/>
    </w:rPr>
  </w:style>
  <w:style w:type="paragraph" w:customStyle="1" w:styleId="P68B1DB1-ListParagraph11">
    <w:name w:val="P68B1DB1-ListParagraph11"/>
    <w:basedOn w:val="ListParagraph"/>
    <w:rPr>
      <w:rFonts w:ascii="Times New Roman" w:hAnsi="Times New Roman"/>
      <w:sz w:val="24"/>
    </w:rPr>
  </w:style>
  <w:style w:type="paragraph" w:customStyle="1" w:styleId="P68B1DB1-Normal12">
    <w:name w:val="P68B1DB1-Normal12"/>
    <w:basedOn w:val="Normal"/>
    <w:rPr>
      <w:rFonts w:ascii="Times New Roman" w:hAnsi="Times New Roman"/>
      <w:b/>
      <w:sz w:val="24"/>
      <w:u w:val="single"/>
    </w:rPr>
  </w:style>
  <w:style w:type="paragraph" w:customStyle="1" w:styleId="P68B1DB1-Normal13">
    <w:name w:val="P68B1DB1-Normal13"/>
    <w:basedOn w:val="Normal"/>
    <w:rPr>
      <w:rFonts w:asciiTheme="minorHAnsi" w:hAnsiTheme="minorHAnsi"/>
      <w:color w:val="006100"/>
    </w:rPr>
  </w:style>
  <w:style w:type="paragraph" w:customStyle="1" w:styleId="P68B1DB1-Normal14">
    <w:name w:val="P68B1DB1-Normal14"/>
    <w:basedOn w:val="Normal"/>
    <w:rPr>
      <w:rFonts w:asciiTheme="minorHAnsi" w:hAnsiTheme="minorHAnsi"/>
    </w:rPr>
  </w:style>
  <w:style w:type="paragraph" w:customStyle="1" w:styleId="P68B1DB1-ListParagraph15">
    <w:name w:val="P68B1DB1-ListParagraph15"/>
    <w:basedOn w:val="ListParagraph"/>
    <w:rPr>
      <w:rFonts w:asciiTheme="minorHAnsi" w:hAnsiTheme="minorHAnsi"/>
      <w:color w:val="006100"/>
    </w:rPr>
  </w:style>
  <w:style w:type="paragraph" w:customStyle="1" w:styleId="P68B1DB1-Normal16">
    <w:name w:val="P68B1DB1-Normal16"/>
    <w:basedOn w:val="Normal"/>
    <w:rPr>
      <w:rFonts w:ascii="Times New Roman" w:hAnsi="Times New Roman"/>
      <w:color w:val="000000" w:themeColor="text1"/>
      <w:sz w:val="24"/>
      <w:u w:val="single"/>
    </w:rPr>
  </w:style>
  <w:style w:type="paragraph" w:customStyle="1" w:styleId="P68B1DB1-Normal17">
    <w:name w:val="P68B1DB1-Normal17"/>
    <w:basedOn w:val="Normal"/>
    <w:rPr>
      <w:rFonts w:ascii="Times New Roman" w:eastAsia="Times New Roman" w:hAnsi="Times New Roman"/>
    </w:rPr>
  </w:style>
  <w:style w:type="paragraph" w:customStyle="1" w:styleId="P68B1DB1-Normal18">
    <w:name w:val="P68B1DB1-Normal18"/>
    <w:basedOn w:val="Normal"/>
    <w:rPr>
      <w:rFonts w:asciiTheme="minorHAnsi" w:hAnsiTheme="minorHAnsi"/>
      <w:b/>
    </w:rPr>
  </w:style>
  <w:style w:type="paragraph" w:customStyle="1" w:styleId="P68B1DB1-Footer19">
    <w:name w:val="P68B1DB1-Footer19"/>
    <w:basedOn w:val="Foote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8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1" Type="http://schemas.openxmlformats.org/officeDocument/2006/relationships/footer" Target="footer5.xml"/><Relationship Id="rId42" Type="http://schemas.openxmlformats.org/officeDocument/2006/relationships/header" Target="header16.xml"/><Relationship Id="rId63" Type="http://schemas.openxmlformats.org/officeDocument/2006/relationships/footer" Target="footer26.xml"/><Relationship Id="rId84" Type="http://schemas.openxmlformats.org/officeDocument/2006/relationships/header" Target="header37.xml"/><Relationship Id="rId16" Type="http://schemas.openxmlformats.org/officeDocument/2006/relationships/header" Target="header3.xml"/><Relationship Id="rId107" Type="http://schemas.openxmlformats.org/officeDocument/2006/relationships/header" Target="header48.xml"/><Relationship Id="rId11" Type="http://schemas.openxmlformats.org/officeDocument/2006/relationships/image" Target="media/image1.emf"/><Relationship Id="rId32" Type="http://schemas.openxmlformats.org/officeDocument/2006/relationships/footer" Target="footer10.xml"/><Relationship Id="rId37" Type="http://schemas.openxmlformats.org/officeDocument/2006/relationships/header" Target="header14.xml"/><Relationship Id="rId53" Type="http://schemas.openxmlformats.org/officeDocument/2006/relationships/footer" Target="footer21.xml"/><Relationship Id="rId58" Type="http://schemas.openxmlformats.org/officeDocument/2006/relationships/header" Target="header24.xml"/><Relationship Id="rId74" Type="http://schemas.openxmlformats.org/officeDocument/2006/relationships/footer" Target="footer31.xml"/><Relationship Id="rId79" Type="http://schemas.openxmlformats.org/officeDocument/2006/relationships/header" Target="header35.xml"/><Relationship Id="rId102" Type="http://schemas.openxmlformats.org/officeDocument/2006/relationships/footer" Target="footer45.xml"/><Relationship Id="rId123" Type="http://schemas.openxmlformats.org/officeDocument/2006/relationships/footer" Target="footer55.xml"/><Relationship Id="rId128" Type="http://schemas.openxmlformats.org/officeDocument/2006/relationships/header" Target="header59.xml"/><Relationship Id="rId5" Type="http://schemas.openxmlformats.org/officeDocument/2006/relationships/numbering" Target="numbering.xml"/><Relationship Id="rId90" Type="http://schemas.openxmlformats.org/officeDocument/2006/relationships/hyperlink" Target="https://www.retsinformation.dk/eli/lta/2014/306" TargetMode="External"/><Relationship Id="rId95" Type="http://schemas.openxmlformats.org/officeDocument/2006/relationships/header" Target="header42.xml"/><Relationship Id="rId22" Type="http://schemas.openxmlformats.org/officeDocument/2006/relationships/header" Target="header6.xml"/><Relationship Id="rId27" Type="http://schemas.openxmlformats.org/officeDocument/2006/relationships/footer" Target="footer8.xml"/><Relationship Id="rId43" Type="http://schemas.openxmlformats.org/officeDocument/2006/relationships/header" Target="header17.xml"/><Relationship Id="rId48" Type="http://schemas.openxmlformats.org/officeDocument/2006/relationships/header" Target="header19.xml"/><Relationship Id="rId64" Type="http://schemas.openxmlformats.org/officeDocument/2006/relationships/header" Target="header27.xml"/><Relationship Id="rId69" Type="http://schemas.openxmlformats.org/officeDocument/2006/relationships/footer" Target="footer29.xml"/><Relationship Id="rId113" Type="http://schemas.openxmlformats.org/officeDocument/2006/relationships/header" Target="header51.xml"/><Relationship Id="rId118" Type="http://schemas.openxmlformats.org/officeDocument/2006/relationships/footer" Target="footer53.xml"/><Relationship Id="rId134" Type="http://schemas.openxmlformats.org/officeDocument/2006/relationships/theme" Target="theme/theme1.xml"/><Relationship Id="rId80" Type="http://schemas.openxmlformats.org/officeDocument/2006/relationships/footer" Target="footer34.xml"/><Relationship Id="rId85" Type="http://schemas.openxmlformats.org/officeDocument/2006/relationships/header" Target="header38.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footer" Target="footer11.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6.xml"/><Relationship Id="rId108" Type="http://schemas.openxmlformats.org/officeDocument/2006/relationships/footer" Target="footer48.xml"/><Relationship Id="rId124" Type="http://schemas.openxmlformats.org/officeDocument/2006/relationships/footer" Target="footer56.xml"/><Relationship Id="rId129" Type="http://schemas.openxmlformats.org/officeDocument/2006/relationships/footer" Target="footer58.xml"/><Relationship Id="rId54" Type="http://schemas.openxmlformats.org/officeDocument/2006/relationships/header" Target="header22.xml"/><Relationship Id="rId70" Type="http://schemas.openxmlformats.org/officeDocument/2006/relationships/header" Target="header30.xml"/><Relationship Id="rId75" Type="http://schemas.openxmlformats.org/officeDocument/2006/relationships/footer" Target="footer32.xml"/><Relationship Id="rId91" Type="http://schemas.openxmlformats.org/officeDocument/2006/relationships/header" Target="header40.xml"/><Relationship Id="rId96"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6.xml"/><Relationship Id="rId28" Type="http://schemas.openxmlformats.org/officeDocument/2006/relationships/header" Target="header9.xml"/><Relationship Id="rId49" Type="http://schemas.openxmlformats.org/officeDocument/2006/relationships/header" Target="header20.xml"/><Relationship Id="rId114" Type="http://schemas.openxmlformats.org/officeDocument/2006/relationships/footer" Target="footer51.xml"/><Relationship Id="rId119" Type="http://schemas.openxmlformats.org/officeDocument/2006/relationships/header" Target="header54.xml"/><Relationship Id="rId44" Type="http://schemas.openxmlformats.org/officeDocument/2006/relationships/footer" Target="footer16.xml"/><Relationship Id="rId60" Type="http://schemas.openxmlformats.org/officeDocument/2006/relationships/header" Target="header25.xml"/><Relationship Id="rId65" Type="http://schemas.openxmlformats.org/officeDocument/2006/relationships/footer" Target="footer27.xml"/><Relationship Id="rId81" Type="http://schemas.openxmlformats.org/officeDocument/2006/relationships/footer" Target="footer35.xml"/><Relationship Id="rId86" Type="http://schemas.openxmlformats.org/officeDocument/2006/relationships/footer" Target="footer37.xml"/><Relationship Id="rId130" Type="http://schemas.openxmlformats.org/officeDocument/2006/relationships/footer" Target="footer59.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14.xml"/><Relationship Id="rId109" Type="http://schemas.openxmlformats.org/officeDocument/2006/relationships/header" Target="header49.xml"/><Relationship Id="rId34" Type="http://schemas.openxmlformats.org/officeDocument/2006/relationships/header" Target="header12.xml"/><Relationship Id="rId50" Type="http://schemas.openxmlformats.org/officeDocument/2006/relationships/footer" Target="footer19.xml"/><Relationship Id="rId55" Type="http://schemas.openxmlformats.org/officeDocument/2006/relationships/header" Target="header23.xml"/><Relationship Id="rId76" Type="http://schemas.openxmlformats.org/officeDocument/2006/relationships/header" Target="header33.xml"/><Relationship Id="rId97" Type="http://schemas.openxmlformats.org/officeDocument/2006/relationships/header" Target="header43.xml"/><Relationship Id="rId104" Type="http://schemas.openxmlformats.org/officeDocument/2006/relationships/header" Target="header47.xml"/><Relationship Id="rId120" Type="http://schemas.openxmlformats.org/officeDocument/2006/relationships/footer" Target="footer54.xml"/><Relationship Id="rId125" Type="http://schemas.openxmlformats.org/officeDocument/2006/relationships/header" Target="header57.xml"/><Relationship Id="rId7" Type="http://schemas.openxmlformats.org/officeDocument/2006/relationships/settings" Target="settings.xml"/><Relationship Id="rId71" Type="http://schemas.openxmlformats.org/officeDocument/2006/relationships/footer" Target="footer30.xml"/><Relationship Id="rId92" Type="http://schemas.openxmlformats.org/officeDocument/2006/relationships/header" Target="header41.xm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header" Target="header7.xml"/><Relationship Id="rId40" Type="http://schemas.openxmlformats.org/officeDocument/2006/relationships/header" Target="header15.xml"/><Relationship Id="rId45" Type="http://schemas.openxmlformats.org/officeDocument/2006/relationships/footer" Target="footer17.xml"/><Relationship Id="rId66" Type="http://schemas.openxmlformats.org/officeDocument/2006/relationships/header" Target="header28.xml"/><Relationship Id="rId87" Type="http://schemas.openxmlformats.org/officeDocument/2006/relationships/footer" Target="footer38.xml"/><Relationship Id="rId110" Type="http://schemas.openxmlformats.org/officeDocument/2006/relationships/header" Target="header50.xml"/><Relationship Id="rId115" Type="http://schemas.openxmlformats.org/officeDocument/2006/relationships/header" Target="header52.xml"/><Relationship Id="rId131" Type="http://schemas.openxmlformats.org/officeDocument/2006/relationships/header" Target="header60.xml"/><Relationship Id="rId61" Type="http://schemas.openxmlformats.org/officeDocument/2006/relationships/header" Target="header26.xml"/><Relationship Id="rId82" Type="http://schemas.openxmlformats.org/officeDocument/2006/relationships/header" Target="header36.xm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header" Target="header10.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3.xml"/><Relationship Id="rId100" Type="http://schemas.openxmlformats.org/officeDocument/2006/relationships/footer" Target="footer44.xml"/><Relationship Id="rId105" Type="http://schemas.openxmlformats.org/officeDocument/2006/relationships/footer" Target="footer46.xml"/><Relationship Id="rId126" Type="http://schemas.openxmlformats.org/officeDocument/2006/relationships/footer" Target="footer57.xml"/><Relationship Id="rId8" Type="http://schemas.openxmlformats.org/officeDocument/2006/relationships/webSettings" Target="webSettings.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0.xml"/><Relationship Id="rId98" Type="http://schemas.openxmlformats.org/officeDocument/2006/relationships/header" Target="header44.xml"/><Relationship Id="rId121" Type="http://schemas.openxmlformats.org/officeDocument/2006/relationships/header" Target="header55.xml"/><Relationship Id="rId3" Type="http://schemas.openxmlformats.org/officeDocument/2006/relationships/customXml" Target="../customXml/item3.xml"/><Relationship Id="rId25" Type="http://schemas.openxmlformats.org/officeDocument/2006/relationships/header" Target="header8.xml"/><Relationship Id="rId46" Type="http://schemas.openxmlformats.org/officeDocument/2006/relationships/header" Target="header18.xml"/><Relationship Id="rId67" Type="http://schemas.openxmlformats.org/officeDocument/2006/relationships/header" Target="header29.xml"/><Relationship Id="rId116" Type="http://schemas.openxmlformats.org/officeDocument/2006/relationships/header" Target="header53.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88" Type="http://schemas.openxmlformats.org/officeDocument/2006/relationships/header" Target="header39.xml"/><Relationship Id="rId111" Type="http://schemas.openxmlformats.org/officeDocument/2006/relationships/footer" Target="footer49.xml"/><Relationship Id="rId132" Type="http://schemas.openxmlformats.org/officeDocument/2006/relationships/footer" Target="footer60.xml"/><Relationship Id="rId15" Type="http://schemas.openxmlformats.org/officeDocument/2006/relationships/footer" Target="footer2.xml"/><Relationship Id="rId36" Type="http://schemas.openxmlformats.org/officeDocument/2006/relationships/header" Target="header13.xml"/><Relationship Id="rId57" Type="http://schemas.openxmlformats.org/officeDocument/2006/relationships/footer" Target="footer23.xml"/><Relationship Id="rId106" Type="http://schemas.openxmlformats.org/officeDocument/2006/relationships/footer" Target="footer47.xml"/><Relationship Id="rId127" Type="http://schemas.openxmlformats.org/officeDocument/2006/relationships/header" Target="header58.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eader" Target="header21.xml"/><Relationship Id="rId73" Type="http://schemas.openxmlformats.org/officeDocument/2006/relationships/header" Target="header32.xml"/><Relationship Id="rId78" Type="http://schemas.openxmlformats.org/officeDocument/2006/relationships/header" Target="header34.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header" Target="header56.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footer" Target="footer7.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footer" Target="footer39.xml"/><Relationship Id="rId112" Type="http://schemas.openxmlformats.org/officeDocument/2006/relationships/footer" Target="footer50.xm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15" ma:contentTypeDescription="Create a new document." ma:contentTypeScope="" ma:versionID="de427ea1430b974b93de44fbbbb39a3f">
  <xsd:schema xmlns:xsd="http://www.w3.org/2001/XMLSchema" xmlns:xs="http://www.w3.org/2001/XMLSchema" xmlns:p="http://schemas.microsoft.com/office/2006/metadata/properties" xmlns:ns1="http://schemas.microsoft.com/sharepoint/v3" xmlns:ns2="1700ab43-7395-48ff-866c-657c86ba7f4e" xmlns:ns3="e6c3bc29-9e11-4027-900b-c73633d7928a" targetNamespace="http://schemas.microsoft.com/office/2006/metadata/properties" ma:root="true" ma:fieldsID="7db33e012573b47b4de711d1120173c2" ns1:_="" ns2:_="" ns3:_="">
    <xsd:import namespace="http://schemas.microsoft.com/sharepoint/v3"/>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bdc6873-d347-4a89-81e2-e19ecf30f206}" ma:internalName="TaxCatchAll" ma:showField="CatchAllData" ma:web="e6c3bc29-9e11-4027-900b-c73633d79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6c3bc29-9e11-4027-900b-c73633d7928a" xsi:nil="true"/>
    <lcf76f155ced4ddcb4097134ff3c332f xmlns="1700ab43-7395-48ff-866c-657c86ba7f4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39E0B-0BE8-4663-B560-52111BDFC383}">
  <ds:schemaRefs>
    <ds:schemaRef ds:uri="http://schemas.microsoft.com/sharepoint/v3/contenttype/forms"/>
  </ds:schemaRefs>
</ds:datastoreItem>
</file>

<file path=customXml/itemProps2.xml><?xml version="1.0" encoding="utf-8"?>
<ds:datastoreItem xmlns:ds="http://schemas.openxmlformats.org/officeDocument/2006/customXml" ds:itemID="{1D987DB1-07E5-4771-845A-D3EDBE074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0DE33-E577-46EE-9EE2-C5694719BF9F}">
  <ds:schemaRefs>
    <ds:schemaRef ds:uri="http://schemas.microsoft.com/office/2006/metadata/properties"/>
    <ds:schemaRef ds:uri="http://schemas.microsoft.com/office/infopath/2007/PartnerControls"/>
    <ds:schemaRef ds:uri="http://schemas.microsoft.com/sharepoint/v3"/>
    <ds:schemaRef ds:uri="e6c3bc29-9e11-4027-900b-c73633d7928a"/>
    <ds:schemaRef ds:uri="1700ab43-7395-48ff-866c-657c86ba7f4e"/>
  </ds:schemaRefs>
</ds:datastoreItem>
</file>

<file path=customXml/itemProps4.xml><?xml version="1.0" encoding="utf-8"?>
<ds:datastoreItem xmlns:ds="http://schemas.openxmlformats.org/officeDocument/2006/customXml" ds:itemID="{E24660FD-49E1-4091-982A-E7E80C7B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100</Pages>
  <Words>18622</Words>
  <Characters>119373</Characters>
  <Application>Microsoft Office Word</Application>
  <DocSecurity>0</DocSecurity>
  <Lines>6631</Lines>
  <Paragraphs>1864</Paragraphs>
  <ScaleCrop>false</ScaleCrop>
  <Manager/>
  <Company/>
  <LinksUpToDate>false</LinksUpToDate>
  <CharactersWithSpaces>136131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TORRE UNGUREANU Ana-Claudia (SG)</cp:lastModifiedBy>
  <cp:revision>32</cp:revision>
  <dcterms:created xsi:type="dcterms:W3CDTF">2023-10-07T09:49:00Z</dcterms:created>
  <dcterms:modified xsi:type="dcterms:W3CDTF">2023-10-31T11:19:00Z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9.0, Build 20230317</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2023-09-28T13:49:54Z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c6dc0816-cd32-4131-9b0a-fda55ee5d4f6</vt:lpwstr>
  </property>
  <property fmtid="{D5CDD505-2E9C-101B-9397-08002B2CF9AE}" pid="10" name="MSIP_Label_6bd9ddd1-4d20-43f6-abfa-fc3c07406f94_ContentBits">
    <vt:lpwstr>0</vt:lpwstr>
  </property>
  <property fmtid="{D5CDD505-2E9C-101B-9397-08002B2CF9AE}" pid="11" name="ContentTypeId">
    <vt:lpwstr>0x01010062094E9F29D6C04F85860C631ABC812A</vt:lpwstr>
  </property>
  <property fmtid="{D5CDD505-2E9C-101B-9397-08002B2CF9AE}" pid="12" name="MediaServiceImageTags">
    <vt:lpwstr/>
  </property>
  <property fmtid="{D5CDD505-2E9C-101B-9397-08002B2CF9AE}" pid="13" name="Level of sensitivity">
    <vt:lpwstr>Standard treatment</vt:lpwstr>
  </property>
  <property fmtid="{D5CDD505-2E9C-101B-9397-08002B2CF9AE}" pid="14" name="First annex">
    <vt:lpwstr>1</vt:lpwstr>
  </property>
  <property fmtid="{D5CDD505-2E9C-101B-9397-08002B2CF9AE}" pid="15" name="Last annex">
    <vt:lpwstr>1</vt:lpwstr>
  </property>
  <property fmtid="{D5CDD505-2E9C-101B-9397-08002B2CF9AE}" pid="16" name="Unique annex">
    <vt:lpwstr>1</vt:lpwstr>
  </property>
  <property fmtid="{D5CDD505-2E9C-101B-9397-08002B2CF9AE}" pid="17" name="Part">
    <vt:lpwstr>1</vt:lpwstr>
  </property>
  <property fmtid="{D5CDD505-2E9C-101B-9397-08002B2CF9AE}" pid="18" name="Total parts">
    <vt:lpwstr>1</vt:lpwstr>
  </property>
  <property fmtid="{D5CDD505-2E9C-101B-9397-08002B2CF9AE}" pid="19" name="DocStatus">
    <vt:lpwstr>Green</vt:lpwstr>
  </property>
  <property fmtid="{D5CDD505-2E9C-101B-9397-08002B2CF9AE}" pid="20" name="CPTemplateID">
    <vt:lpwstr>CP-036</vt:lpwstr>
  </property>
</Properties>
</file>