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02D85227" w:rsidR="00C67604" w:rsidRPr="002A600A" w:rsidRDefault="00F16D2F" w:rsidP="00F16D2F">
      <w:pPr>
        <w:pStyle w:val="Pagedecouverture"/>
        <w:rPr>
          <w:noProof/>
          <w:lang w:val="pl-PL"/>
        </w:rPr>
      </w:pPr>
      <w:bookmarkStart w:id="0" w:name="LW_BM_COVERPAGE"/>
      <w:r>
        <w:rPr>
          <w:noProof/>
          <w:lang w:val="pl-PL"/>
        </w:rPr>
        <w:pict w14:anchorId="2A904F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alt="412CB21A-0567-43AE-8A17-21EC02FCC4E7" style="width:455.25pt;height:310.5pt">
            <v:imagedata r:id="rId11" o:title=""/>
          </v:shape>
        </w:pict>
      </w:r>
    </w:p>
    <w:bookmarkEnd w:id="0"/>
    <w:p w14:paraId="328A2A73" w14:textId="77777777" w:rsidR="0065419E" w:rsidRDefault="0065419E" w:rsidP="0065419E">
      <w:pPr>
        <w:rPr>
          <w:noProof/>
          <w:lang w:val="en-GB"/>
        </w:rPr>
        <w:sectPr w:rsidR="0065419E" w:rsidSect="00F16D2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bookmarkStart w:id="1" w:name="_GoBack" w:displacedByCustomXml="next"/>
    <w:bookmarkEnd w:id="1" w:displacedByCustomXml="next"/>
    <w:sdt>
      <w:sdtPr>
        <w:rPr>
          <w:rFonts w:ascii="Times New Roman" w:eastAsiaTheme="minorHAnsi" w:hAnsi="Times New Roman" w:cs="Calibri"/>
          <w:noProof/>
          <w:color w:val="auto"/>
          <w:sz w:val="23"/>
          <w:szCs w:val="22"/>
        </w:rPr>
        <w:id w:val="-109162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06425CA" w14:textId="77777777" w:rsidR="003624B7" w:rsidRDefault="003624B7" w:rsidP="003624B7">
          <w:pPr>
            <w:pStyle w:val="TOCHeading"/>
            <w:rPr>
              <w:rFonts w:ascii="Times New Roman" w:hAnsi="Times New Roman" w:cs="Times New Roman"/>
              <w:b/>
              <w:noProof/>
              <w:color w:val="000000" w:themeColor="text1"/>
            </w:rPr>
          </w:pPr>
          <w:r w:rsidRPr="003624B7">
            <w:rPr>
              <w:rFonts w:ascii="Times New Roman" w:hAnsi="Times New Roman" w:cs="Times New Roman"/>
              <w:b/>
              <w:noProof/>
              <w:color w:val="000000" w:themeColor="text1"/>
            </w:rPr>
            <w:t>Contents</w:t>
          </w:r>
        </w:p>
        <w:p w14:paraId="3656B9AB" w14:textId="77777777" w:rsidR="003624B7" w:rsidRPr="003624B7" w:rsidRDefault="003624B7" w:rsidP="003624B7">
          <w:pPr>
            <w:rPr>
              <w:noProof/>
            </w:rPr>
          </w:pPr>
        </w:p>
        <w:p w14:paraId="6CA50C7F" w14:textId="3412816E" w:rsidR="0013555D" w:rsidRDefault="003624B7">
          <w:pPr>
            <w:pStyle w:val="TOC1"/>
            <w:tabs>
              <w:tab w:val="left" w:pos="4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lang w:val="en-IE" w:eastAsia="en-IE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TOC \o "1-3" \h \z \u </w:instrText>
          </w:r>
          <w:r>
            <w:rPr>
              <w:noProof/>
            </w:rPr>
            <w:fldChar w:fldCharType="separate"/>
          </w:r>
          <w:hyperlink w:anchor="_Toc147159415" w:history="1">
            <w:r w:rsidR="0013555D" w:rsidRPr="009605A4">
              <w:rPr>
                <w:rStyle w:val="Hyperlink"/>
                <w:noProof/>
                <w:lang w:val="en-GB"/>
              </w:rPr>
              <w:t>1.</w:t>
            </w:r>
            <w:r w:rsidR="0013555D">
              <w:rPr>
                <w:rFonts w:asciiTheme="minorHAnsi" w:eastAsiaTheme="minorEastAsia" w:hAnsiTheme="minorHAnsi" w:cstheme="minorBidi"/>
                <w:noProof/>
                <w:sz w:val="22"/>
                <w:lang w:val="en-IE" w:eastAsia="en-IE"/>
              </w:rPr>
              <w:tab/>
            </w:r>
            <w:r w:rsidR="0013555D" w:rsidRPr="009605A4">
              <w:rPr>
                <w:rStyle w:val="Hyperlink"/>
                <w:noProof/>
                <w:lang w:val="en-GB"/>
              </w:rPr>
              <w:t>Introduction</w:t>
            </w:r>
            <w:r w:rsidR="0013555D">
              <w:rPr>
                <w:noProof/>
                <w:webHidden/>
              </w:rPr>
              <w:tab/>
            </w:r>
            <w:r w:rsidR="0013555D">
              <w:rPr>
                <w:noProof/>
                <w:webHidden/>
              </w:rPr>
              <w:fldChar w:fldCharType="begin"/>
            </w:r>
            <w:r w:rsidR="0013555D">
              <w:rPr>
                <w:noProof/>
                <w:webHidden/>
              </w:rPr>
              <w:instrText xml:space="preserve"> PAGEREF _Toc147159415 \h </w:instrText>
            </w:r>
            <w:r w:rsidR="0013555D">
              <w:rPr>
                <w:noProof/>
                <w:webHidden/>
              </w:rPr>
            </w:r>
            <w:r w:rsidR="0013555D">
              <w:rPr>
                <w:noProof/>
                <w:webHidden/>
              </w:rPr>
              <w:fldChar w:fldCharType="separate"/>
            </w:r>
            <w:r w:rsidR="0013555D">
              <w:rPr>
                <w:noProof/>
                <w:webHidden/>
              </w:rPr>
              <w:t>2</w:t>
            </w:r>
            <w:r w:rsidR="0013555D">
              <w:rPr>
                <w:noProof/>
                <w:webHidden/>
              </w:rPr>
              <w:fldChar w:fldCharType="end"/>
            </w:r>
          </w:hyperlink>
        </w:p>
        <w:p w14:paraId="12DD6265" w14:textId="5AFAE981" w:rsidR="0013555D" w:rsidRDefault="00F16D2F">
          <w:pPr>
            <w:pStyle w:val="TOC1"/>
            <w:tabs>
              <w:tab w:val="left" w:pos="4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lang w:val="en-IE" w:eastAsia="en-IE"/>
            </w:rPr>
          </w:pPr>
          <w:hyperlink w:anchor="_Toc147159416" w:history="1">
            <w:r w:rsidR="0013555D" w:rsidRPr="009605A4">
              <w:rPr>
                <w:rStyle w:val="Hyperlink"/>
                <w:noProof/>
                <w:lang w:val="en-GB"/>
              </w:rPr>
              <w:t>2.</w:t>
            </w:r>
            <w:r w:rsidR="0013555D">
              <w:rPr>
                <w:rFonts w:asciiTheme="minorHAnsi" w:eastAsiaTheme="minorEastAsia" w:hAnsiTheme="minorHAnsi" w:cstheme="minorBidi"/>
                <w:noProof/>
                <w:sz w:val="22"/>
                <w:lang w:val="en-IE" w:eastAsia="en-IE"/>
              </w:rPr>
              <w:tab/>
            </w:r>
            <w:r w:rsidR="0013555D" w:rsidRPr="009605A4">
              <w:rPr>
                <w:rStyle w:val="Hyperlink"/>
                <w:noProof/>
                <w:lang w:val="en-GB"/>
              </w:rPr>
              <w:t>The functioning of Union Market Observatories</w:t>
            </w:r>
            <w:r w:rsidR="0013555D">
              <w:rPr>
                <w:noProof/>
                <w:webHidden/>
              </w:rPr>
              <w:tab/>
            </w:r>
            <w:r w:rsidR="0013555D">
              <w:rPr>
                <w:noProof/>
                <w:webHidden/>
              </w:rPr>
              <w:fldChar w:fldCharType="begin"/>
            </w:r>
            <w:r w:rsidR="0013555D">
              <w:rPr>
                <w:noProof/>
                <w:webHidden/>
              </w:rPr>
              <w:instrText xml:space="preserve"> PAGEREF _Toc147159416 \h </w:instrText>
            </w:r>
            <w:r w:rsidR="0013555D">
              <w:rPr>
                <w:noProof/>
                <w:webHidden/>
              </w:rPr>
            </w:r>
            <w:r w:rsidR="0013555D">
              <w:rPr>
                <w:noProof/>
                <w:webHidden/>
              </w:rPr>
              <w:fldChar w:fldCharType="separate"/>
            </w:r>
            <w:r w:rsidR="0013555D">
              <w:rPr>
                <w:noProof/>
                <w:webHidden/>
              </w:rPr>
              <w:t>3</w:t>
            </w:r>
            <w:r w:rsidR="0013555D">
              <w:rPr>
                <w:noProof/>
                <w:webHidden/>
              </w:rPr>
              <w:fldChar w:fldCharType="end"/>
            </w:r>
          </w:hyperlink>
        </w:p>
        <w:p w14:paraId="521472B7" w14:textId="4FE24F98" w:rsidR="0013555D" w:rsidRPr="0013555D" w:rsidRDefault="00F16D2F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val="en-IE" w:eastAsia="en-IE"/>
            </w:rPr>
          </w:pPr>
          <w:hyperlink w:anchor="_Toc147159417" w:history="1">
            <w:r w:rsidR="0013555D" w:rsidRPr="0013555D">
              <w:rPr>
                <w:rStyle w:val="Hyperlink"/>
                <w:noProof/>
                <w:lang w:val="en-GB"/>
              </w:rPr>
              <w:t>a.</w:t>
            </w:r>
            <w:r w:rsidR="0013555D" w:rsidRPr="0013555D">
              <w:rPr>
                <w:rFonts w:asciiTheme="minorHAnsi" w:eastAsiaTheme="minorEastAsia" w:hAnsiTheme="minorHAnsi" w:cstheme="minorBidi"/>
                <w:noProof/>
                <w:sz w:val="22"/>
                <w:lang w:val="en-IE" w:eastAsia="en-IE"/>
              </w:rPr>
              <w:tab/>
            </w:r>
            <w:r w:rsidR="0013555D" w:rsidRPr="0013555D">
              <w:rPr>
                <w:rStyle w:val="Hyperlink"/>
                <w:noProof/>
                <w:lang w:val="en-GB"/>
              </w:rPr>
              <w:t>Objectives of Market Observatories</w:t>
            </w:r>
            <w:r w:rsidR="0013555D" w:rsidRPr="0013555D">
              <w:rPr>
                <w:noProof/>
                <w:webHidden/>
              </w:rPr>
              <w:tab/>
            </w:r>
            <w:r w:rsidR="0013555D" w:rsidRPr="0013555D">
              <w:rPr>
                <w:noProof/>
                <w:webHidden/>
              </w:rPr>
              <w:fldChar w:fldCharType="begin"/>
            </w:r>
            <w:r w:rsidR="0013555D" w:rsidRPr="0013555D">
              <w:rPr>
                <w:noProof/>
                <w:webHidden/>
              </w:rPr>
              <w:instrText xml:space="preserve"> PAGEREF _Toc147159417 \h </w:instrText>
            </w:r>
            <w:r w:rsidR="0013555D" w:rsidRPr="0013555D">
              <w:rPr>
                <w:noProof/>
                <w:webHidden/>
              </w:rPr>
            </w:r>
            <w:r w:rsidR="0013555D" w:rsidRPr="0013555D">
              <w:rPr>
                <w:noProof/>
                <w:webHidden/>
              </w:rPr>
              <w:fldChar w:fldCharType="separate"/>
            </w:r>
            <w:r w:rsidR="0013555D" w:rsidRPr="0013555D">
              <w:rPr>
                <w:noProof/>
                <w:webHidden/>
              </w:rPr>
              <w:t>3</w:t>
            </w:r>
            <w:r w:rsidR="0013555D" w:rsidRPr="0013555D">
              <w:rPr>
                <w:noProof/>
                <w:webHidden/>
              </w:rPr>
              <w:fldChar w:fldCharType="end"/>
            </w:r>
          </w:hyperlink>
        </w:p>
        <w:p w14:paraId="7581AEE5" w14:textId="30CAC28F" w:rsidR="0013555D" w:rsidRPr="0013555D" w:rsidRDefault="00F16D2F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val="en-IE" w:eastAsia="en-IE"/>
            </w:rPr>
          </w:pPr>
          <w:hyperlink w:anchor="_Toc147159418" w:history="1">
            <w:r w:rsidR="0013555D" w:rsidRPr="0013555D">
              <w:rPr>
                <w:rStyle w:val="Hyperlink"/>
                <w:noProof/>
                <w:lang w:val="en-GB"/>
              </w:rPr>
              <w:t>b.</w:t>
            </w:r>
            <w:r w:rsidR="0013555D" w:rsidRPr="0013555D">
              <w:rPr>
                <w:rFonts w:asciiTheme="minorHAnsi" w:eastAsiaTheme="minorEastAsia" w:hAnsiTheme="minorHAnsi" w:cstheme="minorBidi"/>
                <w:noProof/>
                <w:sz w:val="22"/>
                <w:lang w:val="en-IE" w:eastAsia="en-IE"/>
              </w:rPr>
              <w:tab/>
            </w:r>
            <w:r w:rsidR="0013555D" w:rsidRPr="0013555D">
              <w:rPr>
                <w:rStyle w:val="Hyperlink"/>
                <w:noProof/>
                <w:lang w:val="en-GB"/>
              </w:rPr>
              <w:t>Collect and disseminate key statistics</w:t>
            </w:r>
            <w:r w:rsidR="0013555D" w:rsidRPr="0013555D">
              <w:rPr>
                <w:noProof/>
                <w:webHidden/>
              </w:rPr>
              <w:tab/>
            </w:r>
            <w:r w:rsidR="0013555D" w:rsidRPr="0013555D">
              <w:rPr>
                <w:noProof/>
                <w:webHidden/>
              </w:rPr>
              <w:fldChar w:fldCharType="begin"/>
            </w:r>
            <w:r w:rsidR="0013555D" w:rsidRPr="0013555D">
              <w:rPr>
                <w:noProof/>
                <w:webHidden/>
              </w:rPr>
              <w:instrText xml:space="preserve"> PAGEREF _Toc147159418 \h </w:instrText>
            </w:r>
            <w:r w:rsidR="0013555D" w:rsidRPr="0013555D">
              <w:rPr>
                <w:noProof/>
                <w:webHidden/>
              </w:rPr>
            </w:r>
            <w:r w:rsidR="0013555D" w:rsidRPr="0013555D">
              <w:rPr>
                <w:noProof/>
                <w:webHidden/>
              </w:rPr>
              <w:fldChar w:fldCharType="separate"/>
            </w:r>
            <w:r w:rsidR="0013555D" w:rsidRPr="0013555D">
              <w:rPr>
                <w:noProof/>
                <w:webHidden/>
              </w:rPr>
              <w:t>4</w:t>
            </w:r>
            <w:r w:rsidR="0013555D" w:rsidRPr="0013555D">
              <w:rPr>
                <w:noProof/>
                <w:webHidden/>
              </w:rPr>
              <w:fldChar w:fldCharType="end"/>
            </w:r>
          </w:hyperlink>
        </w:p>
        <w:p w14:paraId="0B1F6DEC" w14:textId="695FD1FE" w:rsidR="0013555D" w:rsidRPr="0013555D" w:rsidRDefault="00F16D2F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val="en-IE" w:eastAsia="en-IE"/>
            </w:rPr>
          </w:pPr>
          <w:hyperlink w:anchor="_Toc147159419" w:history="1">
            <w:r w:rsidR="0013555D" w:rsidRPr="0013555D">
              <w:rPr>
                <w:rStyle w:val="Hyperlink"/>
                <w:noProof/>
                <w:lang w:val="en-GB"/>
              </w:rPr>
              <w:t>c.</w:t>
            </w:r>
            <w:r w:rsidR="0013555D" w:rsidRPr="0013555D">
              <w:rPr>
                <w:rFonts w:asciiTheme="minorHAnsi" w:eastAsiaTheme="minorEastAsia" w:hAnsiTheme="minorHAnsi" w:cstheme="minorBidi"/>
                <w:noProof/>
                <w:sz w:val="22"/>
                <w:lang w:val="en-IE" w:eastAsia="en-IE"/>
              </w:rPr>
              <w:tab/>
            </w:r>
            <w:r w:rsidR="0013555D" w:rsidRPr="0013555D">
              <w:rPr>
                <w:rStyle w:val="Hyperlink"/>
                <w:noProof/>
                <w:lang w:val="en-GB"/>
              </w:rPr>
              <w:t>Expert discussion platform</w:t>
            </w:r>
            <w:r w:rsidR="0013555D" w:rsidRPr="0013555D">
              <w:rPr>
                <w:noProof/>
                <w:webHidden/>
              </w:rPr>
              <w:tab/>
            </w:r>
            <w:r w:rsidR="0013555D" w:rsidRPr="0013555D">
              <w:rPr>
                <w:noProof/>
                <w:webHidden/>
              </w:rPr>
              <w:fldChar w:fldCharType="begin"/>
            </w:r>
            <w:r w:rsidR="0013555D" w:rsidRPr="0013555D">
              <w:rPr>
                <w:noProof/>
                <w:webHidden/>
              </w:rPr>
              <w:instrText xml:space="preserve"> PAGEREF _Toc147159419 \h </w:instrText>
            </w:r>
            <w:r w:rsidR="0013555D" w:rsidRPr="0013555D">
              <w:rPr>
                <w:noProof/>
                <w:webHidden/>
              </w:rPr>
            </w:r>
            <w:r w:rsidR="0013555D" w:rsidRPr="0013555D">
              <w:rPr>
                <w:noProof/>
                <w:webHidden/>
              </w:rPr>
              <w:fldChar w:fldCharType="separate"/>
            </w:r>
            <w:r w:rsidR="0013555D" w:rsidRPr="0013555D">
              <w:rPr>
                <w:noProof/>
                <w:webHidden/>
              </w:rPr>
              <w:t>6</w:t>
            </w:r>
            <w:r w:rsidR="0013555D" w:rsidRPr="0013555D">
              <w:rPr>
                <w:noProof/>
                <w:webHidden/>
              </w:rPr>
              <w:fldChar w:fldCharType="end"/>
            </w:r>
          </w:hyperlink>
        </w:p>
        <w:p w14:paraId="4FC8AB69" w14:textId="26972726" w:rsidR="0013555D" w:rsidRPr="0013555D" w:rsidRDefault="00F16D2F">
          <w:pPr>
            <w:pStyle w:val="TOC1"/>
            <w:tabs>
              <w:tab w:val="left" w:pos="4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lang w:val="en-IE" w:eastAsia="en-IE"/>
            </w:rPr>
          </w:pPr>
          <w:hyperlink w:anchor="_Toc147159420" w:history="1">
            <w:r w:rsidR="0013555D" w:rsidRPr="0013555D">
              <w:rPr>
                <w:rStyle w:val="Hyperlink"/>
                <w:noProof/>
                <w:lang w:val="en-GB"/>
              </w:rPr>
              <w:t>3.</w:t>
            </w:r>
            <w:r w:rsidR="0013555D" w:rsidRPr="0013555D">
              <w:rPr>
                <w:rFonts w:asciiTheme="minorHAnsi" w:eastAsiaTheme="minorEastAsia" w:hAnsiTheme="minorHAnsi" w:cstheme="minorBidi"/>
                <w:noProof/>
                <w:sz w:val="22"/>
                <w:lang w:val="en-IE" w:eastAsia="en-IE"/>
              </w:rPr>
              <w:tab/>
            </w:r>
            <w:r w:rsidR="0013555D" w:rsidRPr="0013555D">
              <w:rPr>
                <w:rStyle w:val="Hyperlink"/>
                <w:noProof/>
                <w:lang w:val="en-GB"/>
              </w:rPr>
              <w:t>Practical experience and suggestions on Market Observatories</w:t>
            </w:r>
            <w:r w:rsidR="0013555D" w:rsidRPr="0013555D">
              <w:rPr>
                <w:noProof/>
                <w:webHidden/>
              </w:rPr>
              <w:tab/>
            </w:r>
            <w:r w:rsidR="0013555D" w:rsidRPr="0013555D">
              <w:rPr>
                <w:noProof/>
                <w:webHidden/>
              </w:rPr>
              <w:fldChar w:fldCharType="begin"/>
            </w:r>
            <w:r w:rsidR="0013555D" w:rsidRPr="0013555D">
              <w:rPr>
                <w:noProof/>
                <w:webHidden/>
              </w:rPr>
              <w:instrText xml:space="preserve"> PAGEREF _Toc147159420 \h </w:instrText>
            </w:r>
            <w:r w:rsidR="0013555D" w:rsidRPr="0013555D">
              <w:rPr>
                <w:noProof/>
                <w:webHidden/>
              </w:rPr>
            </w:r>
            <w:r w:rsidR="0013555D" w:rsidRPr="0013555D">
              <w:rPr>
                <w:noProof/>
                <w:webHidden/>
              </w:rPr>
              <w:fldChar w:fldCharType="separate"/>
            </w:r>
            <w:r w:rsidR="0013555D" w:rsidRPr="0013555D">
              <w:rPr>
                <w:noProof/>
                <w:webHidden/>
              </w:rPr>
              <w:t>6</w:t>
            </w:r>
            <w:r w:rsidR="0013555D" w:rsidRPr="0013555D">
              <w:rPr>
                <w:noProof/>
                <w:webHidden/>
              </w:rPr>
              <w:fldChar w:fldCharType="end"/>
            </w:r>
          </w:hyperlink>
        </w:p>
        <w:p w14:paraId="6064A938" w14:textId="730339CC" w:rsidR="0013555D" w:rsidRPr="0013555D" w:rsidRDefault="00F16D2F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val="en-IE" w:eastAsia="en-IE"/>
            </w:rPr>
          </w:pPr>
          <w:hyperlink w:anchor="_Toc147159421" w:history="1">
            <w:r w:rsidR="0013555D" w:rsidRPr="0013555D">
              <w:rPr>
                <w:rStyle w:val="Hyperlink"/>
                <w:noProof/>
                <w:lang w:val="en-GB"/>
              </w:rPr>
              <w:t>a.</w:t>
            </w:r>
            <w:r w:rsidR="0013555D" w:rsidRPr="0013555D">
              <w:rPr>
                <w:rFonts w:asciiTheme="minorHAnsi" w:eastAsiaTheme="minorEastAsia" w:hAnsiTheme="minorHAnsi" w:cstheme="minorBidi"/>
                <w:noProof/>
                <w:sz w:val="22"/>
                <w:lang w:val="en-IE" w:eastAsia="en-IE"/>
              </w:rPr>
              <w:tab/>
            </w:r>
            <w:r w:rsidR="0013555D" w:rsidRPr="0013555D">
              <w:rPr>
                <w:rStyle w:val="Hyperlink"/>
                <w:noProof/>
                <w:lang w:val="en-GB"/>
              </w:rPr>
              <w:t>Respondents’ assessment of the extent to which Market Observatories meet their objectives</w:t>
            </w:r>
            <w:r w:rsidR="0013555D" w:rsidRPr="0013555D">
              <w:rPr>
                <w:noProof/>
                <w:webHidden/>
              </w:rPr>
              <w:tab/>
            </w:r>
            <w:r w:rsidR="0013555D" w:rsidRPr="0013555D">
              <w:rPr>
                <w:noProof/>
                <w:webHidden/>
              </w:rPr>
              <w:fldChar w:fldCharType="begin"/>
            </w:r>
            <w:r w:rsidR="0013555D" w:rsidRPr="0013555D">
              <w:rPr>
                <w:noProof/>
                <w:webHidden/>
              </w:rPr>
              <w:instrText xml:space="preserve"> PAGEREF _Toc147159421 \h </w:instrText>
            </w:r>
            <w:r w:rsidR="0013555D" w:rsidRPr="0013555D">
              <w:rPr>
                <w:noProof/>
                <w:webHidden/>
              </w:rPr>
            </w:r>
            <w:r w:rsidR="0013555D" w:rsidRPr="0013555D">
              <w:rPr>
                <w:noProof/>
                <w:webHidden/>
              </w:rPr>
              <w:fldChar w:fldCharType="separate"/>
            </w:r>
            <w:r w:rsidR="0013555D" w:rsidRPr="0013555D">
              <w:rPr>
                <w:noProof/>
                <w:webHidden/>
              </w:rPr>
              <w:t>8</w:t>
            </w:r>
            <w:r w:rsidR="0013555D" w:rsidRPr="0013555D">
              <w:rPr>
                <w:noProof/>
                <w:webHidden/>
              </w:rPr>
              <w:fldChar w:fldCharType="end"/>
            </w:r>
          </w:hyperlink>
        </w:p>
        <w:p w14:paraId="10BCAD87" w14:textId="62B2C380" w:rsidR="0013555D" w:rsidRPr="0013555D" w:rsidRDefault="00F16D2F">
          <w:pPr>
            <w:pStyle w:val="TOC3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lang w:val="en-IE" w:eastAsia="en-IE"/>
            </w:rPr>
          </w:pPr>
          <w:hyperlink w:anchor="_Toc147159422" w:history="1">
            <w:r w:rsidR="0013555D" w:rsidRPr="0013555D">
              <w:rPr>
                <w:rStyle w:val="Hyperlink"/>
                <w:noProof/>
                <w:lang w:val="en-GB"/>
              </w:rPr>
              <w:t>i.</w:t>
            </w:r>
            <w:r w:rsidR="0013555D" w:rsidRPr="0013555D">
              <w:rPr>
                <w:rFonts w:asciiTheme="minorHAnsi" w:eastAsiaTheme="minorEastAsia" w:hAnsiTheme="minorHAnsi" w:cstheme="minorBidi"/>
                <w:noProof/>
                <w:sz w:val="22"/>
                <w:lang w:val="en-IE" w:eastAsia="en-IE"/>
              </w:rPr>
              <w:tab/>
            </w:r>
            <w:r w:rsidR="0013555D" w:rsidRPr="0013555D">
              <w:rPr>
                <w:rStyle w:val="Hyperlink"/>
                <w:noProof/>
                <w:lang w:val="en-GB"/>
              </w:rPr>
              <w:t>Transparency within the food supply chain</w:t>
            </w:r>
            <w:r w:rsidR="0013555D" w:rsidRPr="0013555D">
              <w:rPr>
                <w:noProof/>
                <w:webHidden/>
              </w:rPr>
              <w:tab/>
            </w:r>
            <w:r w:rsidR="0013555D" w:rsidRPr="0013555D">
              <w:rPr>
                <w:noProof/>
                <w:webHidden/>
              </w:rPr>
              <w:fldChar w:fldCharType="begin"/>
            </w:r>
            <w:r w:rsidR="0013555D" w:rsidRPr="0013555D">
              <w:rPr>
                <w:noProof/>
                <w:webHidden/>
              </w:rPr>
              <w:instrText xml:space="preserve"> PAGEREF _Toc147159422 \h </w:instrText>
            </w:r>
            <w:r w:rsidR="0013555D" w:rsidRPr="0013555D">
              <w:rPr>
                <w:noProof/>
                <w:webHidden/>
              </w:rPr>
            </w:r>
            <w:r w:rsidR="0013555D" w:rsidRPr="0013555D">
              <w:rPr>
                <w:noProof/>
                <w:webHidden/>
              </w:rPr>
              <w:fldChar w:fldCharType="separate"/>
            </w:r>
            <w:r w:rsidR="0013555D" w:rsidRPr="0013555D">
              <w:rPr>
                <w:noProof/>
                <w:webHidden/>
              </w:rPr>
              <w:t>8</w:t>
            </w:r>
            <w:r w:rsidR="0013555D" w:rsidRPr="0013555D">
              <w:rPr>
                <w:noProof/>
                <w:webHidden/>
              </w:rPr>
              <w:fldChar w:fldCharType="end"/>
            </w:r>
          </w:hyperlink>
        </w:p>
        <w:p w14:paraId="3159C1E6" w14:textId="5756F248" w:rsidR="0013555D" w:rsidRPr="0013555D" w:rsidRDefault="00F16D2F">
          <w:pPr>
            <w:pStyle w:val="TOC3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lang w:val="en-IE" w:eastAsia="en-IE"/>
            </w:rPr>
          </w:pPr>
          <w:hyperlink w:anchor="_Toc147159423" w:history="1">
            <w:r w:rsidR="0013555D" w:rsidRPr="0013555D">
              <w:rPr>
                <w:rStyle w:val="Hyperlink"/>
                <w:noProof/>
                <w:lang w:val="en-GB"/>
              </w:rPr>
              <w:t>ii.</w:t>
            </w:r>
            <w:r w:rsidR="0013555D" w:rsidRPr="0013555D">
              <w:rPr>
                <w:rFonts w:asciiTheme="minorHAnsi" w:eastAsiaTheme="minorEastAsia" w:hAnsiTheme="minorHAnsi" w:cstheme="minorBidi"/>
                <w:noProof/>
                <w:sz w:val="22"/>
                <w:lang w:val="en-IE" w:eastAsia="en-IE"/>
              </w:rPr>
              <w:tab/>
            </w:r>
            <w:r w:rsidR="0013555D" w:rsidRPr="0013555D">
              <w:rPr>
                <w:rStyle w:val="Hyperlink"/>
                <w:noProof/>
                <w:lang w:val="en-GB"/>
              </w:rPr>
              <w:t>Informing the choices of economic operators and public authorities</w:t>
            </w:r>
            <w:r w:rsidR="0013555D" w:rsidRPr="0013555D">
              <w:rPr>
                <w:noProof/>
                <w:webHidden/>
              </w:rPr>
              <w:tab/>
            </w:r>
            <w:r w:rsidR="0013555D" w:rsidRPr="0013555D">
              <w:rPr>
                <w:noProof/>
                <w:webHidden/>
              </w:rPr>
              <w:fldChar w:fldCharType="begin"/>
            </w:r>
            <w:r w:rsidR="0013555D" w:rsidRPr="0013555D">
              <w:rPr>
                <w:noProof/>
                <w:webHidden/>
              </w:rPr>
              <w:instrText xml:space="preserve"> PAGEREF _Toc147159423 \h </w:instrText>
            </w:r>
            <w:r w:rsidR="0013555D" w:rsidRPr="0013555D">
              <w:rPr>
                <w:noProof/>
                <w:webHidden/>
              </w:rPr>
            </w:r>
            <w:r w:rsidR="0013555D" w:rsidRPr="0013555D">
              <w:rPr>
                <w:noProof/>
                <w:webHidden/>
              </w:rPr>
              <w:fldChar w:fldCharType="separate"/>
            </w:r>
            <w:r w:rsidR="0013555D" w:rsidRPr="0013555D">
              <w:rPr>
                <w:noProof/>
                <w:webHidden/>
              </w:rPr>
              <w:t>9</w:t>
            </w:r>
            <w:r w:rsidR="0013555D" w:rsidRPr="0013555D">
              <w:rPr>
                <w:noProof/>
                <w:webHidden/>
              </w:rPr>
              <w:fldChar w:fldCharType="end"/>
            </w:r>
          </w:hyperlink>
        </w:p>
        <w:p w14:paraId="5B7074B0" w14:textId="524D7382" w:rsidR="0013555D" w:rsidRPr="0013555D" w:rsidRDefault="00F16D2F">
          <w:pPr>
            <w:pStyle w:val="TOC3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lang w:val="en-IE" w:eastAsia="en-IE"/>
            </w:rPr>
          </w:pPr>
          <w:hyperlink w:anchor="_Toc147159424" w:history="1">
            <w:r w:rsidR="0013555D" w:rsidRPr="0013555D">
              <w:rPr>
                <w:rStyle w:val="Hyperlink"/>
                <w:rFonts w:eastAsiaTheme="majorEastAsia" w:cstheme="majorBidi"/>
                <w:noProof/>
                <w:lang w:val="en-GB"/>
              </w:rPr>
              <w:t>iii.</w:t>
            </w:r>
            <w:r w:rsidR="0013555D" w:rsidRPr="0013555D">
              <w:rPr>
                <w:rFonts w:asciiTheme="minorHAnsi" w:eastAsiaTheme="minorEastAsia" w:hAnsiTheme="minorHAnsi" w:cstheme="minorBidi"/>
                <w:noProof/>
                <w:sz w:val="22"/>
                <w:lang w:val="en-IE" w:eastAsia="en-IE"/>
              </w:rPr>
              <w:tab/>
            </w:r>
            <w:r w:rsidR="0013555D" w:rsidRPr="0013555D">
              <w:rPr>
                <w:rStyle w:val="Hyperlink"/>
                <w:rFonts w:eastAsiaTheme="majorEastAsia" w:cstheme="majorBidi"/>
                <w:noProof/>
                <w:lang w:val="en-GB"/>
              </w:rPr>
              <w:t>Facilitating the monitoring of market developments and threats of market disturbance</w:t>
            </w:r>
            <w:r w:rsidR="0013555D" w:rsidRPr="0013555D">
              <w:rPr>
                <w:noProof/>
                <w:webHidden/>
              </w:rPr>
              <w:tab/>
            </w:r>
            <w:r w:rsidR="0013555D" w:rsidRPr="0013555D">
              <w:rPr>
                <w:noProof/>
                <w:webHidden/>
              </w:rPr>
              <w:fldChar w:fldCharType="begin"/>
            </w:r>
            <w:r w:rsidR="0013555D" w:rsidRPr="0013555D">
              <w:rPr>
                <w:noProof/>
                <w:webHidden/>
              </w:rPr>
              <w:instrText xml:space="preserve"> PAGEREF _Toc147159424 \h </w:instrText>
            </w:r>
            <w:r w:rsidR="0013555D" w:rsidRPr="0013555D">
              <w:rPr>
                <w:noProof/>
                <w:webHidden/>
              </w:rPr>
            </w:r>
            <w:r w:rsidR="0013555D" w:rsidRPr="0013555D">
              <w:rPr>
                <w:noProof/>
                <w:webHidden/>
              </w:rPr>
              <w:fldChar w:fldCharType="separate"/>
            </w:r>
            <w:r w:rsidR="0013555D" w:rsidRPr="0013555D">
              <w:rPr>
                <w:noProof/>
                <w:webHidden/>
              </w:rPr>
              <w:t>9</w:t>
            </w:r>
            <w:r w:rsidR="0013555D" w:rsidRPr="0013555D">
              <w:rPr>
                <w:noProof/>
                <w:webHidden/>
              </w:rPr>
              <w:fldChar w:fldCharType="end"/>
            </w:r>
          </w:hyperlink>
        </w:p>
        <w:p w14:paraId="04395F81" w14:textId="245B8E49" w:rsidR="0013555D" w:rsidRPr="0013555D" w:rsidRDefault="00F16D2F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val="en-IE" w:eastAsia="en-IE"/>
            </w:rPr>
          </w:pPr>
          <w:hyperlink w:anchor="_Toc147159425" w:history="1">
            <w:r w:rsidR="0013555D" w:rsidRPr="0013555D">
              <w:rPr>
                <w:rStyle w:val="Hyperlink"/>
                <w:noProof/>
                <w:lang w:val="en-GB"/>
              </w:rPr>
              <w:t>b.</w:t>
            </w:r>
            <w:r w:rsidR="0013555D" w:rsidRPr="0013555D">
              <w:rPr>
                <w:rFonts w:asciiTheme="minorHAnsi" w:eastAsiaTheme="minorEastAsia" w:hAnsiTheme="minorHAnsi" w:cstheme="minorBidi"/>
                <w:noProof/>
                <w:sz w:val="22"/>
                <w:lang w:val="en-IE" w:eastAsia="en-IE"/>
              </w:rPr>
              <w:tab/>
            </w:r>
            <w:r w:rsidR="0013555D" w:rsidRPr="0013555D">
              <w:rPr>
                <w:rStyle w:val="Hyperlink"/>
                <w:noProof/>
                <w:lang w:val="en-GB"/>
              </w:rPr>
              <w:t>Respondents’ assessment on statistical data, information and reports</w:t>
            </w:r>
            <w:r w:rsidR="0013555D" w:rsidRPr="0013555D">
              <w:rPr>
                <w:noProof/>
                <w:webHidden/>
              </w:rPr>
              <w:tab/>
            </w:r>
            <w:r w:rsidR="0013555D" w:rsidRPr="0013555D">
              <w:rPr>
                <w:noProof/>
                <w:webHidden/>
              </w:rPr>
              <w:fldChar w:fldCharType="begin"/>
            </w:r>
            <w:r w:rsidR="0013555D" w:rsidRPr="0013555D">
              <w:rPr>
                <w:noProof/>
                <w:webHidden/>
              </w:rPr>
              <w:instrText xml:space="preserve"> PAGEREF _Toc147159425 \h </w:instrText>
            </w:r>
            <w:r w:rsidR="0013555D" w:rsidRPr="0013555D">
              <w:rPr>
                <w:noProof/>
                <w:webHidden/>
              </w:rPr>
            </w:r>
            <w:r w:rsidR="0013555D" w:rsidRPr="0013555D">
              <w:rPr>
                <w:noProof/>
                <w:webHidden/>
              </w:rPr>
              <w:fldChar w:fldCharType="separate"/>
            </w:r>
            <w:r w:rsidR="0013555D" w:rsidRPr="0013555D">
              <w:rPr>
                <w:noProof/>
                <w:webHidden/>
              </w:rPr>
              <w:t>9</w:t>
            </w:r>
            <w:r w:rsidR="0013555D" w:rsidRPr="0013555D">
              <w:rPr>
                <w:noProof/>
                <w:webHidden/>
              </w:rPr>
              <w:fldChar w:fldCharType="end"/>
            </w:r>
          </w:hyperlink>
        </w:p>
        <w:p w14:paraId="281189FE" w14:textId="5AF1865E" w:rsidR="0013555D" w:rsidRPr="0013555D" w:rsidRDefault="00F16D2F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val="en-IE" w:eastAsia="en-IE"/>
            </w:rPr>
          </w:pPr>
          <w:hyperlink w:anchor="_Toc147159426" w:history="1">
            <w:r w:rsidR="0013555D" w:rsidRPr="0013555D">
              <w:rPr>
                <w:rStyle w:val="Hyperlink"/>
                <w:noProof/>
                <w:lang w:val="en-GB"/>
              </w:rPr>
              <w:t>c.</w:t>
            </w:r>
            <w:r w:rsidR="0013555D" w:rsidRPr="0013555D">
              <w:rPr>
                <w:rFonts w:asciiTheme="minorHAnsi" w:eastAsiaTheme="minorEastAsia" w:hAnsiTheme="minorHAnsi" w:cstheme="minorBidi"/>
                <w:noProof/>
                <w:sz w:val="22"/>
                <w:lang w:val="en-IE" w:eastAsia="en-IE"/>
              </w:rPr>
              <w:tab/>
            </w:r>
            <w:r w:rsidR="0013555D" w:rsidRPr="0013555D">
              <w:rPr>
                <w:rStyle w:val="Hyperlink"/>
                <w:noProof/>
                <w:lang w:val="en-GB"/>
              </w:rPr>
              <w:t>Respondents’ assessment on meetings of Market Observatories</w:t>
            </w:r>
            <w:r w:rsidR="0013555D" w:rsidRPr="0013555D">
              <w:rPr>
                <w:noProof/>
                <w:webHidden/>
              </w:rPr>
              <w:tab/>
            </w:r>
            <w:r w:rsidR="0013555D" w:rsidRPr="0013555D">
              <w:rPr>
                <w:noProof/>
                <w:webHidden/>
              </w:rPr>
              <w:fldChar w:fldCharType="begin"/>
            </w:r>
            <w:r w:rsidR="0013555D" w:rsidRPr="0013555D">
              <w:rPr>
                <w:noProof/>
                <w:webHidden/>
              </w:rPr>
              <w:instrText xml:space="preserve"> PAGEREF _Toc147159426 \h </w:instrText>
            </w:r>
            <w:r w:rsidR="0013555D" w:rsidRPr="0013555D">
              <w:rPr>
                <w:noProof/>
                <w:webHidden/>
              </w:rPr>
            </w:r>
            <w:r w:rsidR="0013555D" w:rsidRPr="0013555D">
              <w:rPr>
                <w:noProof/>
                <w:webHidden/>
              </w:rPr>
              <w:fldChar w:fldCharType="separate"/>
            </w:r>
            <w:r w:rsidR="0013555D" w:rsidRPr="0013555D">
              <w:rPr>
                <w:noProof/>
                <w:webHidden/>
              </w:rPr>
              <w:t>10</w:t>
            </w:r>
            <w:r w:rsidR="0013555D" w:rsidRPr="0013555D">
              <w:rPr>
                <w:noProof/>
                <w:webHidden/>
              </w:rPr>
              <w:fldChar w:fldCharType="end"/>
            </w:r>
          </w:hyperlink>
        </w:p>
        <w:p w14:paraId="43E79C9B" w14:textId="66B1CED0" w:rsidR="0013555D" w:rsidRPr="0013555D" w:rsidRDefault="00F16D2F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val="en-IE" w:eastAsia="en-IE"/>
            </w:rPr>
          </w:pPr>
          <w:hyperlink w:anchor="_Toc147159427" w:history="1">
            <w:r w:rsidR="0013555D" w:rsidRPr="0013555D">
              <w:rPr>
                <w:rStyle w:val="Hyperlink"/>
                <w:noProof/>
                <w:lang w:val="en-GB"/>
              </w:rPr>
              <w:t>d.</w:t>
            </w:r>
            <w:r w:rsidR="0013555D" w:rsidRPr="0013555D">
              <w:rPr>
                <w:rFonts w:asciiTheme="minorHAnsi" w:eastAsiaTheme="minorEastAsia" w:hAnsiTheme="minorHAnsi" w:cstheme="minorBidi"/>
                <w:noProof/>
                <w:sz w:val="22"/>
                <w:lang w:val="en-IE" w:eastAsia="en-IE"/>
              </w:rPr>
              <w:tab/>
            </w:r>
            <w:r w:rsidR="0013555D" w:rsidRPr="0013555D">
              <w:rPr>
                <w:rStyle w:val="Hyperlink"/>
                <w:noProof/>
                <w:lang w:val="en-GB"/>
              </w:rPr>
              <w:t>Respondents’ suggestions for the future</w:t>
            </w:r>
            <w:r w:rsidR="0013555D" w:rsidRPr="0013555D">
              <w:rPr>
                <w:noProof/>
                <w:webHidden/>
              </w:rPr>
              <w:tab/>
            </w:r>
            <w:r w:rsidR="0013555D" w:rsidRPr="0013555D">
              <w:rPr>
                <w:noProof/>
                <w:webHidden/>
              </w:rPr>
              <w:fldChar w:fldCharType="begin"/>
            </w:r>
            <w:r w:rsidR="0013555D" w:rsidRPr="0013555D">
              <w:rPr>
                <w:noProof/>
                <w:webHidden/>
              </w:rPr>
              <w:instrText xml:space="preserve"> PAGEREF _Toc147159427 \h </w:instrText>
            </w:r>
            <w:r w:rsidR="0013555D" w:rsidRPr="0013555D">
              <w:rPr>
                <w:noProof/>
                <w:webHidden/>
              </w:rPr>
            </w:r>
            <w:r w:rsidR="0013555D" w:rsidRPr="0013555D">
              <w:rPr>
                <w:noProof/>
                <w:webHidden/>
              </w:rPr>
              <w:fldChar w:fldCharType="separate"/>
            </w:r>
            <w:r w:rsidR="0013555D" w:rsidRPr="0013555D">
              <w:rPr>
                <w:noProof/>
                <w:webHidden/>
              </w:rPr>
              <w:t>11</w:t>
            </w:r>
            <w:r w:rsidR="0013555D" w:rsidRPr="0013555D">
              <w:rPr>
                <w:noProof/>
                <w:webHidden/>
              </w:rPr>
              <w:fldChar w:fldCharType="end"/>
            </w:r>
          </w:hyperlink>
        </w:p>
        <w:p w14:paraId="276FBD27" w14:textId="725E891B" w:rsidR="0013555D" w:rsidRDefault="00F16D2F">
          <w:pPr>
            <w:pStyle w:val="TOC1"/>
            <w:tabs>
              <w:tab w:val="left" w:pos="4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lang w:val="en-IE" w:eastAsia="en-IE"/>
            </w:rPr>
          </w:pPr>
          <w:hyperlink w:anchor="_Toc147159428" w:history="1">
            <w:r w:rsidR="0013555D" w:rsidRPr="009605A4">
              <w:rPr>
                <w:rStyle w:val="Hyperlink"/>
                <w:noProof/>
                <w:lang w:val="en-GB"/>
              </w:rPr>
              <w:t>4.</w:t>
            </w:r>
            <w:r w:rsidR="0013555D">
              <w:rPr>
                <w:rFonts w:asciiTheme="minorHAnsi" w:eastAsiaTheme="minorEastAsia" w:hAnsiTheme="minorHAnsi" w:cstheme="minorBidi"/>
                <w:noProof/>
                <w:sz w:val="22"/>
                <w:lang w:val="en-IE" w:eastAsia="en-IE"/>
              </w:rPr>
              <w:tab/>
            </w:r>
            <w:r w:rsidR="0013555D" w:rsidRPr="009605A4">
              <w:rPr>
                <w:rStyle w:val="Hyperlink"/>
                <w:noProof/>
                <w:lang w:val="en-GB"/>
              </w:rPr>
              <w:t>Conclusion</w:t>
            </w:r>
            <w:r w:rsidR="0013555D">
              <w:rPr>
                <w:noProof/>
                <w:webHidden/>
              </w:rPr>
              <w:tab/>
            </w:r>
            <w:r w:rsidR="0013555D">
              <w:rPr>
                <w:noProof/>
                <w:webHidden/>
              </w:rPr>
              <w:fldChar w:fldCharType="begin"/>
            </w:r>
            <w:r w:rsidR="0013555D">
              <w:rPr>
                <w:noProof/>
                <w:webHidden/>
              </w:rPr>
              <w:instrText xml:space="preserve"> PAGEREF _Toc147159428 \h </w:instrText>
            </w:r>
            <w:r w:rsidR="0013555D">
              <w:rPr>
                <w:noProof/>
                <w:webHidden/>
              </w:rPr>
            </w:r>
            <w:r w:rsidR="0013555D">
              <w:rPr>
                <w:noProof/>
                <w:webHidden/>
              </w:rPr>
              <w:fldChar w:fldCharType="separate"/>
            </w:r>
            <w:r w:rsidR="0013555D">
              <w:rPr>
                <w:noProof/>
                <w:webHidden/>
              </w:rPr>
              <w:t>11</w:t>
            </w:r>
            <w:r w:rsidR="0013555D">
              <w:rPr>
                <w:noProof/>
                <w:webHidden/>
              </w:rPr>
              <w:fldChar w:fldCharType="end"/>
            </w:r>
          </w:hyperlink>
        </w:p>
        <w:p w14:paraId="45FB0818" w14:textId="04B848A7" w:rsidR="003624B7" w:rsidRDefault="003624B7" w:rsidP="003624B7">
          <w:pPr>
            <w:rPr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49F31CB" w14:textId="77777777" w:rsidR="003624B7" w:rsidRDefault="003624B7">
      <w:pPr>
        <w:spacing w:after="160" w:line="259" w:lineRule="auto"/>
        <w:rPr>
          <w:rFonts w:eastAsiaTheme="majorEastAsia" w:cstheme="majorBidi"/>
          <w:b/>
          <w:noProof/>
          <w:color w:val="000000" w:themeColor="text1"/>
          <w:sz w:val="32"/>
          <w:szCs w:val="32"/>
          <w:lang w:val="en-GB"/>
        </w:rPr>
      </w:pPr>
      <w:r>
        <w:rPr>
          <w:noProof/>
          <w:lang w:val="en-GB"/>
        </w:rPr>
        <w:br w:type="page"/>
      </w:r>
    </w:p>
    <w:p w14:paraId="3E7A9F1C" w14:textId="77777777" w:rsidR="00C67604" w:rsidRPr="00B14339" w:rsidRDefault="00C67604" w:rsidP="003624B7">
      <w:pPr>
        <w:pStyle w:val="Heading1"/>
        <w:numPr>
          <w:ilvl w:val="0"/>
          <w:numId w:val="17"/>
        </w:numPr>
        <w:rPr>
          <w:noProof/>
          <w:lang w:val="en-GB"/>
        </w:rPr>
      </w:pPr>
      <w:bookmarkStart w:id="2" w:name="_Toc147159415"/>
      <w:r w:rsidRPr="00B14339">
        <w:rPr>
          <w:noProof/>
          <w:lang w:val="en-GB"/>
        </w:rPr>
        <w:t>Introduction</w:t>
      </w:r>
      <w:bookmarkEnd w:id="2"/>
    </w:p>
    <w:p w14:paraId="53128261" w14:textId="77777777" w:rsidR="00C67604" w:rsidRPr="00B14339" w:rsidRDefault="00C67604" w:rsidP="00C67604">
      <w:pPr>
        <w:rPr>
          <w:rFonts w:cs="Times New Roman"/>
          <w:noProof/>
          <w:sz w:val="24"/>
          <w:szCs w:val="24"/>
          <w:lang w:val="en-GB"/>
        </w:rPr>
      </w:pPr>
    </w:p>
    <w:p w14:paraId="12A4CCD1" w14:textId="7996CEA1" w:rsidR="00C67604" w:rsidRPr="00720E6B" w:rsidRDefault="00C67604" w:rsidP="003F080A">
      <w:pPr>
        <w:jc w:val="both"/>
        <w:rPr>
          <w:noProof/>
          <w:sz w:val="24"/>
          <w:szCs w:val="24"/>
          <w:lang w:val="en-GB"/>
        </w:rPr>
      </w:pPr>
      <w:r w:rsidRPr="00720E6B">
        <w:rPr>
          <w:noProof/>
          <w:sz w:val="24"/>
          <w:szCs w:val="24"/>
          <w:lang w:val="en-GB"/>
        </w:rPr>
        <w:t>In anticipation of the end of the milk quota regime in 2015, the Milk Market Observatory was set up in 2014 to provide the milk sector with greater transparency and enable</w:t>
      </w:r>
      <w:r w:rsidR="00837449">
        <w:rPr>
          <w:noProof/>
          <w:sz w:val="24"/>
          <w:szCs w:val="24"/>
          <w:lang w:val="en-GB"/>
        </w:rPr>
        <w:t xml:space="preserve"> market operators </w:t>
      </w:r>
      <w:r w:rsidRPr="00720E6B">
        <w:rPr>
          <w:noProof/>
          <w:sz w:val="24"/>
          <w:szCs w:val="24"/>
          <w:lang w:val="en-GB"/>
        </w:rPr>
        <w:t xml:space="preserve">to make </w:t>
      </w:r>
      <w:r w:rsidR="002A600A">
        <w:rPr>
          <w:noProof/>
          <w:sz w:val="24"/>
          <w:szCs w:val="24"/>
          <w:lang w:val="en-GB"/>
        </w:rPr>
        <w:t xml:space="preserve">informed </w:t>
      </w:r>
      <w:r w:rsidR="002A600A" w:rsidRPr="00720E6B">
        <w:rPr>
          <w:noProof/>
          <w:sz w:val="24"/>
          <w:szCs w:val="24"/>
          <w:lang w:val="en-GB"/>
        </w:rPr>
        <w:t>decisions</w:t>
      </w:r>
      <w:r w:rsidRPr="00720E6B">
        <w:rPr>
          <w:noProof/>
          <w:sz w:val="24"/>
          <w:szCs w:val="24"/>
          <w:lang w:val="en-GB"/>
        </w:rPr>
        <w:t>. Since then, more Market Observatories</w:t>
      </w:r>
      <w:r w:rsidR="003F080A" w:rsidRPr="00720E6B">
        <w:rPr>
          <w:noProof/>
          <w:sz w:val="24"/>
          <w:szCs w:val="24"/>
          <w:lang w:val="en-GB"/>
        </w:rPr>
        <w:t xml:space="preserve"> have been created</w:t>
      </w:r>
      <w:r w:rsidRPr="00720E6B">
        <w:rPr>
          <w:noProof/>
          <w:sz w:val="24"/>
          <w:szCs w:val="24"/>
          <w:lang w:val="en-GB"/>
        </w:rPr>
        <w:t xml:space="preserve"> for other agricul</w:t>
      </w:r>
      <w:r w:rsidR="003F080A" w:rsidRPr="00720E6B">
        <w:rPr>
          <w:noProof/>
          <w:sz w:val="24"/>
          <w:szCs w:val="24"/>
          <w:lang w:val="en-GB"/>
        </w:rPr>
        <w:t xml:space="preserve">tural sectors </w:t>
      </w:r>
      <w:r w:rsidRPr="00720E6B">
        <w:rPr>
          <w:noProof/>
          <w:sz w:val="24"/>
          <w:szCs w:val="24"/>
          <w:lang w:val="en-GB"/>
        </w:rPr>
        <w:t>depending on the</w:t>
      </w:r>
      <w:r w:rsidR="00837449">
        <w:rPr>
          <w:noProof/>
          <w:sz w:val="24"/>
          <w:szCs w:val="24"/>
          <w:lang w:val="en-GB"/>
        </w:rPr>
        <w:t>ir</w:t>
      </w:r>
      <w:r w:rsidRPr="00720E6B">
        <w:rPr>
          <w:noProof/>
          <w:sz w:val="24"/>
          <w:szCs w:val="24"/>
          <w:lang w:val="en-GB"/>
        </w:rPr>
        <w:t xml:space="preserve"> needs and characteristics. These include the Market Observatories for meat (beef and </w:t>
      </w:r>
      <w:r w:rsidR="00C70F80" w:rsidRPr="00720E6B">
        <w:rPr>
          <w:noProof/>
          <w:sz w:val="24"/>
          <w:szCs w:val="24"/>
          <w:lang w:val="en-GB"/>
        </w:rPr>
        <w:t>pig meat</w:t>
      </w:r>
      <w:r w:rsidRPr="00720E6B">
        <w:rPr>
          <w:noProof/>
          <w:sz w:val="24"/>
          <w:szCs w:val="24"/>
          <w:lang w:val="en-GB"/>
        </w:rPr>
        <w:t>), sugar, crops</w:t>
      </w:r>
      <w:r w:rsidR="731B9E77" w:rsidRPr="00720E6B">
        <w:rPr>
          <w:noProof/>
          <w:sz w:val="24"/>
          <w:szCs w:val="24"/>
          <w:lang w:val="en-GB"/>
        </w:rPr>
        <w:t xml:space="preserve"> (cereals, oilseeds and protein crops)</w:t>
      </w:r>
      <w:r w:rsidRPr="00720E6B">
        <w:rPr>
          <w:noProof/>
          <w:sz w:val="24"/>
          <w:szCs w:val="24"/>
          <w:lang w:val="en-GB"/>
        </w:rPr>
        <w:t xml:space="preserve">, fruit and vegetables (citrus fruit, pip fruit, stone fruit and tomatoes) and wine. </w:t>
      </w:r>
      <w:r w:rsidR="00522216">
        <w:rPr>
          <w:noProof/>
          <w:sz w:val="24"/>
          <w:szCs w:val="24"/>
          <w:lang w:val="en-GB"/>
        </w:rPr>
        <w:t xml:space="preserve">The Commission also established </w:t>
      </w:r>
      <w:r w:rsidR="00522216" w:rsidRPr="00241295">
        <w:rPr>
          <w:noProof/>
          <w:sz w:val="24"/>
          <w:szCs w:val="24"/>
          <w:lang w:val="en-GB"/>
        </w:rPr>
        <w:t>an observatory for fertilisers markets in the EU</w:t>
      </w:r>
      <w:r w:rsidR="00522216">
        <w:rPr>
          <w:noProof/>
          <w:sz w:val="24"/>
          <w:szCs w:val="24"/>
          <w:lang w:val="en-GB"/>
        </w:rPr>
        <w:t xml:space="preserve">, following </w:t>
      </w:r>
      <w:r w:rsidR="00241295">
        <w:rPr>
          <w:noProof/>
          <w:sz w:val="24"/>
          <w:szCs w:val="24"/>
          <w:lang w:val="en-GB"/>
        </w:rPr>
        <w:t xml:space="preserve">its Communication of 9 </w:t>
      </w:r>
      <w:r w:rsidR="3CC13E7E" w:rsidRPr="00720E6B">
        <w:rPr>
          <w:noProof/>
          <w:sz w:val="24"/>
          <w:szCs w:val="24"/>
          <w:lang w:val="en-GB"/>
        </w:rPr>
        <w:t>November 2022</w:t>
      </w:r>
      <w:r w:rsidR="00241295">
        <w:rPr>
          <w:noProof/>
          <w:sz w:val="24"/>
          <w:szCs w:val="24"/>
          <w:lang w:val="en-GB"/>
        </w:rPr>
        <w:t xml:space="preserve"> </w:t>
      </w:r>
      <w:r w:rsidR="00241295" w:rsidRPr="00241295">
        <w:rPr>
          <w:noProof/>
          <w:sz w:val="24"/>
          <w:szCs w:val="24"/>
          <w:lang w:val="en-GB"/>
        </w:rPr>
        <w:t>entitled ‘Ensuring availability and affordability of fertilisers’</w:t>
      </w:r>
      <w:r w:rsidR="00643627">
        <w:rPr>
          <w:rStyle w:val="FootnoteReference"/>
          <w:noProof/>
          <w:sz w:val="24"/>
          <w:szCs w:val="24"/>
          <w:lang w:val="en-GB"/>
        </w:rPr>
        <w:footnoteReference w:id="2"/>
      </w:r>
      <w:r w:rsidR="00522216">
        <w:rPr>
          <w:noProof/>
          <w:sz w:val="24"/>
          <w:szCs w:val="24"/>
          <w:lang w:val="en-GB"/>
        </w:rPr>
        <w:t>, but this is not comprised in the scope of the</w:t>
      </w:r>
      <w:r w:rsidR="00EA4CE7">
        <w:rPr>
          <w:noProof/>
          <w:sz w:val="24"/>
          <w:szCs w:val="24"/>
          <w:lang w:val="en-GB"/>
        </w:rPr>
        <w:t xml:space="preserve"> present report</w:t>
      </w:r>
      <w:r w:rsidR="00E90C88" w:rsidRPr="00E90C88">
        <w:rPr>
          <w:noProof/>
          <w:sz w:val="24"/>
          <w:szCs w:val="24"/>
          <w:lang w:val="en-GB"/>
        </w:rPr>
        <w:t xml:space="preserve">, although it follows the same objectives and principles of organisation as the other market observatories, </w:t>
      </w:r>
      <w:r w:rsidR="00EA4CE7">
        <w:rPr>
          <w:noProof/>
          <w:sz w:val="24"/>
          <w:szCs w:val="24"/>
          <w:lang w:val="en-GB"/>
        </w:rPr>
        <w:t>as it does not concern any</w:t>
      </w:r>
      <w:r w:rsidR="00C32EEE">
        <w:rPr>
          <w:noProof/>
          <w:sz w:val="24"/>
          <w:szCs w:val="24"/>
          <w:lang w:val="en-GB"/>
        </w:rPr>
        <w:t xml:space="preserve"> </w:t>
      </w:r>
      <w:r w:rsidR="00522216">
        <w:rPr>
          <w:noProof/>
          <w:sz w:val="24"/>
          <w:szCs w:val="24"/>
          <w:lang w:val="en-GB"/>
        </w:rPr>
        <w:t>of the</w:t>
      </w:r>
      <w:r w:rsidR="00EA4CE7">
        <w:rPr>
          <w:noProof/>
          <w:sz w:val="24"/>
          <w:szCs w:val="24"/>
          <w:lang w:val="en-GB"/>
        </w:rPr>
        <w:t xml:space="preserve"> sector</w:t>
      </w:r>
      <w:r w:rsidR="00522216">
        <w:rPr>
          <w:noProof/>
          <w:sz w:val="24"/>
          <w:szCs w:val="24"/>
          <w:lang w:val="en-GB"/>
        </w:rPr>
        <w:t>s</w:t>
      </w:r>
      <w:r w:rsidR="00EA4CE7">
        <w:rPr>
          <w:noProof/>
          <w:sz w:val="24"/>
          <w:szCs w:val="24"/>
          <w:lang w:val="en-GB"/>
        </w:rPr>
        <w:t xml:space="preserve"> listed in </w:t>
      </w:r>
      <w:r w:rsidR="00815251">
        <w:rPr>
          <w:noProof/>
          <w:sz w:val="24"/>
          <w:szCs w:val="24"/>
          <w:lang w:val="en-GB"/>
        </w:rPr>
        <w:t xml:space="preserve">Article 1(2) of </w:t>
      </w:r>
      <w:r w:rsidR="00EA4CE7">
        <w:rPr>
          <w:noProof/>
          <w:sz w:val="24"/>
          <w:szCs w:val="24"/>
          <w:lang w:val="en-GB"/>
        </w:rPr>
        <w:t>Regulation</w:t>
      </w:r>
      <w:r w:rsidR="00815251">
        <w:rPr>
          <w:noProof/>
          <w:sz w:val="24"/>
          <w:szCs w:val="24"/>
          <w:lang w:val="en-GB"/>
        </w:rPr>
        <w:t xml:space="preserve"> 1308/2013</w:t>
      </w:r>
      <w:r w:rsidR="00815251">
        <w:rPr>
          <w:rStyle w:val="FootnoteReference"/>
          <w:noProof/>
          <w:sz w:val="24"/>
          <w:szCs w:val="24"/>
          <w:lang w:val="en-GB"/>
        </w:rPr>
        <w:footnoteReference w:id="3"/>
      </w:r>
      <w:r w:rsidR="00815251">
        <w:rPr>
          <w:noProof/>
          <w:sz w:val="24"/>
          <w:szCs w:val="24"/>
          <w:lang w:val="en-GB"/>
        </w:rPr>
        <w:t xml:space="preserve"> (CMO Regulation)</w:t>
      </w:r>
      <w:r w:rsidR="00EA4CE7">
        <w:rPr>
          <w:noProof/>
          <w:sz w:val="24"/>
          <w:szCs w:val="24"/>
          <w:lang w:val="en-GB"/>
        </w:rPr>
        <w:t>.</w:t>
      </w:r>
      <w:r w:rsidR="00C32EEE">
        <w:rPr>
          <w:noProof/>
          <w:sz w:val="24"/>
          <w:szCs w:val="24"/>
          <w:lang w:val="en-GB"/>
        </w:rPr>
        <w:t xml:space="preserve"> </w:t>
      </w:r>
      <w:r w:rsidR="00C32EEE" w:rsidRPr="00C32EEE">
        <w:rPr>
          <w:noProof/>
          <w:sz w:val="24"/>
          <w:szCs w:val="24"/>
          <w:lang w:val="en-GB"/>
        </w:rPr>
        <w:t>At the time of finalising this report, work was ongoing for setting up a new observatory for olive oil.</w:t>
      </w:r>
    </w:p>
    <w:p w14:paraId="62486C05" w14:textId="77777777" w:rsidR="00C67604" w:rsidRPr="00720E6B" w:rsidRDefault="00C67604" w:rsidP="003F080A">
      <w:pPr>
        <w:jc w:val="both"/>
        <w:rPr>
          <w:noProof/>
          <w:sz w:val="24"/>
          <w:szCs w:val="24"/>
          <w:lang w:val="en-GB"/>
        </w:rPr>
      </w:pPr>
    </w:p>
    <w:p w14:paraId="6390E5D3" w14:textId="1B18EFD6" w:rsidR="00C67604" w:rsidRPr="00720E6B" w:rsidRDefault="00837449" w:rsidP="003F080A">
      <w:pPr>
        <w:jc w:val="both"/>
        <w:rPr>
          <w:noProof/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t>T</w:t>
      </w:r>
      <w:r w:rsidR="00C70F80" w:rsidRPr="00720E6B">
        <w:rPr>
          <w:noProof/>
          <w:sz w:val="24"/>
          <w:szCs w:val="24"/>
          <w:lang w:val="en-GB"/>
        </w:rPr>
        <w:t xml:space="preserve">he objectives of the various Market Observatories </w:t>
      </w:r>
      <w:r w:rsidR="00EA4CE7">
        <w:rPr>
          <w:noProof/>
          <w:sz w:val="24"/>
          <w:szCs w:val="24"/>
          <w:lang w:val="en-GB"/>
        </w:rPr>
        <w:t xml:space="preserve">for agricultural products </w:t>
      </w:r>
      <w:r w:rsidR="00C70F80" w:rsidRPr="00720E6B">
        <w:rPr>
          <w:noProof/>
          <w:sz w:val="24"/>
          <w:szCs w:val="24"/>
          <w:lang w:val="en-GB"/>
        </w:rPr>
        <w:t>are to disseminate market data and short-term analyses on agricultural markets</w:t>
      </w:r>
      <w:r w:rsidR="00D14D3E" w:rsidRPr="00720E6B">
        <w:rPr>
          <w:noProof/>
          <w:sz w:val="24"/>
          <w:szCs w:val="24"/>
          <w:lang w:val="en-GB"/>
        </w:rPr>
        <w:t>,</w:t>
      </w:r>
      <w:r w:rsidR="00C70F80" w:rsidRPr="00720E6B">
        <w:rPr>
          <w:noProof/>
          <w:sz w:val="24"/>
          <w:szCs w:val="24"/>
          <w:lang w:val="en-GB"/>
        </w:rPr>
        <w:t xml:space="preserve"> meet</w:t>
      </w:r>
      <w:r w:rsidR="00815251">
        <w:rPr>
          <w:noProof/>
          <w:sz w:val="24"/>
          <w:szCs w:val="24"/>
          <w:lang w:val="en-GB"/>
        </w:rPr>
        <w:t>ing</w:t>
      </w:r>
      <w:r w:rsidR="00C70F80" w:rsidRPr="00720E6B">
        <w:rPr>
          <w:noProof/>
          <w:sz w:val="24"/>
          <w:szCs w:val="24"/>
          <w:lang w:val="en-GB"/>
        </w:rPr>
        <w:t xml:space="preserve"> </w:t>
      </w:r>
      <w:r w:rsidR="00EA4CE7">
        <w:rPr>
          <w:noProof/>
          <w:sz w:val="24"/>
          <w:szCs w:val="24"/>
          <w:lang w:val="en-GB"/>
        </w:rPr>
        <w:t>a</w:t>
      </w:r>
      <w:r w:rsidR="00EA4CE7" w:rsidRPr="00720E6B">
        <w:rPr>
          <w:noProof/>
          <w:sz w:val="24"/>
          <w:szCs w:val="24"/>
          <w:lang w:val="en-GB"/>
        </w:rPr>
        <w:t xml:space="preserve"> </w:t>
      </w:r>
      <w:r w:rsidR="00C70F80" w:rsidRPr="00720E6B">
        <w:rPr>
          <w:noProof/>
          <w:sz w:val="24"/>
          <w:szCs w:val="24"/>
          <w:lang w:val="en-GB"/>
        </w:rPr>
        <w:t xml:space="preserve">growing need </w:t>
      </w:r>
      <w:r w:rsidR="00EA4CE7">
        <w:rPr>
          <w:noProof/>
          <w:sz w:val="24"/>
          <w:szCs w:val="24"/>
          <w:lang w:val="en-GB"/>
        </w:rPr>
        <w:t>f</w:t>
      </w:r>
      <w:r w:rsidR="00C70F80" w:rsidRPr="00720E6B">
        <w:rPr>
          <w:noProof/>
          <w:sz w:val="24"/>
          <w:szCs w:val="24"/>
          <w:lang w:val="en-GB"/>
        </w:rPr>
        <w:t>o</w:t>
      </w:r>
      <w:r w:rsidR="00EA4CE7">
        <w:rPr>
          <w:noProof/>
          <w:sz w:val="24"/>
          <w:szCs w:val="24"/>
          <w:lang w:val="en-GB"/>
        </w:rPr>
        <w:t>r</w:t>
      </w:r>
      <w:r w:rsidR="00C70F80" w:rsidRPr="00720E6B">
        <w:rPr>
          <w:noProof/>
          <w:sz w:val="24"/>
          <w:szCs w:val="24"/>
          <w:lang w:val="en-GB"/>
        </w:rPr>
        <w:t xml:space="preserve"> transparenc</w:t>
      </w:r>
      <w:r w:rsidR="003F080A" w:rsidRPr="00720E6B">
        <w:rPr>
          <w:noProof/>
          <w:sz w:val="24"/>
          <w:szCs w:val="24"/>
          <w:lang w:val="en-GB"/>
        </w:rPr>
        <w:t>y by</w:t>
      </w:r>
      <w:r w:rsidR="0005418B" w:rsidRPr="00720E6B">
        <w:rPr>
          <w:noProof/>
          <w:sz w:val="24"/>
          <w:szCs w:val="24"/>
          <w:lang w:val="en-GB"/>
        </w:rPr>
        <w:t xml:space="preserve"> </w:t>
      </w:r>
      <w:r w:rsidR="00D14D3E" w:rsidRPr="00720E6B">
        <w:rPr>
          <w:noProof/>
          <w:sz w:val="24"/>
          <w:szCs w:val="24"/>
          <w:lang w:val="en-GB"/>
        </w:rPr>
        <w:t xml:space="preserve">providing </w:t>
      </w:r>
      <w:r w:rsidR="0005418B" w:rsidRPr="00720E6B">
        <w:rPr>
          <w:noProof/>
          <w:sz w:val="24"/>
          <w:szCs w:val="24"/>
          <w:lang w:val="en-GB"/>
        </w:rPr>
        <w:t>more detailed and</w:t>
      </w:r>
      <w:r w:rsidR="00C70F80" w:rsidRPr="00720E6B">
        <w:rPr>
          <w:noProof/>
          <w:sz w:val="24"/>
          <w:szCs w:val="24"/>
          <w:lang w:val="en-GB"/>
        </w:rPr>
        <w:t xml:space="preserve"> regular information</w:t>
      </w:r>
      <w:r w:rsidR="00815251">
        <w:rPr>
          <w:noProof/>
          <w:sz w:val="24"/>
          <w:szCs w:val="24"/>
          <w:lang w:val="en-GB"/>
        </w:rPr>
        <w:t xml:space="preserve"> to the marketplace</w:t>
      </w:r>
      <w:r w:rsidR="00C70F80" w:rsidRPr="00720E6B">
        <w:rPr>
          <w:noProof/>
          <w:sz w:val="24"/>
          <w:szCs w:val="24"/>
          <w:lang w:val="en-GB"/>
        </w:rPr>
        <w:t xml:space="preserve">. To this end, </w:t>
      </w:r>
      <w:r w:rsidR="003F080A" w:rsidRPr="00720E6B">
        <w:rPr>
          <w:noProof/>
          <w:sz w:val="24"/>
          <w:szCs w:val="24"/>
          <w:lang w:val="en-GB"/>
        </w:rPr>
        <w:t xml:space="preserve">Market Observatories are designed </w:t>
      </w:r>
      <w:r w:rsidR="00EA4CE7">
        <w:rPr>
          <w:noProof/>
          <w:sz w:val="24"/>
          <w:szCs w:val="24"/>
          <w:lang w:val="en-GB"/>
        </w:rPr>
        <w:t>in</w:t>
      </w:r>
      <w:r w:rsidR="00EA4CE7" w:rsidRPr="00720E6B">
        <w:rPr>
          <w:noProof/>
          <w:sz w:val="24"/>
          <w:szCs w:val="24"/>
          <w:lang w:val="en-GB"/>
        </w:rPr>
        <w:t xml:space="preserve"> </w:t>
      </w:r>
      <w:r w:rsidR="003F080A" w:rsidRPr="00720E6B">
        <w:rPr>
          <w:noProof/>
          <w:sz w:val="24"/>
          <w:szCs w:val="24"/>
          <w:lang w:val="en-GB"/>
        </w:rPr>
        <w:t xml:space="preserve">such </w:t>
      </w:r>
      <w:r w:rsidR="00EA4CE7">
        <w:rPr>
          <w:noProof/>
          <w:sz w:val="24"/>
          <w:szCs w:val="24"/>
          <w:lang w:val="en-GB"/>
        </w:rPr>
        <w:t xml:space="preserve">a way </w:t>
      </w:r>
      <w:r w:rsidR="003F080A" w:rsidRPr="00720E6B">
        <w:rPr>
          <w:noProof/>
          <w:sz w:val="24"/>
          <w:szCs w:val="24"/>
          <w:lang w:val="en-GB"/>
        </w:rPr>
        <w:t>that</w:t>
      </w:r>
      <w:r w:rsidR="00C70F80" w:rsidRPr="00720E6B">
        <w:rPr>
          <w:noProof/>
          <w:sz w:val="24"/>
          <w:szCs w:val="24"/>
          <w:lang w:val="en-GB"/>
        </w:rPr>
        <w:t xml:space="preserve">, on the one hand, </w:t>
      </w:r>
      <w:r w:rsidR="003F080A" w:rsidRPr="00720E6B">
        <w:rPr>
          <w:noProof/>
          <w:sz w:val="24"/>
          <w:szCs w:val="24"/>
          <w:lang w:val="en-GB"/>
        </w:rPr>
        <w:t>k</w:t>
      </w:r>
      <w:r w:rsidR="00B35C13" w:rsidRPr="00720E6B">
        <w:rPr>
          <w:noProof/>
          <w:sz w:val="24"/>
          <w:szCs w:val="24"/>
          <w:lang w:val="en-GB"/>
        </w:rPr>
        <w:t>ey statistics on the</w:t>
      </w:r>
      <w:r w:rsidR="0005418B" w:rsidRPr="00720E6B">
        <w:rPr>
          <w:noProof/>
          <w:sz w:val="24"/>
          <w:szCs w:val="24"/>
          <w:lang w:val="en-GB"/>
        </w:rPr>
        <w:t xml:space="preserve"> sector</w:t>
      </w:r>
      <w:r w:rsidR="003F080A" w:rsidRPr="00720E6B">
        <w:rPr>
          <w:noProof/>
          <w:sz w:val="24"/>
          <w:szCs w:val="24"/>
          <w:lang w:val="en-GB"/>
        </w:rPr>
        <w:t>s are published online</w:t>
      </w:r>
      <w:r w:rsidR="00B35C13" w:rsidRPr="00720E6B">
        <w:rPr>
          <w:noProof/>
          <w:sz w:val="24"/>
          <w:szCs w:val="24"/>
          <w:lang w:val="en-GB"/>
        </w:rPr>
        <w:t xml:space="preserve">, </w:t>
      </w:r>
      <w:r w:rsidR="0005418B" w:rsidRPr="00720E6B">
        <w:rPr>
          <w:noProof/>
          <w:sz w:val="24"/>
          <w:szCs w:val="24"/>
          <w:lang w:val="en-GB"/>
        </w:rPr>
        <w:t xml:space="preserve">and, </w:t>
      </w:r>
      <w:r w:rsidR="00B35C13" w:rsidRPr="00720E6B">
        <w:rPr>
          <w:noProof/>
          <w:sz w:val="24"/>
          <w:szCs w:val="24"/>
          <w:lang w:val="en-GB"/>
        </w:rPr>
        <w:t xml:space="preserve">on </w:t>
      </w:r>
      <w:r w:rsidR="004C5AC7" w:rsidRPr="00720E6B">
        <w:rPr>
          <w:noProof/>
          <w:sz w:val="24"/>
          <w:szCs w:val="24"/>
          <w:lang w:val="en-GB"/>
        </w:rPr>
        <w:t xml:space="preserve">the other hand, </w:t>
      </w:r>
      <w:r w:rsidR="003F080A" w:rsidRPr="00720E6B">
        <w:rPr>
          <w:noProof/>
          <w:sz w:val="24"/>
          <w:szCs w:val="24"/>
          <w:lang w:val="en-GB"/>
        </w:rPr>
        <w:t xml:space="preserve">experts are brought together </w:t>
      </w:r>
      <w:r w:rsidR="00B35C13" w:rsidRPr="00720E6B">
        <w:rPr>
          <w:noProof/>
          <w:sz w:val="24"/>
          <w:szCs w:val="24"/>
          <w:lang w:val="en-GB"/>
        </w:rPr>
        <w:t xml:space="preserve">from all stages </w:t>
      </w:r>
      <w:r w:rsidR="00C70F80" w:rsidRPr="00720E6B">
        <w:rPr>
          <w:noProof/>
          <w:sz w:val="24"/>
          <w:szCs w:val="24"/>
          <w:lang w:val="en-GB"/>
        </w:rPr>
        <w:t xml:space="preserve">in the supply chain </w:t>
      </w:r>
      <w:r w:rsidR="00C67604" w:rsidRPr="00720E6B">
        <w:rPr>
          <w:noProof/>
          <w:sz w:val="24"/>
          <w:szCs w:val="24"/>
          <w:lang w:val="en-GB"/>
        </w:rPr>
        <w:t xml:space="preserve">(production, processing, retail, wholesale and trade) in regular meetings to </w:t>
      </w:r>
      <w:r w:rsidR="00B35C13" w:rsidRPr="00720E6B">
        <w:rPr>
          <w:noProof/>
          <w:sz w:val="24"/>
          <w:szCs w:val="24"/>
          <w:lang w:val="en-GB"/>
        </w:rPr>
        <w:t>analys</w:t>
      </w:r>
      <w:r w:rsidR="00C70F80" w:rsidRPr="00720E6B">
        <w:rPr>
          <w:noProof/>
          <w:sz w:val="24"/>
          <w:szCs w:val="24"/>
          <w:lang w:val="en-GB"/>
        </w:rPr>
        <w:t>e</w:t>
      </w:r>
      <w:r w:rsidR="00B35C13" w:rsidRPr="00720E6B">
        <w:rPr>
          <w:noProof/>
          <w:sz w:val="24"/>
          <w:szCs w:val="24"/>
          <w:lang w:val="en-GB"/>
        </w:rPr>
        <w:t xml:space="preserve"> available data, </w:t>
      </w:r>
      <w:r w:rsidR="00EA4CE7">
        <w:rPr>
          <w:noProof/>
          <w:sz w:val="24"/>
          <w:szCs w:val="24"/>
          <w:lang w:val="en-GB"/>
        </w:rPr>
        <w:t>share their expert knowledge</w:t>
      </w:r>
      <w:r w:rsidR="00B35C13" w:rsidRPr="00720E6B">
        <w:rPr>
          <w:noProof/>
          <w:sz w:val="24"/>
          <w:szCs w:val="24"/>
          <w:lang w:val="en-GB"/>
        </w:rPr>
        <w:t xml:space="preserve"> and </w:t>
      </w:r>
      <w:r w:rsidR="00EA4CE7">
        <w:rPr>
          <w:noProof/>
          <w:sz w:val="24"/>
          <w:szCs w:val="24"/>
          <w:lang w:val="en-GB"/>
        </w:rPr>
        <w:t>cast</w:t>
      </w:r>
      <w:r w:rsidR="00EA4CE7" w:rsidRPr="00720E6B">
        <w:rPr>
          <w:noProof/>
          <w:sz w:val="24"/>
          <w:szCs w:val="24"/>
          <w:lang w:val="en-GB"/>
        </w:rPr>
        <w:t xml:space="preserve"> </w:t>
      </w:r>
      <w:r w:rsidR="00B35C13" w:rsidRPr="00720E6B">
        <w:rPr>
          <w:noProof/>
          <w:sz w:val="24"/>
          <w:szCs w:val="24"/>
          <w:lang w:val="en-GB"/>
        </w:rPr>
        <w:t>a look into the short-</w:t>
      </w:r>
      <w:r w:rsidR="00C67604" w:rsidRPr="00720E6B">
        <w:rPr>
          <w:noProof/>
          <w:sz w:val="24"/>
          <w:szCs w:val="24"/>
          <w:lang w:val="en-GB"/>
        </w:rPr>
        <w:t>term future</w:t>
      </w:r>
      <w:r w:rsidR="00EA4CE7">
        <w:rPr>
          <w:noProof/>
          <w:sz w:val="24"/>
          <w:szCs w:val="24"/>
          <w:lang w:val="en-GB"/>
        </w:rPr>
        <w:t xml:space="preserve"> to the extent possible</w:t>
      </w:r>
      <w:r w:rsidR="00B35C13" w:rsidRPr="00720E6B">
        <w:rPr>
          <w:noProof/>
          <w:sz w:val="24"/>
          <w:szCs w:val="24"/>
          <w:lang w:val="en-GB"/>
        </w:rPr>
        <w:t>.</w:t>
      </w:r>
      <w:r w:rsidR="00C67604" w:rsidRPr="00720E6B">
        <w:rPr>
          <w:noProof/>
          <w:sz w:val="24"/>
          <w:szCs w:val="24"/>
          <w:lang w:val="en-GB"/>
        </w:rPr>
        <w:t xml:space="preserve"> </w:t>
      </w:r>
    </w:p>
    <w:p w14:paraId="4101652C" w14:textId="77777777" w:rsidR="004C5AC7" w:rsidRPr="00720E6B" w:rsidRDefault="004C5AC7" w:rsidP="003F080A">
      <w:pPr>
        <w:jc w:val="both"/>
        <w:rPr>
          <w:noProof/>
          <w:sz w:val="24"/>
          <w:szCs w:val="24"/>
          <w:lang w:val="en-GB"/>
        </w:rPr>
      </w:pPr>
    </w:p>
    <w:p w14:paraId="1A9AEB1B" w14:textId="5BADA45F" w:rsidR="00C67604" w:rsidRPr="00720E6B" w:rsidRDefault="00837449" w:rsidP="003F080A">
      <w:pPr>
        <w:jc w:val="both"/>
        <w:rPr>
          <w:noProof/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t>A</w:t>
      </w:r>
      <w:r w:rsidRPr="00720E6B">
        <w:rPr>
          <w:noProof/>
          <w:sz w:val="24"/>
          <w:szCs w:val="24"/>
          <w:lang w:val="en-GB"/>
        </w:rPr>
        <w:t xml:space="preserve"> </w:t>
      </w:r>
      <w:r w:rsidR="00CC7B59">
        <w:rPr>
          <w:noProof/>
          <w:sz w:val="24"/>
          <w:szCs w:val="24"/>
          <w:lang w:val="en-GB"/>
        </w:rPr>
        <w:t xml:space="preserve">specific provision referring </w:t>
      </w:r>
      <w:r w:rsidR="00DF032E">
        <w:rPr>
          <w:noProof/>
          <w:sz w:val="24"/>
          <w:szCs w:val="24"/>
          <w:lang w:val="en-GB"/>
        </w:rPr>
        <w:t xml:space="preserve">to </w:t>
      </w:r>
      <w:r w:rsidR="00DF032E" w:rsidRPr="00720E6B">
        <w:rPr>
          <w:noProof/>
          <w:sz w:val="24"/>
          <w:szCs w:val="24"/>
          <w:lang w:val="en-GB"/>
        </w:rPr>
        <w:t>Market</w:t>
      </w:r>
      <w:r w:rsidR="004C5AC7" w:rsidRPr="00720E6B">
        <w:rPr>
          <w:noProof/>
          <w:sz w:val="24"/>
          <w:szCs w:val="24"/>
          <w:lang w:val="en-GB"/>
        </w:rPr>
        <w:t xml:space="preserve"> Observatories </w:t>
      </w:r>
      <w:r>
        <w:rPr>
          <w:noProof/>
          <w:sz w:val="24"/>
          <w:szCs w:val="24"/>
          <w:lang w:val="en-GB"/>
        </w:rPr>
        <w:t xml:space="preserve">was </w:t>
      </w:r>
      <w:r w:rsidR="00EA4CE7">
        <w:rPr>
          <w:noProof/>
          <w:sz w:val="24"/>
          <w:szCs w:val="24"/>
          <w:lang w:val="en-GB"/>
        </w:rPr>
        <w:t>introduced</w:t>
      </w:r>
      <w:r>
        <w:rPr>
          <w:noProof/>
          <w:sz w:val="24"/>
          <w:szCs w:val="24"/>
          <w:lang w:val="en-GB"/>
        </w:rPr>
        <w:t xml:space="preserve"> with the </w:t>
      </w:r>
      <w:r w:rsidR="00EA4CE7">
        <w:rPr>
          <w:noProof/>
          <w:sz w:val="24"/>
          <w:szCs w:val="24"/>
          <w:lang w:val="en-GB"/>
        </w:rPr>
        <w:t xml:space="preserve">latest </w:t>
      </w:r>
      <w:r>
        <w:rPr>
          <w:noProof/>
          <w:sz w:val="24"/>
          <w:szCs w:val="24"/>
          <w:lang w:val="en-GB"/>
        </w:rPr>
        <w:t xml:space="preserve">CAP Reform </w:t>
      </w:r>
      <w:r w:rsidR="00EA4CE7">
        <w:rPr>
          <w:noProof/>
          <w:sz w:val="24"/>
          <w:szCs w:val="24"/>
          <w:lang w:val="en-GB"/>
        </w:rPr>
        <w:t xml:space="preserve">in </w:t>
      </w:r>
      <w:r w:rsidR="00CA05EC" w:rsidRPr="00720E6B">
        <w:rPr>
          <w:noProof/>
          <w:sz w:val="24"/>
          <w:szCs w:val="24"/>
          <w:lang w:val="en-GB"/>
        </w:rPr>
        <w:t xml:space="preserve">Article 222a </w:t>
      </w:r>
      <w:r w:rsidR="00EA4CE7">
        <w:rPr>
          <w:noProof/>
          <w:sz w:val="24"/>
          <w:szCs w:val="24"/>
          <w:lang w:val="en-GB"/>
        </w:rPr>
        <w:t>of</w:t>
      </w:r>
      <w:r>
        <w:rPr>
          <w:noProof/>
          <w:sz w:val="24"/>
          <w:szCs w:val="24"/>
          <w:lang w:val="en-GB"/>
        </w:rPr>
        <w:t xml:space="preserve"> </w:t>
      </w:r>
      <w:r w:rsidR="004C5AC7" w:rsidRPr="00720E6B">
        <w:rPr>
          <w:noProof/>
          <w:sz w:val="24"/>
          <w:szCs w:val="24"/>
          <w:lang w:val="en-GB"/>
        </w:rPr>
        <w:t xml:space="preserve">the </w:t>
      </w:r>
      <w:r w:rsidR="00815251">
        <w:rPr>
          <w:noProof/>
          <w:sz w:val="24"/>
          <w:szCs w:val="24"/>
          <w:lang w:val="en-GB"/>
        </w:rPr>
        <w:t xml:space="preserve">CMO </w:t>
      </w:r>
      <w:r>
        <w:rPr>
          <w:noProof/>
          <w:sz w:val="24"/>
          <w:szCs w:val="24"/>
          <w:lang w:val="en-GB"/>
        </w:rPr>
        <w:t>R</w:t>
      </w:r>
      <w:r w:rsidR="00063E53" w:rsidRPr="00720E6B">
        <w:rPr>
          <w:noProof/>
          <w:sz w:val="24"/>
          <w:szCs w:val="24"/>
          <w:lang w:val="en-GB"/>
        </w:rPr>
        <w:t>egulation</w:t>
      </w:r>
      <w:r w:rsidR="00CA05EC" w:rsidRPr="00720E6B">
        <w:rPr>
          <w:noProof/>
          <w:sz w:val="24"/>
          <w:szCs w:val="24"/>
          <w:lang w:val="en-GB"/>
        </w:rPr>
        <w:t>.</w:t>
      </w:r>
      <w:r w:rsidR="00247336" w:rsidRPr="00720E6B">
        <w:rPr>
          <w:noProof/>
          <w:sz w:val="24"/>
          <w:szCs w:val="24"/>
          <w:lang w:val="en-GB"/>
        </w:rPr>
        <w:t xml:space="preserve"> </w:t>
      </w:r>
      <w:r w:rsidR="00EA4CE7">
        <w:rPr>
          <w:noProof/>
          <w:sz w:val="24"/>
          <w:szCs w:val="24"/>
          <w:lang w:val="en-GB"/>
        </w:rPr>
        <w:t>A</w:t>
      </w:r>
      <w:r>
        <w:rPr>
          <w:noProof/>
          <w:sz w:val="24"/>
          <w:szCs w:val="24"/>
          <w:lang w:val="en-GB"/>
        </w:rPr>
        <w:t xml:space="preserve"> new obligation </w:t>
      </w:r>
      <w:r w:rsidR="00EA4CE7">
        <w:rPr>
          <w:noProof/>
          <w:sz w:val="24"/>
          <w:szCs w:val="24"/>
          <w:lang w:val="en-GB"/>
        </w:rPr>
        <w:t xml:space="preserve">was introduced in parallel </w:t>
      </w:r>
      <w:r>
        <w:rPr>
          <w:noProof/>
          <w:sz w:val="24"/>
          <w:szCs w:val="24"/>
          <w:lang w:val="en-GB"/>
        </w:rPr>
        <w:t>for the Commission</w:t>
      </w:r>
      <w:r w:rsidR="009C521C" w:rsidRPr="00720E6B">
        <w:rPr>
          <w:rStyle w:val="FootnoteReference"/>
          <w:rFonts w:cs="Times New Roman"/>
          <w:noProof/>
          <w:sz w:val="24"/>
          <w:szCs w:val="24"/>
          <w:lang w:val="en-GB"/>
        </w:rPr>
        <w:footnoteReference w:id="4"/>
      </w:r>
      <w:r w:rsidR="003F080A" w:rsidRPr="00720E6B">
        <w:rPr>
          <w:noProof/>
          <w:sz w:val="24"/>
          <w:szCs w:val="24"/>
          <w:lang w:val="en-GB"/>
        </w:rPr>
        <w:t xml:space="preserve"> </w:t>
      </w:r>
      <w:r w:rsidR="00EA4CE7">
        <w:rPr>
          <w:noProof/>
          <w:sz w:val="24"/>
          <w:szCs w:val="24"/>
          <w:lang w:val="en-GB"/>
        </w:rPr>
        <w:t xml:space="preserve">to report to the European Parliament and Council </w:t>
      </w:r>
      <w:r w:rsidR="009C521C" w:rsidRPr="00720E6B">
        <w:rPr>
          <w:noProof/>
          <w:sz w:val="24"/>
          <w:szCs w:val="24"/>
          <w:lang w:val="en-GB"/>
        </w:rPr>
        <w:t>on the Union Market Observatories established in accordance with Article 222a</w:t>
      </w:r>
      <w:r>
        <w:rPr>
          <w:noProof/>
          <w:sz w:val="24"/>
          <w:szCs w:val="24"/>
          <w:lang w:val="en-GB"/>
        </w:rPr>
        <w:t>,</w:t>
      </w:r>
      <w:r w:rsidR="009C521C" w:rsidRPr="00720E6B">
        <w:rPr>
          <w:noProof/>
          <w:sz w:val="24"/>
          <w:szCs w:val="24"/>
          <w:lang w:val="en-GB"/>
        </w:rPr>
        <w:t xml:space="preserve"> </w:t>
      </w:r>
      <w:r w:rsidR="00C67604" w:rsidRPr="00720E6B">
        <w:rPr>
          <w:noProof/>
          <w:sz w:val="24"/>
          <w:szCs w:val="24"/>
          <w:lang w:val="en-GB"/>
        </w:rPr>
        <w:t>by 31 December 2023</w:t>
      </w:r>
      <w:r w:rsidR="00BF1A70" w:rsidRPr="00720E6B">
        <w:rPr>
          <w:noProof/>
          <w:sz w:val="24"/>
          <w:szCs w:val="24"/>
          <w:lang w:val="en-GB"/>
        </w:rPr>
        <w:t>.</w:t>
      </w:r>
    </w:p>
    <w:p w14:paraId="4B99056E" w14:textId="77777777" w:rsidR="00BF1A70" w:rsidRPr="00720E6B" w:rsidRDefault="00BF1A70" w:rsidP="003F080A">
      <w:pPr>
        <w:jc w:val="both"/>
        <w:rPr>
          <w:noProof/>
          <w:sz w:val="24"/>
          <w:szCs w:val="24"/>
          <w:lang w:val="en-GB"/>
        </w:rPr>
      </w:pPr>
    </w:p>
    <w:p w14:paraId="6DE4DC53" w14:textId="533D98FE" w:rsidR="001E4351" w:rsidRPr="00720E6B" w:rsidRDefault="005F29EE" w:rsidP="003F080A">
      <w:pPr>
        <w:jc w:val="both"/>
        <w:rPr>
          <w:noProof/>
          <w:sz w:val="24"/>
          <w:szCs w:val="24"/>
          <w:lang w:val="en-GB"/>
        </w:rPr>
      </w:pPr>
      <w:r w:rsidRPr="00720E6B">
        <w:rPr>
          <w:noProof/>
          <w:sz w:val="24"/>
          <w:szCs w:val="24"/>
          <w:lang w:val="en-GB"/>
        </w:rPr>
        <w:t>This</w:t>
      </w:r>
      <w:r w:rsidR="00BF1A70" w:rsidRPr="00720E6B">
        <w:rPr>
          <w:noProof/>
          <w:sz w:val="24"/>
          <w:szCs w:val="24"/>
          <w:lang w:val="en-GB"/>
        </w:rPr>
        <w:t xml:space="preserve"> report</w:t>
      </w:r>
      <w:r w:rsidRPr="00720E6B">
        <w:rPr>
          <w:noProof/>
          <w:sz w:val="24"/>
          <w:szCs w:val="24"/>
          <w:lang w:val="en-GB"/>
        </w:rPr>
        <w:t xml:space="preserve"> seeks to fulfil </w:t>
      </w:r>
      <w:r w:rsidR="00DE4E8E" w:rsidRPr="00720E6B">
        <w:rPr>
          <w:noProof/>
          <w:sz w:val="24"/>
          <w:szCs w:val="24"/>
          <w:lang w:val="en-GB"/>
        </w:rPr>
        <w:t>the reporting obligation of</w:t>
      </w:r>
      <w:r w:rsidR="005E13AF" w:rsidRPr="00720E6B">
        <w:rPr>
          <w:noProof/>
          <w:sz w:val="24"/>
          <w:szCs w:val="24"/>
          <w:lang w:val="en-GB"/>
        </w:rPr>
        <w:t xml:space="preserve"> Article 225</w:t>
      </w:r>
      <w:r w:rsidR="0038590A" w:rsidRPr="00720E6B">
        <w:rPr>
          <w:noProof/>
          <w:sz w:val="24"/>
          <w:szCs w:val="24"/>
          <w:lang w:val="en-GB"/>
        </w:rPr>
        <w:t>(</w:t>
      </w:r>
      <w:r w:rsidR="00DE4E8E" w:rsidRPr="00720E6B">
        <w:rPr>
          <w:noProof/>
          <w:sz w:val="24"/>
          <w:szCs w:val="24"/>
          <w:lang w:val="en-GB"/>
        </w:rPr>
        <w:t>da</w:t>
      </w:r>
      <w:r w:rsidR="0038590A" w:rsidRPr="00720E6B">
        <w:rPr>
          <w:noProof/>
          <w:sz w:val="24"/>
          <w:szCs w:val="24"/>
          <w:lang w:val="en-GB"/>
        </w:rPr>
        <w:t>)</w:t>
      </w:r>
      <w:r w:rsidR="00DE4E8E" w:rsidRPr="00720E6B">
        <w:rPr>
          <w:noProof/>
          <w:sz w:val="24"/>
          <w:szCs w:val="24"/>
          <w:lang w:val="en-GB"/>
        </w:rPr>
        <w:t xml:space="preserve"> and assess</w:t>
      </w:r>
      <w:r w:rsidR="00EA4CE7">
        <w:rPr>
          <w:noProof/>
          <w:sz w:val="24"/>
          <w:szCs w:val="24"/>
          <w:lang w:val="en-GB"/>
        </w:rPr>
        <w:t>es</w:t>
      </w:r>
      <w:r w:rsidRPr="00720E6B">
        <w:rPr>
          <w:noProof/>
          <w:sz w:val="24"/>
          <w:szCs w:val="24"/>
          <w:lang w:val="en-GB"/>
        </w:rPr>
        <w:t xml:space="preserve"> </w:t>
      </w:r>
      <w:r w:rsidR="005E13AF" w:rsidRPr="00720E6B">
        <w:rPr>
          <w:noProof/>
          <w:sz w:val="24"/>
          <w:szCs w:val="24"/>
          <w:lang w:val="en-GB"/>
        </w:rPr>
        <w:t>whether the object</w:t>
      </w:r>
      <w:r w:rsidR="00DE4E8E" w:rsidRPr="00720E6B">
        <w:rPr>
          <w:noProof/>
          <w:sz w:val="24"/>
          <w:szCs w:val="24"/>
          <w:lang w:val="en-GB"/>
        </w:rPr>
        <w:t xml:space="preserve">ives set </w:t>
      </w:r>
      <w:r w:rsidR="00EA4CE7">
        <w:rPr>
          <w:noProof/>
          <w:sz w:val="24"/>
          <w:szCs w:val="24"/>
          <w:lang w:val="en-GB"/>
        </w:rPr>
        <w:t>in</w:t>
      </w:r>
      <w:r w:rsidR="00EA4CE7" w:rsidRPr="00720E6B">
        <w:rPr>
          <w:noProof/>
          <w:sz w:val="24"/>
          <w:szCs w:val="24"/>
          <w:lang w:val="en-GB"/>
        </w:rPr>
        <w:t xml:space="preserve"> </w:t>
      </w:r>
      <w:r w:rsidR="00DE4E8E" w:rsidRPr="00720E6B">
        <w:rPr>
          <w:noProof/>
          <w:sz w:val="24"/>
          <w:szCs w:val="24"/>
          <w:lang w:val="en-GB"/>
        </w:rPr>
        <w:t>Article 222a have been achieved</w:t>
      </w:r>
      <w:r w:rsidR="005E13AF" w:rsidRPr="00720E6B">
        <w:rPr>
          <w:noProof/>
          <w:sz w:val="24"/>
          <w:szCs w:val="24"/>
          <w:lang w:val="en-GB"/>
        </w:rPr>
        <w:t xml:space="preserve">. The first part of the report </w:t>
      </w:r>
      <w:r w:rsidR="00EA4CE7">
        <w:rPr>
          <w:noProof/>
          <w:sz w:val="24"/>
          <w:szCs w:val="24"/>
          <w:lang w:val="en-GB"/>
        </w:rPr>
        <w:t>reviews</w:t>
      </w:r>
      <w:r w:rsidRPr="00720E6B">
        <w:rPr>
          <w:noProof/>
          <w:sz w:val="24"/>
          <w:szCs w:val="24"/>
          <w:lang w:val="en-GB"/>
        </w:rPr>
        <w:t xml:space="preserve"> how agricultural Market O</w:t>
      </w:r>
      <w:r w:rsidR="005E13AF" w:rsidRPr="00720E6B">
        <w:rPr>
          <w:noProof/>
          <w:sz w:val="24"/>
          <w:szCs w:val="24"/>
          <w:lang w:val="en-GB"/>
        </w:rPr>
        <w:t>bservatories work in general.</w:t>
      </w:r>
      <w:r w:rsidR="00ED4138" w:rsidRPr="00720E6B">
        <w:rPr>
          <w:noProof/>
          <w:sz w:val="24"/>
          <w:szCs w:val="24"/>
          <w:lang w:val="en-GB"/>
        </w:rPr>
        <w:t xml:space="preserve"> The seco</w:t>
      </w:r>
      <w:r w:rsidR="00DE4E8E" w:rsidRPr="00720E6B">
        <w:rPr>
          <w:noProof/>
          <w:sz w:val="24"/>
          <w:szCs w:val="24"/>
          <w:lang w:val="en-GB"/>
        </w:rPr>
        <w:t xml:space="preserve">nd part of the report explains, based on an </w:t>
      </w:r>
      <w:r w:rsidR="00B02622">
        <w:rPr>
          <w:noProof/>
          <w:sz w:val="24"/>
          <w:szCs w:val="24"/>
          <w:lang w:val="en-GB"/>
        </w:rPr>
        <w:t>online</w:t>
      </w:r>
      <w:r w:rsidR="00B02622" w:rsidRPr="00720E6B">
        <w:rPr>
          <w:noProof/>
          <w:sz w:val="24"/>
          <w:szCs w:val="24"/>
          <w:lang w:val="en-GB"/>
        </w:rPr>
        <w:t xml:space="preserve"> </w:t>
      </w:r>
      <w:r w:rsidR="00DE4E8E" w:rsidRPr="00720E6B">
        <w:rPr>
          <w:noProof/>
          <w:sz w:val="24"/>
          <w:szCs w:val="24"/>
          <w:lang w:val="en-GB"/>
        </w:rPr>
        <w:t>survey carried out among stakeholders and Member States, how this works in practice</w:t>
      </w:r>
      <w:r w:rsidR="7BE2D5DC" w:rsidRPr="00720E6B">
        <w:rPr>
          <w:noProof/>
          <w:sz w:val="24"/>
          <w:szCs w:val="24"/>
          <w:lang w:val="en-GB"/>
        </w:rPr>
        <w:t xml:space="preserve"> and </w:t>
      </w:r>
      <w:r w:rsidR="00F17917">
        <w:rPr>
          <w:noProof/>
          <w:sz w:val="24"/>
          <w:szCs w:val="24"/>
          <w:lang w:val="en-GB"/>
        </w:rPr>
        <w:t>whether there are</w:t>
      </w:r>
      <w:r w:rsidR="7BE2D5DC" w:rsidRPr="00720E6B">
        <w:rPr>
          <w:noProof/>
          <w:sz w:val="24"/>
          <w:szCs w:val="24"/>
          <w:lang w:val="en-GB"/>
        </w:rPr>
        <w:t xml:space="preserve"> suggestions to </w:t>
      </w:r>
      <w:r w:rsidR="00F17917">
        <w:rPr>
          <w:noProof/>
          <w:sz w:val="24"/>
          <w:szCs w:val="24"/>
          <w:lang w:val="en-GB"/>
        </w:rPr>
        <w:t xml:space="preserve">further enhance </w:t>
      </w:r>
      <w:r w:rsidR="7BE2D5DC" w:rsidRPr="00720E6B">
        <w:rPr>
          <w:noProof/>
          <w:sz w:val="24"/>
          <w:szCs w:val="24"/>
          <w:lang w:val="en-GB"/>
        </w:rPr>
        <w:t>their functioning</w:t>
      </w:r>
      <w:r w:rsidR="00DE4E8E" w:rsidRPr="00720E6B">
        <w:rPr>
          <w:noProof/>
          <w:sz w:val="24"/>
          <w:szCs w:val="24"/>
          <w:lang w:val="en-GB"/>
        </w:rPr>
        <w:t>.</w:t>
      </w:r>
      <w:r w:rsidR="00ED4138" w:rsidRPr="00720E6B">
        <w:rPr>
          <w:noProof/>
          <w:sz w:val="24"/>
          <w:szCs w:val="24"/>
          <w:lang w:val="en-GB"/>
        </w:rPr>
        <w:t xml:space="preserve"> </w:t>
      </w:r>
    </w:p>
    <w:p w14:paraId="1299C43A" w14:textId="77777777" w:rsidR="003F080A" w:rsidRDefault="003F080A">
      <w:pPr>
        <w:spacing w:after="160" w:line="259" w:lineRule="auto"/>
        <w:rPr>
          <w:rFonts w:eastAsiaTheme="majorEastAsia" w:cstheme="majorBidi"/>
          <w:b/>
          <w:noProof/>
          <w:color w:val="000000" w:themeColor="text1"/>
          <w:sz w:val="32"/>
          <w:szCs w:val="32"/>
          <w:lang w:val="en-GB"/>
        </w:rPr>
      </w:pPr>
      <w:r>
        <w:rPr>
          <w:noProof/>
          <w:lang w:val="en-GB"/>
        </w:rPr>
        <w:br w:type="page"/>
      </w:r>
    </w:p>
    <w:p w14:paraId="5C9F554D" w14:textId="3A44AA1D" w:rsidR="00ED4138" w:rsidRPr="00B14339" w:rsidRDefault="00F17917" w:rsidP="003624B7">
      <w:pPr>
        <w:pStyle w:val="Heading1"/>
        <w:numPr>
          <w:ilvl w:val="0"/>
          <w:numId w:val="17"/>
        </w:numPr>
        <w:rPr>
          <w:noProof/>
          <w:lang w:val="en-GB"/>
        </w:rPr>
      </w:pPr>
      <w:bookmarkStart w:id="3" w:name="_Toc147159416"/>
      <w:r>
        <w:rPr>
          <w:noProof/>
          <w:lang w:val="en-GB"/>
        </w:rPr>
        <w:t xml:space="preserve">The functioning of </w:t>
      </w:r>
      <w:r w:rsidR="00434006">
        <w:rPr>
          <w:noProof/>
          <w:lang w:val="en-GB"/>
        </w:rPr>
        <w:t xml:space="preserve">Union </w:t>
      </w:r>
      <w:r w:rsidR="00C67604" w:rsidRPr="009D24B2">
        <w:rPr>
          <w:noProof/>
          <w:lang w:val="en-GB"/>
        </w:rPr>
        <w:t>Market Observatories</w:t>
      </w:r>
      <w:bookmarkEnd w:id="3"/>
    </w:p>
    <w:p w14:paraId="4DDBEF00" w14:textId="77777777" w:rsidR="00ED4138" w:rsidRPr="00B14339" w:rsidRDefault="00ED4138" w:rsidP="00ED4138">
      <w:pPr>
        <w:rPr>
          <w:rFonts w:cs="Times New Roman"/>
          <w:b/>
          <w:noProof/>
          <w:sz w:val="32"/>
          <w:lang w:val="en-GB"/>
        </w:rPr>
      </w:pPr>
    </w:p>
    <w:p w14:paraId="34C40E0C" w14:textId="77777777" w:rsidR="00ED4138" w:rsidRPr="00720E6B" w:rsidRDefault="00ED4138" w:rsidP="003624B7">
      <w:pPr>
        <w:pStyle w:val="Heading2"/>
        <w:numPr>
          <w:ilvl w:val="1"/>
          <w:numId w:val="1"/>
        </w:numPr>
        <w:rPr>
          <w:b/>
          <w:noProof/>
          <w:lang w:val="en-GB"/>
        </w:rPr>
      </w:pPr>
      <w:bookmarkStart w:id="4" w:name="_Toc147159417"/>
      <w:r w:rsidRPr="00720E6B">
        <w:rPr>
          <w:b/>
          <w:noProof/>
          <w:lang w:val="en-GB"/>
        </w:rPr>
        <w:t>Objectives of Market Observatories</w:t>
      </w:r>
      <w:bookmarkEnd w:id="4"/>
    </w:p>
    <w:p w14:paraId="3461D779" w14:textId="77777777" w:rsidR="00B14339" w:rsidRDefault="00B14339" w:rsidP="00B14339">
      <w:pPr>
        <w:jc w:val="both"/>
        <w:rPr>
          <w:rFonts w:cs="Times New Roman"/>
          <w:noProof/>
          <w:sz w:val="24"/>
          <w:szCs w:val="24"/>
        </w:rPr>
      </w:pPr>
    </w:p>
    <w:p w14:paraId="07951770" w14:textId="7AE81EC3" w:rsidR="00434006" w:rsidRPr="00720E6B" w:rsidRDefault="00EB089D" w:rsidP="00EB089D">
      <w:pPr>
        <w:jc w:val="both"/>
        <w:rPr>
          <w:noProof/>
          <w:sz w:val="24"/>
          <w:szCs w:val="24"/>
          <w:lang w:val="en-GB"/>
        </w:rPr>
      </w:pPr>
      <w:r w:rsidRPr="00720E6B">
        <w:rPr>
          <w:noProof/>
          <w:sz w:val="24"/>
          <w:szCs w:val="24"/>
          <w:lang w:val="en-GB"/>
        </w:rPr>
        <w:t>The concept of Market Observatories</w:t>
      </w:r>
      <w:r w:rsidR="00FB1FF9">
        <w:rPr>
          <w:noProof/>
          <w:sz w:val="24"/>
          <w:szCs w:val="24"/>
          <w:lang w:val="en-GB"/>
        </w:rPr>
        <w:t xml:space="preserve"> for agricultural products</w:t>
      </w:r>
      <w:r w:rsidRPr="00720E6B">
        <w:rPr>
          <w:noProof/>
          <w:sz w:val="24"/>
          <w:szCs w:val="24"/>
          <w:lang w:val="en-GB"/>
        </w:rPr>
        <w:t xml:space="preserve"> was first introduced at EU level in 2014, </w:t>
      </w:r>
      <w:r w:rsidR="00ED46E8" w:rsidRPr="00720E6B">
        <w:rPr>
          <w:noProof/>
          <w:sz w:val="24"/>
          <w:szCs w:val="24"/>
          <w:lang w:val="en-GB"/>
        </w:rPr>
        <w:t>with the establishment</w:t>
      </w:r>
      <w:r w:rsidR="00B14339" w:rsidRPr="00720E6B">
        <w:rPr>
          <w:noProof/>
          <w:sz w:val="24"/>
          <w:szCs w:val="24"/>
          <w:lang w:val="en-GB"/>
        </w:rPr>
        <w:t xml:space="preserve"> of the Milk Market Observatory. This was done in anticipation of the end of the mil</w:t>
      </w:r>
      <w:r w:rsidR="006848D4" w:rsidRPr="00720E6B">
        <w:rPr>
          <w:noProof/>
          <w:sz w:val="24"/>
          <w:szCs w:val="24"/>
          <w:lang w:val="en-GB"/>
        </w:rPr>
        <w:t>k quota regime in 2015,</w:t>
      </w:r>
      <w:r w:rsidR="00B14339" w:rsidRPr="00720E6B">
        <w:rPr>
          <w:noProof/>
          <w:sz w:val="24"/>
          <w:szCs w:val="24"/>
          <w:lang w:val="en-GB"/>
        </w:rPr>
        <w:t xml:space="preserve"> to </w:t>
      </w:r>
      <w:r w:rsidR="61C61528" w:rsidRPr="00720E6B">
        <w:rPr>
          <w:noProof/>
          <w:sz w:val="24"/>
          <w:szCs w:val="24"/>
          <w:lang w:val="en-GB"/>
        </w:rPr>
        <w:t xml:space="preserve">increase </w:t>
      </w:r>
      <w:r w:rsidR="006848D4" w:rsidRPr="00720E6B">
        <w:rPr>
          <w:noProof/>
          <w:sz w:val="24"/>
          <w:szCs w:val="24"/>
          <w:lang w:val="en-GB"/>
        </w:rPr>
        <w:t>transparency</w:t>
      </w:r>
      <w:r w:rsidR="00434006" w:rsidRPr="00720E6B">
        <w:rPr>
          <w:noProof/>
          <w:sz w:val="24"/>
          <w:szCs w:val="24"/>
          <w:lang w:val="en-GB"/>
        </w:rPr>
        <w:t>,</w:t>
      </w:r>
      <w:r w:rsidR="66E71EAD" w:rsidRPr="00720E6B">
        <w:rPr>
          <w:noProof/>
          <w:sz w:val="24"/>
          <w:szCs w:val="24"/>
          <w:lang w:val="en-GB"/>
        </w:rPr>
        <w:t xml:space="preserve"> </w:t>
      </w:r>
      <w:r w:rsidR="22356589" w:rsidRPr="00720E6B">
        <w:rPr>
          <w:noProof/>
          <w:sz w:val="24"/>
          <w:szCs w:val="24"/>
          <w:lang w:val="en-GB"/>
        </w:rPr>
        <w:t xml:space="preserve">provide </w:t>
      </w:r>
      <w:r w:rsidR="66E71EAD" w:rsidRPr="00720E6B">
        <w:rPr>
          <w:noProof/>
          <w:sz w:val="24"/>
          <w:szCs w:val="24"/>
          <w:lang w:val="en-GB"/>
        </w:rPr>
        <w:t>the most accurate market data</w:t>
      </w:r>
      <w:r w:rsidR="006848D4" w:rsidRPr="00720E6B">
        <w:rPr>
          <w:noProof/>
          <w:sz w:val="24"/>
          <w:szCs w:val="24"/>
          <w:lang w:val="en-GB"/>
        </w:rPr>
        <w:t xml:space="preserve"> </w:t>
      </w:r>
      <w:r w:rsidR="00FB1FF9">
        <w:rPr>
          <w:noProof/>
          <w:sz w:val="24"/>
          <w:szCs w:val="24"/>
          <w:lang w:val="en-GB"/>
        </w:rPr>
        <w:t xml:space="preserve">possible </w:t>
      </w:r>
      <w:r w:rsidR="006848D4" w:rsidRPr="00720E6B">
        <w:rPr>
          <w:noProof/>
          <w:sz w:val="24"/>
          <w:szCs w:val="24"/>
          <w:lang w:val="en-GB"/>
        </w:rPr>
        <w:t>to</w:t>
      </w:r>
      <w:r w:rsidR="00B14339" w:rsidRPr="00720E6B">
        <w:rPr>
          <w:noProof/>
          <w:sz w:val="24"/>
          <w:szCs w:val="24"/>
          <w:lang w:val="en-GB"/>
        </w:rPr>
        <w:t xml:space="preserve"> the milk</w:t>
      </w:r>
      <w:r w:rsidR="006848D4" w:rsidRPr="00720E6B">
        <w:rPr>
          <w:noProof/>
          <w:sz w:val="24"/>
          <w:szCs w:val="24"/>
          <w:lang w:val="en-GB"/>
        </w:rPr>
        <w:t xml:space="preserve"> sector</w:t>
      </w:r>
      <w:r w:rsidR="00434006" w:rsidRPr="00720E6B">
        <w:rPr>
          <w:noProof/>
          <w:sz w:val="24"/>
          <w:szCs w:val="24"/>
          <w:lang w:val="en-GB"/>
        </w:rPr>
        <w:t>, and allow</w:t>
      </w:r>
      <w:r w:rsidR="00B14339" w:rsidRPr="00720E6B">
        <w:rPr>
          <w:noProof/>
          <w:sz w:val="24"/>
          <w:szCs w:val="24"/>
          <w:lang w:val="en-GB"/>
        </w:rPr>
        <w:t xml:space="preserve"> </w:t>
      </w:r>
      <w:r w:rsidR="6104BA6B" w:rsidRPr="00720E6B">
        <w:rPr>
          <w:noProof/>
          <w:sz w:val="24"/>
          <w:szCs w:val="24"/>
          <w:lang w:val="en-GB"/>
        </w:rPr>
        <w:t>actors of the milk supply chain</w:t>
      </w:r>
      <w:r w:rsidR="00B14339" w:rsidRPr="00720E6B">
        <w:rPr>
          <w:noProof/>
          <w:sz w:val="24"/>
          <w:szCs w:val="24"/>
          <w:lang w:val="en-GB"/>
        </w:rPr>
        <w:t xml:space="preserve"> to </w:t>
      </w:r>
      <w:r w:rsidR="765C47F8" w:rsidRPr="00720E6B">
        <w:rPr>
          <w:noProof/>
          <w:sz w:val="24"/>
          <w:szCs w:val="24"/>
          <w:lang w:val="en-GB"/>
        </w:rPr>
        <w:t>take</w:t>
      </w:r>
      <w:r w:rsidR="00B14339" w:rsidRPr="00720E6B">
        <w:rPr>
          <w:noProof/>
          <w:sz w:val="24"/>
          <w:szCs w:val="24"/>
          <w:lang w:val="en-GB"/>
        </w:rPr>
        <w:t xml:space="preserve"> their </w:t>
      </w:r>
      <w:r w:rsidR="24ACD46C" w:rsidRPr="00720E6B">
        <w:rPr>
          <w:noProof/>
          <w:sz w:val="24"/>
          <w:szCs w:val="24"/>
          <w:lang w:val="en-GB"/>
        </w:rPr>
        <w:t>business</w:t>
      </w:r>
      <w:r w:rsidR="00B14339" w:rsidRPr="00720E6B">
        <w:rPr>
          <w:noProof/>
          <w:sz w:val="24"/>
          <w:szCs w:val="24"/>
          <w:lang w:val="en-GB"/>
        </w:rPr>
        <w:t xml:space="preserve"> decisio</w:t>
      </w:r>
      <w:r w:rsidR="00B80039" w:rsidRPr="00720E6B">
        <w:rPr>
          <w:noProof/>
          <w:sz w:val="24"/>
          <w:szCs w:val="24"/>
          <w:lang w:val="en-GB"/>
        </w:rPr>
        <w:t>ns in a market-oriented manner</w:t>
      </w:r>
      <w:r w:rsidR="00434006" w:rsidRPr="00720E6B">
        <w:rPr>
          <w:noProof/>
          <w:sz w:val="24"/>
          <w:szCs w:val="24"/>
          <w:lang w:val="en-GB"/>
        </w:rPr>
        <w:t xml:space="preserve"> and the Commission to make well-informed policy decisions</w:t>
      </w:r>
      <w:r w:rsidR="00B80039" w:rsidRPr="00720E6B">
        <w:rPr>
          <w:noProof/>
          <w:sz w:val="24"/>
          <w:szCs w:val="24"/>
          <w:lang w:val="en-GB"/>
        </w:rPr>
        <w:t xml:space="preserve">. </w:t>
      </w:r>
      <w:r w:rsidR="006848D4" w:rsidRPr="00720E6B">
        <w:rPr>
          <w:noProof/>
          <w:sz w:val="24"/>
          <w:szCs w:val="24"/>
          <w:lang w:val="en-GB"/>
        </w:rPr>
        <w:t xml:space="preserve">Over the years, </w:t>
      </w:r>
      <w:r w:rsidR="00B14339" w:rsidRPr="00720E6B">
        <w:rPr>
          <w:noProof/>
          <w:sz w:val="24"/>
          <w:szCs w:val="24"/>
          <w:lang w:val="en-GB"/>
        </w:rPr>
        <w:t>Mar</w:t>
      </w:r>
      <w:r w:rsidR="006848D4" w:rsidRPr="00720E6B">
        <w:rPr>
          <w:noProof/>
          <w:sz w:val="24"/>
          <w:szCs w:val="24"/>
          <w:lang w:val="en-GB"/>
        </w:rPr>
        <w:t xml:space="preserve">ket Observatories have been </w:t>
      </w:r>
      <w:r w:rsidR="00FB1FF9">
        <w:rPr>
          <w:noProof/>
          <w:sz w:val="24"/>
          <w:szCs w:val="24"/>
          <w:lang w:val="en-GB"/>
        </w:rPr>
        <w:t>created for more</w:t>
      </w:r>
      <w:r w:rsidR="006848D4" w:rsidRPr="00720E6B">
        <w:rPr>
          <w:noProof/>
          <w:sz w:val="24"/>
          <w:szCs w:val="24"/>
          <w:lang w:val="en-GB"/>
        </w:rPr>
        <w:t xml:space="preserve"> </w:t>
      </w:r>
      <w:r w:rsidR="00B14339" w:rsidRPr="00720E6B">
        <w:rPr>
          <w:noProof/>
          <w:sz w:val="24"/>
          <w:szCs w:val="24"/>
          <w:lang w:val="en-GB"/>
        </w:rPr>
        <w:t>sectors, depending on the</w:t>
      </w:r>
      <w:r w:rsidR="00FB1FF9">
        <w:rPr>
          <w:noProof/>
          <w:sz w:val="24"/>
          <w:szCs w:val="24"/>
          <w:lang w:val="en-GB"/>
        </w:rPr>
        <w:t>ir</w:t>
      </w:r>
      <w:r w:rsidR="00B14339" w:rsidRPr="00720E6B">
        <w:rPr>
          <w:noProof/>
          <w:sz w:val="24"/>
          <w:szCs w:val="24"/>
          <w:lang w:val="en-GB"/>
        </w:rPr>
        <w:t xml:space="preserve"> needs and characteristics.</w:t>
      </w:r>
      <w:r w:rsidRPr="00720E6B">
        <w:rPr>
          <w:noProof/>
          <w:sz w:val="24"/>
          <w:szCs w:val="24"/>
          <w:lang w:val="en-GB"/>
        </w:rPr>
        <w:t xml:space="preserve"> </w:t>
      </w:r>
    </w:p>
    <w:p w14:paraId="05634A9D" w14:textId="77777777" w:rsidR="00434006" w:rsidRPr="00720E6B" w:rsidRDefault="00434006" w:rsidP="00EB089D">
      <w:pPr>
        <w:jc w:val="both"/>
        <w:rPr>
          <w:noProof/>
          <w:sz w:val="24"/>
          <w:szCs w:val="24"/>
          <w:lang w:val="en-GB"/>
        </w:rPr>
      </w:pPr>
    </w:p>
    <w:p w14:paraId="496632ED" w14:textId="2F2B8938" w:rsidR="00EB089D" w:rsidRPr="00720E6B" w:rsidRDefault="00EB089D" w:rsidP="00EB089D">
      <w:pPr>
        <w:jc w:val="both"/>
        <w:rPr>
          <w:noProof/>
          <w:sz w:val="24"/>
          <w:szCs w:val="24"/>
          <w:lang w:val="en-GB"/>
        </w:rPr>
      </w:pPr>
      <w:r w:rsidRPr="00720E6B">
        <w:rPr>
          <w:noProof/>
          <w:sz w:val="24"/>
          <w:szCs w:val="24"/>
          <w:lang w:val="en-GB"/>
        </w:rPr>
        <w:t xml:space="preserve">To date, </w:t>
      </w:r>
      <w:r w:rsidR="00643627">
        <w:rPr>
          <w:noProof/>
          <w:sz w:val="24"/>
          <w:szCs w:val="24"/>
          <w:lang w:val="en-GB"/>
        </w:rPr>
        <w:t>s</w:t>
      </w:r>
      <w:r w:rsidR="0026536F">
        <w:rPr>
          <w:noProof/>
          <w:sz w:val="24"/>
          <w:szCs w:val="24"/>
          <w:lang w:val="en-GB"/>
        </w:rPr>
        <w:t>ix</w:t>
      </w:r>
      <w:r w:rsidRPr="00720E6B">
        <w:rPr>
          <w:noProof/>
          <w:sz w:val="24"/>
          <w:szCs w:val="24"/>
          <w:lang w:val="en-GB"/>
        </w:rPr>
        <w:t xml:space="preserve"> Market Observatories have been created</w:t>
      </w:r>
      <w:r w:rsidR="00643627">
        <w:rPr>
          <w:noProof/>
          <w:sz w:val="24"/>
          <w:szCs w:val="24"/>
          <w:lang w:val="en-GB"/>
        </w:rPr>
        <w:t>:</w:t>
      </w:r>
    </w:p>
    <w:p w14:paraId="3CF2D8B6" w14:textId="77777777" w:rsidR="00DD7C81" w:rsidRPr="00720E6B" w:rsidRDefault="00DD7C81" w:rsidP="00EB089D">
      <w:pPr>
        <w:jc w:val="both"/>
        <w:rPr>
          <w:noProof/>
          <w:sz w:val="24"/>
          <w:szCs w:val="24"/>
          <w:lang w:val="en-GB"/>
        </w:rPr>
      </w:pPr>
    </w:p>
    <w:p w14:paraId="69835013" w14:textId="77777777" w:rsidR="00ED46E8" w:rsidRPr="00720E6B" w:rsidRDefault="00EB089D" w:rsidP="00ED46E8">
      <w:pPr>
        <w:pStyle w:val="ListParagraph"/>
        <w:numPr>
          <w:ilvl w:val="0"/>
          <w:numId w:val="22"/>
        </w:numPr>
        <w:rPr>
          <w:noProof/>
          <w:sz w:val="24"/>
          <w:szCs w:val="24"/>
          <w:lang w:val="en-GB"/>
        </w:rPr>
      </w:pPr>
      <w:r w:rsidRPr="00720E6B">
        <w:rPr>
          <w:b/>
          <w:noProof/>
          <w:sz w:val="24"/>
          <w:szCs w:val="24"/>
          <w:lang w:val="en-GB"/>
        </w:rPr>
        <w:t>Milk</w:t>
      </w:r>
      <w:r w:rsidRPr="00720E6B">
        <w:rPr>
          <w:noProof/>
          <w:sz w:val="24"/>
          <w:szCs w:val="24"/>
          <w:lang w:val="en-GB"/>
        </w:rPr>
        <w:t xml:space="preserve"> (April 2014) </w:t>
      </w:r>
    </w:p>
    <w:p w14:paraId="06461B06" w14:textId="77777777" w:rsidR="00ED46E8" w:rsidRPr="00720E6B" w:rsidRDefault="00EB089D" w:rsidP="00ED46E8">
      <w:pPr>
        <w:pStyle w:val="ListParagraph"/>
        <w:numPr>
          <w:ilvl w:val="0"/>
          <w:numId w:val="22"/>
        </w:numPr>
        <w:rPr>
          <w:noProof/>
          <w:sz w:val="24"/>
          <w:szCs w:val="24"/>
          <w:lang w:val="en-GB"/>
        </w:rPr>
      </w:pPr>
      <w:r w:rsidRPr="00720E6B">
        <w:rPr>
          <w:b/>
          <w:noProof/>
          <w:sz w:val="24"/>
          <w:szCs w:val="24"/>
          <w:lang w:val="en-GB"/>
        </w:rPr>
        <w:t>Meat</w:t>
      </w:r>
      <w:r w:rsidRPr="00720E6B">
        <w:rPr>
          <w:noProof/>
          <w:sz w:val="24"/>
          <w:szCs w:val="24"/>
          <w:lang w:val="en-GB"/>
        </w:rPr>
        <w:t xml:space="preserve"> (beef and pig meat) (July 2016)</w:t>
      </w:r>
    </w:p>
    <w:p w14:paraId="61F82679" w14:textId="77777777" w:rsidR="00ED46E8" w:rsidRPr="00720E6B" w:rsidRDefault="00EB089D" w:rsidP="00ED46E8">
      <w:pPr>
        <w:pStyle w:val="ListParagraph"/>
        <w:numPr>
          <w:ilvl w:val="0"/>
          <w:numId w:val="22"/>
        </w:numPr>
        <w:rPr>
          <w:noProof/>
          <w:sz w:val="24"/>
          <w:szCs w:val="24"/>
          <w:lang w:val="en-GB"/>
        </w:rPr>
      </w:pPr>
      <w:r w:rsidRPr="00720E6B">
        <w:rPr>
          <w:b/>
          <w:noProof/>
          <w:sz w:val="24"/>
          <w:szCs w:val="24"/>
          <w:lang w:val="en-GB"/>
        </w:rPr>
        <w:t>Sugar</w:t>
      </w:r>
      <w:r w:rsidRPr="00720E6B">
        <w:rPr>
          <w:noProof/>
          <w:sz w:val="24"/>
          <w:szCs w:val="24"/>
          <w:lang w:val="en-GB"/>
        </w:rPr>
        <w:t xml:space="preserve"> (July 2017)</w:t>
      </w:r>
    </w:p>
    <w:p w14:paraId="76BFDA1A" w14:textId="707D4D0D" w:rsidR="00ED46E8" w:rsidRPr="00720E6B" w:rsidRDefault="00EB089D" w:rsidP="00ED46E8">
      <w:pPr>
        <w:pStyle w:val="ListParagraph"/>
        <w:numPr>
          <w:ilvl w:val="0"/>
          <w:numId w:val="22"/>
        </w:numPr>
        <w:rPr>
          <w:noProof/>
          <w:sz w:val="24"/>
          <w:szCs w:val="24"/>
          <w:lang w:val="en-GB"/>
        </w:rPr>
      </w:pPr>
      <w:r w:rsidRPr="00720E6B">
        <w:rPr>
          <w:b/>
          <w:noProof/>
          <w:sz w:val="24"/>
          <w:szCs w:val="24"/>
          <w:lang w:val="en-GB"/>
        </w:rPr>
        <w:t>Crops</w:t>
      </w:r>
      <w:r w:rsidR="4F61C91E" w:rsidRPr="00720E6B">
        <w:rPr>
          <w:noProof/>
          <w:sz w:val="24"/>
          <w:szCs w:val="24"/>
          <w:lang w:val="en-GB"/>
        </w:rPr>
        <w:t xml:space="preserve"> (cereals, oilseeds and protein crops)</w:t>
      </w:r>
      <w:r w:rsidRPr="00720E6B">
        <w:rPr>
          <w:noProof/>
          <w:sz w:val="24"/>
          <w:szCs w:val="24"/>
          <w:lang w:val="en-GB"/>
        </w:rPr>
        <w:t xml:space="preserve"> (July 2017)</w:t>
      </w:r>
    </w:p>
    <w:p w14:paraId="168322A0" w14:textId="3CE779B6" w:rsidR="00ED46E8" w:rsidRPr="00720E6B" w:rsidRDefault="00EB089D" w:rsidP="00ED46E8">
      <w:pPr>
        <w:pStyle w:val="ListParagraph"/>
        <w:numPr>
          <w:ilvl w:val="0"/>
          <w:numId w:val="22"/>
        </w:numPr>
        <w:rPr>
          <w:noProof/>
          <w:sz w:val="24"/>
          <w:szCs w:val="24"/>
          <w:lang w:val="en-GB"/>
        </w:rPr>
      </w:pPr>
      <w:r w:rsidRPr="00720E6B">
        <w:rPr>
          <w:b/>
          <w:noProof/>
          <w:sz w:val="24"/>
          <w:szCs w:val="24"/>
          <w:lang w:val="en-GB"/>
        </w:rPr>
        <w:t>Fruit and Vegetables</w:t>
      </w:r>
      <w:r w:rsidR="128A28A5" w:rsidRPr="00720E6B">
        <w:rPr>
          <w:noProof/>
          <w:sz w:val="24"/>
          <w:szCs w:val="24"/>
          <w:lang w:val="en-GB"/>
        </w:rPr>
        <w:t xml:space="preserve"> (July 2019)</w:t>
      </w:r>
      <w:r w:rsidR="5FE5B683" w:rsidRPr="00720E6B">
        <w:rPr>
          <w:noProof/>
          <w:sz w:val="24"/>
          <w:szCs w:val="24"/>
          <w:lang w:val="en-GB"/>
        </w:rPr>
        <w:t xml:space="preserve"> with four sub-groups</w:t>
      </w:r>
      <w:r w:rsidRPr="00720E6B">
        <w:rPr>
          <w:noProof/>
          <w:sz w:val="24"/>
          <w:szCs w:val="24"/>
          <w:lang w:val="en-GB"/>
        </w:rPr>
        <w:t>:</w:t>
      </w:r>
    </w:p>
    <w:p w14:paraId="0B6FC633" w14:textId="274273BC" w:rsidR="00ED46E8" w:rsidRPr="00720E6B" w:rsidRDefault="00EB089D" w:rsidP="00ED46E8">
      <w:pPr>
        <w:pStyle w:val="ListParagraph"/>
        <w:numPr>
          <w:ilvl w:val="1"/>
          <w:numId w:val="22"/>
        </w:numPr>
        <w:rPr>
          <w:noProof/>
          <w:sz w:val="24"/>
          <w:szCs w:val="24"/>
          <w:lang w:val="en-GB"/>
        </w:rPr>
      </w:pPr>
      <w:r w:rsidRPr="00A35EF3">
        <w:rPr>
          <w:b/>
          <w:noProof/>
          <w:sz w:val="24"/>
          <w:szCs w:val="24"/>
          <w:lang w:val="en-GB"/>
        </w:rPr>
        <w:t>Tomatoes</w:t>
      </w:r>
      <w:r w:rsidRPr="00720E6B">
        <w:rPr>
          <w:noProof/>
          <w:sz w:val="24"/>
          <w:szCs w:val="24"/>
          <w:lang w:val="en-GB"/>
        </w:rPr>
        <w:t xml:space="preserve"> (</w:t>
      </w:r>
      <w:r w:rsidR="39328D92" w:rsidRPr="00720E6B">
        <w:rPr>
          <w:noProof/>
          <w:sz w:val="24"/>
          <w:szCs w:val="24"/>
          <w:lang w:val="en-GB"/>
        </w:rPr>
        <w:t xml:space="preserve">first meeting in </w:t>
      </w:r>
      <w:r w:rsidRPr="00720E6B">
        <w:rPr>
          <w:noProof/>
          <w:sz w:val="24"/>
          <w:szCs w:val="24"/>
          <w:lang w:val="en-GB"/>
        </w:rPr>
        <w:t>October 2019)</w:t>
      </w:r>
    </w:p>
    <w:p w14:paraId="4C64DA54" w14:textId="3213B2FA" w:rsidR="00ED46E8" w:rsidRPr="00720E6B" w:rsidRDefault="00EB089D" w:rsidP="00ED46E8">
      <w:pPr>
        <w:pStyle w:val="ListParagraph"/>
        <w:numPr>
          <w:ilvl w:val="1"/>
          <w:numId w:val="22"/>
        </w:numPr>
        <w:rPr>
          <w:noProof/>
          <w:sz w:val="24"/>
          <w:szCs w:val="24"/>
          <w:lang w:val="en-GB"/>
        </w:rPr>
      </w:pPr>
      <w:r w:rsidRPr="00A35EF3">
        <w:rPr>
          <w:b/>
          <w:noProof/>
          <w:sz w:val="24"/>
          <w:szCs w:val="24"/>
          <w:lang w:val="en-GB"/>
        </w:rPr>
        <w:t>Citrus fruit</w:t>
      </w:r>
      <w:r w:rsidRPr="00720E6B">
        <w:rPr>
          <w:noProof/>
          <w:sz w:val="24"/>
          <w:szCs w:val="24"/>
          <w:lang w:val="en-GB"/>
        </w:rPr>
        <w:t xml:space="preserve"> (</w:t>
      </w:r>
      <w:r w:rsidR="3FB6BF5F" w:rsidRPr="00720E6B">
        <w:rPr>
          <w:noProof/>
          <w:sz w:val="24"/>
          <w:szCs w:val="24"/>
          <w:lang w:val="en-GB"/>
        </w:rPr>
        <w:t xml:space="preserve">first meeting in </w:t>
      </w:r>
      <w:r w:rsidRPr="00720E6B">
        <w:rPr>
          <w:noProof/>
          <w:sz w:val="24"/>
          <w:szCs w:val="24"/>
          <w:lang w:val="en-GB"/>
        </w:rPr>
        <w:t>November 2019)</w:t>
      </w:r>
    </w:p>
    <w:p w14:paraId="4260D6AF" w14:textId="0A0D1F9A" w:rsidR="00ED46E8" w:rsidRPr="00720E6B" w:rsidRDefault="00EB089D" w:rsidP="00ED46E8">
      <w:pPr>
        <w:pStyle w:val="ListParagraph"/>
        <w:numPr>
          <w:ilvl w:val="1"/>
          <w:numId w:val="22"/>
        </w:numPr>
        <w:rPr>
          <w:noProof/>
          <w:sz w:val="24"/>
          <w:szCs w:val="24"/>
          <w:lang w:val="en-GB"/>
        </w:rPr>
      </w:pPr>
      <w:r w:rsidRPr="00A35EF3">
        <w:rPr>
          <w:b/>
          <w:noProof/>
          <w:sz w:val="24"/>
          <w:szCs w:val="24"/>
          <w:lang w:val="en-GB"/>
        </w:rPr>
        <w:t>Pip fruit</w:t>
      </w:r>
      <w:r w:rsidRPr="00720E6B">
        <w:rPr>
          <w:noProof/>
          <w:sz w:val="24"/>
          <w:szCs w:val="24"/>
          <w:lang w:val="en-GB"/>
        </w:rPr>
        <w:t xml:space="preserve"> (</w:t>
      </w:r>
      <w:r w:rsidR="6F104FB3" w:rsidRPr="00720E6B">
        <w:rPr>
          <w:noProof/>
          <w:sz w:val="24"/>
          <w:szCs w:val="24"/>
          <w:lang w:val="en-GB"/>
        </w:rPr>
        <w:t xml:space="preserve">first meeting in </w:t>
      </w:r>
      <w:r w:rsidRPr="00720E6B">
        <w:rPr>
          <w:noProof/>
          <w:sz w:val="24"/>
          <w:szCs w:val="24"/>
          <w:lang w:val="en-GB"/>
        </w:rPr>
        <w:t>December 2019)</w:t>
      </w:r>
    </w:p>
    <w:p w14:paraId="2632A3CA" w14:textId="7123453A" w:rsidR="00ED46E8" w:rsidRPr="00720E6B" w:rsidRDefault="00EB089D" w:rsidP="00ED46E8">
      <w:pPr>
        <w:pStyle w:val="ListParagraph"/>
        <w:numPr>
          <w:ilvl w:val="1"/>
          <w:numId w:val="22"/>
        </w:numPr>
        <w:rPr>
          <w:noProof/>
          <w:sz w:val="24"/>
          <w:szCs w:val="24"/>
          <w:lang w:val="en-GB"/>
        </w:rPr>
      </w:pPr>
      <w:r w:rsidRPr="00A35EF3">
        <w:rPr>
          <w:b/>
          <w:noProof/>
          <w:sz w:val="24"/>
          <w:szCs w:val="24"/>
          <w:lang w:val="en-GB"/>
        </w:rPr>
        <w:t xml:space="preserve">Stone fruit </w:t>
      </w:r>
      <w:r w:rsidRPr="00720E6B">
        <w:rPr>
          <w:noProof/>
          <w:sz w:val="24"/>
          <w:szCs w:val="24"/>
          <w:lang w:val="en-GB"/>
        </w:rPr>
        <w:t>(</w:t>
      </w:r>
      <w:r w:rsidR="03CEE1CB" w:rsidRPr="00720E6B">
        <w:rPr>
          <w:noProof/>
          <w:sz w:val="24"/>
          <w:szCs w:val="24"/>
          <w:lang w:val="en-GB"/>
        </w:rPr>
        <w:t xml:space="preserve">first meeting in </w:t>
      </w:r>
      <w:r w:rsidRPr="00720E6B">
        <w:rPr>
          <w:noProof/>
          <w:sz w:val="24"/>
          <w:szCs w:val="24"/>
          <w:lang w:val="en-GB"/>
        </w:rPr>
        <w:t>June 2020)</w:t>
      </w:r>
    </w:p>
    <w:p w14:paraId="244B625F" w14:textId="77777777" w:rsidR="00EB089D" w:rsidRPr="00720E6B" w:rsidRDefault="00EB089D" w:rsidP="00D22758">
      <w:pPr>
        <w:pStyle w:val="ListParagraph"/>
        <w:numPr>
          <w:ilvl w:val="0"/>
          <w:numId w:val="22"/>
        </w:numPr>
        <w:rPr>
          <w:noProof/>
          <w:sz w:val="24"/>
          <w:szCs w:val="24"/>
          <w:lang w:val="en-GB"/>
        </w:rPr>
      </w:pPr>
      <w:r w:rsidRPr="00720E6B">
        <w:rPr>
          <w:b/>
          <w:noProof/>
          <w:sz w:val="24"/>
          <w:szCs w:val="24"/>
          <w:lang w:val="en-GB"/>
        </w:rPr>
        <w:t>Wine</w:t>
      </w:r>
      <w:r w:rsidRPr="00720E6B">
        <w:rPr>
          <w:noProof/>
          <w:sz w:val="24"/>
          <w:szCs w:val="24"/>
          <w:lang w:val="en-GB"/>
        </w:rPr>
        <w:t xml:space="preserve"> (November 2019)</w:t>
      </w:r>
    </w:p>
    <w:p w14:paraId="0FB78278" w14:textId="77777777" w:rsidR="00B14339" w:rsidRPr="00720E6B" w:rsidRDefault="00B14339" w:rsidP="00B80039">
      <w:pPr>
        <w:jc w:val="both"/>
        <w:rPr>
          <w:rFonts w:eastAsia="Times New Roman" w:cs="Times New Roman"/>
          <w:noProof/>
          <w:sz w:val="24"/>
          <w:szCs w:val="24"/>
          <w:lang w:val="en-GB"/>
        </w:rPr>
      </w:pPr>
    </w:p>
    <w:p w14:paraId="2009CE67" w14:textId="7AB94C6B" w:rsidR="00371310" w:rsidRPr="00720E6B" w:rsidRDefault="00FB475C" w:rsidP="009D24B2">
      <w:pPr>
        <w:jc w:val="both"/>
        <w:rPr>
          <w:rFonts w:eastAsia="Times New Roman" w:cs="Times New Roman"/>
          <w:noProof/>
          <w:sz w:val="24"/>
          <w:szCs w:val="24"/>
          <w:lang w:val="en-GB"/>
        </w:rPr>
      </w:pPr>
      <w:r>
        <w:rPr>
          <w:rFonts w:eastAsia="Times New Roman" w:cs="Times New Roman"/>
          <w:noProof/>
          <w:sz w:val="24"/>
          <w:szCs w:val="24"/>
          <w:lang w:val="en-GB"/>
        </w:rPr>
        <w:t>To</w:t>
      </w:r>
      <w:r w:rsidR="00063E53" w:rsidRPr="00720E6B">
        <w:rPr>
          <w:rFonts w:eastAsia="Times New Roman" w:cs="Times New Roman"/>
          <w:noProof/>
          <w:sz w:val="24"/>
          <w:szCs w:val="24"/>
          <w:lang w:val="en-GB"/>
        </w:rPr>
        <w:t xml:space="preserve"> fo</w:t>
      </w:r>
      <w:r w:rsidR="00DD7C81" w:rsidRPr="00720E6B">
        <w:rPr>
          <w:rFonts w:eastAsia="Times New Roman" w:cs="Times New Roman"/>
          <w:noProof/>
          <w:sz w:val="24"/>
          <w:szCs w:val="24"/>
          <w:lang w:val="en-GB"/>
        </w:rPr>
        <w:t>rmal</w:t>
      </w:r>
      <w:r>
        <w:rPr>
          <w:rFonts w:eastAsia="Times New Roman" w:cs="Times New Roman"/>
          <w:noProof/>
          <w:sz w:val="24"/>
          <w:szCs w:val="24"/>
          <w:lang w:val="en-GB"/>
        </w:rPr>
        <w:t>ly anchor</w:t>
      </w:r>
      <w:r w:rsidR="00DD7C81" w:rsidRPr="00720E6B">
        <w:rPr>
          <w:rFonts w:eastAsia="Times New Roman" w:cs="Times New Roman"/>
          <w:noProof/>
          <w:sz w:val="24"/>
          <w:szCs w:val="24"/>
          <w:lang w:val="en-GB"/>
        </w:rPr>
        <w:t xml:space="preserve"> </w:t>
      </w:r>
      <w:r w:rsidR="00063E53" w:rsidRPr="00720E6B">
        <w:rPr>
          <w:rFonts w:eastAsia="Times New Roman" w:cs="Times New Roman"/>
          <w:noProof/>
          <w:sz w:val="24"/>
          <w:szCs w:val="24"/>
          <w:lang w:val="en-GB"/>
        </w:rPr>
        <w:t>these Market Observatories</w:t>
      </w:r>
      <w:r w:rsidR="00DD7C81" w:rsidRPr="00720E6B">
        <w:rPr>
          <w:rFonts w:eastAsia="Times New Roman" w:cs="Times New Roman"/>
          <w:noProof/>
          <w:sz w:val="24"/>
          <w:szCs w:val="24"/>
          <w:lang w:val="en-GB"/>
        </w:rPr>
        <w:t xml:space="preserve"> </w:t>
      </w:r>
      <w:r>
        <w:rPr>
          <w:rFonts w:eastAsia="Times New Roman" w:cs="Times New Roman"/>
          <w:noProof/>
          <w:sz w:val="24"/>
          <w:szCs w:val="24"/>
          <w:lang w:val="en-GB"/>
        </w:rPr>
        <w:t>that had</w:t>
      </w:r>
      <w:r w:rsidR="00ED46E8" w:rsidRPr="00720E6B">
        <w:rPr>
          <w:rFonts w:eastAsia="Times New Roman" w:cs="Times New Roman"/>
          <w:noProof/>
          <w:sz w:val="24"/>
          <w:szCs w:val="24"/>
          <w:lang w:val="en-GB"/>
        </w:rPr>
        <w:t xml:space="preserve"> prov</w:t>
      </w:r>
      <w:r w:rsidR="006848D4" w:rsidRPr="00720E6B">
        <w:rPr>
          <w:rFonts w:eastAsia="Times New Roman" w:cs="Times New Roman"/>
          <w:noProof/>
          <w:sz w:val="24"/>
          <w:szCs w:val="24"/>
          <w:lang w:val="en-GB"/>
        </w:rPr>
        <w:t xml:space="preserve">ed to be useful in informing the </w:t>
      </w:r>
      <w:r w:rsidR="00ED46E8" w:rsidRPr="00720E6B">
        <w:rPr>
          <w:rFonts w:eastAsia="Times New Roman" w:cs="Times New Roman"/>
          <w:noProof/>
          <w:sz w:val="24"/>
          <w:szCs w:val="24"/>
          <w:lang w:val="en-GB"/>
        </w:rPr>
        <w:t>choices of economic operators and public authorities</w:t>
      </w:r>
      <w:r w:rsidR="006848D4" w:rsidRPr="00720E6B">
        <w:rPr>
          <w:rFonts w:eastAsia="Times New Roman" w:cs="Times New Roman"/>
          <w:noProof/>
          <w:sz w:val="24"/>
          <w:szCs w:val="24"/>
          <w:lang w:val="en-GB"/>
        </w:rPr>
        <w:t xml:space="preserve">, and facilitating the monitoring of market developments, </w:t>
      </w:r>
      <w:r w:rsidR="00ED46E8" w:rsidRPr="00720E6B">
        <w:rPr>
          <w:rFonts w:eastAsia="Times New Roman" w:cs="Times New Roman"/>
          <w:noProof/>
          <w:sz w:val="24"/>
          <w:szCs w:val="24"/>
          <w:lang w:val="en-GB"/>
        </w:rPr>
        <w:t xml:space="preserve">the European Parliament and the Council </w:t>
      </w:r>
      <w:r>
        <w:rPr>
          <w:rFonts w:eastAsia="Times New Roman" w:cs="Times New Roman"/>
          <w:noProof/>
          <w:sz w:val="24"/>
          <w:szCs w:val="24"/>
          <w:lang w:val="en-GB"/>
        </w:rPr>
        <w:t>introduced</w:t>
      </w:r>
      <w:r w:rsidRPr="00720E6B">
        <w:rPr>
          <w:rFonts w:eastAsia="Times New Roman" w:cs="Times New Roman"/>
          <w:noProof/>
          <w:sz w:val="24"/>
          <w:szCs w:val="24"/>
          <w:lang w:val="en-GB"/>
        </w:rPr>
        <w:t xml:space="preserve"> </w:t>
      </w:r>
      <w:r w:rsidR="00ED46E8" w:rsidRPr="00720E6B">
        <w:rPr>
          <w:rFonts w:eastAsia="Times New Roman" w:cs="Times New Roman"/>
          <w:noProof/>
          <w:sz w:val="24"/>
          <w:szCs w:val="24"/>
          <w:lang w:val="en-GB"/>
        </w:rPr>
        <w:t xml:space="preserve">Article 222a in the </w:t>
      </w:r>
      <w:r w:rsidR="00B02622">
        <w:rPr>
          <w:rFonts w:eastAsia="Times New Roman" w:cs="Times New Roman"/>
          <w:noProof/>
          <w:sz w:val="24"/>
          <w:szCs w:val="24"/>
          <w:lang w:val="en-GB"/>
        </w:rPr>
        <w:t>CMO R</w:t>
      </w:r>
      <w:r w:rsidR="00ED46E8" w:rsidRPr="00720E6B">
        <w:rPr>
          <w:rFonts w:eastAsia="Times New Roman" w:cs="Times New Roman"/>
          <w:noProof/>
          <w:sz w:val="24"/>
          <w:szCs w:val="24"/>
          <w:lang w:val="en-GB"/>
        </w:rPr>
        <w:t>egulation. This provide</w:t>
      </w:r>
      <w:r>
        <w:rPr>
          <w:rFonts w:eastAsia="Times New Roman" w:cs="Times New Roman"/>
          <w:noProof/>
          <w:sz w:val="24"/>
          <w:szCs w:val="24"/>
          <w:lang w:val="en-GB"/>
        </w:rPr>
        <w:t>s</w:t>
      </w:r>
      <w:r w:rsidR="00ED46E8" w:rsidRPr="00720E6B">
        <w:rPr>
          <w:rFonts w:eastAsia="Times New Roman" w:cs="Times New Roman"/>
          <w:noProof/>
          <w:sz w:val="24"/>
          <w:szCs w:val="24"/>
          <w:lang w:val="en-GB"/>
        </w:rPr>
        <w:t xml:space="preserve"> a framework</w:t>
      </w:r>
      <w:r w:rsidR="006848D4" w:rsidRPr="00720E6B">
        <w:rPr>
          <w:rFonts w:eastAsia="Times New Roman" w:cs="Times New Roman"/>
          <w:noProof/>
          <w:sz w:val="24"/>
          <w:szCs w:val="24"/>
          <w:lang w:val="en-GB"/>
        </w:rPr>
        <w:t xml:space="preserve"> for the establishment</w:t>
      </w:r>
      <w:r w:rsidR="00DD7C81" w:rsidRPr="00720E6B">
        <w:rPr>
          <w:rFonts w:eastAsia="Times New Roman" w:cs="Times New Roman"/>
          <w:noProof/>
          <w:sz w:val="24"/>
          <w:szCs w:val="24"/>
          <w:lang w:val="en-GB"/>
        </w:rPr>
        <w:t xml:space="preserve"> and operation of Union market observatories in any agricultural sector </w:t>
      </w:r>
      <w:r w:rsidR="006848D4" w:rsidRPr="00720E6B">
        <w:rPr>
          <w:rFonts w:eastAsia="Times New Roman" w:cs="Times New Roman"/>
          <w:noProof/>
          <w:sz w:val="24"/>
          <w:szCs w:val="24"/>
        </w:rPr>
        <w:t xml:space="preserve">listed in Article 1(2) </w:t>
      </w:r>
      <w:r w:rsidR="00DD7C81" w:rsidRPr="00720E6B">
        <w:rPr>
          <w:rFonts w:eastAsia="Times New Roman" w:cs="Times New Roman"/>
          <w:noProof/>
          <w:sz w:val="24"/>
          <w:szCs w:val="24"/>
          <w:lang w:val="en-GB"/>
        </w:rPr>
        <w:t>and lay</w:t>
      </w:r>
      <w:r w:rsidR="00E90C88">
        <w:rPr>
          <w:rFonts w:eastAsia="Times New Roman" w:cs="Times New Roman"/>
          <w:noProof/>
          <w:sz w:val="24"/>
          <w:szCs w:val="24"/>
          <w:lang w:val="en-GB"/>
        </w:rPr>
        <w:t>s</w:t>
      </w:r>
      <w:r w:rsidR="00DD7C81" w:rsidRPr="00720E6B">
        <w:rPr>
          <w:rFonts w:eastAsia="Times New Roman" w:cs="Times New Roman"/>
          <w:noProof/>
          <w:sz w:val="24"/>
          <w:szCs w:val="24"/>
          <w:lang w:val="en-GB"/>
        </w:rPr>
        <w:t xml:space="preserve"> down the relevant notification and reporting obligations for those observatories.</w:t>
      </w:r>
      <w:r w:rsidR="00AB5DBC" w:rsidRPr="00720E6B">
        <w:rPr>
          <w:rFonts w:eastAsia="Times New Roman" w:cs="Times New Roman"/>
          <w:noProof/>
          <w:sz w:val="24"/>
          <w:szCs w:val="24"/>
          <w:lang w:val="en-GB"/>
        </w:rPr>
        <w:t xml:space="preserve"> </w:t>
      </w:r>
      <w:r w:rsidR="006848D4" w:rsidRPr="00720E6B">
        <w:rPr>
          <w:rFonts w:eastAsia="Times New Roman" w:cs="Times New Roman"/>
          <w:noProof/>
          <w:sz w:val="24"/>
          <w:szCs w:val="24"/>
          <w:lang w:val="en-GB"/>
        </w:rPr>
        <w:t xml:space="preserve">Overall, Article 222a sets out the following general objectives for Market Observatories: </w:t>
      </w:r>
    </w:p>
    <w:p w14:paraId="0562CB0E" w14:textId="77777777" w:rsidR="00371310" w:rsidRPr="00720E6B" w:rsidRDefault="00371310" w:rsidP="00371310">
      <w:pPr>
        <w:jc w:val="both"/>
        <w:rPr>
          <w:rFonts w:cs="Times New Roman"/>
          <w:noProof/>
          <w:sz w:val="24"/>
          <w:szCs w:val="24"/>
          <w:lang w:val="en-GB"/>
        </w:rPr>
      </w:pPr>
    </w:p>
    <w:p w14:paraId="1C6D3EB8" w14:textId="58CF3751" w:rsidR="00371310" w:rsidRPr="00720E6B" w:rsidRDefault="00371310" w:rsidP="00720E6B">
      <w:pPr>
        <w:pStyle w:val="ListParagraph"/>
        <w:numPr>
          <w:ilvl w:val="0"/>
          <w:numId w:val="21"/>
        </w:numPr>
        <w:jc w:val="both"/>
        <w:rPr>
          <w:rFonts w:cs="Times New Roman"/>
          <w:noProof/>
          <w:sz w:val="24"/>
          <w:szCs w:val="24"/>
          <w:lang w:val="en-GB"/>
        </w:rPr>
      </w:pPr>
      <w:r w:rsidRPr="00720E6B">
        <w:rPr>
          <w:rFonts w:cs="Times New Roman"/>
          <w:noProof/>
          <w:sz w:val="24"/>
          <w:szCs w:val="24"/>
          <w:lang w:val="en-GB"/>
        </w:rPr>
        <w:t>to improve transparency within the food supply chain</w:t>
      </w:r>
      <w:r w:rsidR="0020483A">
        <w:rPr>
          <w:rFonts w:cs="Times New Roman"/>
          <w:noProof/>
          <w:sz w:val="24"/>
          <w:szCs w:val="24"/>
          <w:lang w:val="en-GB"/>
        </w:rPr>
        <w:t>,</w:t>
      </w:r>
    </w:p>
    <w:p w14:paraId="05CF83BC" w14:textId="6AE31965" w:rsidR="00371310" w:rsidRPr="00720E6B" w:rsidRDefault="00371310" w:rsidP="00720E6B">
      <w:pPr>
        <w:pStyle w:val="ListParagraph"/>
        <w:numPr>
          <w:ilvl w:val="0"/>
          <w:numId w:val="21"/>
        </w:numPr>
        <w:jc w:val="both"/>
        <w:rPr>
          <w:rFonts w:cs="Times New Roman"/>
          <w:noProof/>
          <w:sz w:val="24"/>
          <w:szCs w:val="24"/>
          <w:lang w:val="en-GB"/>
        </w:rPr>
      </w:pPr>
      <w:r w:rsidRPr="00720E6B">
        <w:rPr>
          <w:rFonts w:cs="Times New Roman"/>
          <w:noProof/>
          <w:sz w:val="24"/>
          <w:szCs w:val="24"/>
          <w:lang w:val="en-GB"/>
        </w:rPr>
        <w:t>to inform the choices of economic operators and public authorities</w:t>
      </w:r>
      <w:r w:rsidR="0020483A">
        <w:rPr>
          <w:rFonts w:cs="Times New Roman"/>
          <w:noProof/>
          <w:sz w:val="24"/>
          <w:szCs w:val="24"/>
          <w:lang w:val="en-GB"/>
        </w:rPr>
        <w:t>,</w:t>
      </w:r>
    </w:p>
    <w:p w14:paraId="5A964E5E" w14:textId="77777777" w:rsidR="00371310" w:rsidRPr="00720E6B" w:rsidRDefault="00371310" w:rsidP="00720E6B">
      <w:pPr>
        <w:pStyle w:val="ListParagraph"/>
        <w:numPr>
          <w:ilvl w:val="0"/>
          <w:numId w:val="21"/>
        </w:numPr>
        <w:jc w:val="both"/>
        <w:rPr>
          <w:rFonts w:cs="Times New Roman"/>
          <w:noProof/>
          <w:sz w:val="24"/>
          <w:szCs w:val="24"/>
          <w:lang w:val="en-GB"/>
        </w:rPr>
      </w:pPr>
      <w:r w:rsidRPr="00720E6B">
        <w:rPr>
          <w:rFonts w:cs="Times New Roman"/>
          <w:noProof/>
          <w:sz w:val="24"/>
          <w:szCs w:val="24"/>
          <w:lang w:val="en-GB"/>
        </w:rPr>
        <w:t>to facilitate the monitoring of market developments and threats of market disturbance.</w:t>
      </w:r>
    </w:p>
    <w:p w14:paraId="34CE0A41" w14:textId="77777777" w:rsidR="00AB5DBC" w:rsidRPr="00720E6B" w:rsidRDefault="00AB5DBC" w:rsidP="00720E6B">
      <w:pPr>
        <w:jc w:val="both"/>
        <w:rPr>
          <w:noProof/>
          <w:sz w:val="24"/>
          <w:szCs w:val="24"/>
          <w:lang w:val="en-GB"/>
        </w:rPr>
      </w:pPr>
    </w:p>
    <w:p w14:paraId="171BEA96" w14:textId="3FEFE688" w:rsidR="00AB5DBC" w:rsidRPr="00720E6B" w:rsidRDefault="000D2C40" w:rsidP="00720E6B">
      <w:pPr>
        <w:jc w:val="both"/>
        <w:rPr>
          <w:noProof/>
          <w:sz w:val="24"/>
          <w:szCs w:val="24"/>
          <w:lang w:val="en-GB"/>
        </w:rPr>
      </w:pPr>
      <w:r w:rsidRPr="00720E6B">
        <w:rPr>
          <w:noProof/>
          <w:sz w:val="24"/>
          <w:szCs w:val="24"/>
          <w:lang w:val="en-GB"/>
        </w:rPr>
        <w:t xml:space="preserve">To achieve these objectives, Market Observatories </w:t>
      </w:r>
      <w:r w:rsidR="00FB475C">
        <w:rPr>
          <w:noProof/>
          <w:sz w:val="24"/>
          <w:szCs w:val="24"/>
          <w:lang w:val="en-GB"/>
        </w:rPr>
        <w:t>are confirmed in</w:t>
      </w:r>
      <w:r w:rsidRPr="00720E6B">
        <w:rPr>
          <w:noProof/>
          <w:sz w:val="24"/>
          <w:szCs w:val="24"/>
          <w:lang w:val="en-GB"/>
        </w:rPr>
        <w:t xml:space="preserve"> their original composition consisting of two main branches: t</w:t>
      </w:r>
      <w:r w:rsidR="009565EF" w:rsidRPr="00720E6B">
        <w:rPr>
          <w:noProof/>
          <w:sz w:val="24"/>
          <w:szCs w:val="24"/>
          <w:lang w:val="en-GB"/>
        </w:rPr>
        <w:t xml:space="preserve">he first branch </w:t>
      </w:r>
      <w:r w:rsidR="00767D09" w:rsidRPr="00720E6B">
        <w:rPr>
          <w:noProof/>
          <w:sz w:val="24"/>
          <w:szCs w:val="24"/>
          <w:lang w:val="en-GB"/>
        </w:rPr>
        <w:t>is</w:t>
      </w:r>
      <w:r w:rsidRPr="00720E6B">
        <w:rPr>
          <w:noProof/>
          <w:sz w:val="24"/>
          <w:szCs w:val="24"/>
          <w:lang w:val="en-GB"/>
        </w:rPr>
        <w:t xml:space="preserve"> a tool to </w:t>
      </w:r>
      <w:r w:rsidR="006012C0">
        <w:rPr>
          <w:noProof/>
          <w:sz w:val="24"/>
          <w:szCs w:val="24"/>
          <w:lang w:val="en-GB"/>
        </w:rPr>
        <w:t>collect and disseminate</w:t>
      </w:r>
      <w:r w:rsidRPr="00720E6B">
        <w:rPr>
          <w:noProof/>
          <w:sz w:val="24"/>
          <w:szCs w:val="24"/>
          <w:lang w:val="en-GB"/>
        </w:rPr>
        <w:t xml:space="preserve"> key statistics for the sector</w:t>
      </w:r>
      <w:r w:rsidR="00FB475C">
        <w:rPr>
          <w:noProof/>
          <w:sz w:val="24"/>
          <w:szCs w:val="24"/>
          <w:lang w:val="en-GB"/>
        </w:rPr>
        <w:t xml:space="preserve"> concerned</w:t>
      </w:r>
      <w:r w:rsidRPr="00720E6B">
        <w:rPr>
          <w:noProof/>
          <w:sz w:val="24"/>
          <w:szCs w:val="24"/>
          <w:lang w:val="en-GB"/>
        </w:rPr>
        <w:t xml:space="preserve"> </w:t>
      </w:r>
      <w:r w:rsidR="00767D09" w:rsidRPr="00720E6B">
        <w:rPr>
          <w:noProof/>
          <w:sz w:val="24"/>
          <w:szCs w:val="24"/>
          <w:lang w:val="en-GB"/>
        </w:rPr>
        <w:t>and the second branch consists</w:t>
      </w:r>
      <w:r w:rsidRPr="00720E6B">
        <w:rPr>
          <w:noProof/>
          <w:sz w:val="24"/>
          <w:szCs w:val="24"/>
          <w:lang w:val="en-GB"/>
        </w:rPr>
        <w:t xml:space="preserve"> of an expert discussion platform</w:t>
      </w:r>
      <w:r w:rsidR="00767D09" w:rsidRPr="00720E6B">
        <w:rPr>
          <w:noProof/>
          <w:sz w:val="24"/>
          <w:szCs w:val="24"/>
          <w:lang w:val="en-GB"/>
        </w:rPr>
        <w:t>.</w:t>
      </w:r>
      <w:r w:rsidR="00720E6B">
        <w:rPr>
          <w:noProof/>
          <w:sz w:val="24"/>
          <w:szCs w:val="24"/>
          <w:lang w:val="en-GB"/>
        </w:rPr>
        <w:t xml:space="preserve"> </w:t>
      </w:r>
      <w:r w:rsidR="00767D09" w:rsidRPr="00720E6B">
        <w:rPr>
          <w:noProof/>
          <w:sz w:val="24"/>
          <w:szCs w:val="24"/>
          <w:lang w:val="en-GB"/>
        </w:rPr>
        <w:t xml:space="preserve">These two main branches are </w:t>
      </w:r>
      <w:r w:rsidR="006012C0">
        <w:rPr>
          <w:noProof/>
          <w:sz w:val="24"/>
          <w:szCs w:val="24"/>
          <w:lang w:val="en-GB"/>
        </w:rPr>
        <w:t>explained</w:t>
      </w:r>
      <w:r w:rsidR="006012C0" w:rsidRPr="00720E6B">
        <w:rPr>
          <w:noProof/>
          <w:sz w:val="24"/>
          <w:szCs w:val="24"/>
          <w:lang w:val="en-GB"/>
        </w:rPr>
        <w:t xml:space="preserve"> </w:t>
      </w:r>
      <w:r w:rsidR="00767D09" w:rsidRPr="00720E6B">
        <w:rPr>
          <w:noProof/>
          <w:sz w:val="24"/>
          <w:szCs w:val="24"/>
          <w:lang w:val="en-GB"/>
        </w:rPr>
        <w:t>in more detail in the following sections</w:t>
      </w:r>
      <w:r w:rsidR="003758FB" w:rsidRPr="00720E6B">
        <w:rPr>
          <w:noProof/>
          <w:sz w:val="24"/>
          <w:szCs w:val="24"/>
          <w:lang w:val="en-GB"/>
        </w:rPr>
        <w:t xml:space="preserve"> of the report</w:t>
      </w:r>
      <w:r w:rsidR="00767D09" w:rsidRPr="00720E6B">
        <w:rPr>
          <w:noProof/>
          <w:sz w:val="24"/>
          <w:szCs w:val="24"/>
          <w:lang w:val="en-GB"/>
        </w:rPr>
        <w:t>.</w:t>
      </w:r>
    </w:p>
    <w:p w14:paraId="7B5518B3" w14:textId="24F327A7" w:rsidR="00E6119D" w:rsidRPr="00E6119D" w:rsidRDefault="00E6119D" w:rsidP="00E6119D">
      <w:pPr>
        <w:jc w:val="both"/>
        <w:rPr>
          <w:noProof/>
          <w:sz w:val="24"/>
          <w:szCs w:val="24"/>
          <w:lang w:val="en-GB"/>
        </w:rPr>
      </w:pPr>
    </w:p>
    <w:p w14:paraId="75E169C2" w14:textId="3B452F8C" w:rsidR="00E6119D" w:rsidRDefault="00E6119D" w:rsidP="00E6119D">
      <w:pPr>
        <w:jc w:val="both"/>
        <w:rPr>
          <w:noProof/>
          <w:sz w:val="24"/>
          <w:szCs w:val="24"/>
          <w:lang w:val="en-GB"/>
        </w:rPr>
      </w:pPr>
      <w:r w:rsidRPr="00E6119D">
        <w:rPr>
          <w:noProof/>
          <w:sz w:val="24"/>
          <w:szCs w:val="24"/>
          <w:lang w:val="en-GB"/>
        </w:rPr>
        <w:tab/>
      </w:r>
    </w:p>
    <w:p w14:paraId="683DF230" w14:textId="77777777" w:rsidR="003D15D8" w:rsidRPr="00E6119D" w:rsidRDefault="003D15D8" w:rsidP="00E6119D">
      <w:pPr>
        <w:jc w:val="both"/>
        <w:rPr>
          <w:noProof/>
          <w:sz w:val="24"/>
          <w:szCs w:val="24"/>
          <w:lang w:val="en-GB"/>
        </w:rPr>
      </w:pPr>
    </w:p>
    <w:p w14:paraId="646F3C41" w14:textId="1F450B0F" w:rsidR="00ED4138" w:rsidRPr="00434006" w:rsidRDefault="00083D12" w:rsidP="003624B7">
      <w:pPr>
        <w:pStyle w:val="Heading2"/>
        <w:numPr>
          <w:ilvl w:val="1"/>
          <w:numId w:val="1"/>
        </w:numPr>
        <w:rPr>
          <w:b/>
          <w:noProof/>
          <w:lang w:val="en-GB"/>
        </w:rPr>
      </w:pPr>
      <w:bookmarkStart w:id="5" w:name="_Toc147159418"/>
      <w:r>
        <w:rPr>
          <w:b/>
          <w:noProof/>
          <w:lang w:val="en-GB"/>
        </w:rPr>
        <w:t>Collect and disseminate key statistics</w:t>
      </w:r>
      <w:bookmarkEnd w:id="5"/>
    </w:p>
    <w:p w14:paraId="62EBF3C5" w14:textId="77777777" w:rsidR="0048390C" w:rsidRDefault="0048390C" w:rsidP="001B3AB5">
      <w:pPr>
        <w:jc w:val="both"/>
        <w:rPr>
          <w:noProof/>
        </w:rPr>
      </w:pPr>
    </w:p>
    <w:p w14:paraId="649DF904" w14:textId="14EAE795" w:rsidR="00681E02" w:rsidRPr="00720E6B" w:rsidRDefault="00681E02" w:rsidP="00681E02">
      <w:pPr>
        <w:jc w:val="both"/>
        <w:rPr>
          <w:noProof/>
          <w:sz w:val="24"/>
          <w:szCs w:val="24"/>
        </w:rPr>
      </w:pPr>
      <w:r w:rsidRPr="00720E6B">
        <w:rPr>
          <w:noProof/>
          <w:sz w:val="24"/>
          <w:szCs w:val="24"/>
        </w:rPr>
        <w:t xml:space="preserve">Market Observatories focus mainly on </w:t>
      </w:r>
      <w:r w:rsidR="007A0BAE">
        <w:rPr>
          <w:noProof/>
          <w:sz w:val="24"/>
          <w:szCs w:val="24"/>
        </w:rPr>
        <w:t>four</w:t>
      </w:r>
      <w:r w:rsidRPr="00720E6B">
        <w:rPr>
          <w:noProof/>
          <w:sz w:val="24"/>
          <w:szCs w:val="24"/>
        </w:rPr>
        <w:t xml:space="preserve"> strands of data</w:t>
      </w:r>
      <w:r w:rsidR="007A0BAE">
        <w:rPr>
          <w:noProof/>
          <w:sz w:val="24"/>
          <w:szCs w:val="24"/>
        </w:rPr>
        <w:t>:</w:t>
      </w:r>
    </w:p>
    <w:p w14:paraId="6DB6529F" w14:textId="77777777" w:rsidR="00434006" w:rsidRPr="00720E6B" w:rsidRDefault="00434006" w:rsidP="00681E02">
      <w:pPr>
        <w:jc w:val="both"/>
        <w:rPr>
          <w:noProof/>
          <w:sz w:val="24"/>
          <w:szCs w:val="24"/>
        </w:rPr>
      </w:pPr>
    </w:p>
    <w:p w14:paraId="2808E5A6" w14:textId="31B5B064" w:rsidR="00681E02" w:rsidRPr="00720E6B" w:rsidRDefault="00681E02" w:rsidP="007A0BAE">
      <w:pPr>
        <w:pStyle w:val="ListParagraph"/>
        <w:numPr>
          <w:ilvl w:val="0"/>
          <w:numId w:val="23"/>
        </w:numPr>
        <w:jc w:val="both"/>
        <w:rPr>
          <w:noProof/>
          <w:sz w:val="24"/>
          <w:szCs w:val="24"/>
        </w:rPr>
      </w:pPr>
      <w:r w:rsidRPr="00720E6B">
        <w:rPr>
          <w:b/>
          <w:noProof/>
          <w:sz w:val="24"/>
          <w:szCs w:val="24"/>
        </w:rPr>
        <w:t xml:space="preserve">Production </w:t>
      </w:r>
      <w:r w:rsidRPr="00720E6B">
        <w:rPr>
          <w:noProof/>
          <w:sz w:val="24"/>
          <w:szCs w:val="24"/>
        </w:rPr>
        <w:t>of raw and processed products</w:t>
      </w:r>
      <w:r w:rsidR="00E90C88">
        <w:rPr>
          <w:noProof/>
          <w:sz w:val="24"/>
          <w:szCs w:val="24"/>
        </w:rPr>
        <w:t xml:space="preserve"> </w:t>
      </w:r>
      <w:r w:rsidRPr="00720E6B">
        <w:rPr>
          <w:noProof/>
          <w:sz w:val="24"/>
          <w:szCs w:val="24"/>
        </w:rPr>
        <w:t xml:space="preserve">(including </w:t>
      </w:r>
      <w:r w:rsidRPr="00EA6C38">
        <w:rPr>
          <w:b/>
          <w:noProof/>
          <w:sz w:val="24"/>
          <w:szCs w:val="24"/>
        </w:rPr>
        <w:t>public/private</w:t>
      </w:r>
      <w:r w:rsidRPr="00720E6B">
        <w:rPr>
          <w:noProof/>
          <w:sz w:val="24"/>
          <w:szCs w:val="24"/>
        </w:rPr>
        <w:t xml:space="preserve"> </w:t>
      </w:r>
      <w:r w:rsidRPr="00720E6B">
        <w:rPr>
          <w:b/>
          <w:noProof/>
          <w:sz w:val="24"/>
          <w:szCs w:val="24"/>
        </w:rPr>
        <w:t>stocks</w:t>
      </w:r>
      <w:r w:rsidRPr="00720E6B">
        <w:rPr>
          <w:noProof/>
          <w:sz w:val="24"/>
          <w:szCs w:val="24"/>
        </w:rPr>
        <w:t>) both at EU and international level.</w:t>
      </w:r>
    </w:p>
    <w:p w14:paraId="310240BD" w14:textId="3B250E67" w:rsidR="00681E02" w:rsidRPr="00720E6B" w:rsidRDefault="00681E02" w:rsidP="007A0BAE">
      <w:pPr>
        <w:pStyle w:val="ListParagraph"/>
        <w:numPr>
          <w:ilvl w:val="0"/>
          <w:numId w:val="23"/>
        </w:numPr>
        <w:jc w:val="both"/>
        <w:rPr>
          <w:noProof/>
          <w:sz w:val="24"/>
          <w:szCs w:val="24"/>
        </w:rPr>
      </w:pPr>
      <w:r w:rsidRPr="00720E6B">
        <w:rPr>
          <w:b/>
          <w:noProof/>
          <w:sz w:val="24"/>
          <w:szCs w:val="24"/>
        </w:rPr>
        <w:t xml:space="preserve">Prices </w:t>
      </w:r>
      <w:r w:rsidRPr="00720E6B">
        <w:rPr>
          <w:noProof/>
          <w:sz w:val="24"/>
          <w:szCs w:val="24"/>
        </w:rPr>
        <w:t>of raw and processed products, both at EU and international level.</w:t>
      </w:r>
    </w:p>
    <w:p w14:paraId="7ED6B551" w14:textId="12C2F4C8" w:rsidR="00681E02" w:rsidRDefault="00681E02" w:rsidP="007A0BAE">
      <w:pPr>
        <w:pStyle w:val="ListParagraph"/>
        <w:numPr>
          <w:ilvl w:val="0"/>
          <w:numId w:val="23"/>
        </w:numPr>
        <w:jc w:val="both"/>
        <w:rPr>
          <w:noProof/>
          <w:sz w:val="24"/>
          <w:szCs w:val="24"/>
        </w:rPr>
      </w:pPr>
      <w:r w:rsidRPr="00720E6B">
        <w:rPr>
          <w:b/>
          <w:bCs/>
          <w:noProof/>
          <w:sz w:val="24"/>
          <w:szCs w:val="24"/>
        </w:rPr>
        <w:t xml:space="preserve">Trade flows: </w:t>
      </w:r>
      <w:r w:rsidRPr="00720E6B">
        <w:rPr>
          <w:noProof/>
          <w:sz w:val="24"/>
          <w:szCs w:val="24"/>
        </w:rPr>
        <w:t>extra and intra</w:t>
      </w:r>
      <w:r w:rsidR="2CF36AEA" w:rsidRPr="00720E6B">
        <w:rPr>
          <w:noProof/>
          <w:sz w:val="24"/>
          <w:szCs w:val="24"/>
        </w:rPr>
        <w:t>-</w:t>
      </w:r>
      <w:r w:rsidRPr="00720E6B">
        <w:rPr>
          <w:noProof/>
          <w:sz w:val="24"/>
          <w:szCs w:val="24"/>
        </w:rPr>
        <w:t>EU trade, preferential imports, global trade of main competitors.</w:t>
      </w:r>
    </w:p>
    <w:p w14:paraId="5C35523B" w14:textId="12139B8C" w:rsidR="007A0BAE" w:rsidRPr="00720E6B" w:rsidRDefault="007A0BAE" w:rsidP="007A0BAE">
      <w:pPr>
        <w:pStyle w:val="ListParagraph"/>
        <w:numPr>
          <w:ilvl w:val="0"/>
          <w:numId w:val="23"/>
        </w:numPr>
        <w:jc w:val="both"/>
        <w:rPr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EU domestic consumption:</w:t>
      </w:r>
      <w:r>
        <w:rPr>
          <w:noProof/>
          <w:sz w:val="24"/>
          <w:szCs w:val="24"/>
        </w:rPr>
        <w:t xml:space="preserve"> household confidence, development of retails sales focusing on conventional</w:t>
      </w:r>
      <w:r w:rsidR="00FB475C">
        <w:rPr>
          <w:noProof/>
          <w:sz w:val="24"/>
          <w:szCs w:val="24"/>
        </w:rPr>
        <w:t xml:space="preserve"> and</w:t>
      </w:r>
      <w:r>
        <w:rPr>
          <w:noProof/>
          <w:sz w:val="24"/>
          <w:szCs w:val="24"/>
        </w:rPr>
        <w:t xml:space="preserve"> organic products</w:t>
      </w:r>
      <w:r w:rsidR="00EA6C38">
        <w:rPr>
          <w:noProof/>
          <w:sz w:val="24"/>
          <w:szCs w:val="24"/>
        </w:rPr>
        <w:t>.</w:t>
      </w:r>
    </w:p>
    <w:p w14:paraId="6D98A12B" w14:textId="77777777" w:rsidR="00681E02" w:rsidRPr="00720E6B" w:rsidRDefault="00681E02" w:rsidP="003758FB">
      <w:pPr>
        <w:jc w:val="both"/>
        <w:rPr>
          <w:noProof/>
          <w:sz w:val="24"/>
          <w:szCs w:val="24"/>
        </w:rPr>
      </w:pPr>
    </w:p>
    <w:p w14:paraId="5F3C2833" w14:textId="101680BB" w:rsidR="003758FB" w:rsidRPr="00720E6B" w:rsidRDefault="00FB475C" w:rsidP="003758FB">
      <w:pPr>
        <w:jc w:val="both"/>
        <w:rPr>
          <w:noProof/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t>S</w:t>
      </w:r>
      <w:r w:rsidR="003758FB" w:rsidRPr="00720E6B">
        <w:rPr>
          <w:noProof/>
          <w:sz w:val="24"/>
          <w:szCs w:val="24"/>
          <w:lang w:val="en-GB"/>
        </w:rPr>
        <w:t xml:space="preserve">tatistical data on agricultural production are notified by the statistical services of the Member States </w:t>
      </w:r>
      <w:r w:rsidR="00E90C88">
        <w:rPr>
          <w:noProof/>
          <w:sz w:val="24"/>
          <w:szCs w:val="24"/>
          <w:lang w:val="en-GB"/>
        </w:rPr>
        <w:t xml:space="preserve">mostly </w:t>
      </w:r>
      <w:r w:rsidR="003758FB" w:rsidRPr="00720E6B">
        <w:rPr>
          <w:noProof/>
          <w:sz w:val="24"/>
          <w:szCs w:val="24"/>
          <w:lang w:val="en-GB"/>
        </w:rPr>
        <w:t>to Eurostat</w:t>
      </w:r>
      <w:r w:rsidR="003758FB" w:rsidRPr="00720E6B">
        <w:rPr>
          <w:rStyle w:val="FootnoteReference"/>
          <w:rFonts w:cs="Times New Roman"/>
          <w:noProof/>
          <w:sz w:val="24"/>
          <w:szCs w:val="24"/>
          <w:lang w:val="en-GB"/>
        </w:rPr>
        <w:footnoteReference w:id="5"/>
      </w:r>
      <w:r w:rsidR="00E90C88">
        <w:rPr>
          <w:noProof/>
          <w:sz w:val="24"/>
          <w:szCs w:val="24"/>
          <w:lang w:val="en-GB"/>
        </w:rPr>
        <w:t>.</w:t>
      </w:r>
      <w:r w:rsidR="003758FB" w:rsidRPr="00720E6B">
        <w:rPr>
          <w:noProof/>
          <w:sz w:val="24"/>
          <w:szCs w:val="24"/>
          <w:lang w:val="en-GB"/>
        </w:rPr>
        <w:t xml:space="preserve"> </w:t>
      </w:r>
      <w:r w:rsidR="00C32EEE" w:rsidRPr="00C32EEE">
        <w:rPr>
          <w:noProof/>
          <w:sz w:val="24"/>
          <w:szCs w:val="24"/>
          <w:lang w:val="en-GB"/>
        </w:rPr>
        <w:t xml:space="preserve">For certain products (cereals and oilseeds) there are also monthly production forecasts based on experts’ knowledge. </w:t>
      </w:r>
      <w:r>
        <w:rPr>
          <w:noProof/>
          <w:sz w:val="24"/>
          <w:szCs w:val="24"/>
          <w:lang w:val="en-GB"/>
        </w:rPr>
        <w:t>Th</w:t>
      </w:r>
      <w:r w:rsidR="00B02622">
        <w:rPr>
          <w:noProof/>
          <w:sz w:val="24"/>
          <w:szCs w:val="24"/>
          <w:lang w:val="en-GB"/>
        </w:rPr>
        <w:t>e</w:t>
      </w:r>
      <w:r>
        <w:rPr>
          <w:noProof/>
          <w:sz w:val="24"/>
          <w:szCs w:val="24"/>
          <w:lang w:val="en-GB"/>
        </w:rPr>
        <w:t xml:space="preserve"> same goes for</w:t>
      </w:r>
      <w:r w:rsidR="003758FB" w:rsidRPr="00720E6B">
        <w:rPr>
          <w:noProof/>
          <w:sz w:val="24"/>
          <w:szCs w:val="24"/>
          <w:lang w:val="en-GB"/>
        </w:rPr>
        <w:t xml:space="preserve"> trade data</w:t>
      </w:r>
      <w:r w:rsidR="003758FB" w:rsidRPr="00720E6B">
        <w:rPr>
          <w:rStyle w:val="FootnoteReference"/>
          <w:rFonts w:cs="Times New Roman"/>
          <w:noProof/>
          <w:sz w:val="24"/>
          <w:szCs w:val="24"/>
          <w:lang w:val="en-GB"/>
        </w:rPr>
        <w:footnoteReference w:id="6"/>
      </w:r>
      <w:r w:rsidR="003758FB" w:rsidRPr="00720E6B">
        <w:rPr>
          <w:noProof/>
          <w:sz w:val="24"/>
          <w:szCs w:val="24"/>
          <w:lang w:val="en-GB"/>
        </w:rPr>
        <w:t>. A complementary surveillance system of early notifications is organised by DG TAXUD on imports</w:t>
      </w:r>
      <w:r w:rsidR="00681E02" w:rsidRPr="00720E6B">
        <w:rPr>
          <w:noProof/>
          <w:sz w:val="24"/>
          <w:szCs w:val="24"/>
          <w:lang w:val="en-GB"/>
        </w:rPr>
        <w:t xml:space="preserve">. </w:t>
      </w:r>
      <w:r w:rsidR="003758FB" w:rsidRPr="00720E6B">
        <w:rPr>
          <w:noProof/>
          <w:sz w:val="24"/>
          <w:szCs w:val="24"/>
          <w:lang w:val="en-GB"/>
        </w:rPr>
        <w:t xml:space="preserve">Data on </w:t>
      </w:r>
      <w:r w:rsidR="00C32EEE">
        <w:rPr>
          <w:noProof/>
          <w:sz w:val="24"/>
          <w:szCs w:val="24"/>
          <w:lang w:val="en-GB"/>
        </w:rPr>
        <w:t xml:space="preserve">EU </w:t>
      </w:r>
      <w:r w:rsidR="003758FB" w:rsidRPr="00720E6B">
        <w:rPr>
          <w:noProof/>
          <w:sz w:val="24"/>
          <w:szCs w:val="24"/>
          <w:lang w:val="en-GB"/>
        </w:rPr>
        <w:t>prices (and in some cases production and stocks) are notified by Member States to the Commission according to Commission Implementing Regulation (EU) 2017/1185</w:t>
      </w:r>
      <w:r w:rsidR="003758FB" w:rsidRPr="00720E6B">
        <w:rPr>
          <w:rStyle w:val="FootnoteReference"/>
          <w:rFonts w:cs="Times New Roman"/>
          <w:noProof/>
          <w:sz w:val="24"/>
          <w:szCs w:val="24"/>
          <w:lang w:val="en-GB"/>
        </w:rPr>
        <w:footnoteReference w:id="7"/>
      </w:r>
      <w:r w:rsidR="003758FB" w:rsidRPr="00720E6B">
        <w:rPr>
          <w:noProof/>
          <w:sz w:val="24"/>
          <w:szCs w:val="24"/>
          <w:lang w:val="en-GB"/>
        </w:rPr>
        <w:t xml:space="preserve"> and Commission Delegated Regulation (EU) 2017/1183</w:t>
      </w:r>
      <w:r w:rsidR="003758FB" w:rsidRPr="00720E6B">
        <w:rPr>
          <w:rStyle w:val="FootnoteReference"/>
          <w:rFonts w:cs="Times New Roman"/>
          <w:noProof/>
          <w:sz w:val="24"/>
          <w:szCs w:val="24"/>
          <w:lang w:val="en-GB"/>
        </w:rPr>
        <w:footnoteReference w:id="8"/>
      </w:r>
      <w:r w:rsidR="00E90C88">
        <w:rPr>
          <w:noProof/>
          <w:sz w:val="24"/>
          <w:szCs w:val="24"/>
          <w:lang w:val="en-GB"/>
        </w:rPr>
        <w:t xml:space="preserve"> and</w:t>
      </w:r>
      <w:r w:rsidR="00E90C88" w:rsidRPr="00E90C88">
        <w:rPr>
          <w:noProof/>
        </w:rPr>
        <w:t xml:space="preserve"> </w:t>
      </w:r>
      <w:r w:rsidR="00E90C88" w:rsidRPr="00E90C88">
        <w:rPr>
          <w:noProof/>
          <w:sz w:val="24"/>
          <w:szCs w:val="24"/>
          <w:lang w:val="en-GB"/>
        </w:rPr>
        <w:t>international prices are collected from relevant data providers</w:t>
      </w:r>
      <w:r w:rsidR="003758FB" w:rsidRPr="00720E6B">
        <w:rPr>
          <w:noProof/>
          <w:sz w:val="24"/>
          <w:szCs w:val="24"/>
          <w:lang w:val="en-GB"/>
        </w:rPr>
        <w:t>.</w:t>
      </w:r>
    </w:p>
    <w:p w14:paraId="2946DB82" w14:textId="77777777" w:rsidR="0048390C" w:rsidRPr="00720E6B" w:rsidRDefault="0048390C" w:rsidP="006270A2">
      <w:pPr>
        <w:rPr>
          <w:noProof/>
          <w:sz w:val="24"/>
          <w:szCs w:val="24"/>
        </w:rPr>
      </w:pPr>
    </w:p>
    <w:p w14:paraId="1EA3214A" w14:textId="1A6370A5" w:rsidR="006270A2" w:rsidRDefault="0048390C" w:rsidP="007A0BAE">
      <w:pPr>
        <w:jc w:val="both"/>
        <w:rPr>
          <w:noProof/>
          <w:sz w:val="24"/>
          <w:szCs w:val="24"/>
        </w:rPr>
      </w:pPr>
      <w:r w:rsidRPr="00720E6B">
        <w:rPr>
          <w:noProof/>
          <w:sz w:val="24"/>
          <w:szCs w:val="24"/>
        </w:rPr>
        <w:t xml:space="preserve">In addition, </w:t>
      </w:r>
      <w:r w:rsidR="00FB475C">
        <w:rPr>
          <w:noProof/>
          <w:sz w:val="24"/>
          <w:szCs w:val="24"/>
        </w:rPr>
        <w:t>Market</w:t>
      </w:r>
      <w:r w:rsidR="00FB475C" w:rsidRPr="00720E6B">
        <w:rPr>
          <w:noProof/>
          <w:sz w:val="24"/>
          <w:szCs w:val="24"/>
        </w:rPr>
        <w:t xml:space="preserve"> </w:t>
      </w:r>
      <w:r w:rsidRPr="00720E6B">
        <w:rPr>
          <w:noProof/>
          <w:sz w:val="24"/>
          <w:szCs w:val="24"/>
        </w:rPr>
        <w:t>Observatories disseminate complementary information such as:</w:t>
      </w:r>
    </w:p>
    <w:p w14:paraId="08353B96" w14:textId="77777777" w:rsidR="00720E6B" w:rsidRPr="00720E6B" w:rsidRDefault="00720E6B" w:rsidP="007A0BAE">
      <w:pPr>
        <w:jc w:val="both"/>
        <w:rPr>
          <w:noProof/>
          <w:sz w:val="24"/>
          <w:szCs w:val="24"/>
        </w:rPr>
      </w:pPr>
    </w:p>
    <w:p w14:paraId="782EECDE" w14:textId="2806257B" w:rsidR="006270A2" w:rsidRPr="00720E6B" w:rsidRDefault="0048390C" w:rsidP="007A0BAE">
      <w:pPr>
        <w:pStyle w:val="ListParagraph"/>
        <w:numPr>
          <w:ilvl w:val="0"/>
          <w:numId w:val="23"/>
        </w:numPr>
        <w:jc w:val="both"/>
        <w:rPr>
          <w:noProof/>
          <w:sz w:val="24"/>
          <w:szCs w:val="24"/>
        </w:rPr>
      </w:pPr>
      <w:r w:rsidRPr="00720E6B">
        <w:rPr>
          <w:b/>
          <w:noProof/>
          <w:sz w:val="24"/>
          <w:szCs w:val="24"/>
        </w:rPr>
        <w:t xml:space="preserve">Weekly/monthly dashboards </w:t>
      </w:r>
      <w:r w:rsidRPr="00720E6B">
        <w:rPr>
          <w:noProof/>
          <w:sz w:val="24"/>
          <w:szCs w:val="24"/>
        </w:rPr>
        <w:t>compiling the most relevant and recent data for each sector</w:t>
      </w:r>
      <w:r w:rsidR="001920DD">
        <w:rPr>
          <w:noProof/>
          <w:sz w:val="24"/>
          <w:szCs w:val="24"/>
        </w:rPr>
        <w:t>,</w:t>
      </w:r>
      <w:r w:rsidRPr="00720E6B">
        <w:rPr>
          <w:noProof/>
          <w:sz w:val="24"/>
          <w:szCs w:val="24"/>
        </w:rPr>
        <w:t xml:space="preserve"> </w:t>
      </w:r>
    </w:p>
    <w:p w14:paraId="50D00768" w14:textId="2E0220FF" w:rsidR="006270A2" w:rsidRPr="00720E6B" w:rsidRDefault="0048390C" w:rsidP="007A0BAE">
      <w:pPr>
        <w:pStyle w:val="ListParagraph"/>
        <w:numPr>
          <w:ilvl w:val="0"/>
          <w:numId w:val="23"/>
        </w:numPr>
        <w:jc w:val="both"/>
        <w:rPr>
          <w:noProof/>
          <w:sz w:val="24"/>
          <w:szCs w:val="24"/>
        </w:rPr>
      </w:pPr>
      <w:r w:rsidRPr="00720E6B">
        <w:rPr>
          <w:b/>
          <w:noProof/>
          <w:sz w:val="24"/>
          <w:szCs w:val="24"/>
        </w:rPr>
        <w:t xml:space="preserve">Short and </w:t>
      </w:r>
      <w:r w:rsidR="00434006" w:rsidRPr="00720E6B">
        <w:rPr>
          <w:b/>
          <w:noProof/>
          <w:sz w:val="24"/>
          <w:szCs w:val="24"/>
        </w:rPr>
        <w:t>medium</w:t>
      </w:r>
      <w:r w:rsidR="00720E6B">
        <w:rPr>
          <w:b/>
          <w:noProof/>
          <w:sz w:val="24"/>
          <w:szCs w:val="24"/>
        </w:rPr>
        <w:t>-</w:t>
      </w:r>
      <w:r w:rsidRPr="00720E6B">
        <w:rPr>
          <w:b/>
          <w:noProof/>
          <w:sz w:val="24"/>
          <w:szCs w:val="24"/>
        </w:rPr>
        <w:t>term</w:t>
      </w:r>
      <w:r w:rsidRPr="00720E6B">
        <w:rPr>
          <w:noProof/>
          <w:sz w:val="24"/>
          <w:szCs w:val="24"/>
        </w:rPr>
        <w:t xml:space="preserve"> </w:t>
      </w:r>
      <w:r w:rsidRPr="00720E6B">
        <w:rPr>
          <w:b/>
          <w:noProof/>
          <w:sz w:val="24"/>
          <w:szCs w:val="24"/>
        </w:rPr>
        <w:t>outlook</w:t>
      </w:r>
      <w:r w:rsidR="00E90C88">
        <w:rPr>
          <w:b/>
          <w:noProof/>
          <w:sz w:val="24"/>
          <w:szCs w:val="24"/>
        </w:rPr>
        <w:t xml:space="preserve"> balance sheets and</w:t>
      </w:r>
      <w:r w:rsidRPr="00720E6B">
        <w:rPr>
          <w:b/>
          <w:noProof/>
          <w:sz w:val="24"/>
          <w:szCs w:val="24"/>
        </w:rPr>
        <w:t xml:space="preserve"> reports</w:t>
      </w:r>
      <w:r w:rsidR="001920DD">
        <w:rPr>
          <w:noProof/>
          <w:sz w:val="24"/>
          <w:szCs w:val="24"/>
        </w:rPr>
        <w:t>,</w:t>
      </w:r>
    </w:p>
    <w:p w14:paraId="02E6362B" w14:textId="6D3168E7" w:rsidR="006270A2" w:rsidRPr="00720E6B" w:rsidRDefault="0013408B" w:rsidP="007A0BAE">
      <w:pPr>
        <w:pStyle w:val="ListParagraph"/>
        <w:numPr>
          <w:ilvl w:val="0"/>
          <w:numId w:val="23"/>
        </w:num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The current </w:t>
      </w:r>
      <w:r w:rsidR="0048390C" w:rsidRPr="0013408B">
        <w:rPr>
          <w:b/>
          <w:noProof/>
          <w:sz w:val="24"/>
          <w:szCs w:val="24"/>
        </w:rPr>
        <w:t>Farm</w:t>
      </w:r>
      <w:r w:rsidR="0048390C" w:rsidRPr="00720E6B"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>A</w:t>
      </w:r>
      <w:r w:rsidR="0048390C" w:rsidRPr="00720E6B">
        <w:rPr>
          <w:b/>
          <w:noProof/>
          <w:sz w:val="24"/>
          <w:szCs w:val="24"/>
        </w:rPr>
        <w:t xml:space="preserve">ccountancy </w:t>
      </w:r>
      <w:r>
        <w:rPr>
          <w:b/>
          <w:noProof/>
          <w:sz w:val="24"/>
          <w:szCs w:val="24"/>
        </w:rPr>
        <w:t>D</w:t>
      </w:r>
      <w:r w:rsidR="0048390C" w:rsidRPr="00720E6B">
        <w:rPr>
          <w:b/>
          <w:noProof/>
          <w:sz w:val="24"/>
          <w:szCs w:val="24"/>
        </w:rPr>
        <w:t xml:space="preserve">ata </w:t>
      </w:r>
      <w:r>
        <w:rPr>
          <w:b/>
          <w:noProof/>
          <w:sz w:val="24"/>
          <w:szCs w:val="24"/>
        </w:rPr>
        <w:t>N</w:t>
      </w:r>
      <w:r w:rsidR="0048390C" w:rsidRPr="00720E6B">
        <w:rPr>
          <w:b/>
          <w:noProof/>
          <w:sz w:val="24"/>
          <w:szCs w:val="24"/>
        </w:rPr>
        <w:t>etwork</w:t>
      </w:r>
      <w:r w:rsidR="0048390C" w:rsidRPr="00720E6B">
        <w:rPr>
          <w:noProof/>
          <w:sz w:val="24"/>
          <w:szCs w:val="24"/>
        </w:rPr>
        <w:t xml:space="preserve"> (FADN) data series and reports, covering among </w:t>
      </w:r>
      <w:r w:rsidR="0020483A" w:rsidRPr="00720E6B">
        <w:rPr>
          <w:noProof/>
          <w:sz w:val="24"/>
          <w:szCs w:val="24"/>
        </w:rPr>
        <w:t>other</w:t>
      </w:r>
      <w:r w:rsidR="0048390C" w:rsidRPr="00720E6B">
        <w:rPr>
          <w:noProof/>
          <w:sz w:val="24"/>
          <w:szCs w:val="24"/>
        </w:rPr>
        <w:t xml:space="preserve"> issues related to costs and margins, as well as income</w:t>
      </w:r>
      <w:r w:rsidR="001920DD">
        <w:rPr>
          <w:noProof/>
          <w:sz w:val="24"/>
          <w:szCs w:val="24"/>
        </w:rPr>
        <w:t>,</w:t>
      </w:r>
    </w:p>
    <w:p w14:paraId="4EC46E99" w14:textId="5A036635" w:rsidR="006270A2" w:rsidRPr="00720E6B" w:rsidRDefault="0048390C" w:rsidP="007A0BAE">
      <w:pPr>
        <w:pStyle w:val="ListParagraph"/>
        <w:numPr>
          <w:ilvl w:val="0"/>
          <w:numId w:val="23"/>
        </w:numPr>
        <w:jc w:val="both"/>
        <w:rPr>
          <w:noProof/>
          <w:sz w:val="24"/>
          <w:szCs w:val="24"/>
        </w:rPr>
      </w:pPr>
      <w:r w:rsidRPr="00720E6B">
        <w:rPr>
          <w:b/>
          <w:noProof/>
          <w:sz w:val="24"/>
          <w:szCs w:val="24"/>
        </w:rPr>
        <w:t xml:space="preserve">Historical </w:t>
      </w:r>
      <w:r w:rsidR="00E90C88">
        <w:rPr>
          <w:b/>
          <w:noProof/>
          <w:sz w:val="24"/>
          <w:szCs w:val="24"/>
        </w:rPr>
        <w:t xml:space="preserve">time </w:t>
      </w:r>
      <w:r w:rsidRPr="00720E6B">
        <w:rPr>
          <w:b/>
          <w:noProof/>
          <w:sz w:val="24"/>
          <w:szCs w:val="24"/>
        </w:rPr>
        <w:t>series</w:t>
      </w:r>
      <w:r w:rsidR="001920DD">
        <w:rPr>
          <w:noProof/>
          <w:sz w:val="24"/>
          <w:szCs w:val="24"/>
        </w:rPr>
        <w:t>,</w:t>
      </w:r>
    </w:p>
    <w:p w14:paraId="10988912" w14:textId="2B45BB16" w:rsidR="006270A2" w:rsidRPr="00720E6B" w:rsidRDefault="0048390C" w:rsidP="007A0BAE">
      <w:pPr>
        <w:pStyle w:val="ListParagraph"/>
        <w:numPr>
          <w:ilvl w:val="0"/>
          <w:numId w:val="23"/>
        </w:numPr>
        <w:jc w:val="both"/>
        <w:rPr>
          <w:noProof/>
          <w:sz w:val="24"/>
          <w:szCs w:val="24"/>
        </w:rPr>
      </w:pPr>
      <w:r w:rsidRPr="00720E6B">
        <w:rPr>
          <w:b/>
          <w:noProof/>
          <w:sz w:val="24"/>
          <w:szCs w:val="24"/>
        </w:rPr>
        <w:t>Market presentations</w:t>
      </w:r>
      <w:r w:rsidRPr="00720E6B">
        <w:rPr>
          <w:noProof/>
          <w:sz w:val="24"/>
          <w:szCs w:val="24"/>
        </w:rPr>
        <w:t xml:space="preserve"> and factsheets</w:t>
      </w:r>
      <w:r w:rsidR="001920DD">
        <w:rPr>
          <w:noProof/>
          <w:sz w:val="24"/>
          <w:szCs w:val="24"/>
        </w:rPr>
        <w:t>,</w:t>
      </w:r>
    </w:p>
    <w:p w14:paraId="57C6DADE" w14:textId="2D270E50" w:rsidR="0048390C" w:rsidRPr="00720E6B" w:rsidRDefault="0048390C" w:rsidP="007A0BAE">
      <w:pPr>
        <w:pStyle w:val="ListParagraph"/>
        <w:numPr>
          <w:ilvl w:val="0"/>
          <w:numId w:val="23"/>
        </w:numPr>
        <w:jc w:val="both"/>
        <w:rPr>
          <w:noProof/>
          <w:sz w:val="24"/>
          <w:szCs w:val="24"/>
        </w:rPr>
      </w:pPr>
      <w:r w:rsidRPr="00720E6B">
        <w:rPr>
          <w:b/>
          <w:noProof/>
          <w:sz w:val="24"/>
          <w:szCs w:val="24"/>
        </w:rPr>
        <w:t>Reports of the Economic Boards</w:t>
      </w:r>
      <w:r w:rsidR="001920DD">
        <w:rPr>
          <w:b/>
          <w:noProof/>
          <w:sz w:val="24"/>
          <w:szCs w:val="24"/>
        </w:rPr>
        <w:t>,</w:t>
      </w:r>
    </w:p>
    <w:p w14:paraId="78786073" w14:textId="3C5DAD3A" w:rsidR="00ED4138" w:rsidRPr="00720E6B" w:rsidRDefault="00FB475C" w:rsidP="007A0BAE">
      <w:pPr>
        <w:pStyle w:val="ListParagraph"/>
        <w:numPr>
          <w:ilvl w:val="0"/>
          <w:numId w:val="23"/>
        </w:numPr>
        <w:jc w:val="both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Other reports, such as relevant s</w:t>
      </w:r>
      <w:r w:rsidR="00FF4F27" w:rsidRPr="00720E6B">
        <w:rPr>
          <w:b/>
          <w:noProof/>
          <w:sz w:val="24"/>
          <w:szCs w:val="24"/>
        </w:rPr>
        <w:t>tudies</w:t>
      </w:r>
      <w:r w:rsidR="004E318A">
        <w:rPr>
          <w:b/>
          <w:noProof/>
          <w:sz w:val="24"/>
          <w:szCs w:val="24"/>
        </w:rPr>
        <w:t>.</w:t>
      </w:r>
      <w:r w:rsidR="00FF4F27" w:rsidRPr="00720E6B">
        <w:rPr>
          <w:b/>
          <w:noProof/>
          <w:sz w:val="24"/>
          <w:szCs w:val="24"/>
        </w:rPr>
        <w:t xml:space="preserve"> </w:t>
      </w:r>
    </w:p>
    <w:p w14:paraId="5997CC1D" w14:textId="77777777" w:rsidR="00681E02" w:rsidRPr="00720E6B" w:rsidRDefault="00681E02" w:rsidP="00767D09">
      <w:pPr>
        <w:jc w:val="both"/>
        <w:rPr>
          <w:noProof/>
          <w:sz w:val="24"/>
          <w:szCs w:val="24"/>
        </w:rPr>
      </w:pPr>
    </w:p>
    <w:p w14:paraId="5E6AD02C" w14:textId="2E626156" w:rsidR="00434006" w:rsidRDefault="008A6E62" w:rsidP="00AD60AB">
      <w:pPr>
        <w:jc w:val="both"/>
        <w:rPr>
          <w:noProof/>
          <w:sz w:val="24"/>
          <w:szCs w:val="24"/>
        </w:rPr>
      </w:pPr>
      <w:r w:rsidRPr="00720E6B">
        <w:rPr>
          <w:noProof/>
          <w:sz w:val="24"/>
          <w:szCs w:val="24"/>
        </w:rPr>
        <w:t xml:space="preserve">Statistical data and information </w:t>
      </w:r>
      <w:r w:rsidR="00012D02" w:rsidRPr="00720E6B">
        <w:rPr>
          <w:noProof/>
          <w:sz w:val="24"/>
          <w:szCs w:val="24"/>
        </w:rPr>
        <w:t xml:space="preserve">on agri-food products are </w:t>
      </w:r>
      <w:r w:rsidR="00FB475C">
        <w:rPr>
          <w:noProof/>
          <w:sz w:val="24"/>
          <w:szCs w:val="24"/>
        </w:rPr>
        <w:t>also</w:t>
      </w:r>
      <w:r w:rsidR="00FB475C" w:rsidRPr="00720E6B">
        <w:rPr>
          <w:noProof/>
          <w:sz w:val="24"/>
          <w:szCs w:val="24"/>
        </w:rPr>
        <w:t xml:space="preserve"> </w:t>
      </w:r>
      <w:r w:rsidR="00E90C88" w:rsidRPr="00720E6B">
        <w:rPr>
          <w:noProof/>
          <w:sz w:val="24"/>
          <w:szCs w:val="24"/>
        </w:rPr>
        <w:t>centrali</w:t>
      </w:r>
      <w:r w:rsidR="00E90C88">
        <w:rPr>
          <w:noProof/>
          <w:sz w:val="24"/>
          <w:szCs w:val="24"/>
        </w:rPr>
        <w:t>s</w:t>
      </w:r>
      <w:r w:rsidR="00E90C88" w:rsidRPr="00720E6B">
        <w:rPr>
          <w:noProof/>
          <w:sz w:val="24"/>
          <w:szCs w:val="24"/>
        </w:rPr>
        <w:t xml:space="preserve">ed </w:t>
      </w:r>
      <w:r w:rsidR="00012D02" w:rsidRPr="00720E6B">
        <w:rPr>
          <w:noProof/>
          <w:sz w:val="24"/>
          <w:szCs w:val="24"/>
        </w:rPr>
        <w:t xml:space="preserve">in the European Commission’s </w:t>
      </w:r>
      <w:hyperlink r:id="rId18" w:history="1">
        <w:r w:rsidR="00012D02" w:rsidRPr="00720E6B">
          <w:rPr>
            <w:rStyle w:val="Hyperlink"/>
            <w:noProof/>
            <w:sz w:val="24"/>
            <w:szCs w:val="24"/>
          </w:rPr>
          <w:t>Agri-</w:t>
        </w:r>
        <w:r w:rsidR="00E6119D" w:rsidRPr="00720E6B">
          <w:rPr>
            <w:rStyle w:val="Hyperlink"/>
            <w:noProof/>
            <w:sz w:val="24"/>
            <w:szCs w:val="24"/>
          </w:rPr>
          <w:t>F</w:t>
        </w:r>
        <w:r w:rsidR="00012D02" w:rsidRPr="00720E6B">
          <w:rPr>
            <w:rStyle w:val="Hyperlink"/>
            <w:noProof/>
            <w:sz w:val="24"/>
            <w:szCs w:val="24"/>
          </w:rPr>
          <w:t xml:space="preserve">ood </w:t>
        </w:r>
        <w:r w:rsidR="00E6119D" w:rsidRPr="00720E6B">
          <w:rPr>
            <w:rStyle w:val="Hyperlink"/>
            <w:noProof/>
            <w:sz w:val="24"/>
            <w:szCs w:val="24"/>
          </w:rPr>
          <w:t>Data Po</w:t>
        </w:r>
        <w:r w:rsidR="00012D02" w:rsidRPr="00720E6B">
          <w:rPr>
            <w:rStyle w:val="Hyperlink"/>
            <w:noProof/>
            <w:sz w:val="24"/>
            <w:szCs w:val="24"/>
          </w:rPr>
          <w:t>rtal</w:t>
        </w:r>
      </w:hyperlink>
      <w:r w:rsidR="00012D02" w:rsidRPr="00720E6B">
        <w:rPr>
          <w:noProof/>
          <w:sz w:val="24"/>
          <w:szCs w:val="24"/>
        </w:rPr>
        <w:t xml:space="preserve">, which includes a section on </w:t>
      </w:r>
      <w:r w:rsidR="00BC5116" w:rsidRPr="00720E6B">
        <w:rPr>
          <w:noProof/>
          <w:sz w:val="24"/>
          <w:szCs w:val="24"/>
        </w:rPr>
        <w:t>agri-food markets</w:t>
      </w:r>
      <w:r w:rsidR="00012D02" w:rsidRPr="00720E6B">
        <w:rPr>
          <w:noProof/>
          <w:sz w:val="24"/>
          <w:szCs w:val="24"/>
        </w:rPr>
        <w:t>.</w:t>
      </w:r>
      <w:r w:rsidR="00AD60AB">
        <w:rPr>
          <w:noProof/>
          <w:sz w:val="24"/>
          <w:szCs w:val="24"/>
        </w:rPr>
        <w:t xml:space="preserve"> </w:t>
      </w:r>
    </w:p>
    <w:p w14:paraId="074EDBAA" w14:textId="6CAFABA5" w:rsidR="00E6724E" w:rsidRDefault="00AD60AB" w:rsidP="00AD60AB">
      <w:pPr>
        <w:spacing w:after="160" w:line="259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The Portal currently covers </w:t>
      </w:r>
      <w:r w:rsidR="00E6724E" w:rsidRPr="00AD60AB">
        <w:rPr>
          <w:b/>
          <w:noProof/>
          <w:sz w:val="24"/>
          <w:szCs w:val="24"/>
        </w:rPr>
        <w:t xml:space="preserve">12 </w:t>
      </w:r>
      <w:r w:rsidRPr="00AD60AB">
        <w:rPr>
          <w:b/>
          <w:noProof/>
          <w:sz w:val="24"/>
          <w:szCs w:val="24"/>
        </w:rPr>
        <w:t>agricultural sectors</w:t>
      </w:r>
      <w:r>
        <w:rPr>
          <w:noProof/>
          <w:sz w:val="24"/>
          <w:szCs w:val="24"/>
        </w:rPr>
        <w:t xml:space="preserve">: beef, pigmeat, eggs and poultry, sheep and goat meat, milk and dairy products, fruit and vegetables, cereals, rice, oilseeds and protein crops, sugar, olive oil and tables olives and wine. </w:t>
      </w:r>
    </w:p>
    <w:p w14:paraId="221A6DFA" w14:textId="43D404D4" w:rsidR="00E6724E" w:rsidRDefault="00E6724E" w:rsidP="00434006">
      <w:pPr>
        <w:spacing w:after="160" w:line="259" w:lineRule="auto"/>
        <w:rPr>
          <w:noProof/>
          <w:sz w:val="24"/>
          <w:szCs w:val="24"/>
        </w:rPr>
      </w:pPr>
    </w:p>
    <w:p w14:paraId="097AA2B4" w14:textId="2B60EAE4" w:rsidR="00E6724E" w:rsidRDefault="00E90C88" w:rsidP="00434006">
      <w:pPr>
        <w:spacing w:after="160" w:line="259" w:lineRule="auto"/>
        <w:rPr>
          <w:noProof/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w:drawing>
          <wp:inline distT="0" distB="0" distL="0" distR="0" wp14:anchorId="44AF1D6F" wp14:editId="220C57FF">
            <wp:extent cx="5944235" cy="67125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671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36AD81" w14:textId="340E6B07" w:rsidR="00E6724E" w:rsidRDefault="00AD60AB" w:rsidP="003A4EB3">
      <w:pPr>
        <w:spacing w:after="160" w:line="259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Moreover, EU market observatories provide more in-depth information </w:t>
      </w:r>
      <w:r w:rsidR="001A11B7">
        <w:rPr>
          <w:noProof/>
          <w:sz w:val="24"/>
          <w:szCs w:val="24"/>
        </w:rPr>
        <w:t xml:space="preserve">on market developments </w:t>
      </w:r>
      <w:r w:rsidR="00205289">
        <w:rPr>
          <w:noProof/>
          <w:sz w:val="24"/>
          <w:szCs w:val="24"/>
        </w:rPr>
        <w:t xml:space="preserve">on six sectors (milk, meat, sugar, crops, </w:t>
      </w:r>
      <w:r w:rsidR="009540DA">
        <w:rPr>
          <w:noProof/>
          <w:sz w:val="24"/>
          <w:szCs w:val="24"/>
        </w:rPr>
        <w:t>fruit and vegetable</w:t>
      </w:r>
      <w:r w:rsidR="00205289">
        <w:rPr>
          <w:noProof/>
          <w:sz w:val="24"/>
          <w:szCs w:val="24"/>
        </w:rPr>
        <w:t xml:space="preserve">, wine) </w:t>
      </w:r>
      <w:r w:rsidR="001A11B7">
        <w:rPr>
          <w:noProof/>
          <w:sz w:val="24"/>
          <w:szCs w:val="24"/>
        </w:rPr>
        <w:t xml:space="preserve">on </w:t>
      </w:r>
      <w:r w:rsidR="00FB475C">
        <w:rPr>
          <w:noProof/>
          <w:sz w:val="24"/>
          <w:szCs w:val="24"/>
        </w:rPr>
        <w:t xml:space="preserve">a </w:t>
      </w:r>
      <w:r w:rsidR="001A11B7">
        <w:rPr>
          <w:noProof/>
          <w:sz w:val="24"/>
          <w:szCs w:val="24"/>
        </w:rPr>
        <w:t xml:space="preserve">dedicated </w:t>
      </w:r>
      <w:hyperlink r:id="rId20" w:history="1">
        <w:r w:rsidR="001A11B7" w:rsidRPr="00205289">
          <w:rPr>
            <w:rStyle w:val="Hyperlink"/>
            <w:noProof/>
            <w:sz w:val="24"/>
            <w:szCs w:val="24"/>
          </w:rPr>
          <w:t>website</w:t>
        </w:r>
      </w:hyperlink>
      <w:r w:rsidR="001A11B7">
        <w:rPr>
          <w:noProof/>
          <w:sz w:val="24"/>
          <w:szCs w:val="24"/>
        </w:rPr>
        <w:t xml:space="preserve">. </w:t>
      </w:r>
      <w:r w:rsidR="00FB475C">
        <w:rPr>
          <w:noProof/>
          <w:sz w:val="24"/>
          <w:szCs w:val="24"/>
        </w:rPr>
        <w:t>Table 1 in Annex gives an o</w:t>
      </w:r>
      <w:r w:rsidR="001A11B7">
        <w:rPr>
          <w:noProof/>
          <w:sz w:val="24"/>
          <w:szCs w:val="24"/>
        </w:rPr>
        <w:t xml:space="preserve">verview of </w:t>
      </w:r>
      <w:r w:rsidR="00FB475C">
        <w:rPr>
          <w:noProof/>
          <w:sz w:val="24"/>
          <w:szCs w:val="24"/>
        </w:rPr>
        <w:t xml:space="preserve">available </w:t>
      </w:r>
      <w:r w:rsidR="001A11B7">
        <w:rPr>
          <w:noProof/>
          <w:sz w:val="24"/>
          <w:szCs w:val="24"/>
        </w:rPr>
        <w:t xml:space="preserve">data and reports. </w:t>
      </w:r>
      <w:bookmarkStart w:id="6" w:name="_Hlk145414865"/>
      <w:r w:rsidR="00205289">
        <w:rPr>
          <w:noProof/>
          <w:sz w:val="24"/>
          <w:szCs w:val="24"/>
        </w:rPr>
        <w:t xml:space="preserve">In addition, the Milk Market Observatory has a </w:t>
      </w:r>
      <w:r w:rsidR="00E835B9">
        <w:rPr>
          <w:noProof/>
          <w:sz w:val="24"/>
          <w:szCs w:val="24"/>
        </w:rPr>
        <w:t xml:space="preserve">dedicated </w:t>
      </w:r>
      <w:r w:rsidR="00675F6D">
        <w:rPr>
          <w:noProof/>
          <w:sz w:val="24"/>
          <w:szCs w:val="24"/>
        </w:rPr>
        <w:t>X</w:t>
      </w:r>
      <w:r w:rsidR="00E835B9">
        <w:rPr>
          <w:noProof/>
          <w:sz w:val="24"/>
          <w:szCs w:val="24"/>
        </w:rPr>
        <w:t xml:space="preserve"> account</w:t>
      </w:r>
      <w:r w:rsidR="00675F6D">
        <w:rPr>
          <w:noProof/>
          <w:sz w:val="24"/>
          <w:szCs w:val="24"/>
        </w:rPr>
        <w:t xml:space="preserve"> (</w:t>
      </w:r>
      <w:hyperlink r:id="rId21" w:history="1">
        <w:r w:rsidR="00675F6D" w:rsidRPr="003A4EB3">
          <w:rPr>
            <w:rStyle w:val="Hyperlink"/>
            <w:noProof/>
            <w:sz w:val="24"/>
            <w:szCs w:val="24"/>
          </w:rPr>
          <w:t>EuroMMO</w:t>
        </w:r>
      </w:hyperlink>
      <w:r w:rsidR="00675F6D">
        <w:rPr>
          <w:rStyle w:val="Hyperlink"/>
          <w:noProof/>
          <w:sz w:val="24"/>
          <w:szCs w:val="24"/>
        </w:rPr>
        <w:t>)</w:t>
      </w:r>
      <w:r w:rsidR="00675F6D">
        <w:rPr>
          <w:noProof/>
          <w:sz w:val="24"/>
          <w:szCs w:val="24"/>
        </w:rPr>
        <w:t>, formerly known as Twitter,</w:t>
      </w:r>
      <w:r w:rsidR="00E835B9">
        <w:rPr>
          <w:noProof/>
          <w:sz w:val="24"/>
          <w:szCs w:val="24"/>
        </w:rPr>
        <w:t xml:space="preserve"> </w:t>
      </w:r>
      <w:r w:rsidR="003A4EB3">
        <w:rPr>
          <w:noProof/>
          <w:sz w:val="24"/>
          <w:szCs w:val="24"/>
        </w:rPr>
        <w:t xml:space="preserve">followed by </w:t>
      </w:r>
      <w:r w:rsidR="00FB475C">
        <w:rPr>
          <w:noProof/>
          <w:sz w:val="24"/>
          <w:szCs w:val="24"/>
        </w:rPr>
        <w:t xml:space="preserve">close to </w:t>
      </w:r>
      <w:r w:rsidR="003A4EB3">
        <w:rPr>
          <w:noProof/>
          <w:sz w:val="24"/>
          <w:szCs w:val="24"/>
        </w:rPr>
        <w:t>1</w:t>
      </w:r>
      <w:r w:rsidR="00FB475C">
        <w:rPr>
          <w:noProof/>
          <w:sz w:val="24"/>
          <w:szCs w:val="24"/>
        </w:rPr>
        <w:t> </w:t>
      </w:r>
      <w:r w:rsidR="009540DA">
        <w:rPr>
          <w:noProof/>
          <w:sz w:val="24"/>
          <w:szCs w:val="24"/>
        </w:rPr>
        <w:t>4</w:t>
      </w:r>
      <w:r w:rsidR="003A4EB3">
        <w:rPr>
          <w:noProof/>
          <w:sz w:val="24"/>
          <w:szCs w:val="24"/>
        </w:rPr>
        <w:t xml:space="preserve">00 </w:t>
      </w:r>
      <w:r w:rsidR="00E835B9">
        <w:rPr>
          <w:noProof/>
          <w:sz w:val="24"/>
          <w:szCs w:val="24"/>
        </w:rPr>
        <w:t>users</w:t>
      </w:r>
      <w:r w:rsidR="003A4EB3">
        <w:rPr>
          <w:noProof/>
          <w:sz w:val="24"/>
          <w:szCs w:val="24"/>
        </w:rPr>
        <w:t xml:space="preserve">. </w:t>
      </w:r>
      <w:bookmarkEnd w:id="6"/>
    </w:p>
    <w:p w14:paraId="0FBD9500" w14:textId="7709D286" w:rsidR="00AD60AB" w:rsidRDefault="00AD60AB" w:rsidP="00434006">
      <w:pPr>
        <w:spacing w:after="160" w:line="259" w:lineRule="auto"/>
        <w:rPr>
          <w:noProof/>
          <w:sz w:val="24"/>
          <w:szCs w:val="24"/>
        </w:rPr>
      </w:pPr>
    </w:p>
    <w:p w14:paraId="72FE3AF6" w14:textId="428A70BC" w:rsidR="00ED4138" w:rsidRPr="00434006" w:rsidRDefault="00083D12" w:rsidP="003624B7">
      <w:pPr>
        <w:pStyle w:val="Heading2"/>
        <w:numPr>
          <w:ilvl w:val="1"/>
          <w:numId w:val="1"/>
        </w:numPr>
        <w:rPr>
          <w:b/>
          <w:noProof/>
          <w:lang w:val="en-GB"/>
        </w:rPr>
      </w:pPr>
      <w:bookmarkStart w:id="7" w:name="_Toc147159419"/>
      <w:r>
        <w:rPr>
          <w:b/>
          <w:noProof/>
          <w:lang w:val="en-GB"/>
        </w:rPr>
        <w:t>Expert discussion platform</w:t>
      </w:r>
      <w:bookmarkEnd w:id="7"/>
    </w:p>
    <w:p w14:paraId="147A80A4" w14:textId="5413A86C" w:rsidR="00ED4138" w:rsidRPr="00B14339" w:rsidRDefault="00ED4138" w:rsidP="002A600A">
      <w:pPr>
        <w:pStyle w:val="Heading3"/>
        <w:rPr>
          <w:noProof/>
          <w:lang w:val="en-GB"/>
        </w:rPr>
      </w:pPr>
    </w:p>
    <w:p w14:paraId="738610EB" w14:textId="77777777" w:rsidR="00565A8C" w:rsidRPr="00B14339" w:rsidRDefault="00565A8C" w:rsidP="00D72062">
      <w:pPr>
        <w:rPr>
          <w:rFonts w:cs="Times New Roman"/>
          <w:noProof/>
          <w:sz w:val="24"/>
          <w:szCs w:val="24"/>
          <w:lang w:val="en-GB"/>
        </w:rPr>
      </w:pPr>
    </w:p>
    <w:p w14:paraId="5D3DC54C" w14:textId="552CBB99" w:rsidR="00D72062" w:rsidRPr="00681E02" w:rsidRDefault="00083D12" w:rsidP="00767D09">
      <w:pPr>
        <w:jc w:val="both"/>
        <w:rPr>
          <w:noProof/>
        </w:rPr>
      </w:pPr>
      <w:r>
        <w:rPr>
          <w:noProof/>
          <w:lang w:val="en-GB"/>
        </w:rPr>
        <w:t>M</w:t>
      </w:r>
      <w:r w:rsidR="00681E02" w:rsidRPr="009D24B2">
        <w:rPr>
          <w:noProof/>
          <w:lang w:val="en-GB"/>
        </w:rPr>
        <w:t xml:space="preserve">arket experts actively contribute </w:t>
      </w:r>
      <w:r>
        <w:rPr>
          <w:noProof/>
          <w:lang w:val="en-GB"/>
        </w:rPr>
        <w:t xml:space="preserve">to add value to raw statistical data </w:t>
      </w:r>
      <w:r w:rsidR="00681E02" w:rsidRPr="009D24B2">
        <w:rPr>
          <w:noProof/>
          <w:lang w:val="en-GB"/>
        </w:rPr>
        <w:t xml:space="preserve">by providing advice, expertise and </w:t>
      </w:r>
      <w:r>
        <w:rPr>
          <w:noProof/>
          <w:lang w:val="en-GB"/>
        </w:rPr>
        <w:t xml:space="preserve">qualitative </w:t>
      </w:r>
      <w:r w:rsidR="00681E02" w:rsidRPr="009D24B2">
        <w:rPr>
          <w:noProof/>
          <w:lang w:val="en-GB"/>
        </w:rPr>
        <w:t>information on market developments, while avoiding poli</w:t>
      </w:r>
      <w:r w:rsidR="00B6277A">
        <w:rPr>
          <w:noProof/>
          <w:lang w:val="en-GB"/>
        </w:rPr>
        <w:t>cy</w:t>
      </w:r>
      <w:r w:rsidR="00681E02" w:rsidRPr="009D24B2">
        <w:rPr>
          <w:noProof/>
          <w:lang w:val="en-GB"/>
        </w:rPr>
        <w:t xml:space="preserve"> </w:t>
      </w:r>
      <w:r>
        <w:rPr>
          <w:noProof/>
          <w:lang w:val="en-GB"/>
        </w:rPr>
        <w:t>debates</w:t>
      </w:r>
      <w:r w:rsidR="00681E02" w:rsidRPr="009D24B2">
        <w:rPr>
          <w:noProof/>
          <w:lang w:val="en-GB"/>
        </w:rPr>
        <w:t xml:space="preserve">. After each meeting, reports are made publicly available. </w:t>
      </w:r>
      <w:r w:rsidR="00681E02" w:rsidRPr="009D24B2">
        <w:rPr>
          <w:noProof/>
        </w:rPr>
        <w:t>The Economic Board meetings are chaired by a Commission official.</w:t>
      </w:r>
      <w:r w:rsidR="00681E02">
        <w:rPr>
          <w:noProof/>
          <w:szCs w:val="23"/>
        </w:rPr>
        <w:t xml:space="preserve"> </w:t>
      </w:r>
      <w:r w:rsidR="00D72062" w:rsidRPr="00767D09">
        <w:rPr>
          <w:noProof/>
        </w:rPr>
        <w:t>The Economic Boards operate under the form of ‘Expert Groups’ and are governed by Commission Decision (2016) 3301 establishing horizontal rules on the creation and operation of Commission expert groups</w:t>
      </w:r>
      <w:r w:rsidR="00D72062" w:rsidRPr="00B14339">
        <w:rPr>
          <w:rStyle w:val="FootnoteReference"/>
          <w:rFonts w:cs="Times New Roman"/>
          <w:noProof/>
          <w:sz w:val="24"/>
          <w:szCs w:val="24"/>
          <w:lang w:val="en-GB"/>
        </w:rPr>
        <w:footnoteReference w:id="9"/>
      </w:r>
      <w:r w:rsidR="00D72062" w:rsidRPr="00B14339">
        <w:rPr>
          <w:rFonts w:cs="Times New Roman"/>
          <w:noProof/>
          <w:sz w:val="24"/>
          <w:szCs w:val="24"/>
          <w:lang w:val="en-GB"/>
        </w:rPr>
        <w:t>.</w:t>
      </w:r>
    </w:p>
    <w:p w14:paraId="637805D2" w14:textId="77777777" w:rsidR="00C45672" w:rsidRDefault="00C45672" w:rsidP="00C45672">
      <w:pPr>
        <w:rPr>
          <w:rFonts w:cs="Times New Roman"/>
          <w:noProof/>
          <w:lang w:val="en-GB"/>
        </w:rPr>
      </w:pPr>
    </w:p>
    <w:p w14:paraId="28E3B9D9" w14:textId="6356071B" w:rsidR="00E835B9" w:rsidRPr="00720E6B" w:rsidRDefault="00E90C88" w:rsidP="00E835B9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The unbiased work of Market Observatories makes it possible for their</w:t>
      </w:r>
      <w:r w:rsidRPr="00720E6B">
        <w:rPr>
          <w:noProof/>
          <w:sz w:val="24"/>
          <w:szCs w:val="24"/>
        </w:rPr>
        <w:t xml:space="preserve"> reports </w:t>
      </w:r>
      <w:r>
        <w:rPr>
          <w:noProof/>
          <w:sz w:val="24"/>
          <w:szCs w:val="24"/>
        </w:rPr>
        <w:t>to serve as an independent</w:t>
      </w:r>
      <w:r w:rsidRPr="00720E6B">
        <w:rPr>
          <w:noProof/>
          <w:sz w:val="24"/>
          <w:szCs w:val="24"/>
        </w:rPr>
        <w:t xml:space="preserve"> support </w:t>
      </w:r>
      <w:r>
        <w:rPr>
          <w:noProof/>
          <w:sz w:val="24"/>
          <w:szCs w:val="24"/>
        </w:rPr>
        <w:t xml:space="preserve">for </w:t>
      </w:r>
      <w:r w:rsidRPr="00720E6B">
        <w:rPr>
          <w:noProof/>
          <w:sz w:val="24"/>
          <w:szCs w:val="24"/>
        </w:rPr>
        <w:t xml:space="preserve">well-informed decisions </w:t>
      </w:r>
      <w:r>
        <w:rPr>
          <w:noProof/>
          <w:sz w:val="24"/>
          <w:szCs w:val="24"/>
        </w:rPr>
        <w:t>by economic</w:t>
      </w:r>
      <w:r w:rsidRPr="00720E6B">
        <w:rPr>
          <w:noProof/>
          <w:sz w:val="24"/>
          <w:szCs w:val="24"/>
        </w:rPr>
        <w:t xml:space="preserve"> actors throughout the supply chain</w:t>
      </w:r>
      <w:r>
        <w:rPr>
          <w:noProof/>
          <w:sz w:val="24"/>
          <w:szCs w:val="24"/>
        </w:rPr>
        <w:t xml:space="preserve"> as well as by public authorities in their fact-based decisions</w:t>
      </w:r>
      <w:r w:rsidRPr="00720E6B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 xml:space="preserve"> </w:t>
      </w:r>
      <w:r w:rsidR="00083D12">
        <w:rPr>
          <w:noProof/>
          <w:sz w:val="24"/>
          <w:szCs w:val="24"/>
        </w:rPr>
        <w:t>A waterproof demarcation between the factual added value of the Market Observatories’ work and policy articulation by public authorities is key for guaranteeing the independency of both work streams</w:t>
      </w:r>
      <w:r w:rsidR="00E835B9" w:rsidRPr="00720E6B">
        <w:rPr>
          <w:noProof/>
          <w:sz w:val="24"/>
          <w:szCs w:val="24"/>
        </w:rPr>
        <w:t xml:space="preserve">. </w:t>
      </w:r>
      <w:r w:rsidR="00083D12">
        <w:rPr>
          <w:noProof/>
          <w:sz w:val="24"/>
          <w:szCs w:val="24"/>
        </w:rPr>
        <w:t>Market Observatories’</w:t>
      </w:r>
      <w:r w:rsidR="00E835B9">
        <w:rPr>
          <w:noProof/>
          <w:sz w:val="24"/>
          <w:szCs w:val="24"/>
        </w:rPr>
        <w:t xml:space="preserve"> reports </w:t>
      </w:r>
      <w:r w:rsidR="00083D12">
        <w:rPr>
          <w:noProof/>
          <w:sz w:val="24"/>
          <w:szCs w:val="24"/>
        </w:rPr>
        <w:t xml:space="preserve">contain </w:t>
      </w:r>
      <w:r w:rsidR="00E835B9">
        <w:rPr>
          <w:noProof/>
          <w:sz w:val="24"/>
          <w:szCs w:val="24"/>
        </w:rPr>
        <w:t xml:space="preserve">all presentations </w:t>
      </w:r>
      <w:r w:rsidR="00083D12">
        <w:rPr>
          <w:noProof/>
          <w:sz w:val="24"/>
          <w:szCs w:val="24"/>
        </w:rPr>
        <w:t>made during the expert meeting</w:t>
      </w:r>
      <w:r w:rsidR="00E835B9">
        <w:rPr>
          <w:noProof/>
          <w:sz w:val="24"/>
          <w:szCs w:val="24"/>
        </w:rPr>
        <w:t>.</w:t>
      </w:r>
      <w:r w:rsidR="00083D12">
        <w:rPr>
          <w:noProof/>
          <w:sz w:val="24"/>
          <w:szCs w:val="24"/>
        </w:rPr>
        <w:t xml:space="preserve"> Table 2 (in Annex) details the composition of the Economic Boards of Market Observatories as well as their meeting frequency.</w:t>
      </w:r>
    </w:p>
    <w:p w14:paraId="463F29E8" w14:textId="44149163" w:rsidR="00681E02" w:rsidRDefault="00681E02" w:rsidP="00C45672">
      <w:pPr>
        <w:rPr>
          <w:rFonts w:cs="Times New Roman"/>
          <w:noProof/>
          <w:lang w:val="en-GB"/>
        </w:rPr>
      </w:pPr>
    </w:p>
    <w:p w14:paraId="641A541C" w14:textId="77777777" w:rsidR="002A600A" w:rsidRDefault="002A600A" w:rsidP="00C45672">
      <w:pPr>
        <w:rPr>
          <w:rFonts w:cs="Times New Roman"/>
          <w:noProof/>
          <w:lang w:val="en-GB"/>
        </w:rPr>
      </w:pPr>
    </w:p>
    <w:p w14:paraId="2DEE80ED" w14:textId="01ACAF04" w:rsidR="006D1517" w:rsidRDefault="00F17917" w:rsidP="003624B7">
      <w:pPr>
        <w:pStyle w:val="Heading1"/>
        <w:numPr>
          <w:ilvl w:val="0"/>
          <w:numId w:val="17"/>
        </w:numPr>
        <w:rPr>
          <w:noProof/>
          <w:lang w:val="en-GB"/>
        </w:rPr>
      </w:pPr>
      <w:bookmarkStart w:id="8" w:name="_Toc147159420"/>
      <w:r>
        <w:rPr>
          <w:noProof/>
          <w:lang w:val="en-GB"/>
        </w:rPr>
        <w:t>Practical experience and suggestions</w:t>
      </w:r>
      <w:r w:rsidR="006D1517">
        <w:rPr>
          <w:noProof/>
          <w:lang w:val="en-GB"/>
        </w:rPr>
        <w:t xml:space="preserve"> on Market Observatories</w:t>
      </w:r>
      <w:bookmarkEnd w:id="8"/>
    </w:p>
    <w:p w14:paraId="3D8867C2" w14:textId="35014BED" w:rsidR="006D1517" w:rsidRDefault="006D1517" w:rsidP="006D1517">
      <w:pPr>
        <w:rPr>
          <w:noProof/>
          <w:lang w:val="en-GB"/>
        </w:rPr>
      </w:pPr>
    </w:p>
    <w:p w14:paraId="25640DF1" w14:textId="77777777" w:rsidR="009D1A64" w:rsidRDefault="009D1A64" w:rsidP="00647392">
      <w:pPr>
        <w:jc w:val="both"/>
        <w:rPr>
          <w:noProof/>
          <w:sz w:val="24"/>
          <w:szCs w:val="24"/>
          <w:lang w:val="en-GB"/>
        </w:rPr>
      </w:pPr>
    </w:p>
    <w:p w14:paraId="04719601" w14:textId="3BBD9C66" w:rsidR="00EA43F0" w:rsidRDefault="0026536F" w:rsidP="00647392">
      <w:pPr>
        <w:jc w:val="both"/>
        <w:rPr>
          <w:noProof/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t>An online survey was conducted in December 2022-January 2023, containing</w:t>
      </w:r>
      <w:r w:rsidR="00CD1812">
        <w:rPr>
          <w:noProof/>
          <w:sz w:val="24"/>
          <w:szCs w:val="24"/>
          <w:lang w:val="en-GB"/>
        </w:rPr>
        <w:t xml:space="preserve"> 20 questions for stakeholders and 14 questions for Member States</w:t>
      </w:r>
      <w:r w:rsidR="00EA43F0">
        <w:rPr>
          <w:noProof/>
          <w:sz w:val="24"/>
          <w:szCs w:val="24"/>
          <w:lang w:val="en-GB"/>
        </w:rPr>
        <w:t xml:space="preserve"> </w:t>
      </w:r>
      <w:r w:rsidR="005E0FA3">
        <w:rPr>
          <w:noProof/>
          <w:sz w:val="24"/>
          <w:szCs w:val="24"/>
          <w:lang w:val="en-GB"/>
        </w:rPr>
        <w:t xml:space="preserve">(MS) </w:t>
      </w:r>
      <w:r w:rsidR="00EA43F0">
        <w:rPr>
          <w:noProof/>
          <w:sz w:val="24"/>
          <w:szCs w:val="24"/>
          <w:lang w:val="en-GB"/>
        </w:rPr>
        <w:t>concerning the following aspects:</w:t>
      </w:r>
    </w:p>
    <w:p w14:paraId="6E1A66ED" w14:textId="681F9E28" w:rsidR="00EA43F0" w:rsidRDefault="00EA43F0" w:rsidP="00EA43F0">
      <w:pPr>
        <w:pStyle w:val="ListParagraph"/>
        <w:numPr>
          <w:ilvl w:val="0"/>
          <w:numId w:val="23"/>
        </w:numPr>
        <w:jc w:val="both"/>
        <w:rPr>
          <w:noProof/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t>Objectives of the Observatories</w:t>
      </w:r>
    </w:p>
    <w:p w14:paraId="5F64A4C0" w14:textId="6BBE34AC" w:rsidR="00EA43F0" w:rsidRDefault="00EA43F0" w:rsidP="00EA43F0">
      <w:pPr>
        <w:pStyle w:val="ListParagraph"/>
        <w:numPr>
          <w:ilvl w:val="0"/>
          <w:numId w:val="23"/>
        </w:numPr>
        <w:jc w:val="both"/>
        <w:rPr>
          <w:noProof/>
          <w:sz w:val="24"/>
          <w:szCs w:val="24"/>
          <w:lang w:val="en-GB"/>
        </w:rPr>
      </w:pPr>
      <w:r w:rsidRPr="00EA43F0">
        <w:rPr>
          <w:noProof/>
          <w:sz w:val="24"/>
          <w:szCs w:val="24"/>
          <w:lang w:val="en-GB"/>
        </w:rPr>
        <w:t>Statistical data and information</w:t>
      </w:r>
    </w:p>
    <w:p w14:paraId="7AF7A810" w14:textId="27FC047C" w:rsidR="00EA43F0" w:rsidRDefault="00EA43F0" w:rsidP="00EA43F0">
      <w:pPr>
        <w:pStyle w:val="ListParagraph"/>
        <w:numPr>
          <w:ilvl w:val="0"/>
          <w:numId w:val="23"/>
        </w:numPr>
        <w:jc w:val="both"/>
        <w:rPr>
          <w:noProof/>
          <w:sz w:val="24"/>
          <w:szCs w:val="24"/>
          <w:lang w:val="en-GB"/>
        </w:rPr>
      </w:pPr>
      <w:r w:rsidRPr="00EA43F0">
        <w:rPr>
          <w:noProof/>
          <w:sz w:val="24"/>
          <w:szCs w:val="24"/>
          <w:lang w:val="en-GB"/>
        </w:rPr>
        <w:t>Meeting reports</w:t>
      </w:r>
    </w:p>
    <w:p w14:paraId="0A44D3C1" w14:textId="5C007D5D" w:rsidR="00EA43F0" w:rsidRPr="002A600A" w:rsidRDefault="00EA43F0" w:rsidP="002A600A">
      <w:pPr>
        <w:pStyle w:val="ListParagraph"/>
        <w:numPr>
          <w:ilvl w:val="0"/>
          <w:numId w:val="23"/>
        </w:numPr>
        <w:jc w:val="both"/>
        <w:rPr>
          <w:noProof/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t>New developments</w:t>
      </w:r>
    </w:p>
    <w:p w14:paraId="21932869" w14:textId="77777777" w:rsidR="00EA43F0" w:rsidRDefault="00EA43F0" w:rsidP="00647392">
      <w:pPr>
        <w:jc w:val="both"/>
        <w:rPr>
          <w:noProof/>
          <w:sz w:val="24"/>
          <w:szCs w:val="24"/>
          <w:lang w:val="en-GB"/>
        </w:rPr>
      </w:pPr>
    </w:p>
    <w:p w14:paraId="287B0EC2" w14:textId="515A4B13" w:rsidR="009D1A64" w:rsidRDefault="000C4C40" w:rsidP="00647392">
      <w:pPr>
        <w:jc w:val="both"/>
        <w:rPr>
          <w:noProof/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t xml:space="preserve">A total of </w:t>
      </w:r>
      <w:r w:rsidR="00FA00F4">
        <w:rPr>
          <w:noProof/>
          <w:sz w:val="24"/>
          <w:szCs w:val="24"/>
          <w:lang w:val="en-GB"/>
        </w:rPr>
        <w:t xml:space="preserve">114 contributions from 42 stakeholders and </w:t>
      </w:r>
      <w:r w:rsidR="00687A5C">
        <w:rPr>
          <w:noProof/>
          <w:sz w:val="24"/>
          <w:szCs w:val="24"/>
          <w:lang w:val="en-GB"/>
        </w:rPr>
        <w:t>2</w:t>
      </w:r>
      <w:r w:rsidR="00B65695">
        <w:rPr>
          <w:noProof/>
          <w:sz w:val="24"/>
          <w:szCs w:val="24"/>
          <w:lang w:val="en-GB"/>
        </w:rPr>
        <w:t>1</w:t>
      </w:r>
      <w:r w:rsidR="00687A5C">
        <w:rPr>
          <w:noProof/>
          <w:sz w:val="24"/>
          <w:szCs w:val="24"/>
          <w:lang w:val="en-GB"/>
        </w:rPr>
        <w:t xml:space="preserve"> </w:t>
      </w:r>
      <w:r w:rsidR="00FA00F4">
        <w:rPr>
          <w:noProof/>
          <w:sz w:val="24"/>
          <w:szCs w:val="24"/>
          <w:lang w:val="en-GB"/>
        </w:rPr>
        <w:t xml:space="preserve">Member States were gathered during that period. </w:t>
      </w:r>
      <w:r w:rsidR="00687A5C" w:rsidRPr="00687A5C">
        <w:rPr>
          <w:noProof/>
          <w:sz w:val="24"/>
          <w:szCs w:val="24"/>
          <w:lang w:val="en-GB"/>
        </w:rPr>
        <w:t>Graph 1 (in Annex) shows the breakdown per Member State.</w:t>
      </w:r>
    </w:p>
    <w:p w14:paraId="26D3EFE8" w14:textId="4BC58A06" w:rsidR="00CD1812" w:rsidRDefault="00CD1812" w:rsidP="00647392">
      <w:pPr>
        <w:jc w:val="both"/>
        <w:rPr>
          <w:noProof/>
          <w:sz w:val="24"/>
          <w:szCs w:val="24"/>
          <w:lang w:val="en-GB"/>
        </w:rPr>
      </w:pPr>
    </w:p>
    <w:p w14:paraId="0DCAA3C2" w14:textId="5DD02E22" w:rsidR="006D1517" w:rsidRDefault="006D1517" w:rsidP="00647392">
      <w:pPr>
        <w:jc w:val="both"/>
        <w:rPr>
          <w:noProof/>
          <w:sz w:val="24"/>
          <w:szCs w:val="24"/>
          <w:lang w:val="en-GB"/>
        </w:rPr>
      </w:pPr>
      <w:r w:rsidRPr="006D1517">
        <w:rPr>
          <w:noProof/>
          <w:sz w:val="24"/>
          <w:szCs w:val="24"/>
          <w:lang w:val="en-GB"/>
        </w:rPr>
        <w:t xml:space="preserve">Answers </w:t>
      </w:r>
      <w:r>
        <w:rPr>
          <w:noProof/>
          <w:sz w:val="24"/>
          <w:szCs w:val="24"/>
          <w:lang w:val="en-GB"/>
        </w:rPr>
        <w:t xml:space="preserve">to the </w:t>
      </w:r>
      <w:r w:rsidR="005E0FA3">
        <w:rPr>
          <w:noProof/>
          <w:sz w:val="24"/>
          <w:szCs w:val="24"/>
          <w:lang w:val="en-GB"/>
        </w:rPr>
        <w:t xml:space="preserve">survey </w:t>
      </w:r>
      <w:r w:rsidR="000D40C9">
        <w:rPr>
          <w:noProof/>
          <w:sz w:val="24"/>
          <w:szCs w:val="24"/>
          <w:lang w:val="en-GB"/>
        </w:rPr>
        <w:t>are presented</w:t>
      </w:r>
      <w:r>
        <w:rPr>
          <w:noProof/>
          <w:sz w:val="24"/>
          <w:szCs w:val="24"/>
          <w:lang w:val="en-GB"/>
        </w:rPr>
        <w:t xml:space="preserve"> in two groups (stakeholders and Member States) and distinguished </w:t>
      </w:r>
      <w:r w:rsidR="00647392">
        <w:rPr>
          <w:noProof/>
          <w:sz w:val="24"/>
          <w:szCs w:val="24"/>
          <w:lang w:val="en-GB"/>
        </w:rPr>
        <w:t xml:space="preserve">by sector (crops, </w:t>
      </w:r>
      <w:r w:rsidR="00FA00F4">
        <w:rPr>
          <w:noProof/>
          <w:sz w:val="24"/>
          <w:szCs w:val="24"/>
          <w:lang w:val="en-GB"/>
        </w:rPr>
        <w:t>fruits and vegetables</w:t>
      </w:r>
      <w:r w:rsidR="00647392">
        <w:rPr>
          <w:noProof/>
          <w:sz w:val="24"/>
          <w:szCs w:val="24"/>
          <w:lang w:val="en-GB"/>
        </w:rPr>
        <w:t>, meat, milk, sugar</w:t>
      </w:r>
      <w:r w:rsidR="00FA00F4">
        <w:rPr>
          <w:noProof/>
          <w:sz w:val="24"/>
          <w:szCs w:val="24"/>
          <w:lang w:val="en-GB"/>
        </w:rPr>
        <w:t xml:space="preserve"> and</w:t>
      </w:r>
      <w:r w:rsidR="00647392">
        <w:rPr>
          <w:noProof/>
          <w:sz w:val="24"/>
          <w:szCs w:val="24"/>
          <w:lang w:val="en-GB"/>
        </w:rPr>
        <w:t xml:space="preserve"> wine). At the end of this part, a summary table shows the general opinion of all the actors participating in Market Observatories but also experts from Member States who provided replies. </w:t>
      </w:r>
    </w:p>
    <w:p w14:paraId="5935B06A" w14:textId="73D2F68B" w:rsidR="005C5B38" w:rsidRDefault="005C5B38" w:rsidP="00647392">
      <w:pPr>
        <w:jc w:val="both"/>
        <w:rPr>
          <w:noProof/>
          <w:sz w:val="24"/>
          <w:szCs w:val="24"/>
          <w:lang w:val="en-GB"/>
        </w:rPr>
      </w:pPr>
    </w:p>
    <w:p w14:paraId="7F49268E" w14:textId="2EEB7343" w:rsidR="00A82FEA" w:rsidRDefault="009F16FA" w:rsidP="00647392">
      <w:pPr>
        <w:jc w:val="both"/>
        <w:rPr>
          <w:noProof/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t xml:space="preserve">Graph 1. </w:t>
      </w:r>
      <w:r w:rsidR="00A82FEA">
        <w:rPr>
          <w:noProof/>
          <w:sz w:val="24"/>
          <w:szCs w:val="24"/>
          <w:lang w:val="en-GB"/>
        </w:rPr>
        <w:t>Stakeholders and Member States contribution per specific Market Observatory.</w:t>
      </w:r>
    </w:p>
    <w:p w14:paraId="64861C03" w14:textId="77777777" w:rsidR="00A82FEA" w:rsidRDefault="00A82FEA" w:rsidP="00647392">
      <w:pPr>
        <w:jc w:val="both"/>
        <w:rPr>
          <w:noProof/>
          <w:sz w:val="24"/>
          <w:szCs w:val="24"/>
          <w:lang w:val="en-GB"/>
        </w:rPr>
      </w:pPr>
    </w:p>
    <w:p w14:paraId="5C402042" w14:textId="2D1DD279" w:rsidR="00E90C88" w:rsidRDefault="00E90C88" w:rsidP="00647392">
      <w:pPr>
        <w:jc w:val="both"/>
        <w:rPr>
          <w:noProof/>
          <w:sz w:val="24"/>
          <w:szCs w:val="24"/>
          <w:lang w:val="en-IE" w:eastAsia="pl-PL"/>
        </w:rPr>
      </w:pPr>
      <w:r>
        <w:rPr>
          <w:noProof/>
          <w:sz w:val="24"/>
          <w:szCs w:val="24"/>
          <w:lang w:val="en-IE" w:eastAsia="pl-PL"/>
        </w:rPr>
        <w:t xml:space="preserve">           </w:t>
      </w:r>
      <w:r>
        <w:rPr>
          <w:noProof/>
          <w:sz w:val="24"/>
          <w:szCs w:val="24"/>
          <w:lang w:val="en-GB" w:eastAsia="en-GB"/>
        </w:rPr>
        <w:drawing>
          <wp:inline distT="0" distB="0" distL="0" distR="0" wp14:anchorId="69C9D582" wp14:editId="4B707B0D">
            <wp:extent cx="4396701" cy="3714750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937" cy="3769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C5B38" w:rsidRPr="00A82FEA">
        <w:rPr>
          <w:noProof/>
          <w:sz w:val="24"/>
          <w:szCs w:val="24"/>
          <w:lang w:val="en-IE" w:eastAsia="pl-PL"/>
        </w:rPr>
        <w:t xml:space="preserve">      </w:t>
      </w:r>
    </w:p>
    <w:p w14:paraId="36F4E53B" w14:textId="468304EE" w:rsidR="00E90C88" w:rsidRDefault="005C5B38" w:rsidP="00647392">
      <w:pPr>
        <w:jc w:val="both"/>
        <w:rPr>
          <w:noProof/>
          <w:sz w:val="24"/>
          <w:szCs w:val="24"/>
          <w:lang w:val="pl-PL" w:eastAsia="pl-PL"/>
        </w:rPr>
      </w:pPr>
      <w:r w:rsidRPr="00A82FEA">
        <w:rPr>
          <w:noProof/>
          <w:sz w:val="24"/>
          <w:szCs w:val="24"/>
          <w:lang w:val="en-IE" w:eastAsia="pl-PL"/>
        </w:rPr>
        <w:t xml:space="preserve"> </w:t>
      </w:r>
      <w:r>
        <w:rPr>
          <w:noProof/>
          <w:sz w:val="24"/>
          <w:szCs w:val="24"/>
          <w:lang w:val="pl-PL" w:eastAsia="pl-PL"/>
        </w:rPr>
        <w:t xml:space="preserve">                    </w:t>
      </w:r>
      <w:r w:rsidR="00E90C88">
        <w:rPr>
          <w:noProof/>
          <w:sz w:val="24"/>
          <w:szCs w:val="24"/>
          <w:lang w:val="pl-PL" w:eastAsia="pl-PL"/>
        </w:rPr>
        <w:t xml:space="preserve">                 </w:t>
      </w:r>
    </w:p>
    <w:p w14:paraId="39DF5D98" w14:textId="17C1F495" w:rsidR="005C5B38" w:rsidRDefault="00E90C88" w:rsidP="00647392">
      <w:pPr>
        <w:jc w:val="both"/>
        <w:rPr>
          <w:noProof/>
          <w:sz w:val="24"/>
          <w:szCs w:val="24"/>
          <w:lang w:val="en-GB"/>
        </w:rPr>
      </w:pPr>
      <w:r>
        <w:rPr>
          <w:noProof/>
          <w:sz w:val="24"/>
          <w:szCs w:val="24"/>
          <w:lang w:val="pl-PL" w:eastAsia="pl-PL"/>
        </w:rPr>
        <w:t xml:space="preserve">           </w:t>
      </w:r>
      <w:r w:rsidR="005C5B38">
        <w:rPr>
          <w:noProof/>
          <w:sz w:val="24"/>
          <w:szCs w:val="24"/>
          <w:lang w:val="en-GB" w:eastAsia="en-GB"/>
        </w:rPr>
        <w:drawing>
          <wp:inline distT="0" distB="0" distL="0" distR="0" wp14:anchorId="342025AC" wp14:editId="7378B9A4">
            <wp:extent cx="4411257" cy="3731260"/>
            <wp:effectExtent l="0" t="0" r="889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95" cy="3789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6E0D6D" w14:textId="1A093DD6" w:rsidR="005C5B38" w:rsidRPr="006D1517" w:rsidRDefault="005C5B38" w:rsidP="00647392">
      <w:pPr>
        <w:jc w:val="both"/>
        <w:rPr>
          <w:noProof/>
          <w:sz w:val="24"/>
          <w:szCs w:val="24"/>
          <w:lang w:val="en-GB"/>
        </w:rPr>
      </w:pPr>
    </w:p>
    <w:p w14:paraId="39DE995D" w14:textId="78AACF56" w:rsidR="006D1517" w:rsidRDefault="006D1517" w:rsidP="006D1517">
      <w:pPr>
        <w:rPr>
          <w:noProof/>
          <w:sz w:val="24"/>
          <w:szCs w:val="24"/>
          <w:lang w:val="en-GB"/>
        </w:rPr>
      </w:pPr>
    </w:p>
    <w:p w14:paraId="590F8D36" w14:textId="03BB801B" w:rsidR="006D1517" w:rsidRPr="002A600A" w:rsidRDefault="006D1517" w:rsidP="002A600A">
      <w:pPr>
        <w:rPr>
          <w:b/>
          <w:noProof/>
          <w:sz w:val="24"/>
          <w:szCs w:val="24"/>
          <w:lang w:val="en-GB"/>
        </w:rPr>
      </w:pPr>
    </w:p>
    <w:p w14:paraId="24E46D71" w14:textId="105E3175" w:rsidR="000065BE" w:rsidRPr="0013555D" w:rsidRDefault="000065BE" w:rsidP="0013555D">
      <w:pPr>
        <w:pStyle w:val="Heading2"/>
        <w:numPr>
          <w:ilvl w:val="0"/>
          <w:numId w:val="25"/>
        </w:numPr>
        <w:rPr>
          <w:b/>
          <w:bCs/>
          <w:noProof/>
          <w:lang w:val="en-GB"/>
        </w:rPr>
      </w:pPr>
      <w:bookmarkStart w:id="9" w:name="_Toc147159421"/>
      <w:r w:rsidRPr="0013555D">
        <w:rPr>
          <w:b/>
          <w:bCs/>
          <w:noProof/>
          <w:lang w:val="en-GB"/>
        </w:rPr>
        <w:t>Respondents’ assessment of the extent to which Market Observatories meet their objectives</w:t>
      </w:r>
      <w:bookmarkEnd w:id="9"/>
    </w:p>
    <w:p w14:paraId="6A47469D" w14:textId="77777777" w:rsidR="000065BE" w:rsidRDefault="000065BE" w:rsidP="000065BE">
      <w:pPr>
        <w:rPr>
          <w:noProof/>
          <w:lang w:val="en-GB"/>
        </w:rPr>
      </w:pPr>
    </w:p>
    <w:p w14:paraId="0F47A696" w14:textId="17F9910B" w:rsidR="006216A3" w:rsidRPr="006216A3" w:rsidRDefault="006216A3" w:rsidP="002A600A">
      <w:pPr>
        <w:pStyle w:val="Heading3"/>
        <w:numPr>
          <w:ilvl w:val="1"/>
          <w:numId w:val="25"/>
        </w:numPr>
        <w:rPr>
          <w:b/>
          <w:noProof/>
          <w:sz w:val="26"/>
          <w:szCs w:val="26"/>
          <w:lang w:val="en-GB"/>
        </w:rPr>
      </w:pPr>
      <w:bookmarkStart w:id="10" w:name="_Toc147159422"/>
      <w:r w:rsidRPr="006216A3">
        <w:rPr>
          <w:b/>
          <w:noProof/>
          <w:lang w:val="en-GB"/>
        </w:rPr>
        <w:t>Transparency within the food supply chain</w:t>
      </w:r>
      <w:bookmarkEnd w:id="10"/>
    </w:p>
    <w:p w14:paraId="5E196610" w14:textId="77777777" w:rsidR="00A57AE3" w:rsidRDefault="00A57AE3" w:rsidP="00FA00F4">
      <w:pPr>
        <w:rPr>
          <w:noProof/>
          <w:sz w:val="24"/>
          <w:szCs w:val="24"/>
          <w:lang w:val="en-GB"/>
        </w:rPr>
      </w:pPr>
    </w:p>
    <w:p w14:paraId="0F25BA03" w14:textId="478BF109" w:rsidR="00BD24E3" w:rsidRDefault="005E0FA3" w:rsidP="005E0FA3">
      <w:pPr>
        <w:jc w:val="both"/>
        <w:rPr>
          <w:noProof/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t xml:space="preserve">A vast majority of stakeholders and Member States consider the </w:t>
      </w:r>
      <w:r w:rsidR="00A57AE3" w:rsidRPr="00C407EE">
        <w:rPr>
          <w:bCs/>
          <w:noProof/>
          <w:sz w:val="24"/>
          <w:szCs w:val="24"/>
          <w:lang w:val="en-GB"/>
        </w:rPr>
        <w:t>Market Observator</w:t>
      </w:r>
      <w:r w:rsidRPr="00C407EE">
        <w:rPr>
          <w:bCs/>
          <w:noProof/>
          <w:sz w:val="24"/>
          <w:szCs w:val="24"/>
          <w:lang w:val="en-GB"/>
        </w:rPr>
        <w:t>ies to be</w:t>
      </w:r>
      <w:r w:rsidR="00A57AE3" w:rsidRPr="00C407EE">
        <w:rPr>
          <w:bCs/>
          <w:noProof/>
          <w:sz w:val="24"/>
          <w:szCs w:val="24"/>
          <w:lang w:val="en-GB"/>
        </w:rPr>
        <w:t xml:space="preserve"> effective in providing transparency in the food supply chain</w:t>
      </w:r>
      <w:r w:rsidR="0020483A" w:rsidRPr="00C407EE">
        <w:rPr>
          <w:bCs/>
          <w:noProof/>
          <w:sz w:val="24"/>
          <w:szCs w:val="24"/>
          <w:lang w:val="en-GB"/>
        </w:rPr>
        <w:t xml:space="preserve"> </w:t>
      </w:r>
      <w:r w:rsidRPr="00C407EE">
        <w:rPr>
          <w:bCs/>
          <w:noProof/>
          <w:sz w:val="24"/>
          <w:szCs w:val="24"/>
          <w:lang w:val="en-GB"/>
        </w:rPr>
        <w:t>(</w:t>
      </w:r>
      <w:r w:rsidR="00A57AE3" w:rsidRPr="00C407EE">
        <w:rPr>
          <w:bCs/>
          <w:noProof/>
          <w:sz w:val="24"/>
          <w:szCs w:val="24"/>
          <w:lang w:val="en-GB"/>
        </w:rPr>
        <w:t xml:space="preserve">81% stakeholders and 89% </w:t>
      </w:r>
      <w:r w:rsidR="0030556C" w:rsidRPr="00C407EE">
        <w:rPr>
          <w:bCs/>
          <w:noProof/>
          <w:sz w:val="24"/>
          <w:szCs w:val="24"/>
          <w:lang w:val="en-GB"/>
        </w:rPr>
        <w:t xml:space="preserve">respondents from </w:t>
      </w:r>
      <w:r w:rsidR="00A57AE3" w:rsidRPr="00C407EE">
        <w:rPr>
          <w:bCs/>
          <w:noProof/>
          <w:sz w:val="24"/>
          <w:szCs w:val="24"/>
          <w:lang w:val="en-GB"/>
        </w:rPr>
        <w:t>MSs replied positively</w:t>
      </w:r>
      <w:r w:rsidRPr="00C407EE">
        <w:rPr>
          <w:bCs/>
          <w:noProof/>
          <w:sz w:val="24"/>
          <w:szCs w:val="24"/>
          <w:lang w:val="en-GB"/>
        </w:rPr>
        <w:t>)</w:t>
      </w:r>
      <w:r w:rsidR="00A57AE3" w:rsidRPr="00C407EE">
        <w:rPr>
          <w:bCs/>
          <w:noProof/>
          <w:sz w:val="24"/>
          <w:szCs w:val="24"/>
          <w:lang w:val="en-GB"/>
        </w:rPr>
        <w:t>.</w:t>
      </w:r>
      <w:r w:rsidR="00695448" w:rsidRPr="00C407EE">
        <w:rPr>
          <w:bCs/>
          <w:noProof/>
          <w:sz w:val="24"/>
          <w:szCs w:val="24"/>
          <w:lang w:val="en-GB"/>
        </w:rPr>
        <w:t xml:space="preserve"> </w:t>
      </w:r>
      <w:r>
        <w:rPr>
          <w:noProof/>
          <w:sz w:val="24"/>
          <w:szCs w:val="24"/>
          <w:lang w:val="en-GB"/>
        </w:rPr>
        <w:t>Still,</w:t>
      </w:r>
      <w:r w:rsidR="00EC5FC9">
        <w:rPr>
          <w:noProof/>
          <w:sz w:val="24"/>
          <w:szCs w:val="24"/>
          <w:lang w:val="en-GB"/>
        </w:rPr>
        <w:t xml:space="preserve"> a reduced minority (</w:t>
      </w:r>
      <w:r w:rsidR="00044763">
        <w:rPr>
          <w:noProof/>
          <w:sz w:val="24"/>
          <w:szCs w:val="24"/>
          <w:lang w:val="en-GB"/>
        </w:rPr>
        <w:t>13%</w:t>
      </w:r>
      <w:r w:rsidR="00EC5FC9">
        <w:rPr>
          <w:noProof/>
          <w:sz w:val="24"/>
          <w:szCs w:val="24"/>
          <w:lang w:val="en-GB"/>
        </w:rPr>
        <w:t>)</w:t>
      </w:r>
      <w:r w:rsidR="00044763">
        <w:rPr>
          <w:noProof/>
          <w:sz w:val="24"/>
          <w:szCs w:val="24"/>
          <w:lang w:val="en-GB"/>
        </w:rPr>
        <w:t xml:space="preserve"> </w:t>
      </w:r>
      <w:r>
        <w:rPr>
          <w:noProof/>
          <w:sz w:val="24"/>
          <w:szCs w:val="24"/>
          <w:lang w:val="en-GB"/>
        </w:rPr>
        <w:t xml:space="preserve">of the </w:t>
      </w:r>
      <w:r w:rsidR="00044763">
        <w:rPr>
          <w:noProof/>
          <w:sz w:val="24"/>
          <w:szCs w:val="24"/>
          <w:lang w:val="en-GB"/>
        </w:rPr>
        <w:t xml:space="preserve">respondents </w:t>
      </w:r>
      <w:r w:rsidR="00BD24E3">
        <w:rPr>
          <w:noProof/>
          <w:sz w:val="24"/>
          <w:szCs w:val="24"/>
          <w:lang w:val="en-GB"/>
        </w:rPr>
        <w:t>have a</w:t>
      </w:r>
      <w:r w:rsidR="00044763">
        <w:rPr>
          <w:noProof/>
          <w:sz w:val="24"/>
          <w:szCs w:val="24"/>
          <w:lang w:val="en-GB"/>
        </w:rPr>
        <w:t xml:space="preserve"> negative opinion</w:t>
      </w:r>
      <w:r>
        <w:rPr>
          <w:noProof/>
          <w:sz w:val="24"/>
          <w:szCs w:val="24"/>
          <w:lang w:val="en-GB"/>
        </w:rPr>
        <w:t xml:space="preserve">, </w:t>
      </w:r>
      <w:r w:rsidR="00BD24E3">
        <w:rPr>
          <w:noProof/>
          <w:sz w:val="24"/>
          <w:szCs w:val="24"/>
          <w:lang w:val="en-GB"/>
        </w:rPr>
        <w:t xml:space="preserve">referring </w:t>
      </w:r>
      <w:r w:rsidR="006320BD" w:rsidRPr="006320BD">
        <w:rPr>
          <w:noProof/>
          <w:sz w:val="24"/>
          <w:szCs w:val="24"/>
          <w:lang w:val="en-GB"/>
        </w:rPr>
        <w:t xml:space="preserve">to the </w:t>
      </w:r>
      <w:r w:rsidR="00EC5FC9">
        <w:rPr>
          <w:noProof/>
          <w:sz w:val="24"/>
          <w:szCs w:val="24"/>
          <w:lang w:val="en-GB"/>
        </w:rPr>
        <w:t xml:space="preserve">insufficient </w:t>
      </w:r>
      <w:r w:rsidR="006320BD" w:rsidRPr="006320BD">
        <w:rPr>
          <w:noProof/>
          <w:sz w:val="24"/>
          <w:szCs w:val="24"/>
          <w:lang w:val="en-GB"/>
        </w:rPr>
        <w:t>quality of the information/analysis provided by the Market Observatory or to the</w:t>
      </w:r>
      <w:r w:rsidR="00EC5FC9">
        <w:rPr>
          <w:noProof/>
          <w:sz w:val="24"/>
          <w:szCs w:val="24"/>
          <w:lang w:val="en-GB"/>
        </w:rPr>
        <w:t xml:space="preserve"> poor</w:t>
      </w:r>
      <w:r w:rsidR="006320BD" w:rsidRPr="006320BD">
        <w:rPr>
          <w:noProof/>
          <w:sz w:val="24"/>
          <w:szCs w:val="24"/>
          <w:lang w:val="en-GB"/>
        </w:rPr>
        <w:t xml:space="preserve"> </w:t>
      </w:r>
      <w:r w:rsidR="00BD24E3" w:rsidRPr="006320BD">
        <w:rPr>
          <w:noProof/>
          <w:sz w:val="24"/>
          <w:szCs w:val="24"/>
          <w:lang w:val="en-GB"/>
        </w:rPr>
        <w:t>di</w:t>
      </w:r>
      <w:r w:rsidR="00BD24E3">
        <w:rPr>
          <w:noProof/>
          <w:sz w:val="24"/>
          <w:szCs w:val="24"/>
          <w:lang w:val="en-GB"/>
        </w:rPr>
        <w:t>stribut</w:t>
      </w:r>
      <w:r w:rsidR="00BD24E3" w:rsidRPr="006320BD">
        <w:rPr>
          <w:noProof/>
          <w:sz w:val="24"/>
          <w:szCs w:val="24"/>
          <w:lang w:val="en-GB"/>
        </w:rPr>
        <w:t>ion</w:t>
      </w:r>
      <w:r w:rsidR="006320BD" w:rsidRPr="006320BD">
        <w:rPr>
          <w:noProof/>
          <w:sz w:val="24"/>
          <w:szCs w:val="24"/>
          <w:lang w:val="en-GB"/>
        </w:rPr>
        <w:t>/accessibility of such information/analysis</w:t>
      </w:r>
      <w:r w:rsidR="00BD24E3">
        <w:rPr>
          <w:noProof/>
          <w:sz w:val="24"/>
          <w:szCs w:val="24"/>
          <w:lang w:val="en-GB"/>
        </w:rPr>
        <w:t>.</w:t>
      </w:r>
    </w:p>
    <w:p w14:paraId="23CB0731" w14:textId="77777777" w:rsidR="00BD24E3" w:rsidRDefault="00BD24E3" w:rsidP="006320BD">
      <w:pPr>
        <w:jc w:val="both"/>
        <w:rPr>
          <w:noProof/>
          <w:sz w:val="24"/>
          <w:szCs w:val="24"/>
          <w:lang w:val="en-GB"/>
        </w:rPr>
      </w:pPr>
    </w:p>
    <w:p w14:paraId="5757A6F7" w14:textId="488664A6" w:rsidR="006D1517" w:rsidRDefault="00BD24E3" w:rsidP="006320BD">
      <w:pPr>
        <w:jc w:val="both"/>
        <w:rPr>
          <w:noProof/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t xml:space="preserve">From specific comments made by </w:t>
      </w:r>
      <w:r w:rsidR="006320BD">
        <w:rPr>
          <w:noProof/>
          <w:sz w:val="24"/>
          <w:szCs w:val="24"/>
          <w:lang w:val="en-GB"/>
        </w:rPr>
        <w:t xml:space="preserve">20 stakeholders </w:t>
      </w:r>
      <w:r w:rsidR="003E3FE8">
        <w:rPr>
          <w:noProof/>
          <w:sz w:val="24"/>
          <w:szCs w:val="24"/>
          <w:lang w:val="en-GB"/>
        </w:rPr>
        <w:t>and 9 respondents from M</w:t>
      </w:r>
      <w:r w:rsidR="009540DA">
        <w:rPr>
          <w:noProof/>
          <w:sz w:val="24"/>
          <w:szCs w:val="24"/>
          <w:lang w:val="en-GB"/>
        </w:rPr>
        <w:t>ember States</w:t>
      </w:r>
      <w:r>
        <w:rPr>
          <w:noProof/>
          <w:sz w:val="24"/>
          <w:szCs w:val="24"/>
          <w:lang w:val="en-GB"/>
        </w:rPr>
        <w:t>, it emerges that, i</w:t>
      </w:r>
      <w:r w:rsidR="006320BD">
        <w:rPr>
          <w:noProof/>
          <w:sz w:val="24"/>
          <w:szCs w:val="24"/>
          <w:lang w:val="en-GB"/>
        </w:rPr>
        <w:t xml:space="preserve">n general, the </w:t>
      </w:r>
      <w:r>
        <w:rPr>
          <w:noProof/>
          <w:sz w:val="24"/>
          <w:szCs w:val="24"/>
          <w:lang w:val="en-GB"/>
        </w:rPr>
        <w:t xml:space="preserve">Market Observatories </w:t>
      </w:r>
      <w:r w:rsidR="006320BD">
        <w:rPr>
          <w:noProof/>
          <w:sz w:val="24"/>
          <w:szCs w:val="24"/>
          <w:lang w:val="en-GB"/>
        </w:rPr>
        <w:t xml:space="preserve">are </w:t>
      </w:r>
      <w:r>
        <w:rPr>
          <w:noProof/>
          <w:sz w:val="24"/>
          <w:szCs w:val="24"/>
          <w:lang w:val="en-GB"/>
        </w:rPr>
        <w:t xml:space="preserve">perceived as </w:t>
      </w:r>
      <w:r w:rsidR="006320BD">
        <w:rPr>
          <w:noProof/>
          <w:sz w:val="24"/>
          <w:szCs w:val="24"/>
          <w:lang w:val="en-GB"/>
        </w:rPr>
        <w:t>a useful forum for supply chain representatives to exchange on general trends</w:t>
      </w:r>
      <w:r w:rsidR="006A4E76">
        <w:rPr>
          <w:noProof/>
          <w:sz w:val="24"/>
          <w:szCs w:val="24"/>
          <w:lang w:val="en-GB"/>
        </w:rPr>
        <w:t>, developments at global and EU level</w:t>
      </w:r>
      <w:r w:rsidR="006320BD">
        <w:rPr>
          <w:noProof/>
          <w:sz w:val="24"/>
          <w:szCs w:val="24"/>
          <w:lang w:val="en-GB"/>
        </w:rPr>
        <w:t xml:space="preserve"> across </w:t>
      </w:r>
      <w:r w:rsidR="006A4E76">
        <w:rPr>
          <w:noProof/>
          <w:sz w:val="24"/>
          <w:szCs w:val="24"/>
          <w:lang w:val="en-GB"/>
        </w:rPr>
        <w:t xml:space="preserve">different markets. One respondent highlights </w:t>
      </w:r>
      <w:r w:rsidR="00EA6C38">
        <w:rPr>
          <w:noProof/>
          <w:sz w:val="24"/>
          <w:szCs w:val="24"/>
          <w:lang w:val="en-GB"/>
        </w:rPr>
        <w:t>a</w:t>
      </w:r>
      <w:r w:rsidR="006A4E76">
        <w:rPr>
          <w:noProof/>
          <w:sz w:val="24"/>
          <w:szCs w:val="24"/>
          <w:lang w:val="en-GB"/>
        </w:rPr>
        <w:t xml:space="preserve"> need for more involvement of </w:t>
      </w:r>
      <w:r w:rsidR="00EC5FC9">
        <w:rPr>
          <w:noProof/>
          <w:sz w:val="24"/>
          <w:szCs w:val="24"/>
          <w:lang w:val="en-GB"/>
        </w:rPr>
        <w:t xml:space="preserve">Academia </w:t>
      </w:r>
      <w:r w:rsidR="006A4E76">
        <w:rPr>
          <w:noProof/>
          <w:sz w:val="24"/>
          <w:szCs w:val="24"/>
          <w:lang w:val="en-GB"/>
        </w:rPr>
        <w:t xml:space="preserve">in the </w:t>
      </w:r>
      <w:r>
        <w:rPr>
          <w:noProof/>
          <w:sz w:val="24"/>
          <w:szCs w:val="24"/>
          <w:lang w:val="en-GB"/>
        </w:rPr>
        <w:t>Market Observatories</w:t>
      </w:r>
      <w:r w:rsidR="006A4E76">
        <w:rPr>
          <w:noProof/>
          <w:sz w:val="24"/>
          <w:szCs w:val="24"/>
          <w:lang w:val="en-GB"/>
        </w:rPr>
        <w:t xml:space="preserve">. </w:t>
      </w:r>
      <w:r w:rsidR="006A4E76" w:rsidRPr="006A4E76">
        <w:rPr>
          <w:noProof/>
          <w:sz w:val="24"/>
          <w:szCs w:val="24"/>
          <w:lang w:val="en-GB"/>
        </w:rPr>
        <w:t xml:space="preserve">There </w:t>
      </w:r>
      <w:r w:rsidR="0021335B">
        <w:rPr>
          <w:noProof/>
          <w:sz w:val="24"/>
          <w:szCs w:val="24"/>
          <w:lang w:val="en-GB"/>
        </w:rPr>
        <w:t>are</w:t>
      </w:r>
      <w:r w:rsidR="006A4E76" w:rsidRPr="006A4E76">
        <w:rPr>
          <w:noProof/>
          <w:sz w:val="24"/>
          <w:szCs w:val="24"/>
          <w:lang w:val="en-GB"/>
        </w:rPr>
        <w:t xml:space="preserve"> </w:t>
      </w:r>
      <w:r w:rsidR="0021335B">
        <w:rPr>
          <w:noProof/>
          <w:sz w:val="24"/>
          <w:szCs w:val="24"/>
          <w:lang w:val="en-GB"/>
        </w:rPr>
        <w:t xml:space="preserve">also </w:t>
      </w:r>
      <w:r w:rsidR="006A4E76" w:rsidRPr="006A4E76">
        <w:rPr>
          <w:noProof/>
          <w:sz w:val="24"/>
          <w:szCs w:val="24"/>
          <w:lang w:val="en-GB"/>
        </w:rPr>
        <w:t>calls to increase the number of meetings throughout the year and to return to in-person meetings</w:t>
      </w:r>
      <w:r w:rsidR="00FB59A6">
        <w:rPr>
          <w:noProof/>
          <w:sz w:val="24"/>
          <w:szCs w:val="24"/>
          <w:lang w:val="en-GB"/>
        </w:rPr>
        <w:t xml:space="preserve"> to</w:t>
      </w:r>
      <w:r w:rsidR="006A4E76" w:rsidRPr="006A4E76">
        <w:rPr>
          <w:noProof/>
          <w:sz w:val="24"/>
          <w:szCs w:val="24"/>
          <w:lang w:val="en-GB"/>
        </w:rPr>
        <w:t xml:space="preserve"> facilitate </w:t>
      </w:r>
      <w:r>
        <w:rPr>
          <w:noProof/>
          <w:sz w:val="24"/>
          <w:szCs w:val="24"/>
          <w:lang w:val="en-GB"/>
        </w:rPr>
        <w:t>contacts</w:t>
      </w:r>
      <w:r w:rsidRPr="006A4E76">
        <w:rPr>
          <w:noProof/>
          <w:sz w:val="24"/>
          <w:szCs w:val="24"/>
          <w:lang w:val="en-GB"/>
        </w:rPr>
        <w:t xml:space="preserve"> </w:t>
      </w:r>
      <w:r w:rsidR="006A4E76" w:rsidRPr="006A4E76">
        <w:rPr>
          <w:noProof/>
          <w:sz w:val="24"/>
          <w:szCs w:val="24"/>
          <w:lang w:val="en-GB"/>
        </w:rPr>
        <w:t>across the chain.</w:t>
      </w:r>
      <w:r w:rsidR="00FB59A6">
        <w:rPr>
          <w:noProof/>
          <w:sz w:val="24"/>
          <w:szCs w:val="24"/>
          <w:lang w:val="en-GB"/>
        </w:rPr>
        <w:t xml:space="preserve"> </w:t>
      </w:r>
      <w:r w:rsidR="00DF228B" w:rsidRPr="00DF228B">
        <w:rPr>
          <w:noProof/>
          <w:sz w:val="24"/>
          <w:szCs w:val="24"/>
          <w:lang w:val="en-GB"/>
        </w:rPr>
        <w:t>Some stakeholders</w:t>
      </w:r>
      <w:r w:rsidR="003E3FE8">
        <w:rPr>
          <w:noProof/>
          <w:sz w:val="24"/>
          <w:szCs w:val="24"/>
          <w:lang w:val="en-GB"/>
        </w:rPr>
        <w:t xml:space="preserve"> and M</w:t>
      </w:r>
      <w:r w:rsidR="002E1702">
        <w:rPr>
          <w:noProof/>
          <w:sz w:val="24"/>
          <w:szCs w:val="24"/>
          <w:lang w:val="en-GB"/>
        </w:rPr>
        <w:t xml:space="preserve">ember </w:t>
      </w:r>
      <w:r w:rsidR="003E3FE8">
        <w:rPr>
          <w:noProof/>
          <w:sz w:val="24"/>
          <w:szCs w:val="24"/>
          <w:lang w:val="en-GB"/>
        </w:rPr>
        <w:t>S</w:t>
      </w:r>
      <w:r w:rsidR="002E1702">
        <w:rPr>
          <w:noProof/>
          <w:sz w:val="24"/>
          <w:szCs w:val="24"/>
          <w:lang w:val="en-GB"/>
        </w:rPr>
        <w:t>tates</w:t>
      </w:r>
      <w:r w:rsidR="00DF228B" w:rsidRPr="00DF228B">
        <w:rPr>
          <w:noProof/>
          <w:sz w:val="24"/>
          <w:szCs w:val="24"/>
          <w:lang w:val="en-GB"/>
        </w:rPr>
        <w:t xml:space="preserve"> are of the opinion that some data could be presented in more detail, for example </w:t>
      </w:r>
      <w:r w:rsidR="0021335B">
        <w:rPr>
          <w:noProof/>
          <w:sz w:val="24"/>
          <w:szCs w:val="24"/>
          <w:lang w:val="en-GB"/>
        </w:rPr>
        <w:t>in case of</w:t>
      </w:r>
      <w:r w:rsidR="00DF228B" w:rsidRPr="00DF228B">
        <w:rPr>
          <w:noProof/>
          <w:sz w:val="24"/>
          <w:szCs w:val="24"/>
          <w:lang w:val="en-GB"/>
        </w:rPr>
        <w:t xml:space="preserve"> </w:t>
      </w:r>
      <w:r w:rsidR="003E3FE8">
        <w:rPr>
          <w:noProof/>
          <w:sz w:val="24"/>
          <w:szCs w:val="24"/>
          <w:lang w:val="en-GB"/>
        </w:rPr>
        <w:t xml:space="preserve">products coverage, </w:t>
      </w:r>
      <w:r w:rsidR="00DF228B" w:rsidRPr="00DF228B">
        <w:rPr>
          <w:noProof/>
          <w:sz w:val="24"/>
          <w:szCs w:val="24"/>
          <w:lang w:val="en-GB"/>
        </w:rPr>
        <w:t>trade, industry and retailers in the fruit and vegetable sector</w:t>
      </w:r>
      <w:r w:rsidR="002B02DD">
        <w:rPr>
          <w:noProof/>
          <w:sz w:val="24"/>
          <w:szCs w:val="24"/>
          <w:lang w:val="en-GB"/>
        </w:rPr>
        <w:t xml:space="preserve"> or consumption and usage of dairy products as well as stocks</w:t>
      </w:r>
      <w:r w:rsidR="00DF228B" w:rsidRPr="00DF228B">
        <w:rPr>
          <w:noProof/>
          <w:sz w:val="24"/>
          <w:szCs w:val="24"/>
          <w:lang w:val="en-GB"/>
        </w:rPr>
        <w:t xml:space="preserve">. </w:t>
      </w:r>
      <w:r w:rsidR="00F323AE">
        <w:rPr>
          <w:noProof/>
          <w:sz w:val="24"/>
          <w:szCs w:val="24"/>
          <w:lang w:val="en-GB"/>
        </w:rPr>
        <w:t>One M</w:t>
      </w:r>
      <w:r w:rsidR="009540DA">
        <w:rPr>
          <w:noProof/>
          <w:sz w:val="24"/>
          <w:szCs w:val="24"/>
          <w:lang w:val="en-GB"/>
        </w:rPr>
        <w:t xml:space="preserve">ember </w:t>
      </w:r>
      <w:r w:rsidR="00F323AE">
        <w:rPr>
          <w:noProof/>
          <w:sz w:val="24"/>
          <w:szCs w:val="24"/>
          <w:lang w:val="en-GB"/>
        </w:rPr>
        <w:t>S</w:t>
      </w:r>
      <w:r w:rsidR="009540DA">
        <w:rPr>
          <w:noProof/>
          <w:sz w:val="24"/>
          <w:szCs w:val="24"/>
          <w:lang w:val="en-GB"/>
        </w:rPr>
        <w:t>tate</w:t>
      </w:r>
      <w:r w:rsidR="00F323AE">
        <w:rPr>
          <w:noProof/>
          <w:sz w:val="24"/>
          <w:szCs w:val="24"/>
          <w:lang w:val="en-GB"/>
        </w:rPr>
        <w:t xml:space="preserve"> believes that publi</w:t>
      </w:r>
      <w:r>
        <w:rPr>
          <w:noProof/>
          <w:sz w:val="24"/>
          <w:szCs w:val="24"/>
          <w:lang w:val="en-GB"/>
        </w:rPr>
        <w:t>shing</w:t>
      </w:r>
      <w:r w:rsidR="00F323AE">
        <w:rPr>
          <w:noProof/>
          <w:sz w:val="24"/>
          <w:szCs w:val="24"/>
          <w:lang w:val="en-GB"/>
        </w:rPr>
        <w:t xml:space="preserve"> r</w:t>
      </w:r>
      <w:r w:rsidR="00F323AE" w:rsidRPr="00F323AE">
        <w:rPr>
          <w:noProof/>
          <w:sz w:val="24"/>
          <w:szCs w:val="24"/>
          <w:lang w:val="en-GB"/>
        </w:rPr>
        <w:t>etail prices would increase transparency along the supply chain.</w:t>
      </w:r>
      <w:r w:rsidR="00F323AE">
        <w:rPr>
          <w:noProof/>
          <w:sz w:val="24"/>
          <w:szCs w:val="24"/>
          <w:lang w:val="en-GB"/>
        </w:rPr>
        <w:t xml:space="preserve"> </w:t>
      </w:r>
      <w:r w:rsidR="00DF228B" w:rsidRPr="00DF228B">
        <w:rPr>
          <w:noProof/>
          <w:sz w:val="24"/>
          <w:szCs w:val="24"/>
          <w:lang w:val="en-GB"/>
        </w:rPr>
        <w:t xml:space="preserve">In addition, some </w:t>
      </w:r>
      <w:r w:rsidR="00DF228B">
        <w:rPr>
          <w:noProof/>
          <w:sz w:val="24"/>
          <w:szCs w:val="24"/>
          <w:lang w:val="en-GB"/>
        </w:rPr>
        <w:t>of the information should be more timely</w:t>
      </w:r>
      <w:r>
        <w:rPr>
          <w:noProof/>
          <w:sz w:val="24"/>
          <w:szCs w:val="24"/>
          <w:lang w:val="en-GB"/>
        </w:rPr>
        <w:t xml:space="preserve"> </w:t>
      </w:r>
      <w:r w:rsidR="00B273B5">
        <w:rPr>
          <w:noProof/>
          <w:sz w:val="24"/>
          <w:szCs w:val="24"/>
          <w:lang w:val="en-GB"/>
        </w:rPr>
        <w:t>available</w:t>
      </w:r>
      <w:r w:rsidR="00DF228B">
        <w:rPr>
          <w:noProof/>
          <w:sz w:val="24"/>
          <w:szCs w:val="24"/>
          <w:lang w:val="en-GB"/>
        </w:rPr>
        <w:t xml:space="preserve"> to improve transparency and effectiveness. </w:t>
      </w:r>
    </w:p>
    <w:p w14:paraId="3A5E2E63" w14:textId="77777777" w:rsidR="006216A3" w:rsidRDefault="006216A3" w:rsidP="006320BD">
      <w:pPr>
        <w:jc w:val="both"/>
        <w:rPr>
          <w:noProof/>
          <w:sz w:val="24"/>
          <w:szCs w:val="24"/>
          <w:lang w:val="en-GB"/>
        </w:rPr>
      </w:pPr>
    </w:p>
    <w:p w14:paraId="62FC7DC4" w14:textId="7820F748" w:rsidR="006216A3" w:rsidRDefault="006216A3" w:rsidP="002A600A">
      <w:pPr>
        <w:pStyle w:val="Heading3"/>
        <w:numPr>
          <w:ilvl w:val="1"/>
          <w:numId w:val="25"/>
        </w:numPr>
        <w:rPr>
          <w:b/>
          <w:noProof/>
          <w:lang w:val="en-GB"/>
        </w:rPr>
      </w:pPr>
      <w:bookmarkStart w:id="11" w:name="_Toc147159423"/>
      <w:r w:rsidRPr="006216A3">
        <w:rPr>
          <w:b/>
          <w:noProof/>
          <w:lang w:val="en-GB"/>
        </w:rPr>
        <w:t>Informing the choices of economic operators and public authorities</w:t>
      </w:r>
      <w:bookmarkEnd w:id="11"/>
    </w:p>
    <w:p w14:paraId="0078A1CC" w14:textId="2EE3D265" w:rsidR="006216A3" w:rsidRDefault="006216A3" w:rsidP="006216A3">
      <w:pPr>
        <w:rPr>
          <w:noProof/>
          <w:lang w:val="en-GB"/>
        </w:rPr>
      </w:pPr>
    </w:p>
    <w:p w14:paraId="5B79707F" w14:textId="15E2C274" w:rsidR="0030556C" w:rsidRPr="00840F95" w:rsidRDefault="005E0FA3" w:rsidP="0030556C">
      <w:pPr>
        <w:jc w:val="both"/>
        <w:rPr>
          <w:noProof/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t xml:space="preserve">Respondents broadly agree that </w:t>
      </w:r>
      <w:r w:rsidR="0021335B" w:rsidRPr="00C407EE">
        <w:rPr>
          <w:bCs/>
          <w:noProof/>
          <w:sz w:val="24"/>
          <w:szCs w:val="24"/>
          <w:lang w:val="en-GB"/>
        </w:rPr>
        <w:t xml:space="preserve">the information provided by the </w:t>
      </w:r>
      <w:r w:rsidR="00B273B5" w:rsidRPr="00C407EE">
        <w:rPr>
          <w:bCs/>
          <w:noProof/>
          <w:sz w:val="24"/>
          <w:szCs w:val="24"/>
          <w:lang w:val="en-GB"/>
        </w:rPr>
        <w:t xml:space="preserve">Market Observatory </w:t>
      </w:r>
      <w:r w:rsidRPr="00C407EE">
        <w:rPr>
          <w:bCs/>
          <w:noProof/>
          <w:sz w:val="24"/>
          <w:szCs w:val="24"/>
          <w:lang w:val="en-GB"/>
        </w:rPr>
        <w:t xml:space="preserve">is </w:t>
      </w:r>
      <w:r w:rsidR="0021335B" w:rsidRPr="00C407EE">
        <w:rPr>
          <w:bCs/>
          <w:noProof/>
          <w:sz w:val="24"/>
          <w:szCs w:val="24"/>
          <w:lang w:val="en-GB"/>
        </w:rPr>
        <w:t>useful for the economic operators to make informed choices</w:t>
      </w:r>
      <w:r w:rsidRPr="00C407EE">
        <w:rPr>
          <w:bCs/>
          <w:noProof/>
          <w:sz w:val="24"/>
          <w:szCs w:val="24"/>
          <w:lang w:val="en-GB"/>
        </w:rPr>
        <w:t xml:space="preserve"> (</w:t>
      </w:r>
      <w:r w:rsidR="0030556C" w:rsidRPr="00C407EE">
        <w:rPr>
          <w:bCs/>
          <w:noProof/>
          <w:sz w:val="24"/>
          <w:szCs w:val="24"/>
          <w:lang w:val="en-GB"/>
        </w:rPr>
        <w:t>83% stakeholders and 70%</w:t>
      </w:r>
      <w:r w:rsidR="00FA4A17" w:rsidRPr="00C407EE">
        <w:rPr>
          <w:bCs/>
          <w:noProof/>
          <w:sz w:val="24"/>
          <w:szCs w:val="24"/>
          <w:lang w:val="en-GB"/>
        </w:rPr>
        <w:t xml:space="preserve"> </w:t>
      </w:r>
      <w:r w:rsidR="0030556C" w:rsidRPr="00C407EE">
        <w:rPr>
          <w:bCs/>
          <w:noProof/>
          <w:sz w:val="24"/>
          <w:szCs w:val="24"/>
          <w:lang w:val="en-GB"/>
        </w:rPr>
        <w:t>respondents from MSs replied positively</w:t>
      </w:r>
      <w:r w:rsidRPr="00C407EE">
        <w:rPr>
          <w:bCs/>
          <w:noProof/>
          <w:sz w:val="24"/>
          <w:szCs w:val="24"/>
          <w:lang w:val="en-GB"/>
        </w:rPr>
        <w:t>)</w:t>
      </w:r>
      <w:r w:rsidR="0030556C" w:rsidRPr="00C407EE">
        <w:rPr>
          <w:bCs/>
          <w:noProof/>
          <w:sz w:val="24"/>
          <w:szCs w:val="24"/>
          <w:lang w:val="en-GB"/>
        </w:rPr>
        <w:t xml:space="preserve">. </w:t>
      </w:r>
      <w:r w:rsidR="0030556C" w:rsidRPr="00840F95">
        <w:rPr>
          <w:noProof/>
          <w:sz w:val="24"/>
          <w:szCs w:val="24"/>
          <w:lang w:val="en-GB"/>
        </w:rPr>
        <w:t xml:space="preserve">15% respondents from MSs </w:t>
      </w:r>
      <w:r w:rsidR="00B273B5">
        <w:rPr>
          <w:noProof/>
          <w:sz w:val="24"/>
          <w:szCs w:val="24"/>
          <w:lang w:val="en-GB"/>
        </w:rPr>
        <w:t xml:space="preserve">could not say </w:t>
      </w:r>
      <w:r w:rsidR="0030556C" w:rsidRPr="00840F95">
        <w:rPr>
          <w:noProof/>
          <w:sz w:val="24"/>
          <w:szCs w:val="24"/>
          <w:lang w:val="en-GB"/>
        </w:rPr>
        <w:t xml:space="preserve">whether the information </w:t>
      </w:r>
      <w:r w:rsidR="00B273B5">
        <w:rPr>
          <w:noProof/>
          <w:sz w:val="24"/>
          <w:szCs w:val="24"/>
          <w:lang w:val="en-GB"/>
        </w:rPr>
        <w:t xml:space="preserve">is </w:t>
      </w:r>
      <w:r w:rsidR="0030556C" w:rsidRPr="00840F95">
        <w:rPr>
          <w:noProof/>
          <w:sz w:val="24"/>
          <w:szCs w:val="24"/>
          <w:lang w:val="en-GB"/>
        </w:rPr>
        <w:t xml:space="preserve">useful. </w:t>
      </w:r>
    </w:p>
    <w:p w14:paraId="04DCA37F" w14:textId="1F790546" w:rsidR="0030556C" w:rsidRPr="00840F95" w:rsidRDefault="0030556C" w:rsidP="0030556C">
      <w:pPr>
        <w:jc w:val="both"/>
        <w:rPr>
          <w:noProof/>
          <w:sz w:val="24"/>
          <w:szCs w:val="24"/>
          <w:lang w:val="en-GB"/>
        </w:rPr>
      </w:pPr>
    </w:p>
    <w:p w14:paraId="00CC0282" w14:textId="7AA868EA" w:rsidR="0030556C" w:rsidRPr="00840F95" w:rsidRDefault="0049475B" w:rsidP="0030556C">
      <w:pPr>
        <w:jc w:val="both"/>
        <w:rPr>
          <w:noProof/>
          <w:sz w:val="24"/>
          <w:szCs w:val="24"/>
          <w:lang w:val="en-GB"/>
        </w:rPr>
      </w:pPr>
      <w:r w:rsidRPr="00840F95">
        <w:rPr>
          <w:noProof/>
          <w:sz w:val="24"/>
          <w:szCs w:val="24"/>
          <w:lang w:val="en-GB"/>
        </w:rPr>
        <w:t>Some stakeholders believe that a bigger number of participants would improve the useful</w:t>
      </w:r>
      <w:r w:rsidR="00F1191B" w:rsidRPr="00840F95">
        <w:rPr>
          <w:noProof/>
          <w:sz w:val="24"/>
          <w:szCs w:val="24"/>
          <w:lang w:val="en-GB"/>
        </w:rPr>
        <w:t>ness of market observator</w:t>
      </w:r>
      <w:r w:rsidR="00B273B5">
        <w:rPr>
          <w:noProof/>
          <w:sz w:val="24"/>
          <w:szCs w:val="24"/>
          <w:lang w:val="en-GB"/>
        </w:rPr>
        <w:t>ies</w:t>
      </w:r>
      <w:r w:rsidR="00F1191B" w:rsidRPr="00840F95">
        <w:rPr>
          <w:noProof/>
          <w:sz w:val="24"/>
          <w:szCs w:val="24"/>
          <w:lang w:val="en-GB"/>
        </w:rPr>
        <w:t xml:space="preserve">. </w:t>
      </w:r>
      <w:r w:rsidR="00B273B5">
        <w:rPr>
          <w:noProof/>
          <w:sz w:val="24"/>
          <w:szCs w:val="24"/>
          <w:lang w:val="en-GB"/>
        </w:rPr>
        <w:t>S</w:t>
      </w:r>
      <w:r w:rsidRPr="00840F95">
        <w:rPr>
          <w:noProof/>
          <w:sz w:val="24"/>
          <w:szCs w:val="24"/>
          <w:lang w:val="en-GB"/>
        </w:rPr>
        <w:t>ome stakeholders</w:t>
      </w:r>
      <w:r w:rsidR="00EA1D68" w:rsidRPr="00840F95">
        <w:rPr>
          <w:noProof/>
          <w:sz w:val="24"/>
          <w:szCs w:val="24"/>
          <w:lang w:val="en-GB"/>
        </w:rPr>
        <w:t xml:space="preserve"> and M</w:t>
      </w:r>
      <w:r w:rsidR="009540DA">
        <w:rPr>
          <w:noProof/>
          <w:sz w:val="24"/>
          <w:szCs w:val="24"/>
          <w:lang w:val="en-GB"/>
        </w:rPr>
        <w:t xml:space="preserve">ember </w:t>
      </w:r>
      <w:r w:rsidR="00EA1D68" w:rsidRPr="00840F95">
        <w:rPr>
          <w:noProof/>
          <w:sz w:val="24"/>
          <w:szCs w:val="24"/>
          <w:lang w:val="en-GB"/>
        </w:rPr>
        <w:t>S</w:t>
      </w:r>
      <w:r w:rsidR="009540DA">
        <w:rPr>
          <w:noProof/>
          <w:sz w:val="24"/>
          <w:szCs w:val="24"/>
          <w:lang w:val="en-GB"/>
        </w:rPr>
        <w:t>tates</w:t>
      </w:r>
      <w:r w:rsidRPr="00840F95">
        <w:rPr>
          <w:noProof/>
          <w:sz w:val="24"/>
          <w:szCs w:val="24"/>
          <w:lang w:val="en-GB"/>
        </w:rPr>
        <w:t xml:space="preserve"> repeated their call for more data, for example on the use of sugar by food outlet that would provide operators with a better vision of consumption trends and allow them to better plan production</w:t>
      </w:r>
      <w:r w:rsidR="00E54CD6" w:rsidRPr="00840F95">
        <w:rPr>
          <w:noProof/>
          <w:sz w:val="24"/>
          <w:szCs w:val="24"/>
          <w:lang w:val="en-GB"/>
        </w:rPr>
        <w:t>. Also</w:t>
      </w:r>
      <w:r w:rsidR="009540DA">
        <w:rPr>
          <w:noProof/>
          <w:sz w:val="24"/>
          <w:szCs w:val="24"/>
          <w:lang w:val="en-GB"/>
        </w:rPr>
        <w:t>,</w:t>
      </w:r>
      <w:r w:rsidR="00EA1D68" w:rsidRPr="00840F95">
        <w:rPr>
          <w:noProof/>
          <w:sz w:val="24"/>
          <w:szCs w:val="24"/>
          <w:lang w:val="en-GB"/>
        </w:rPr>
        <w:t xml:space="preserve"> up-to</w:t>
      </w:r>
      <w:r w:rsidR="00E54CD6" w:rsidRPr="00840F95">
        <w:rPr>
          <w:noProof/>
          <w:sz w:val="24"/>
          <w:szCs w:val="24"/>
          <w:lang w:val="en-GB"/>
        </w:rPr>
        <w:t>-</w:t>
      </w:r>
      <w:r w:rsidR="00EA1D68" w:rsidRPr="00840F95">
        <w:rPr>
          <w:noProof/>
          <w:sz w:val="24"/>
          <w:szCs w:val="24"/>
          <w:lang w:val="en-GB"/>
        </w:rPr>
        <w:t>date information about surfaces and wine support programmes</w:t>
      </w:r>
      <w:r w:rsidR="00E54CD6" w:rsidRPr="00840F95">
        <w:rPr>
          <w:noProof/>
          <w:sz w:val="24"/>
          <w:szCs w:val="24"/>
          <w:lang w:val="en-GB"/>
        </w:rPr>
        <w:t xml:space="preserve"> were mentioned.</w:t>
      </w:r>
      <w:r w:rsidRPr="00840F95">
        <w:rPr>
          <w:noProof/>
          <w:sz w:val="24"/>
          <w:szCs w:val="24"/>
          <w:lang w:val="en-GB"/>
        </w:rPr>
        <w:t xml:space="preserve"> </w:t>
      </w:r>
      <w:r w:rsidR="00FE5032" w:rsidRPr="00840F95">
        <w:rPr>
          <w:noProof/>
          <w:sz w:val="24"/>
          <w:szCs w:val="24"/>
          <w:lang w:val="en-GB"/>
        </w:rPr>
        <w:t>Some r</w:t>
      </w:r>
      <w:r w:rsidRPr="00840F95">
        <w:rPr>
          <w:noProof/>
          <w:sz w:val="24"/>
          <w:szCs w:val="24"/>
          <w:lang w:val="en-GB"/>
        </w:rPr>
        <w:t xml:space="preserve">espondents state that the exchange of information taking place at the Observatories fosters dialogue throughout </w:t>
      </w:r>
      <w:r w:rsidR="00B273B5">
        <w:rPr>
          <w:noProof/>
          <w:sz w:val="24"/>
          <w:szCs w:val="24"/>
          <w:lang w:val="en-GB"/>
        </w:rPr>
        <w:t xml:space="preserve">the </w:t>
      </w:r>
      <w:r w:rsidRPr="00840F95">
        <w:rPr>
          <w:noProof/>
          <w:sz w:val="24"/>
          <w:szCs w:val="24"/>
          <w:lang w:val="en-GB"/>
        </w:rPr>
        <w:t xml:space="preserve">chain and allows to understand challenges faced by </w:t>
      </w:r>
      <w:r w:rsidR="00FE5032" w:rsidRPr="00840F95">
        <w:rPr>
          <w:noProof/>
          <w:sz w:val="24"/>
          <w:szCs w:val="24"/>
          <w:lang w:val="en-GB"/>
        </w:rPr>
        <w:t>various actors in the food chain (primary producers, retailers</w:t>
      </w:r>
      <w:r w:rsidR="00EA1D68" w:rsidRPr="00840F95">
        <w:rPr>
          <w:noProof/>
          <w:sz w:val="24"/>
          <w:szCs w:val="24"/>
          <w:lang w:val="en-GB"/>
        </w:rPr>
        <w:t>, traders</w:t>
      </w:r>
      <w:r w:rsidR="00B273B5">
        <w:rPr>
          <w:noProof/>
          <w:sz w:val="24"/>
          <w:szCs w:val="24"/>
          <w:lang w:val="en-GB"/>
        </w:rPr>
        <w:t>,</w:t>
      </w:r>
      <w:r w:rsidR="00FE5032" w:rsidRPr="00840F95">
        <w:rPr>
          <w:noProof/>
          <w:sz w:val="24"/>
          <w:szCs w:val="24"/>
          <w:lang w:val="en-GB"/>
        </w:rPr>
        <w:t xml:space="preserve"> etc.).</w:t>
      </w:r>
      <w:r w:rsidR="00F1191B" w:rsidRPr="00840F95">
        <w:rPr>
          <w:noProof/>
          <w:sz w:val="24"/>
          <w:szCs w:val="24"/>
          <w:lang w:val="en-GB"/>
        </w:rPr>
        <w:t xml:space="preserve"> </w:t>
      </w:r>
    </w:p>
    <w:p w14:paraId="3C414977" w14:textId="77777777" w:rsidR="0030556C" w:rsidRDefault="0030556C" w:rsidP="006216A3">
      <w:pPr>
        <w:rPr>
          <w:noProof/>
          <w:lang w:val="en-GB"/>
        </w:rPr>
      </w:pPr>
    </w:p>
    <w:p w14:paraId="72DED52E" w14:textId="0605D4E8" w:rsidR="006216A3" w:rsidRPr="002A600A" w:rsidRDefault="006216A3" w:rsidP="002A600A">
      <w:pPr>
        <w:pStyle w:val="ListParagraph"/>
        <w:keepNext/>
        <w:keepLines/>
        <w:numPr>
          <w:ilvl w:val="1"/>
          <w:numId w:val="25"/>
        </w:numPr>
        <w:spacing w:before="40"/>
        <w:outlineLvl w:val="2"/>
        <w:rPr>
          <w:rFonts w:eastAsiaTheme="majorEastAsia" w:cstheme="majorBidi"/>
          <w:b/>
          <w:noProof/>
          <w:color w:val="000000" w:themeColor="text1"/>
          <w:sz w:val="24"/>
          <w:szCs w:val="24"/>
          <w:lang w:val="en-GB"/>
        </w:rPr>
      </w:pPr>
      <w:bookmarkStart w:id="12" w:name="_Toc147159424"/>
      <w:r w:rsidRPr="002A600A">
        <w:rPr>
          <w:rFonts w:eastAsiaTheme="majorEastAsia" w:cstheme="majorBidi"/>
          <w:b/>
          <w:noProof/>
          <w:color w:val="000000" w:themeColor="text1"/>
          <w:sz w:val="24"/>
          <w:szCs w:val="24"/>
          <w:lang w:val="en-GB"/>
        </w:rPr>
        <w:t>Facilitating the monitoring of market developments and threats of market disturbance</w:t>
      </w:r>
      <w:bookmarkEnd w:id="12"/>
    </w:p>
    <w:p w14:paraId="6797A887" w14:textId="44348A08" w:rsidR="006320BD" w:rsidRDefault="006320BD" w:rsidP="006320BD">
      <w:pPr>
        <w:jc w:val="both"/>
        <w:rPr>
          <w:noProof/>
          <w:sz w:val="24"/>
          <w:szCs w:val="24"/>
          <w:lang w:val="en-GB"/>
        </w:rPr>
      </w:pPr>
    </w:p>
    <w:p w14:paraId="7F4AB0FB" w14:textId="3E6D76F4" w:rsidR="0069480A" w:rsidRDefault="005E0FA3" w:rsidP="00F1191B">
      <w:pPr>
        <w:jc w:val="both"/>
        <w:rPr>
          <w:noProof/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t xml:space="preserve">Respondents also agree to a great </w:t>
      </w:r>
      <w:r w:rsidRPr="009540DA">
        <w:rPr>
          <w:noProof/>
          <w:sz w:val="24"/>
          <w:szCs w:val="24"/>
          <w:lang w:val="en-GB"/>
        </w:rPr>
        <w:t xml:space="preserve">extent on </w:t>
      </w:r>
      <w:r w:rsidR="00481F75" w:rsidRPr="009540DA">
        <w:rPr>
          <w:noProof/>
          <w:sz w:val="24"/>
          <w:szCs w:val="24"/>
          <w:lang w:val="en-GB"/>
        </w:rPr>
        <w:t xml:space="preserve">the role of </w:t>
      </w:r>
      <w:r w:rsidR="00F1191B" w:rsidRPr="009540DA">
        <w:rPr>
          <w:bCs/>
          <w:noProof/>
          <w:sz w:val="24"/>
          <w:szCs w:val="24"/>
          <w:lang w:val="en-GB"/>
        </w:rPr>
        <w:t>Market Observator</w:t>
      </w:r>
      <w:r w:rsidR="00481F75" w:rsidRPr="009540DA">
        <w:rPr>
          <w:bCs/>
          <w:noProof/>
          <w:sz w:val="24"/>
          <w:szCs w:val="24"/>
          <w:lang w:val="en-GB"/>
        </w:rPr>
        <w:t xml:space="preserve">ies to </w:t>
      </w:r>
      <w:r w:rsidR="00F1191B" w:rsidRPr="009540DA">
        <w:rPr>
          <w:bCs/>
          <w:noProof/>
          <w:sz w:val="24"/>
          <w:szCs w:val="24"/>
          <w:lang w:val="en-GB"/>
        </w:rPr>
        <w:t>facilitate the monitoring of developments and threats of market disturbances in the agricultural markets</w:t>
      </w:r>
      <w:r w:rsidR="0020483A" w:rsidRPr="009540DA">
        <w:rPr>
          <w:bCs/>
          <w:noProof/>
          <w:sz w:val="24"/>
          <w:szCs w:val="24"/>
          <w:lang w:val="en-GB"/>
        </w:rPr>
        <w:t xml:space="preserve"> </w:t>
      </w:r>
      <w:r w:rsidR="00481F75" w:rsidRPr="009540DA">
        <w:rPr>
          <w:bCs/>
          <w:noProof/>
          <w:sz w:val="24"/>
          <w:szCs w:val="24"/>
          <w:lang w:val="en-GB"/>
        </w:rPr>
        <w:t>(8</w:t>
      </w:r>
      <w:r w:rsidR="00B93558" w:rsidRPr="009540DA">
        <w:rPr>
          <w:bCs/>
          <w:noProof/>
          <w:sz w:val="24"/>
          <w:szCs w:val="24"/>
          <w:lang w:val="en-GB"/>
        </w:rPr>
        <w:t>5</w:t>
      </w:r>
      <w:r w:rsidR="00481F75" w:rsidRPr="009540DA">
        <w:rPr>
          <w:bCs/>
          <w:noProof/>
          <w:sz w:val="24"/>
          <w:szCs w:val="24"/>
          <w:lang w:val="en-GB"/>
        </w:rPr>
        <w:t xml:space="preserve">% </w:t>
      </w:r>
      <w:r w:rsidR="00EA1D68" w:rsidRPr="009540DA">
        <w:rPr>
          <w:bCs/>
          <w:noProof/>
          <w:sz w:val="24"/>
          <w:szCs w:val="24"/>
          <w:lang w:val="en-GB"/>
        </w:rPr>
        <w:t xml:space="preserve">respondents from MSs </w:t>
      </w:r>
      <w:r w:rsidR="00481F75" w:rsidRPr="009540DA">
        <w:rPr>
          <w:bCs/>
          <w:noProof/>
          <w:sz w:val="24"/>
          <w:szCs w:val="24"/>
          <w:lang w:val="en-GB"/>
        </w:rPr>
        <w:t xml:space="preserve">and </w:t>
      </w:r>
      <w:r w:rsidR="00B93558" w:rsidRPr="009540DA">
        <w:rPr>
          <w:bCs/>
          <w:noProof/>
          <w:sz w:val="24"/>
          <w:szCs w:val="24"/>
          <w:lang w:val="en-GB"/>
        </w:rPr>
        <w:t>67</w:t>
      </w:r>
      <w:r w:rsidR="00481F75" w:rsidRPr="009540DA">
        <w:rPr>
          <w:bCs/>
          <w:noProof/>
          <w:sz w:val="24"/>
          <w:szCs w:val="24"/>
          <w:lang w:val="en-GB"/>
        </w:rPr>
        <w:t xml:space="preserve">% </w:t>
      </w:r>
      <w:r w:rsidR="00EA1D68" w:rsidRPr="009540DA">
        <w:rPr>
          <w:bCs/>
          <w:noProof/>
          <w:sz w:val="24"/>
          <w:szCs w:val="24"/>
          <w:lang w:val="en-GB"/>
        </w:rPr>
        <w:t>stakeholders</w:t>
      </w:r>
      <w:r w:rsidR="00EA1D68" w:rsidRPr="00C407EE">
        <w:rPr>
          <w:bCs/>
          <w:noProof/>
          <w:sz w:val="24"/>
          <w:szCs w:val="24"/>
          <w:lang w:val="en-GB"/>
        </w:rPr>
        <w:t xml:space="preserve"> </w:t>
      </w:r>
      <w:r w:rsidR="00481F75" w:rsidRPr="00C407EE">
        <w:rPr>
          <w:bCs/>
          <w:noProof/>
          <w:sz w:val="24"/>
          <w:szCs w:val="24"/>
          <w:lang w:val="en-GB"/>
        </w:rPr>
        <w:t>replied positively)</w:t>
      </w:r>
      <w:r w:rsidR="00EA1D68" w:rsidRPr="00C407EE">
        <w:rPr>
          <w:bCs/>
          <w:noProof/>
          <w:sz w:val="24"/>
          <w:szCs w:val="24"/>
          <w:lang w:val="en-GB"/>
        </w:rPr>
        <w:t xml:space="preserve">. </w:t>
      </w:r>
      <w:r w:rsidR="00E54CD6" w:rsidRPr="00C407EE">
        <w:rPr>
          <w:bCs/>
          <w:noProof/>
          <w:sz w:val="24"/>
          <w:szCs w:val="24"/>
          <w:lang w:val="en-GB"/>
        </w:rPr>
        <w:t xml:space="preserve">Only </w:t>
      </w:r>
      <w:r w:rsidR="00EA1D68" w:rsidRPr="00C407EE">
        <w:rPr>
          <w:bCs/>
          <w:noProof/>
          <w:sz w:val="24"/>
          <w:szCs w:val="24"/>
          <w:lang w:val="en-GB"/>
        </w:rPr>
        <w:t xml:space="preserve">15% of all respondents replied negatively. </w:t>
      </w:r>
    </w:p>
    <w:p w14:paraId="1712CD9E" w14:textId="77777777" w:rsidR="006B4A43" w:rsidRDefault="006B4A43" w:rsidP="00770C70">
      <w:pPr>
        <w:jc w:val="both"/>
        <w:rPr>
          <w:noProof/>
          <w:sz w:val="24"/>
          <w:szCs w:val="24"/>
          <w:lang w:val="en-GB"/>
        </w:rPr>
      </w:pPr>
    </w:p>
    <w:p w14:paraId="634B96B1" w14:textId="5494614D" w:rsidR="001371B3" w:rsidRDefault="00CF3DD9" w:rsidP="00770C70">
      <w:pPr>
        <w:jc w:val="both"/>
        <w:rPr>
          <w:noProof/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t xml:space="preserve">The Observatories are useful </w:t>
      </w:r>
      <w:r w:rsidR="00EC5FC9">
        <w:rPr>
          <w:noProof/>
          <w:sz w:val="24"/>
          <w:szCs w:val="24"/>
          <w:lang w:val="en-GB"/>
        </w:rPr>
        <w:t xml:space="preserve">fora </w:t>
      </w:r>
      <w:r>
        <w:rPr>
          <w:noProof/>
          <w:sz w:val="24"/>
          <w:szCs w:val="24"/>
          <w:lang w:val="en-GB"/>
        </w:rPr>
        <w:t xml:space="preserve">to identify challenges at </w:t>
      </w:r>
      <w:r w:rsidR="00B273B5">
        <w:rPr>
          <w:noProof/>
          <w:sz w:val="24"/>
          <w:szCs w:val="24"/>
          <w:lang w:val="en-GB"/>
        </w:rPr>
        <w:t xml:space="preserve">an </w:t>
      </w:r>
      <w:r>
        <w:rPr>
          <w:noProof/>
          <w:sz w:val="24"/>
          <w:szCs w:val="24"/>
          <w:lang w:val="en-GB"/>
        </w:rPr>
        <w:t>early stage (e.</w:t>
      </w:r>
      <w:r w:rsidR="00B273B5">
        <w:rPr>
          <w:noProof/>
          <w:sz w:val="24"/>
          <w:szCs w:val="24"/>
          <w:lang w:val="en-GB"/>
        </w:rPr>
        <w:t>g.</w:t>
      </w:r>
      <w:r>
        <w:rPr>
          <w:noProof/>
          <w:sz w:val="24"/>
          <w:szCs w:val="24"/>
          <w:lang w:val="en-GB"/>
        </w:rPr>
        <w:t xml:space="preserve"> </w:t>
      </w:r>
      <w:r w:rsidRPr="00770C70">
        <w:rPr>
          <w:noProof/>
          <w:sz w:val="24"/>
          <w:szCs w:val="24"/>
          <w:lang w:val="en-GB"/>
        </w:rPr>
        <w:t xml:space="preserve">the fertiliser </w:t>
      </w:r>
      <w:r w:rsidR="00EC5FC9">
        <w:rPr>
          <w:noProof/>
          <w:sz w:val="24"/>
          <w:szCs w:val="24"/>
          <w:lang w:val="en-GB"/>
        </w:rPr>
        <w:t xml:space="preserve">price </w:t>
      </w:r>
      <w:r w:rsidRPr="00770C70">
        <w:rPr>
          <w:noProof/>
          <w:sz w:val="24"/>
          <w:szCs w:val="24"/>
          <w:lang w:val="en-GB"/>
        </w:rPr>
        <w:t xml:space="preserve">crisis hitting primary producers or the </w:t>
      </w:r>
      <w:r w:rsidR="00EC5FC9">
        <w:rPr>
          <w:noProof/>
          <w:sz w:val="24"/>
          <w:szCs w:val="24"/>
          <w:lang w:val="en-GB"/>
        </w:rPr>
        <w:t xml:space="preserve">negative </w:t>
      </w:r>
      <w:r w:rsidRPr="00770C70">
        <w:rPr>
          <w:noProof/>
          <w:sz w:val="24"/>
          <w:szCs w:val="24"/>
          <w:lang w:val="en-GB"/>
        </w:rPr>
        <w:t>impact of high inflation on consumer behaviour in relation to healthier and more sustainable</w:t>
      </w:r>
      <w:r>
        <w:rPr>
          <w:noProof/>
          <w:sz w:val="24"/>
          <w:szCs w:val="24"/>
          <w:lang w:val="en-GB"/>
        </w:rPr>
        <w:t xml:space="preserve"> </w:t>
      </w:r>
      <w:r w:rsidRPr="00770C70">
        <w:rPr>
          <w:noProof/>
          <w:sz w:val="24"/>
          <w:szCs w:val="24"/>
          <w:lang w:val="en-GB"/>
        </w:rPr>
        <w:t>products)</w:t>
      </w:r>
      <w:r>
        <w:rPr>
          <w:noProof/>
          <w:sz w:val="24"/>
          <w:szCs w:val="24"/>
          <w:lang w:val="en-GB"/>
        </w:rPr>
        <w:t xml:space="preserve">. </w:t>
      </w:r>
      <w:r w:rsidR="00B273B5">
        <w:rPr>
          <w:noProof/>
          <w:sz w:val="24"/>
          <w:szCs w:val="24"/>
          <w:lang w:val="en-GB"/>
        </w:rPr>
        <w:t>O</w:t>
      </w:r>
      <w:r w:rsidR="003C5D89">
        <w:rPr>
          <w:noProof/>
          <w:sz w:val="24"/>
          <w:szCs w:val="24"/>
          <w:lang w:val="en-GB"/>
        </w:rPr>
        <w:t>ne r</w:t>
      </w:r>
      <w:r w:rsidR="0069480A">
        <w:rPr>
          <w:noProof/>
          <w:sz w:val="24"/>
          <w:szCs w:val="24"/>
          <w:lang w:val="en-GB"/>
        </w:rPr>
        <w:t>espondent from MS highlights the fact that t</w:t>
      </w:r>
      <w:r w:rsidR="0069480A" w:rsidRPr="0069480A">
        <w:rPr>
          <w:noProof/>
          <w:sz w:val="24"/>
          <w:szCs w:val="24"/>
          <w:lang w:val="en-GB"/>
        </w:rPr>
        <w:t xml:space="preserve">he </w:t>
      </w:r>
      <w:r w:rsidR="005165E9">
        <w:rPr>
          <w:noProof/>
          <w:sz w:val="24"/>
          <w:szCs w:val="24"/>
          <w:lang w:val="en-GB"/>
        </w:rPr>
        <w:t>M</w:t>
      </w:r>
      <w:r w:rsidR="0069480A" w:rsidRPr="0069480A">
        <w:rPr>
          <w:noProof/>
          <w:sz w:val="24"/>
          <w:szCs w:val="24"/>
          <w:lang w:val="en-GB"/>
        </w:rPr>
        <w:t xml:space="preserve">arket </w:t>
      </w:r>
      <w:r w:rsidR="005165E9">
        <w:rPr>
          <w:noProof/>
          <w:sz w:val="24"/>
          <w:szCs w:val="24"/>
          <w:lang w:val="en-GB"/>
        </w:rPr>
        <w:t>O</w:t>
      </w:r>
      <w:r w:rsidR="0069480A" w:rsidRPr="0069480A">
        <w:rPr>
          <w:noProof/>
          <w:sz w:val="24"/>
          <w:szCs w:val="24"/>
          <w:lang w:val="en-GB"/>
        </w:rPr>
        <w:t xml:space="preserve">bservatory enables </w:t>
      </w:r>
      <w:r w:rsidR="00B273B5">
        <w:rPr>
          <w:noProof/>
          <w:sz w:val="24"/>
          <w:szCs w:val="24"/>
          <w:lang w:val="en-GB"/>
        </w:rPr>
        <w:t xml:space="preserve">quick </w:t>
      </w:r>
      <w:r w:rsidR="0069480A" w:rsidRPr="0069480A">
        <w:rPr>
          <w:noProof/>
          <w:sz w:val="24"/>
          <w:szCs w:val="24"/>
          <w:lang w:val="en-GB"/>
        </w:rPr>
        <w:t xml:space="preserve">comparison between </w:t>
      </w:r>
      <w:r>
        <w:rPr>
          <w:noProof/>
          <w:sz w:val="24"/>
          <w:szCs w:val="24"/>
          <w:lang w:val="en-GB"/>
        </w:rPr>
        <w:t>M</w:t>
      </w:r>
      <w:r w:rsidR="009540DA">
        <w:rPr>
          <w:noProof/>
          <w:sz w:val="24"/>
          <w:szCs w:val="24"/>
          <w:lang w:val="en-GB"/>
        </w:rPr>
        <w:t xml:space="preserve">ember </w:t>
      </w:r>
      <w:r>
        <w:rPr>
          <w:noProof/>
          <w:sz w:val="24"/>
          <w:szCs w:val="24"/>
          <w:lang w:val="en-GB"/>
        </w:rPr>
        <w:t>S</w:t>
      </w:r>
      <w:r w:rsidR="009540DA">
        <w:rPr>
          <w:noProof/>
          <w:sz w:val="24"/>
          <w:szCs w:val="24"/>
          <w:lang w:val="en-GB"/>
        </w:rPr>
        <w:t>tate</w:t>
      </w:r>
      <w:r>
        <w:rPr>
          <w:noProof/>
          <w:sz w:val="24"/>
          <w:szCs w:val="24"/>
          <w:lang w:val="en-GB"/>
        </w:rPr>
        <w:t>s</w:t>
      </w:r>
      <w:r w:rsidR="0069480A" w:rsidRPr="0069480A">
        <w:rPr>
          <w:noProof/>
          <w:sz w:val="24"/>
          <w:szCs w:val="24"/>
          <w:lang w:val="en-GB"/>
        </w:rPr>
        <w:t>. For example, during the p</w:t>
      </w:r>
      <w:r w:rsidR="00415773">
        <w:rPr>
          <w:noProof/>
          <w:sz w:val="24"/>
          <w:szCs w:val="24"/>
          <w:lang w:val="en-GB"/>
        </w:rPr>
        <w:t>igmeat</w:t>
      </w:r>
      <w:r w:rsidR="0069480A" w:rsidRPr="0069480A">
        <w:rPr>
          <w:noProof/>
          <w:sz w:val="24"/>
          <w:szCs w:val="24"/>
          <w:lang w:val="en-GB"/>
        </w:rPr>
        <w:t xml:space="preserve"> crisis of 2021-2022, an analysis of the markets in the main exporting countries made it possible to </w:t>
      </w:r>
      <w:r w:rsidR="005165E9" w:rsidRPr="0069480A">
        <w:rPr>
          <w:noProof/>
          <w:sz w:val="24"/>
          <w:szCs w:val="24"/>
          <w:lang w:val="en-GB"/>
        </w:rPr>
        <w:t xml:space="preserve">objectively </w:t>
      </w:r>
      <w:r w:rsidR="0069480A" w:rsidRPr="0069480A">
        <w:rPr>
          <w:noProof/>
          <w:sz w:val="24"/>
          <w:szCs w:val="24"/>
          <w:lang w:val="en-GB"/>
        </w:rPr>
        <w:t>assess the scale of the crisis.</w:t>
      </w:r>
      <w:r w:rsidR="0069480A">
        <w:rPr>
          <w:noProof/>
          <w:sz w:val="24"/>
          <w:szCs w:val="24"/>
          <w:lang w:val="en-GB"/>
        </w:rPr>
        <w:t xml:space="preserve"> </w:t>
      </w:r>
    </w:p>
    <w:p w14:paraId="4FFAC3D4" w14:textId="77777777" w:rsidR="006B4A43" w:rsidRDefault="006B4A43" w:rsidP="00770C70">
      <w:pPr>
        <w:jc w:val="both"/>
        <w:rPr>
          <w:noProof/>
          <w:sz w:val="24"/>
          <w:szCs w:val="24"/>
          <w:lang w:val="en-GB"/>
        </w:rPr>
      </w:pPr>
    </w:p>
    <w:p w14:paraId="2EA03318" w14:textId="693B9E81" w:rsidR="006216A3" w:rsidRDefault="00CF3DD9" w:rsidP="00770C70">
      <w:pPr>
        <w:jc w:val="both"/>
        <w:rPr>
          <w:noProof/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t xml:space="preserve">A few stakeholders </w:t>
      </w:r>
      <w:r w:rsidR="00B6277A">
        <w:rPr>
          <w:noProof/>
          <w:sz w:val="24"/>
          <w:szCs w:val="24"/>
          <w:lang w:val="en-GB"/>
        </w:rPr>
        <w:t>raised about concerns about the lack of discussion regarding</w:t>
      </w:r>
      <w:r w:rsidR="00B273B5">
        <w:rPr>
          <w:noProof/>
          <w:sz w:val="24"/>
          <w:szCs w:val="24"/>
          <w:lang w:val="en-GB"/>
        </w:rPr>
        <w:t xml:space="preserve"> public authorities’ response to</w:t>
      </w:r>
      <w:r w:rsidRPr="00CF3DD9">
        <w:rPr>
          <w:noProof/>
          <w:sz w:val="24"/>
          <w:szCs w:val="24"/>
          <w:lang w:val="en-GB"/>
        </w:rPr>
        <w:t xml:space="preserve"> threats and market disturbances</w:t>
      </w:r>
      <w:r w:rsidR="00B6277A">
        <w:rPr>
          <w:noProof/>
          <w:sz w:val="24"/>
          <w:szCs w:val="24"/>
          <w:lang w:val="en-GB"/>
        </w:rPr>
        <w:t xml:space="preserve"> that</w:t>
      </w:r>
      <w:r w:rsidRPr="00CF3DD9">
        <w:rPr>
          <w:noProof/>
          <w:sz w:val="24"/>
          <w:szCs w:val="24"/>
          <w:lang w:val="en-GB"/>
        </w:rPr>
        <w:t xml:space="preserve"> has been mostly considered by </w:t>
      </w:r>
      <w:r w:rsidR="003E4AFB">
        <w:rPr>
          <w:noProof/>
          <w:sz w:val="24"/>
          <w:szCs w:val="24"/>
          <w:lang w:val="en-GB"/>
        </w:rPr>
        <w:t xml:space="preserve">the </w:t>
      </w:r>
      <w:r w:rsidR="00EC5FC9">
        <w:rPr>
          <w:noProof/>
          <w:sz w:val="24"/>
          <w:szCs w:val="24"/>
          <w:lang w:val="en-GB"/>
        </w:rPr>
        <w:t>Commission</w:t>
      </w:r>
      <w:r w:rsidRPr="00CF3DD9">
        <w:rPr>
          <w:noProof/>
          <w:sz w:val="24"/>
          <w:szCs w:val="24"/>
          <w:lang w:val="en-GB"/>
        </w:rPr>
        <w:t xml:space="preserve"> as a poli</w:t>
      </w:r>
      <w:r w:rsidR="00B6277A">
        <w:rPr>
          <w:noProof/>
          <w:sz w:val="24"/>
          <w:szCs w:val="24"/>
          <w:lang w:val="en-GB"/>
        </w:rPr>
        <w:t>cy</w:t>
      </w:r>
      <w:r w:rsidRPr="00CF3DD9">
        <w:rPr>
          <w:noProof/>
          <w:sz w:val="24"/>
          <w:szCs w:val="24"/>
          <w:lang w:val="en-GB"/>
        </w:rPr>
        <w:t xml:space="preserve"> discussion </w:t>
      </w:r>
      <w:r w:rsidR="005165E9">
        <w:rPr>
          <w:noProof/>
          <w:sz w:val="24"/>
          <w:szCs w:val="24"/>
          <w:lang w:val="en-GB"/>
        </w:rPr>
        <w:t>and therefore could not</w:t>
      </w:r>
      <w:r w:rsidRPr="00CF3DD9">
        <w:rPr>
          <w:noProof/>
          <w:sz w:val="24"/>
          <w:szCs w:val="24"/>
          <w:lang w:val="en-GB"/>
        </w:rPr>
        <w:t xml:space="preserve"> be </w:t>
      </w:r>
      <w:r w:rsidR="00415773" w:rsidRPr="00CF3DD9">
        <w:rPr>
          <w:noProof/>
          <w:sz w:val="24"/>
          <w:szCs w:val="24"/>
          <w:lang w:val="en-GB"/>
        </w:rPr>
        <w:t>debated</w:t>
      </w:r>
      <w:r w:rsidRPr="00CF3DD9">
        <w:rPr>
          <w:noProof/>
          <w:sz w:val="24"/>
          <w:szCs w:val="24"/>
          <w:lang w:val="en-GB"/>
        </w:rPr>
        <w:t xml:space="preserve"> during </w:t>
      </w:r>
      <w:r>
        <w:rPr>
          <w:noProof/>
          <w:sz w:val="24"/>
          <w:szCs w:val="24"/>
          <w:lang w:val="en-GB"/>
        </w:rPr>
        <w:t>M</w:t>
      </w:r>
      <w:r w:rsidR="00B273B5">
        <w:rPr>
          <w:noProof/>
          <w:sz w:val="24"/>
          <w:szCs w:val="24"/>
          <w:lang w:val="en-GB"/>
        </w:rPr>
        <w:t xml:space="preserve">arket </w:t>
      </w:r>
      <w:r>
        <w:rPr>
          <w:noProof/>
          <w:sz w:val="24"/>
          <w:szCs w:val="24"/>
          <w:lang w:val="en-GB"/>
        </w:rPr>
        <w:t>O</w:t>
      </w:r>
      <w:r w:rsidR="00B273B5">
        <w:rPr>
          <w:noProof/>
          <w:sz w:val="24"/>
          <w:szCs w:val="24"/>
          <w:lang w:val="en-GB"/>
        </w:rPr>
        <w:t>bservatory</w:t>
      </w:r>
      <w:r>
        <w:rPr>
          <w:noProof/>
          <w:sz w:val="24"/>
          <w:szCs w:val="24"/>
          <w:lang w:val="en-GB"/>
        </w:rPr>
        <w:t xml:space="preserve"> meetings. </w:t>
      </w:r>
    </w:p>
    <w:p w14:paraId="2F3CA0B1" w14:textId="77777777" w:rsidR="0013555D" w:rsidRDefault="0013555D" w:rsidP="00770C70">
      <w:pPr>
        <w:jc w:val="both"/>
        <w:rPr>
          <w:noProof/>
          <w:sz w:val="24"/>
          <w:szCs w:val="24"/>
          <w:lang w:val="en-GB"/>
        </w:rPr>
      </w:pPr>
    </w:p>
    <w:p w14:paraId="4B91417F" w14:textId="77777777" w:rsidR="006216A3" w:rsidRDefault="006216A3" w:rsidP="006320BD">
      <w:pPr>
        <w:jc w:val="both"/>
        <w:rPr>
          <w:noProof/>
          <w:sz w:val="24"/>
          <w:szCs w:val="24"/>
          <w:lang w:val="en-GB"/>
        </w:rPr>
      </w:pPr>
    </w:p>
    <w:p w14:paraId="2549E744" w14:textId="52B66FB1" w:rsidR="000065BE" w:rsidRPr="0013555D" w:rsidRDefault="000065BE" w:rsidP="0013555D">
      <w:pPr>
        <w:pStyle w:val="Heading2"/>
        <w:numPr>
          <w:ilvl w:val="0"/>
          <w:numId w:val="25"/>
        </w:numPr>
        <w:rPr>
          <w:b/>
          <w:bCs/>
          <w:noProof/>
          <w:lang w:val="en-GB"/>
        </w:rPr>
      </w:pPr>
      <w:bookmarkStart w:id="13" w:name="_Toc147159425"/>
      <w:r w:rsidRPr="0013555D">
        <w:rPr>
          <w:b/>
          <w:bCs/>
          <w:noProof/>
          <w:lang w:val="en-GB"/>
        </w:rPr>
        <w:t>Respondents’ assessment on statistic</w:t>
      </w:r>
      <w:r w:rsidR="002A600A" w:rsidRPr="0013555D">
        <w:rPr>
          <w:b/>
          <w:bCs/>
          <w:noProof/>
          <w:lang w:val="en-GB"/>
        </w:rPr>
        <w:t>a</w:t>
      </w:r>
      <w:r w:rsidRPr="0013555D">
        <w:rPr>
          <w:b/>
          <w:bCs/>
          <w:noProof/>
          <w:lang w:val="en-GB"/>
        </w:rPr>
        <w:t>l data, information and reports</w:t>
      </w:r>
      <w:bookmarkEnd w:id="13"/>
    </w:p>
    <w:p w14:paraId="1F39EF8D" w14:textId="77777777" w:rsidR="000065BE" w:rsidRDefault="000065BE" w:rsidP="000065BE">
      <w:pPr>
        <w:rPr>
          <w:noProof/>
          <w:lang w:val="en-GB"/>
        </w:rPr>
      </w:pPr>
    </w:p>
    <w:p w14:paraId="44FB30F8" w14:textId="795E969F" w:rsidR="003624B7" w:rsidRDefault="003624B7" w:rsidP="003624B7">
      <w:pPr>
        <w:rPr>
          <w:noProof/>
          <w:lang w:val="en-GB"/>
        </w:rPr>
      </w:pPr>
    </w:p>
    <w:p w14:paraId="3CC53B69" w14:textId="28B70CD5" w:rsidR="00A82FEA" w:rsidRPr="00840F95" w:rsidRDefault="00481F75" w:rsidP="00FA4A17">
      <w:pPr>
        <w:jc w:val="both"/>
        <w:rPr>
          <w:noProof/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t>R</w:t>
      </w:r>
      <w:r w:rsidR="00FA4A17" w:rsidRPr="00840F95">
        <w:rPr>
          <w:noProof/>
          <w:sz w:val="24"/>
          <w:szCs w:val="24"/>
          <w:lang w:val="en-GB"/>
        </w:rPr>
        <w:t xml:space="preserve">espondents </w:t>
      </w:r>
      <w:r>
        <w:rPr>
          <w:noProof/>
          <w:sz w:val="24"/>
          <w:szCs w:val="24"/>
          <w:lang w:val="en-GB"/>
        </w:rPr>
        <w:t xml:space="preserve">are almost unanimously aware of the publication by the </w:t>
      </w:r>
      <w:r w:rsidR="00FA4A17" w:rsidRPr="00840F95">
        <w:rPr>
          <w:noProof/>
          <w:sz w:val="24"/>
          <w:szCs w:val="24"/>
          <w:lang w:val="en-GB"/>
        </w:rPr>
        <w:t xml:space="preserve">Commission </w:t>
      </w:r>
      <w:r>
        <w:rPr>
          <w:noProof/>
          <w:sz w:val="24"/>
          <w:szCs w:val="24"/>
          <w:lang w:val="en-GB"/>
        </w:rPr>
        <w:t>of</w:t>
      </w:r>
      <w:r w:rsidRPr="00840F95">
        <w:rPr>
          <w:noProof/>
          <w:sz w:val="24"/>
          <w:szCs w:val="24"/>
          <w:lang w:val="en-GB"/>
        </w:rPr>
        <w:t xml:space="preserve"> </w:t>
      </w:r>
      <w:r w:rsidR="00FA4A17" w:rsidRPr="00840F95">
        <w:rPr>
          <w:noProof/>
          <w:sz w:val="24"/>
          <w:szCs w:val="24"/>
          <w:lang w:val="en-GB"/>
        </w:rPr>
        <w:t>online statistical data and information provided by the Market Observator</w:t>
      </w:r>
      <w:r>
        <w:rPr>
          <w:noProof/>
          <w:sz w:val="24"/>
          <w:szCs w:val="24"/>
          <w:lang w:val="en-GB"/>
        </w:rPr>
        <w:t>ies</w:t>
      </w:r>
      <w:r w:rsidR="00FA4A17" w:rsidRPr="00840F95">
        <w:rPr>
          <w:noProof/>
          <w:sz w:val="24"/>
          <w:szCs w:val="24"/>
          <w:lang w:val="en-GB"/>
        </w:rPr>
        <w:t xml:space="preserve">. </w:t>
      </w:r>
      <w:r w:rsidR="00415773" w:rsidRPr="00840F95">
        <w:rPr>
          <w:noProof/>
          <w:sz w:val="24"/>
          <w:szCs w:val="24"/>
          <w:lang w:val="en-GB"/>
        </w:rPr>
        <w:t xml:space="preserve">Nevertheless, </w:t>
      </w:r>
      <w:r>
        <w:rPr>
          <w:noProof/>
          <w:sz w:val="24"/>
          <w:szCs w:val="24"/>
          <w:lang w:val="en-GB"/>
        </w:rPr>
        <w:t xml:space="preserve">less than half of </w:t>
      </w:r>
      <w:r w:rsidR="00FA4A17" w:rsidRPr="00840F95">
        <w:rPr>
          <w:noProof/>
          <w:sz w:val="24"/>
          <w:szCs w:val="24"/>
          <w:lang w:val="en-GB"/>
        </w:rPr>
        <w:t>the stakeholders and</w:t>
      </w:r>
      <w:r>
        <w:rPr>
          <w:noProof/>
          <w:sz w:val="24"/>
          <w:szCs w:val="24"/>
          <w:lang w:val="en-GB"/>
        </w:rPr>
        <w:t xml:space="preserve"> only one fifth </w:t>
      </w:r>
      <w:r w:rsidR="00FA4A17" w:rsidRPr="00840F95">
        <w:rPr>
          <w:noProof/>
          <w:sz w:val="24"/>
          <w:szCs w:val="24"/>
          <w:lang w:val="en-GB"/>
        </w:rPr>
        <w:t xml:space="preserve">of respondents from Member States have </w:t>
      </w:r>
      <w:r w:rsidR="0020483A">
        <w:rPr>
          <w:noProof/>
          <w:sz w:val="24"/>
          <w:szCs w:val="24"/>
          <w:lang w:val="en-GB"/>
        </w:rPr>
        <w:t>subscribed</w:t>
      </w:r>
      <w:r>
        <w:rPr>
          <w:noProof/>
          <w:sz w:val="24"/>
          <w:szCs w:val="24"/>
          <w:lang w:val="en-GB"/>
        </w:rPr>
        <w:t xml:space="preserve"> for</w:t>
      </w:r>
      <w:r w:rsidR="00FA4A17" w:rsidRPr="00840F95">
        <w:rPr>
          <w:noProof/>
          <w:sz w:val="24"/>
          <w:szCs w:val="24"/>
          <w:lang w:val="en-GB"/>
        </w:rPr>
        <w:t xml:space="preserve"> an electronic notification when new information is available </w:t>
      </w:r>
      <w:r w:rsidR="00622E67">
        <w:rPr>
          <w:noProof/>
          <w:sz w:val="24"/>
          <w:szCs w:val="24"/>
          <w:lang w:val="en-GB"/>
        </w:rPr>
        <w:t xml:space="preserve">from </w:t>
      </w:r>
      <w:r w:rsidR="00FA4A17" w:rsidRPr="00840F95">
        <w:rPr>
          <w:noProof/>
          <w:sz w:val="24"/>
          <w:szCs w:val="24"/>
          <w:lang w:val="en-GB"/>
        </w:rPr>
        <w:t>M</w:t>
      </w:r>
      <w:r w:rsidR="00622E67">
        <w:rPr>
          <w:noProof/>
          <w:sz w:val="24"/>
          <w:szCs w:val="24"/>
          <w:lang w:val="en-GB"/>
        </w:rPr>
        <w:t xml:space="preserve">arket </w:t>
      </w:r>
      <w:r w:rsidR="00FA4A17" w:rsidRPr="00840F95">
        <w:rPr>
          <w:noProof/>
          <w:sz w:val="24"/>
          <w:szCs w:val="24"/>
          <w:lang w:val="en-GB"/>
        </w:rPr>
        <w:t>O</w:t>
      </w:r>
      <w:r w:rsidR="00622E67">
        <w:rPr>
          <w:noProof/>
          <w:sz w:val="24"/>
          <w:szCs w:val="24"/>
          <w:lang w:val="en-GB"/>
        </w:rPr>
        <w:t>bservatories</w:t>
      </w:r>
      <w:r w:rsidR="00FA4A17" w:rsidRPr="00840F95">
        <w:rPr>
          <w:noProof/>
          <w:sz w:val="24"/>
          <w:szCs w:val="24"/>
          <w:lang w:val="en-GB"/>
        </w:rPr>
        <w:t xml:space="preserve">. </w:t>
      </w:r>
      <w:r>
        <w:rPr>
          <w:noProof/>
          <w:sz w:val="24"/>
          <w:szCs w:val="24"/>
          <w:lang w:val="en-GB"/>
        </w:rPr>
        <w:t xml:space="preserve">Half of the respondents </w:t>
      </w:r>
      <w:r w:rsidR="00415773" w:rsidRPr="00840F95">
        <w:rPr>
          <w:noProof/>
          <w:sz w:val="24"/>
          <w:szCs w:val="24"/>
          <w:lang w:val="en-GB"/>
        </w:rPr>
        <w:t>(</w:t>
      </w:r>
      <w:r w:rsidR="00FA4A17" w:rsidRPr="00840F95">
        <w:rPr>
          <w:noProof/>
          <w:sz w:val="24"/>
          <w:szCs w:val="24"/>
          <w:lang w:val="en-GB"/>
        </w:rPr>
        <w:t>45% of stakeholders and 47% of respondents from MS</w:t>
      </w:r>
      <w:r w:rsidR="00415773" w:rsidRPr="00840F95">
        <w:rPr>
          <w:noProof/>
          <w:sz w:val="24"/>
          <w:szCs w:val="24"/>
          <w:lang w:val="en-GB"/>
        </w:rPr>
        <w:t>)</w:t>
      </w:r>
      <w:r w:rsidR="00FA4A17" w:rsidRPr="00840F95">
        <w:rPr>
          <w:noProof/>
          <w:sz w:val="24"/>
          <w:szCs w:val="24"/>
          <w:lang w:val="en-GB"/>
        </w:rPr>
        <w:t xml:space="preserve"> did not know about this possibility.  </w:t>
      </w:r>
    </w:p>
    <w:p w14:paraId="645A8928" w14:textId="77777777" w:rsidR="006B4A43" w:rsidRPr="00840F95" w:rsidRDefault="006B4A43" w:rsidP="006242EE">
      <w:pPr>
        <w:jc w:val="both"/>
        <w:rPr>
          <w:noProof/>
          <w:sz w:val="24"/>
          <w:szCs w:val="24"/>
          <w:lang w:val="en-GB"/>
        </w:rPr>
      </w:pPr>
    </w:p>
    <w:p w14:paraId="0BC98176" w14:textId="2FD4475B" w:rsidR="00A82FEA" w:rsidRDefault="006242EE" w:rsidP="006242EE">
      <w:pPr>
        <w:jc w:val="both"/>
        <w:rPr>
          <w:noProof/>
          <w:sz w:val="24"/>
          <w:szCs w:val="24"/>
          <w:lang w:val="en-GB"/>
        </w:rPr>
      </w:pPr>
      <w:r w:rsidRPr="00840F95">
        <w:rPr>
          <w:noProof/>
          <w:sz w:val="24"/>
          <w:szCs w:val="24"/>
          <w:lang w:val="en-GB"/>
        </w:rPr>
        <w:t>On the use of statistical data and information provided by M</w:t>
      </w:r>
      <w:r w:rsidR="00622E67">
        <w:rPr>
          <w:noProof/>
          <w:sz w:val="24"/>
          <w:szCs w:val="24"/>
          <w:lang w:val="en-GB"/>
        </w:rPr>
        <w:t xml:space="preserve">arket </w:t>
      </w:r>
      <w:r w:rsidRPr="00840F95">
        <w:rPr>
          <w:noProof/>
          <w:sz w:val="24"/>
          <w:szCs w:val="24"/>
          <w:lang w:val="en-GB"/>
        </w:rPr>
        <w:t>O</w:t>
      </w:r>
      <w:r w:rsidR="00622E67">
        <w:rPr>
          <w:noProof/>
          <w:sz w:val="24"/>
          <w:szCs w:val="24"/>
          <w:lang w:val="en-GB"/>
        </w:rPr>
        <w:t>bservatories</w:t>
      </w:r>
      <w:r w:rsidRPr="00840F95">
        <w:rPr>
          <w:noProof/>
          <w:sz w:val="24"/>
          <w:szCs w:val="24"/>
          <w:lang w:val="en-GB"/>
        </w:rPr>
        <w:t>, half of stakeholders and one third of respondents from M</w:t>
      </w:r>
      <w:r w:rsidR="00153208">
        <w:rPr>
          <w:noProof/>
          <w:sz w:val="24"/>
          <w:szCs w:val="24"/>
          <w:lang w:val="en-GB"/>
        </w:rPr>
        <w:t>ember States</w:t>
      </w:r>
      <w:r w:rsidRPr="00840F95">
        <w:rPr>
          <w:noProof/>
          <w:sz w:val="24"/>
          <w:szCs w:val="24"/>
          <w:lang w:val="en-GB"/>
        </w:rPr>
        <w:t xml:space="preserve"> consult them on </w:t>
      </w:r>
      <w:r w:rsidR="00622E67">
        <w:rPr>
          <w:noProof/>
          <w:sz w:val="24"/>
          <w:szCs w:val="24"/>
          <w:lang w:val="en-GB"/>
        </w:rPr>
        <w:t xml:space="preserve">a </w:t>
      </w:r>
      <w:r w:rsidRPr="00840F95">
        <w:rPr>
          <w:noProof/>
          <w:sz w:val="24"/>
          <w:szCs w:val="24"/>
          <w:lang w:val="en-GB"/>
        </w:rPr>
        <w:t xml:space="preserve">weekly basis and 32% and 55% respectively on </w:t>
      </w:r>
      <w:r w:rsidR="00622E67">
        <w:rPr>
          <w:noProof/>
          <w:sz w:val="24"/>
          <w:szCs w:val="24"/>
          <w:lang w:val="en-GB"/>
        </w:rPr>
        <w:t xml:space="preserve">a </w:t>
      </w:r>
      <w:r w:rsidRPr="00840F95">
        <w:rPr>
          <w:noProof/>
          <w:sz w:val="24"/>
          <w:szCs w:val="24"/>
          <w:lang w:val="en-GB"/>
        </w:rPr>
        <w:t>monthly basis. A very small number of respondents reported that they do not use them at all (5% of stakeholders and 3% of respondents from MS).</w:t>
      </w:r>
    </w:p>
    <w:p w14:paraId="18E1600F" w14:textId="77777777" w:rsidR="00622E67" w:rsidRPr="00840F95" w:rsidRDefault="00622E67" w:rsidP="006242EE">
      <w:pPr>
        <w:jc w:val="both"/>
        <w:rPr>
          <w:noProof/>
          <w:sz w:val="24"/>
          <w:szCs w:val="24"/>
          <w:lang w:val="en-GB"/>
        </w:rPr>
      </w:pPr>
    </w:p>
    <w:p w14:paraId="5382046B" w14:textId="6D16E9F4" w:rsidR="003F3183" w:rsidRPr="00840F95" w:rsidRDefault="003F3183" w:rsidP="003F3183">
      <w:pPr>
        <w:jc w:val="both"/>
        <w:rPr>
          <w:noProof/>
          <w:sz w:val="24"/>
          <w:szCs w:val="24"/>
          <w:lang w:val="en-GB"/>
        </w:rPr>
      </w:pPr>
      <w:r w:rsidRPr="00840F95">
        <w:rPr>
          <w:noProof/>
          <w:sz w:val="24"/>
          <w:szCs w:val="24"/>
          <w:lang w:val="en-GB"/>
        </w:rPr>
        <w:t>In general, the most useful tools for disseminating market information are</w:t>
      </w:r>
      <w:r w:rsidR="00622E67">
        <w:rPr>
          <w:noProof/>
          <w:sz w:val="24"/>
          <w:szCs w:val="24"/>
          <w:lang w:val="en-GB"/>
        </w:rPr>
        <w:t xml:space="preserve"> seen as being</w:t>
      </w:r>
      <w:r w:rsidRPr="00840F95">
        <w:rPr>
          <w:noProof/>
          <w:sz w:val="24"/>
          <w:szCs w:val="24"/>
          <w:lang w:val="en-GB"/>
        </w:rPr>
        <w:t xml:space="preserve">: Market Observatory webpages, Agri-food data portal and dashboards. Newsletter subscription and transparency register website scored </w:t>
      </w:r>
      <w:r w:rsidR="005165E9" w:rsidRPr="00840F95">
        <w:rPr>
          <w:noProof/>
          <w:sz w:val="24"/>
          <w:szCs w:val="24"/>
          <w:lang w:val="en-GB"/>
        </w:rPr>
        <w:t xml:space="preserve">the </w:t>
      </w:r>
      <w:r w:rsidRPr="00840F95">
        <w:rPr>
          <w:noProof/>
          <w:sz w:val="24"/>
          <w:szCs w:val="24"/>
          <w:lang w:val="en-GB"/>
        </w:rPr>
        <w:t>lowe</w:t>
      </w:r>
      <w:r w:rsidR="005165E9" w:rsidRPr="00840F95">
        <w:rPr>
          <w:noProof/>
          <w:sz w:val="24"/>
          <w:szCs w:val="24"/>
          <w:lang w:val="en-GB"/>
        </w:rPr>
        <w:t>st</w:t>
      </w:r>
      <w:r w:rsidRPr="00840F95">
        <w:rPr>
          <w:noProof/>
          <w:sz w:val="24"/>
          <w:szCs w:val="24"/>
          <w:lang w:val="en-GB"/>
        </w:rPr>
        <w:t xml:space="preserve"> rates. </w:t>
      </w:r>
      <w:r w:rsidR="00622E67">
        <w:rPr>
          <w:noProof/>
          <w:sz w:val="24"/>
          <w:szCs w:val="24"/>
          <w:lang w:val="en-GB"/>
        </w:rPr>
        <w:t>For the latter</w:t>
      </w:r>
      <w:r w:rsidR="00D83674" w:rsidRPr="00840F95">
        <w:rPr>
          <w:noProof/>
          <w:sz w:val="24"/>
          <w:szCs w:val="24"/>
          <w:lang w:val="en-GB"/>
        </w:rPr>
        <w:t xml:space="preserve">, most respondents were unaware of its existence. </w:t>
      </w:r>
      <w:r w:rsidRPr="00840F95">
        <w:rPr>
          <w:noProof/>
          <w:sz w:val="24"/>
          <w:szCs w:val="24"/>
          <w:lang w:val="en-GB"/>
        </w:rPr>
        <w:t xml:space="preserve">In addition, </w:t>
      </w:r>
      <w:r w:rsidR="00D83674" w:rsidRPr="00840F95">
        <w:rPr>
          <w:noProof/>
          <w:sz w:val="24"/>
          <w:szCs w:val="24"/>
          <w:lang w:val="en-GB"/>
        </w:rPr>
        <w:t>50% of stakeholders and 13% of respondents from M</w:t>
      </w:r>
      <w:r w:rsidR="00153208">
        <w:rPr>
          <w:noProof/>
          <w:sz w:val="24"/>
          <w:szCs w:val="24"/>
          <w:lang w:val="en-GB"/>
        </w:rPr>
        <w:t>ember States</w:t>
      </w:r>
      <w:r w:rsidR="00D83674" w:rsidRPr="00840F95">
        <w:rPr>
          <w:noProof/>
          <w:sz w:val="24"/>
          <w:szCs w:val="24"/>
          <w:lang w:val="en-GB"/>
        </w:rPr>
        <w:t xml:space="preserve"> replying about </w:t>
      </w:r>
      <w:r w:rsidR="00622E67">
        <w:rPr>
          <w:noProof/>
          <w:sz w:val="24"/>
          <w:szCs w:val="24"/>
          <w:lang w:val="en-GB"/>
        </w:rPr>
        <w:t xml:space="preserve">the </w:t>
      </w:r>
      <w:r w:rsidR="00D83674" w:rsidRPr="00840F95">
        <w:rPr>
          <w:noProof/>
          <w:sz w:val="24"/>
          <w:szCs w:val="24"/>
          <w:lang w:val="en-GB"/>
        </w:rPr>
        <w:t>M</w:t>
      </w:r>
      <w:r w:rsidR="005165E9" w:rsidRPr="00840F95">
        <w:rPr>
          <w:noProof/>
          <w:sz w:val="24"/>
          <w:szCs w:val="24"/>
          <w:lang w:val="en-GB"/>
        </w:rPr>
        <w:t xml:space="preserve">ilk </w:t>
      </w:r>
      <w:r w:rsidR="00D83674" w:rsidRPr="00840F95">
        <w:rPr>
          <w:noProof/>
          <w:sz w:val="24"/>
          <w:szCs w:val="24"/>
          <w:lang w:val="en-GB"/>
        </w:rPr>
        <w:t>M</w:t>
      </w:r>
      <w:r w:rsidR="00622E67">
        <w:rPr>
          <w:noProof/>
          <w:sz w:val="24"/>
          <w:szCs w:val="24"/>
          <w:lang w:val="en-GB"/>
        </w:rPr>
        <w:t xml:space="preserve">arket </w:t>
      </w:r>
      <w:r w:rsidR="00D83674" w:rsidRPr="00840F95">
        <w:rPr>
          <w:noProof/>
          <w:sz w:val="24"/>
          <w:szCs w:val="24"/>
          <w:lang w:val="en-GB"/>
        </w:rPr>
        <w:t>O</w:t>
      </w:r>
      <w:r w:rsidR="00622E67">
        <w:rPr>
          <w:noProof/>
          <w:sz w:val="24"/>
          <w:szCs w:val="24"/>
          <w:lang w:val="en-GB"/>
        </w:rPr>
        <w:t>bservatory</w:t>
      </w:r>
      <w:r w:rsidR="00D83674" w:rsidRPr="00840F95">
        <w:rPr>
          <w:noProof/>
          <w:sz w:val="24"/>
          <w:szCs w:val="24"/>
          <w:lang w:val="en-GB"/>
        </w:rPr>
        <w:t xml:space="preserve"> rated tweets as very or fairly useful. </w:t>
      </w:r>
      <w:r w:rsidRPr="00840F95">
        <w:rPr>
          <w:noProof/>
          <w:sz w:val="24"/>
          <w:szCs w:val="24"/>
          <w:lang w:val="en-GB"/>
        </w:rPr>
        <w:t xml:space="preserve"> </w:t>
      </w:r>
    </w:p>
    <w:p w14:paraId="4B910F61" w14:textId="0574ACAE" w:rsidR="003F3183" w:rsidRPr="00840F95" w:rsidRDefault="003F3183" w:rsidP="003F3183">
      <w:pPr>
        <w:rPr>
          <w:noProof/>
          <w:sz w:val="24"/>
          <w:szCs w:val="24"/>
          <w:lang w:val="en-GB"/>
        </w:rPr>
      </w:pPr>
    </w:p>
    <w:p w14:paraId="68113652" w14:textId="23D0D196" w:rsidR="008B49FC" w:rsidRDefault="00622E67" w:rsidP="008B49FC">
      <w:pPr>
        <w:jc w:val="both"/>
        <w:rPr>
          <w:noProof/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t>A l</w:t>
      </w:r>
      <w:r w:rsidR="008B49FC" w:rsidRPr="00840F95">
        <w:rPr>
          <w:noProof/>
          <w:sz w:val="24"/>
          <w:szCs w:val="24"/>
          <w:lang w:val="en-GB"/>
        </w:rPr>
        <w:t xml:space="preserve">arge majority of stakeholders (83%) and respondents representing Member States authorities </w:t>
      </w:r>
      <w:r w:rsidR="008B49FC" w:rsidRPr="009540DA">
        <w:rPr>
          <w:noProof/>
          <w:sz w:val="24"/>
          <w:szCs w:val="24"/>
          <w:lang w:val="en-GB"/>
        </w:rPr>
        <w:t>(8</w:t>
      </w:r>
      <w:r w:rsidR="00153208" w:rsidRPr="009540DA">
        <w:rPr>
          <w:noProof/>
          <w:sz w:val="24"/>
          <w:szCs w:val="24"/>
          <w:lang w:val="en-GB"/>
        </w:rPr>
        <w:t>1</w:t>
      </w:r>
      <w:r w:rsidR="008B49FC" w:rsidRPr="009540DA">
        <w:rPr>
          <w:noProof/>
          <w:sz w:val="24"/>
          <w:szCs w:val="24"/>
          <w:lang w:val="en-GB"/>
        </w:rPr>
        <w:t>%) are of the opinion that statistical data and information provided by M</w:t>
      </w:r>
      <w:r w:rsidRPr="009540DA">
        <w:rPr>
          <w:noProof/>
          <w:sz w:val="24"/>
          <w:szCs w:val="24"/>
          <w:lang w:val="en-GB"/>
        </w:rPr>
        <w:t xml:space="preserve">arket </w:t>
      </w:r>
      <w:r w:rsidR="008B49FC" w:rsidRPr="009540DA">
        <w:rPr>
          <w:noProof/>
          <w:sz w:val="24"/>
          <w:szCs w:val="24"/>
          <w:lang w:val="en-GB"/>
        </w:rPr>
        <w:t>O</w:t>
      </w:r>
      <w:r w:rsidRPr="009540DA">
        <w:rPr>
          <w:noProof/>
          <w:sz w:val="24"/>
          <w:szCs w:val="24"/>
          <w:lang w:val="en-GB"/>
        </w:rPr>
        <w:t>bservatorie</w:t>
      </w:r>
      <w:r w:rsidR="008B49FC" w:rsidRPr="009540DA">
        <w:rPr>
          <w:noProof/>
          <w:sz w:val="24"/>
          <w:szCs w:val="24"/>
          <w:lang w:val="en-GB"/>
        </w:rPr>
        <w:t>s are very or fairly accurate. A slightly lower proportion of respondents had similar views on whether data was sufficient (71% of stakeholders and 81% of MS) and timely (67% of stakeholders and 8</w:t>
      </w:r>
      <w:r w:rsidR="00153208" w:rsidRPr="009540DA">
        <w:rPr>
          <w:noProof/>
          <w:sz w:val="24"/>
          <w:szCs w:val="24"/>
          <w:lang w:val="en-GB"/>
        </w:rPr>
        <w:t>1</w:t>
      </w:r>
      <w:r w:rsidR="008B49FC" w:rsidRPr="009540DA">
        <w:rPr>
          <w:noProof/>
          <w:sz w:val="24"/>
          <w:szCs w:val="24"/>
          <w:lang w:val="en-GB"/>
        </w:rPr>
        <w:t xml:space="preserve">% of MS). However, one in four responding stakeholders </w:t>
      </w:r>
      <w:r w:rsidR="00432481" w:rsidRPr="009540DA">
        <w:rPr>
          <w:noProof/>
          <w:sz w:val="24"/>
          <w:szCs w:val="24"/>
          <w:lang w:val="en-GB"/>
        </w:rPr>
        <w:t>expressed the views that</w:t>
      </w:r>
      <w:r w:rsidR="008B49FC" w:rsidRPr="009540DA">
        <w:rPr>
          <w:noProof/>
          <w:sz w:val="24"/>
          <w:szCs w:val="24"/>
          <w:lang w:val="en-GB"/>
        </w:rPr>
        <w:t xml:space="preserve"> data and information are not very or not at all timely and sufficient.</w:t>
      </w:r>
    </w:p>
    <w:p w14:paraId="1D0523D0" w14:textId="77777777" w:rsidR="0013555D" w:rsidRPr="009540DA" w:rsidRDefault="0013555D" w:rsidP="008B49FC">
      <w:pPr>
        <w:jc w:val="both"/>
        <w:rPr>
          <w:noProof/>
          <w:sz w:val="24"/>
          <w:szCs w:val="24"/>
          <w:lang w:val="en-GB"/>
        </w:rPr>
      </w:pPr>
    </w:p>
    <w:p w14:paraId="1DA6542E" w14:textId="3315F7D3" w:rsidR="003624B7" w:rsidRPr="009540DA" w:rsidRDefault="003624B7" w:rsidP="003624B7">
      <w:pPr>
        <w:rPr>
          <w:noProof/>
          <w:sz w:val="24"/>
          <w:szCs w:val="24"/>
          <w:lang w:val="en-GB"/>
        </w:rPr>
      </w:pPr>
    </w:p>
    <w:p w14:paraId="6CD12866" w14:textId="3343D5A4" w:rsidR="00326F89" w:rsidRPr="0013555D" w:rsidRDefault="00622E67" w:rsidP="0013555D">
      <w:pPr>
        <w:pStyle w:val="Heading2"/>
        <w:numPr>
          <w:ilvl w:val="0"/>
          <w:numId w:val="25"/>
        </w:numPr>
        <w:rPr>
          <w:b/>
          <w:bCs/>
          <w:noProof/>
          <w:lang w:val="en-GB"/>
        </w:rPr>
      </w:pPr>
      <w:bookmarkStart w:id="14" w:name="_Toc147159426"/>
      <w:r w:rsidRPr="0013555D">
        <w:rPr>
          <w:b/>
          <w:bCs/>
          <w:noProof/>
          <w:lang w:val="en-GB"/>
        </w:rPr>
        <w:t>Respondents’ assessment on m</w:t>
      </w:r>
      <w:r w:rsidR="00326F89" w:rsidRPr="0013555D">
        <w:rPr>
          <w:b/>
          <w:bCs/>
          <w:noProof/>
          <w:lang w:val="en-GB"/>
        </w:rPr>
        <w:t>eetings of Market Observatories</w:t>
      </w:r>
      <w:bookmarkEnd w:id="14"/>
    </w:p>
    <w:p w14:paraId="3E2F3A13" w14:textId="77777777" w:rsidR="00326F89" w:rsidRPr="009540DA" w:rsidRDefault="00326F89" w:rsidP="003624B7">
      <w:pPr>
        <w:rPr>
          <w:noProof/>
          <w:lang w:val="en-GB"/>
        </w:rPr>
      </w:pPr>
    </w:p>
    <w:p w14:paraId="7DD9A4F8" w14:textId="1D006C2C" w:rsidR="008B0800" w:rsidRPr="009540DA" w:rsidRDefault="008B0800" w:rsidP="005834CE">
      <w:pPr>
        <w:jc w:val="both"/>
        <w:rPr>
          <w:noProof/>
          <w:sz w:val="24"/>
          <w:szCs w:val="24"/>
          <w:lang w:val="en-GB"/>
        </w:rPr>
      </w:pPr>
      <w:r w:rsidRPr="009540DA">
        <w:rPr>
          <w:noProof/>
          <w:sz w:val="24"/>
          <w:szCs w:val="24"/>
          <w:lang w:val="en-GB"/>
        </w:rPr>
        <w:t xml:space="preserve">In </w:t>
      </w:r>
      <w:r w:rsidR="008F0983" w:rsidRPr="009540DA">
        <w:rPr>
          <w:noProof/>
          <w:sz w:val="24"/>
          <w:szCs w:val="24"/>
          <w:lang w:val="en-GB"/>
        </w:rPr>
        <w:t xml:space="preserve">parallel </w:t>
      </w:r>
      <w:r w:rsidRPr="009540DA">
        <w:rPr>
          <w:noProof/>
          <w:sz w:val="24"/>
          <w:szCs w:val="24"/>
          <w:lang w:val="en-GB"/>
        </w:rPr>
        <w:t>to the statistical data and information made available by Market Observator</w:t>
      </w:r>
      <w:r w:rsidR="008F0983" w:rsidRPr="009540DA">
        <w:rPr>
          <w:noProof/>
          <w:sz w:val="24"/>
          <w:szCs w:val="24"/>
          <w:lang w:val="en-GB"/>
        </w:rPr>
        <w:t>ies,</w:t>
      </w:r>
      <w:r w:rsidRPr="009540DA">
        <w:rPr>
          <w:noProof/>
          <w:sz w:val="24"/>
          <w:szCs w:val="24"/>
          <w:lang w:val="en-GB"/>
        </w:rPr>
        <w:t xml:space="preserve"> Economic Board meetings are organized several times a year </w:t>
      </w:r>
      <w:r w:rsidR="008F0983" w:rsidRPr="009540DA">
        <w:rPr>
          <w:noProof/>
          <w:sz w:val="24"/>
          <w:szCs w:val="24"/>
          <w:lang w:val="en-GB"/>
        </w:rPr>
        <w:t xml:space="preserve">to gather experts from all steps in the supply chain per </w:t>
      </w:r>
      <w:r w:rsidRPr="009540DA">
        <w:rPr>
          <w:noProof/>
          <w:sz w:val="24"/>
          <w:szCs w:val="24"/>
          <w:lang w:val="en-GB"/>
        </w:rPr>
        <w:t xml:space="preserve">sector. </w:t>
      </w:r>
    </w:p>
    <w:p w14:paraId="5E71A257" w14:textId="77777777" w:rsidR="006026C7" w:rsidRPr="009540DA" w:rsidRDefault="006026C7" w:rsidP="005834CE">
      <w:pPr>
        <w:jc w:val="both"/>
        <w:rPr>
          <w:noProof/>
          <w:sz w:val="24"/>
          <w:szCs w:val="24"/>
          <w:lang w:val="en-GB"/>
        </w:rPr>
      </w:pPr>
    </w:p>
    <w:p w14:paraId="3133A9B3" w14:textId="40A76468" w:rsidR="00C20724" w:rsidRPr="009540DA" w:rsidRDefault="005834CE" w:rsidP="005834CE">
      <w:pPr>
        <w:jc w:val="both"/>
        <w:rPr>
          <w:noProof/>
          <w:sz w:val="24"/>
          <w:szCs w:val="24"/>
          <w:lang w:val="en-GB"/>
        </w:rPr>
      </w:pPr>
      <w:r w:rsidRPr="009540DA">
        <w:rPr>
          <w:noProof/>
          <w:sz w:val="24"/>
          <w:szCs w:val="24"/>
          <w:lang w:val="en-GB"/>
        </w:rPr>
        <w:t>When asked to rate the quality of the reports of the Economic Board, half of the respondents from M</w:t>
      </w:r>
      <w:r w:rsidR="009540DA">
        <w:rPr>
          <w:noProof/>
          <w:sz w:val="24"/>
          <w:szCs w:val="24"/>
          <w:lang w:val="en-GB"/>
        </w:rPr>
        <w:t xml:space="preserve">ember </w:t>
      </w:r>
      <w:r w:rsidRPr="009540DA">
        <w:rPr>
          <w:noProof/>
          <w:sz w:val="24"/>
          <w:szCs w:val="24"/>
          <w:lang w:val="en-GB"/>
        </w:rPr>
        <w:t>S</w:t>
      </w:r>
      <w:r w:rsidR="009540DA">
        <w:rPr>
          <w:noProof/>
          <w:sz w:val="24"/>
          <w:szCs w:val="24"/>
          <w:lang w:val="en-GB"/>
        </w:rPr>
        <w:t>tates</w:t>
      </w:r>
      <w:r w:rsidRPr="009540DA">
        <w:rPr>
          <w:noProof/>
          <w:sz w:val="24"/>
          <w:szCs w:val="24"/>
          <w:lang w:val="en-GB"/>
        </w:rPr>
        <w:t xml:space="preserve"> replied positively</w:t>
      </w:r>
      <w:r w:rsidR="008F0983" w:rsidRPr="009540DA">
        <w:rPr>
          <w:noProof/>
          <w:sz w:val="24"/>
          <w:szCs w:val="24"/>
          <w:lang w:val="en-GB"/>
        </w:rPr>
        <w:t>, while the other half was not aware of the information</w:t>
      </w:r>
      <w:r w:rsidRPr="009540DA">
        <w:rPr>
          <w:noProof/>
          <w:sz w:val="24"/>
          <w:szCs w:val="24"/>
          <w:lang w:val="en-GB"/>
        </w:rPr>
        <w:t>. In case of stakeholders, 79% replied positively</w:t>
      </w:r>
      <w:r w:rsidR="00C20724" w:rsidRPr="009540DA">
        <w:rPr>
          <w:noProof/>
          <w:sz w:val="24"/>
          <w:szCs w:val="24"/>
          <w:lang w:val="en-GB"/>
        </w:rPr>
        <w:t xml:space="preserve"> and 5% negatively. </w:t>
      </w:r>
    </w:p>
    <w:p w14:paraId="38176CE9" w14:textId="77777777" w:rsidR="006026C7" w:rsidRPr="009540DA" w:rsidRDefault="006026C7" w:rsidP="005834CE">
      <w:pPr>
        <w:jc w:val="both"/>
        <w:rPr>
          <w:noProof/>
          <w:sz w:val="24"/>
          <w:szCs w:val="24"/>
          <w:lang w:val="en-GB"/>
        </w:rPr>
      </w:pPr>
    </w:p>
    <w:p w14:paraId="374C30A4" w14:textId="742A914E" w:rsidR="00C20724" w:rsidRDefault="00701B53" w:rsidP="005834CE">
      <w:pPr>
        <w:jc w:val="both"/>
        <w:rPr>
          <w:noProof/>
          <w:sz w:val="24"/>
          <w:szCs w:val="24"/>
          <w:lang w:val="en-GB"/>
        </w:rPr>
      </w:pPr>
      <w:r w:rsidRPr="009540DA">
        <w:rPr>
          <w:noProof/>
          <w:sz w:val="24"/>
          <w:szCs w:val="24"/>
          <w:lang w:val="en-GB"/>
        </w:rPr>
        <w:t>Stakeholders were asked to answer five additional questions about the meetings of M</w:t>
      </w:r>
      <w:r w:rsidR="008F0983" w:rsidRPr="009540DA">
        <w:rPr>
          <w:noProof/>
          <w:sz w:val="24"/>
          <w:szCs w:val="24"/>
          <w:lang w:val="en-GB"/>
        </w:rPr>
        <w:t xml:space="preserve">arket </w:t>
      </w:r>
      <w:r w:rsidRPr="009540DA">
        <w:rPr>
          <w:noProof/>
          <w:sz w:val="24"/>
          <w:szCs w:val="24"/>
          <w:lang w:val="en-GB"/>
        </w:rPr>
        <w:t>O</w:t>
      </w:r>
      <w:r w:rsidR="008F0983" w:rsidRPr="009540DA">
        <w:rPr>
          <w:noProof/>
          <w:sz w:val="24"/>
          <w:szCs w:val="24"/>
          <w:lang w:val="en-GB"/>
        </w:rPr>
        <w:t>bservatories</w:t>
      </w:r>
      <w:r w:rsidRPr="009540DA">
        <w:rPr>
          <w:noProof/>
          <w:sz w:val="24"/>
          <w:szCs w:val="24"/>
          <w:lang w:val="en-GB"/>
        </w:rPr>
        <w:t xml:space="preserve">. When it comes to usefulness of the market information provided by the experts of the Economic Board of the Market Observatory, only 2% of the stakeholders replied negatively. The discussion between experts was not very useful for 5% of the stakeholders. </w:t>
      </w:r>
      <w:r w:rsidR="00F675EA" w:rsidRPr="009540DA">
        <w:rPr>
          <w:noProof/>
          <w:sz w:val="24"/>
          <w:szCs w:val="24"/>
          <w:lang w:val="en-GB"/>
        </w:rPr>
        <w:t>Three quarters</w:t>
      </w:r>
      <w:r w:rsidRPr="009540DA">
        <w:rPr>
          <w:noProof/>
          <w:sz w:val="24"/>
          <w:szCs w:val="24"/>
          <w:lang w:val="en-GB"/>
        </w:rPr>
        <w:t xml:space="preserve"> of stakeholders share the outcome of the Economic Board meetings with their members. While 17% of </w:t>
      </w:r>
      <w:r w:rsidR="00F665DB" w:rsidRPr="009540DA">
        <w:rPr>
          <w:noProof/>
          <w:sz w:val="24"/>
          <w:szCs w:val="24"/>
          <w:lang w:val="en-GB"/>
        </w:rPr>
        <w:t xml:space="preserve">stakeholders see no need for improvement, </w:t>
      </w:r>
      <w:r w:rsidR="00F675EA" w:rsidRPr="009540DA">
        <w:rPr>
          <w:noProof/>
          <w:sz w:val="24"/>
          <w:szCs w:val="24"/>
          <w:lang w:val="en-GB"/>
        </w:rPr>
        <w:t>more than half</w:t>
      </w:r>
      <w:r w:rsidR="00F665DB" w:rsidRPr="009540DA">
        <w:rPr>
          <w:noProof/>
          <w:sz w:val="24"/>
          <w:szCs w:val="24"/>
          <w:lang w:val="en-GB"/>
        </w:rPr>
        <w:t xml:space="preserve"> acknowledge that meetings need to be improved</w:t>
      </w:r>
      <w:r w:rsidR="002B26CE" w:rsidRPr="009540DA">
        <w:rPr>
          <w:noProof/>
          <w:sz w:val="24"/>
          <w:szCs w:val="24"/>
          <w:lang w:val="en-GB"/>
        </w:rPr>
        <w:t xml:space="preserve">, for example by inviting ad hoc experts, changing </w:t>
      </w:r>
      <w:r w:rsidR="001B7761" w:rsidRPr="009540DA">
        <w:rPr>
          <w:noProof/>
          <w:sz w:val="24"/>
          <w:szCs w:val="24"/>
          <w:lang w:val="en-GB"/>
        </w:rPr>
        <w:t>the</w:t>
      </w:r>
      <w:r w:rsidR="002B26CE" w:rsidRPr="009540DA">
        <w:rPr>
          <w:noProof/>
          <w:sz w:val="24"/>
          <w:szCs w:val="24"/>
          <w:lang w:val="en-GB"/>
        </w:rPr>
        <w:t xml:space="preserve"> composition of the group or adding other points to the agenda.</w:t>
      </w:r>
      <w:r w:rsidR="00F665DB" w:rsidRPr="009540DA">
        <w:rPr>
          <w:noProof/>
          <w:sz w:val="24"/>
          <w:szCs w:val="24"/>
          <w:lang w:val="en-GB"/>
        </w:rPr>
        <w:t xml:space="preserve"> </w:t>
      </w:r>
      <w:r w:rsidR="000D4019" w:rsidRPr="009540DA">
        <w:rPr>
          <w:noProof/>
          <w:sz w:val="24"/>
          <w:szCs w:val="24"/>
          <w:lang w:val="en-GB"/>
        </w:rPr>
        <w:t>About one quarter of</w:t>
      </w:r>
      <w:r w:rsidR="00F675EA">
        <w:rPr>
          <w:noProof/>
          <w:sz w:val="24"/>
          <w:szCs w:val="24"/>
          <w:lang w:val="en-GB"/>
        </w:rPr>
        <w:t xml:space="preserve"> stakeholders declare </w:t>
      </w:r>
      <w:r w:rsidR="00F665DB">
        <w:rPr>
          <w:noProof/>
          <w:sz w:val="24"/>
          <w:szCs w:val="24"/>
          <w:lang w:val="en-GB"/>
        </w:rPr>
        <w:t>hav</w:t>
      </w:r>
      <w:r w:rsidR="00F675EA">
        <w:rPr>
          <w:noProof/>
          <w:sz w:val="24"/>
          <w:szCs w:val="24"/>
          <w:lang w:val="en-GB"/>
        </w:rPr>
        <w:t>ing</w:t>
      </w:r>
      <w:r w:rsidR="00F665DB">
        <w:rPr>
          <w:noProof/>
          <w:sz w:val="24"/>
          <w:szCs w:val="24"/>
          <w:lang w:val="en-GB"/>
        </w:rPr>
        <w:t xml:space="preserve"> consulted the minutes of the Economic Board meetings.</w:t>
      </w:r>
    </w:p>
    <w:p w14:paraId="3721708E" w14:textId="26020A27" w:rsidR="005834CE" w:rsidRDefault="005834CE" w:rsidP="005834CE">
      <w:pPr>
        <w:jc w:val="both"/>
        <w:rPr>
          <w:noProof/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t xml:space="preserve"> </w:t>
      </w:r>
    </w:p>
    <w:p w14:paraId="0CC51D87" w14:textId="77777777" w:rsidR="005834CE" w:rsidRDefault="005834CE" w:rsidP="005834CE">
      <w:pPr>
        <w:jc w:val="both"/>
        <w:rPr>
          <w:b/>
          <w:noProof/>
          <w:lang w:val="en-GB"/>
        </w:rPr>
      </w:pPr>
    </w:p>
    <w:p w14:paraId="45E57990" w14:textId="77777777" w:rsidR="008B0800" w:rsidRDefault="008B0800" w:rsidP="003624B7">
      <w:pPr>
        <w:rPr>
          <w:b/>
          <w:noProof/>
          <w:lang w:val="en-GB"/>
        </w:rPr>
      </w:pPr>
    </w:p>
    <w:p w14:paraId="39EC1D4D" w14:textId="1699C2BF" w:rsidR="0017538C" w:rsidRPr="0013555D" w:rsidRDefault="000065BE" w:rsidP="0013555D">
      <w:pPr>
        <w:pStyle w:val="Heading2"/>
        <w:numPr>
          <w:ilvl w:val="0"/>
          <w:numId w:val="25"/>
        </w:numPr>
        <w:rPr>
          <w:b/>
          <w:bCs/>
          <w:noProof/>
          <w:lang w:val="en-GB"/>
        </w:rPr>
      </w:pPr>
      <w:bookmarkStart w:id="15" w:name="_Toc147159427"/>
      <w:r w:rsidRPr="0013555D">
        <w:rPr>
          <w:b/>
          <w:bCs/>
          <w:noProof/>
          <w:lang w:val="en-GB"/>
        </w:rPr>
        <w:t>Res</w:t>
      </w:r>
      <w:r w:rsidR="008F0983" w:rsidRPr="0013555D">
        <w:rPr>
          <w:b/>
          <w:bCs/>
          <w:noProof/>
          <w:lang w:val="en-GB"/>
        </w:rPr>
        <w:t>p</w:t>
      </w:r>
      <w:r w:rsidRPr="0013555D">
        <w:rPr>
          <w:b/>
          <w:bCs/>
          <w:noProof/>
          <w:lang w:val="en-GB"/>
        </w:rPr>
        <w:t xml:space="preserve">ondents’ </w:t>
      </w:r>
      <w:r w:rsidR="008F0983" w:rsidRPr="0013555D">
        <w:rPr>
          <w:b/>
          <w:bCs/>
          <w:noProof/>
          <w:lang w:val="en-GB"/>
        </w:rPr>
        <w:t>suggestions for the future</w:t>
      </w:r>
      <w:bookmarkEnd w:id="15"/>
    </w:p>
    <w:p w14:paraId="3770028F" w14:textId="77777777" w:rsidR="0017538C" w:rsidRPr="003624B7" w:rsidRDefault="0017538C" w:rsidP="003624B7">
      <w:pPr>
        <w:rPr>
          <w:noProof/>
          <w:lang w:val="en-GB"/>
        </w:rPr>
      </w:pPr>
    </w:p>
    <w:p w14:paraId="2302192B" w14:textId="77777777" w:rsidR="008F0983" w:rsidRDefault="00CB23EA" w:rsidP="0017538C">
      <w:pPr>
        <w:jc w:val="both"/>
        <w:rPr>
          <w:noProof/>
        </w:rPr>
      </w:pPr>
      <w:r w:rsidRPr="00CB23EA">
        <w:rPr>
          <w:noProof/>
          <w:sz w:val="24"/>
          <w:szCs w:val="24"/>
          <w:lang w:val="en-GB"/>
        </w:rPr>
        <w:t xml:space="preserve">Most </w:t>
      </w:r>
      <w:r>
        <w:rPr>
          <w:noProof/>
          <w:sz w:val="24"/>
          <w:szCs w:val="24"/>
          <w:lang w:val="en-GB"/>
        </w:rPr>
        <w:t xml:space="preserve">of the </w:t>
      </w:r>
      <w:r w:rsidRPr="00CB23EA">
        <w:rPr>
          <w:noProof/>
          <w:sz w:val="24"/>
          <w:szCs w:val="24"/>
          <w:lang w:val="en-GB"/>
        </w:rPr>
        <w:t xml:space="preserve">respondents, both stakeholders </w:t>
      </w:r>
      <w:r>
        <w:rPr>
          <w:noProof/>
          <w:sz w:val="24"/>
          <w:szCs w:val="24"/>
          <w:lang w:val="en-GB"/>
        </w:rPr>
        <w:t xml:space="preserve">(86%) </w:t>
      </w:r>
      <w:r w:rsidRPr="00CB23EA">
        <w:rPr>
          <w:noProof/>
          <w:sz w:val="24"/>
          <w:szCs w:val="24"/>
          <w:lang w:val="en-GB"/>
        </w:rPr>
        <w:t>and representatives of Member States</w:t>
      </w:r>
      <w:r>
        <w:rPr>
          <w:noProof/>
          <w:sz w:val="24"/>
          <w:szCs w:val="24"/>
          <w:lang w:val="en-GB"/>
        </w:rPr>
        <w:t xml:space="preserve"> (72%)</w:t>
      </w:r>
      <w:r w:rsidRPr="00CB23EA">
        <w:rPr>
          <w:noProof/>
          <w:sz w:val="24"/>
          <w:szCs w:val="24"/>
          <w:lang w:val="en-GB"/>
        </w:rPr>
        <w:t>, agreed that the Observatory's role</w:t>
      </w:r>
      <w:r>
        <w:rPr>
          <w:noProof/>
          <w:sz w:val="24"/>
          <w:szCs w:val="24"/>
          <w:lang w:val="en-GB"/>
        </w:rPr>
        <w:t xml:space="preserve"> as currently defined in the CMO regulation</w:t>
      </w:r>
      <w:r w:rsidRPr="00CB23EA">
        <w:rPr>
          <w:noProof/>
          <w:sz w:val="24"/>
          <w:szCs w:val="24"/>
          <w:lang w:val="en-GB"/>
        </w:rPr>
        <w:t xml:space="preserve"> is being fulfilled.</w:t>
      </w:r>
      <w:r w:rsidRPr="00CB23EA">
        <w:rPr>
          <w:noProof/>
        </w:rPr>
        <w:t xml:space="preserve"> </w:t>
      </w:r>
    </w:p>
    <w:p w14:paraId="092A929F" w14:textId="77777777" w:rsidR="008F0983" w:rsidRDefault="008F0983" w:rsidP="0017538C">
      <w:pPr>
        <w:jc w:val="both"/>
        <w:rPr>
          <w:noProof/>
        </w:rPr>
      </w:pPr>
    </w:p>
    <w:p w14:paraId="609E0547" w14:textId="10545F6E" w:rsidR="00070A4A" w:rsidRDefault="00CB23EA" w:rsidP="0017538C">
      <w:pPr>
        <w:jc w:val="both"/>
        <w:rPr>
          <w:noProof/>
          <w:sz w:val="24"/>
          <w:szCs w:val="24"/>
          <w:lang w:val="en-GB"/>
        </w:rPr>
      </w:pPr>
      <w:r w:rsidRPr="00CB23EA">
        <w:rPr>
          <w:noProof/>
          <w:sz w:val="24"/>
          <w:szCs w:val="24"/>
          <w:lang w:val="en-GB"/>
        </w:rPr>
        <w:t>However, there was no clear answer on the need to improve outreach in all sectors</w:t>
      </w:r>
      <w:r>
        <w:rPr>
          <w:noProof/>
          <w:sz w:val="24"/>
          <w:szCs w:val="24"/>
          <w:lang w:val="en-GB"/>
        </w:rPr>
        <w:t>. 45% of stakeholders and 36% of respondents from M</w:t>
      </w:r>
      <w:r w:rsidR="009540DA">
        <w:rPr>
          <w:noProof/>
          <w:sz w:val="24"/>
          <w:szCs w:val="24"/>
          <w:lang w:val="en-GB"/>
        </w:rPr>
        <w:t xml:space="preserve">ember </w:t>
      </w:r>
      <w:r>
        <w:rPr>
          <w:noProof/>
          <w:sz w:val="24"/>
          <w:szCs w:val="24"/>
          <w:lang w:val="en-GB"/>
        </w:rPr>
        <w:t>S</w:t>
      </w:r>
      <w:r w:rsidR="009540DA">
        <w:rPr>
          <w:noProof/>
          <w:sz w:val="24"/>
          <w:szCs w:val="24"/>
          <w:lang w:val="en-GB"/>
        </w:rPr>
        <w:t>tates</w:t>
      </w:r>
      <w:r>
        <w:rPr>
          <w:noProof/>
          <w:sz w:val="24"/>
          <w:szCs w:val="24"/>
          <w:lang w:val="en-GB"/>
        </w:rPr>
        <w:t xml:space="preserve"> believe that </w:t>
      </w:r>
      <w:r w:rsidR="008F0983">
        <w:rPr>
          <w:noProof/>
          <w:sz w:val="24"/>
          <w:szCs w:val="24"/>
          <w:lang w:val="en-GB"/>
        </w:rPr>
        <w:t xml:space="preserve">the </w:t>
      </w:r>
      <w:r>
        <w:rPr>
          <w:noProof/>
          <w:sz w:val="24"/>
          <w:szCs w:val="24"/>
          <w:lang w:val="en-GB"/>
        </w:rPr>
        <w:t>coverage should be improved.</w:t>
      </w:r>
      <w:r w:rsidR="00070A4A">
        <w:rPr>
          <w:noProof/>
          <w:sz w:val="24"/>
          <w:szCs w:val="24"/>
          <w:lang w:val="en-GB"/>
        </w:rPr>
        <w:t xml:space="preserve"> A few M</w:t>
      </w:r>
      <w:r w:rsidR="009540DA">
        <w:rPr>
          <w:noProof/>
          <w:sz w:val="24"/>
          <w:szCs w:val="24"/>
          <w:lang w:val="en-GB"/>
        </w:rPr>
        <w:t xml:space="preserve">ember </w:t>
      </w:r>
      <w:r w:rsidR="00070A4A">
        <w:rPr>
          <w:noProof/>
          <w:sz w:val="24"/>
          <w:szCs w:val="24"/>
          <w:lang w:val="en-GB"/>
        </w:rPr>
        <w:t>S</w:t>
      </w:r>
      <w:r w:rsidR="009540DA">
        <w:rPr>
          <w:noProof/>
          <w:sz w:val="24"/>
          <w:szCs w:val="24"/>
          <w:lang w:val="en-GB"/>
        </w:rPr>
        <w:t>tates</w:t>
      </w:r>
      <w:r w:rsidR="00070A4A">
        <w:rPr>
          <w:noProof/>
          <w:sz w:val="24"/>
          <w:szCs w:val="24"/>
          <w:lang w:val="en-GB"/>
        </w:rPr>
        <w:t xml:space="preserve"> expressed their opinion that there is a need for more data on </w:t>
      </w:r>
      <w:r w:rsidR="00070A4A" w:rsidRPr="00070A4A">
        <w:rPr>
          <w:noProof/>
          <w:sz w:val="24"/>
          <w:szCs w:val="24"/>
          <w:lang w:val="en-GB"/>
        </w:rPr>
        <w:t>prices, costs</w:t>
      </w:r>
      <w:r w:rsidR="00FC58E8">
        <w:rPr>
          <w:noProof/>
          <w:sz w:val="24"/>
          <w:szCs w:val="24"/>
          <w:lang w:val="en-GB"/>
        </w:rPr>
        <w:t>,</w:t>
      </w:r>
      <w:r w:rsidR="00070A4A" w:rsidRPr="00070A4A">
        <w:rPr>
          <w:noProof/>
          <w:sz w:val="24"/>
          <w:szCs w:val="24"/>
          <w:lang w:val="en-GB"/>
        </w:rPr>
        <w:t xml:space="preserve"> profit</w:t>
      </w:r>
      <w:r w:rsidR="00FC58E8">
        <w:rPr>
          <w:noProof/>
          <w:sz w:val="24"/>
          <w:szCs w:val="24"/>
          <w:lang w:val="en-GB"/>
        </w:rPr>
        <w:t>s,</w:t>
      </w:r>
      <w:r w:rsidR="00070A4A" w:rsidRPr="00070A4A">
        <w:rPr>
          <w:noProof/>
          <w:sz w:val="24"/>
          <w:szCs w:val="24"/>
          <w:lang w:val="en-GB"/>
        </w:rPr>
        <w:t xml:space="preserve"> margins, tariff quotas</w:t>
      </w:r>
      <w:r w:rsidR="00EF4178">
        <w:rPr>
          <w:noProof/>
          <w:sz w:val="24"/>
          <w:szCs w:val="24"/>
          <w:lang w:val="en-GB"/>
        </w:rPr>
        <w:t xml:space="preserve"> and import prices</w:t>
      </w:r>
      <w:r w:rsidR="00070A4A">
        <w:rPr>
          <w:noProof/>
          <w:sz w:val="24"/>
          <w:szCs w:val="24"/>
          <w:lang w:val="en-GB"/>
        </w:rPr>
        <w:t>.</w:t>
      </w:r>
      <w:r w:rsidR="00EF4178">
        <w:rPr>
          <w:noProof/>
          <w:sz w:val="24"/>
          <w:szCs w:val="24"/>
          <w:lang w:val="en-GB"/>
        </w:rPr>
        <w:t xml:space="preserve"> There was also suggestion to </w:t>
      </w:r>
      <w:r w:rsidR="00EF4178" w:rsidRPr="00EF4178">
        <w:rPr>
          <w:noProof/>
          <w:sz w:val="24"/>
          <w:szCs w:val="24"/>
          <w:lang w:val="en-GB"/>
        </w:rPr>
        <w:t>follow-up o</w:t>
      </w:r>
      <w:r w:rsidR="008F0983">
        <w:rPr>
          <w:noProof/>
          <w:sz w:val="24"/>
          <w:szCs w:val="24"/>
          <w:lang w:val="en-GB"/>
        </w:rPr>
        <w:t>n</w:t>
      </w:r>
      <w:r w:rsidR="00EF4178" w:rsidRPr="00EF4178">
        <w:rPr>
          <w:noProof/>
          <w:sz w:val="24"/>
          <w:szCs w:val="24"/>
          <w:lang w:val="en-GB"/>
        </w:rPr>
        <w:t xml:space="preserve"> the analysis of unfair trade practices, in the framework of the Directive (EU) 2019/633</w:t>
      </w:r>
      <w:r w:rsidR="00FD2D76">
        <w:rPr>
          <w:rStyle w:val="FootnoteReference"/>
          <w:noProof/>
          <w:sz w:val="24"/>
          <w:szCs w:val="24"/>
          <w:lang w:val="en-GB"/>
        </w:rPr>
        <w:footnoteReference w:id="10"/>
      </w:r>
      <w:r w:rsidR="00EF4178">
        <w:rPr>
          <w:noProof/>
          <w:sz w:val="24"/>
          <w:szCs w:val="24"/>
          <w:lang w:val="en-GB"/>
        </w:rPr>
        <w:t xml:space="preserve">. It </w:t>
      </w:r>
      <w:r w:rsidR="00EF4178" w:rsidRPr="00EF4178">
        <w:rPr>
          <w:noProof/>
          <w:sz w:val="24"/>
          <w:szCs w:val="24"/>
          <w:lang w:val="en-GB"/>
        </w:rPr>
        <w:t xml:space="preserve">could help to understand the dynamics of the market for each of the products </w:t>
      </w:r>
      <w:r w:rsidR="008F0983">
        <w:rPr>
          <w:noProof/>
          <w:sz w:val="24"/>
          <w:szCs w:val="24"/>
          <w:lang w:val="en-GB"/>
        </w:rPr>
        <w:t>under</w:t>
      </w:r>
      <w:r w:rsidR="00EF4178" w:rsidRPr="00EF4178">
        <w:rPr>
          <w:noProof/>
          <w:sz w:val="24"/>
          <w:szCs w:val="24"/>
          <w:lang w:val="en-GB"/>
        </w:rPr>
        <w:t xml:space="preserve"> Market Observatories.</w:t>
      </w:r>
    </w:p>
    <w:p w14:paraId="35363C8D" w14:textId="77777777" w:rsidR="008F0983" w:rsidRDefault="008F0983" w:rsidP="0017538C">
      <w:pPr>
        <w:jc w:val="both"/>
        <w:rPr>
          <w:noProof/>
          <w:sz w:val="24"/>
          <w:szCs w:val="24"/>
          <w:lang w:val="en-GB"/>
        </w:rPr>
      </w:pPr>
    </w:p>
    <w:p w14:paraId="3BE5F6F1" w14:textId="1EB5BCBC" w:rsidR="0017538C" w:rsidRPr="008A72CD" w:rsidRDefault="005A4A2E" w:rsidP="0017538C">
      <w:pPr>
        <w:jc w:val="both"/>
        <w:rPr>
          <w:i/>
          <w:noProof/>
          <w:lang w:val="en-GB"/>
        </w:rPr>
      </w:pPr>
      <w:r w:rsidRPr="005A4A2E">
        <w:rPr>
          <w:noProof/>
          <w:sz w:val="24"/>
          <w:szCs w:val="24"/>
          <w:lang w:val="en-GB"/>
        </w:rPr>
        <w:t xml:space="preserve">A </w:t>
      </w:r>
      <w:r w:rsidR="00F675EA">
        <w:rPr>
          <w:noProof/>
          <w:sz w:val="24"/>
          <w:szCs w:val="24"/>
          <w:lang w:val="en-GB"/>
        </w:rPr>
        <w:t xml:space="preserve">fair </w:t>
      </w:r>
      <w:r w:rsidRPr="005A4A2E">
        <w:rPr>
          <w:noProof/>
          <w:sz w:val="24"/>
          <w:szCs w:val="24"/>
          <w:lang w:val="en-GB"/>
        </w:rPr>
        <w:t xml:space="preserve">majority of </w:t>
      </w:r>
      <w:r>
        <w:rPr>
          <w:noProof/>
          <w:sz w:val="24"/>
          <w:szCs w:val="24"/>
          <w:lang w:val="en-GB"/>
        </w:rPr>
        <w:t xml:space="preserve">representatives of </w:t>
      </w:r>
      <w:r w:rsidRPr="005A4A2E">
        <w:rPr>
          <w:noProof/>
          <w:sz w:val="24"/>
          <w:szCs w:val="24"/>
          <w:lang w:val="en-GB"/>
        </w:rPr>
        <w:t>Member States (65%) see no need for an increased role for Member States in the work of the Observatory</w:t>
      </w:r>
      <w:r>
        <w:rPr>
          <w:noProof/>
          <w:sz w:val="24"/>
          <w:szCs w:val="24"/>
          <w:lang w:val="en-GB"/>
        </w:rPr>
        <w:t xml:space="preserve">. They prefer to </w:t>
      </w:r>
      <w:r w:rsidR="00FC58E8">
        <w:rPr>
          <w:noProof/>
          <w:sz w:val="24"/>
          <w:szCs w:val="24"/>
          <w:lang w:val="en-GB"/>
        </w:rPr>
        <w:t>keep</w:t>
      </w:r>
      <w:r>
        <w:rPr>
          <w:noProof/>
          <w:sz w:val="24"/>
          <w:szCs w:val="24"/>
          <w:lang w:val="en-GB"/>
        </w:rPr>
        <w:t xml:space="preserve"> </w:t>
      </w:r>
      <w:r w:rsidR="008F0983">
        <w:rPr>
          <w:noProof/>
          <w:sz w:val="24"/>
          <w:szCs w:val="24"/>
          <w:lang w:val="en-GB"/>
        </w:rPr>
        <w:t xml:space="preserve">their present role in </w:t>
      </w:r>
      <w:r>
        <w:rPr>
          <w:noProof/>
          <w:sz w:val="24"/>
          <w:szCs w:val="24"/>
          <w:lang w:val="en-GB"/>
        </w:rPr>
        <w:t>provid</w:t>
      </w:r>
      <w:r w:rsidR="00FC58E8">
        <w:rPr>
          <w:noProof/>
          <w:sz w:val="24"/>
          <w:szCs w:val="24"/>
          <w:lang w:val="en-GB"/>
        </w:rPr>
        <w:t>ing</w:t>
      </w:r>
      <w:r>
        <w:rPr>
          <w:noProof/>
          <w:sz w:val="24"/>
          <w:szCs w:val="24"/>
          <w:lang w:val="en-GB"/>
        </w:rPr>
        <w:t xml:space="preserve"> market data. </w:t>
      </w:r>
      <w:r w:rsidR="008906D8">
        <w:rPr>
          <w:noProof/>
          <w:sz w:val="24"/>
          <w:szCs w:val="24"/>
          <w:lang w:val="en-GB"/>
        </w:rPr>
        <w:t>One quarter of respondents</w:t>
      </w:r>
      <w:r>
        <w:rPr>
          <w:noProof/>
          <w:sz w:val="24"/>
          <w:szCs w:val="24"/>
          <w:lang w:val="en-GB"/>
        </w:rPr>
        <w:t xml:space="preserve"> do</w:t>
      </w:r>
      <w:r w:rsidR="00B6277A">
        <w:rPr>
          <w:noProof/>
          <w:sz w:val="24"/>
          <w:szCs w:val="24"/>
          <w:lang w:val="en-GB"/>
        </w:rPr>
        <w:t>es</w:t>
      </w:r>
      <w:r>
        <w:rPr>
          <w:noProof/>
          <w:sz w:val="24"/>
          <w:szCs w:val="24"/>
          <w:lang w:val="en-GB"/>
        </w:rPr>
        <w:t xml:space="preserve"> not have any opinion about it. </w:t>
      </w:r>
      <w:r w:rsidR="00C92508">
        <w:rPr>
          <w:noProof/>
          <w:sz w:val="24"/>
          <w:szCs w:val="24"/>
          <w:lang w:val="en-GB"/>
        </w:rPr>
        <w:t xml:space="preserve">Only </w:t>
      </w:r>
      <w:r w:rsidR="006C40CD">
        <w:rPr>
          <w:noProof/>
          <w:sz w:val="24"/>
          <w:szCs w:val="24"/>
          <w:lang w:val="en-GB"/>
        </w:rPr>
        <w:t>two</w:t>
      </w:r>
      <w:r w:rsidR="00C92508">
        <w:rPr>
          <w:noProof/>
          <w:sz w:val="24"/>
          <w:szCs w:val="24"/>
          <w:lang w:val="en-GB"/>
        </w:rPr>
        <w:t xml:space="preserve"> respondent</w:t>
      </w:r>
      <w:r w:rsidR="006C40CD">
        <w:rPr>
          <w:noProof/>
          <w:sz w:val="24"/>
          <w:szCs w:val="24"/>
          <w:lang w:val="en-GB"/>
        </w:rPr>
        <w:t>s from MS’s authorities suggest</w:t>
      </w:r>
      <w:r w:rsidR="00C92508">
        <w:rPr>
          <w:noProof/>
          <w:sz w:val="24"/>
          <w:szCs w:val="24"/>
          <w:lang w:val="en-GB"/>
        </w:rPr>
        <w:t xml:space="preserve"> that MS should participate in the meetings of M</w:t>
      </w:r>
      <w:r w:rsidR="008F0983">
        <w:rPr>
          <w:noProof/>
          <w:sz w:val="24"/>
          <w:szCs w:val="24"/>
          <w:lang w:val="en-GB"/>
        </w:rPr>
        <w:t xml:space="preserve">arket </w:t>
      </w:r>
      <w:r w:rsidR="00C92508">
        <w:rPr>
          <w:noProof/>
          <w:sz w:val="24"/>
          <w:szCs w:val="24"/>
          <w:lang w:val="en-GB"/>
        </w:rPr>
        <w:t>O</w:t>
      </w:r>
      <w:r w:rsidR="008F0983">
        <w:rPr>
          <w:noProof/>
          <w:sz w:val="24"/>
          <w:szCs w:val="24"/>
          <w:lang w:val="en-GB"/>
        </w:rPr>
        <w:t>bservatorie</w:t>
      </w:r>
      <w:r w:rsidR="00C92508">
        <w:rPr>
          <w:noProof/>
          <w:sz w:val="24"/>
          <w:szCs w:val="24"/>
          <w:lang w:val="en-GB"/>
        </w:rPr>
        <w:t>s. Other respondent</w:t>
      </w:r>
      <w:r w:rsidR="008F0983">
        <w:rPr>
          <w:noProof/>
          <w:sz w:val="24"/>
          <w:szCs w:val="24"/>
          <w:lang w:val="en-GB"/>
        </w:rPr>
        <w:t>s</w:t>
      </w:r>
      <w:r w:rsidR="00C92508">
        <w:rPr>
          <w:noProof/>
          <w:sz w:val="24"/>
          <w:szCs w:val="24"/>
          <w:lang w:val="en-GB"/>
        </w:rPr>
        <w:t xml:space="preserve"> see </w:t>
      </w:r>
      <w:r w:rsidR="00FC58E8">
        <w:rPr>
          <w:noProof/>
          <w:sz w:val="24"/>
          <w:szCs w:val="24"/>
          <w:lang w:val="en-GB"/>
        </w:rPr>
        <w:t xml:space="preserve">a </w:t>
      </w:r>
      <w:r w:rsidR="00C92508">
        <w:rPr>
          <w:noProof/>
          <w:sz w:val="24"/>
          <w:szCs w:val="24"/>
          <w:lang w:val="en-GB"/>
        </w:rPr>
        <w:t xml:space="preserve">potential in commenting analysis and reports prepared by </w:t>
      </w:r>
      <w:r w:rsidR="00C92508" w:rsidRPr="006C40CD">
        <w:rPr>
          <w:noProof/>
          <w:sz w:val="24"/>
          <w:szCs w:val="24"/>
          <w:lang w:val="en-GB"/>
        </w:rPr>
        <w:t xml:space="preserve">international institutions like FAO, USDA etc. </w:t>
      </w:r>
      <w:r w:rsidR="006C40CD" w:rsidRPr="006C40CD">
        <w:rPr>
          <w:noProof/>
          <w:sz w:val="24"/>
          <w:szCs w:val="24"/>
          <w:lang w:val="en-GB"/>
        </w:rPr>
        <w:t>One believes that t</w:t>
      </w:r>
      <w:r w:rsidR="009C663A" w:rsidRPr="006C40CD">
        <w:rPr>
          <w:noProof/>
          <w:lang w:val="en-GB"/>
        </w:rPr>
        <w:t xml:space="preserve">he relation between </w:t>
      </w:r>
      <w:r w:rsidR="006C40CD">
        <w:rPr>
          <w:noProof/>
          <w:lang w:val="en-GB"/>
        </w:rPr>
        <w:t xml:space="preserve">the </w:t>
      </w:r>
      <w:r w:rsidR="00654931">
        <w:rPr>
          <w:noProof/>
          <w:lang w:val="en-GB"/>
        </w:rPr>
        <w:t>observatories</w:t>
      </w:r>
      <w:r w:rsidR="006C40CD">
        <w:rPr>
          <w:noProof/>
          <w:lang w:val="en-GB"/>
        </w:rPr>
        <w:t xml:space="preserve"> </w:t>
      </w:r>
      <w:r w:rsidR="009C663A" w:rsidRPr="006C40CD">
        <w:rPr>
          <w:noProof/>
          <w:lang w:val="en-GB"/>
        </w:rPr>
        <w:t xml:space="preserve">and </w:t>
      </w:r>
      <w:r w:rsidR="002B26CE" w:rsidRPr="006C40CD">
        <w:rPr>
          <w:noProof/>
          <w:lang w:val="en-GB"/>
        </w:rPr>
        <w:t>decision-making</w:t>
      </w:r>
      <w:r w:rsidR="009C663A" w:rsidRPr="006C40CD">
        <w:rPr>
          <w:noProof/>
          <w:lang w:val="en-GB"/>
        </w:rPr>
        <w:t xml:space="preserve"> process in the EU should be defined </w:t>
      </w:r>
      <w:r w:rsidR="006C40CD" w:rsidRPr="006C40CD">
        <w:rPr>
          <w:noProof/>
          <w:lang w:val="en-GB"/>
        </w:rPr>
        <w:t xml:space="preserve">in </w:t>
      </w:r>
      <w:r w:rsidR="008F0983">
        <w:rPr>
          <w:noProof/>
          <w:lang w:val="en-GB"/>
        </w:rPr>
        <w:t xml:space="preserve">a </w:t>
      </w:r>
      <w:r w:rsidR="006C40CD" w:rsidRPr="006C40CD">
        <w:rPr>
          <w:noProof/>
          <w:lang w:val="en-GB"/>
        </w:rPr>
        <w:t xml:space="preserve">more precise way </w:t>
      </w:r>
      <w:r w:rsidR="009C663A" w:rsidRPr="006C40CD">
        <w:rPr>
          <w:noProof/>
          <w:lang w:val="en-GB"/>
        </w:rPr>
        <w:t>in the future</w:t>
      </w:r>
      <w:r w:rsidR="006C40CD" w:rsidRPr="006C40CD">
        <w:rPr>
          <w:noProof/>
          <w:lang w:val="en-GB"/>
        </w:rPr>
        <w:t>.</w:t>
      </w:r>
      <w:r w:rsidR="009C663A" w:rsidRPr="009C663A">
        <w:rPr>
          <w:i/>
          <w:noProof/>
          <w:lang w:val="en-GB"/>
        </w:rPr>
        <w:t xml:space="preserve"> </w:t>
      </w:r>
    </w:p>
    <w:p w14:paraId="7E45F224" w14:textId="5C674AC9" w:rsidR="0017538C" w:rsidRDefault="0017538C" w:rsidP="0017538C">
      <w:pPr>
        <w:rPr>
          <w:noProof/>
          <w:lang w:val="en-GB"/>
        </w:rPr>
      </w:pPr>
    </w:p>
    <w:p w14:paraId="4E752995" w14:textId="77777777" w:rsidR="003D15D8" w:rsidRPr="00EA1D68" w:rsidRDefault="003D15D8" w:rsidP="0017538C">
      <w:pPr>
        <w:rPr>
          <w:noProof/>
          <w:lang w:val="en-GB"/>
        </w:rPr>
      </w:pPr>
    </w:p>
    <w:p w14:paraId="2B2A7A39" w14:textId="77777777" w:rsidR="003624B7" w:rsidRPr="002A600A" w:rsidRDefault="003624B7" w:rsidP="003624B7">
      <w:pPr>
        <w:pStyle w:val="Heading1"/>
        <w:numPr>
          <w:ilvl w:val="0"/>
          <w:numId w:val="17"/>
        </w:numPr>
        <w:rPr>
          <w:noProof/>
          <w:lang w:val="en-GB"/>
        </w:rPr>
      </w:pPr>
      <w:bookmarkStart w:id="16" w:name="_Toc147159428"/>
      <w:r w:rsidRPr="002A600A">
        <w:rPr>
          <w:noProof/>
          <w:lang w:val="en-GB"/>
        </w:rPr>
        <w:t>Conclusion</w:t>
      </w:r>
      <w:bookmarkEnd w:id="16"/>
    </w:p>
    <w:p w14:paraId="58820EE1" w14:textId="77777777" w:rsidR="006914A5" w:rsidRPr="002A600A" w:rsidRDefault="006914A5" w:rsidP="0038590A">
      <w:pPr>
        <w:spacing w:after="160" w:line="259" w:lineRule="auto"/>
        <w:rPr>
          <w:rFonts w:cs="Times New Roman"/>
          <w:noProof/>
          <w:sz w:val="24"/>
          <w:szCs w:val="24"/>
          <w:lang w:val="en-GB"/>
        </w:rPr>
      </w:pPr>
    </w:p>
    <w:p w14:paraId="3041E394" w14:textId="2AA827CA" w:rsidR="00D72062" w:rsidRPr="002A600A" w:rsidRDefault="006914A5" w:rsidP="002A600A">
      <w:pPr>
        <w:spacing w:after="160" w:line="259" w:lineRule="auto"/>
        <w:jc w:val="both"/>
        <w:rPr>
          <w:rFonts w:cs="Times New Roman"/>
          <w:noProof/>
          <w:sz w:val="24"/>
          <w:szCs w:val="24"/>
          <w:lang w:val="en-GB"/>
        </w:rPr>
      </w:pPr>
      <w:r w:rsidRPr="002A600A">
        <w:rPr>
          <w:rFonts w:cs="Times New Roman"/>
          <w:noProof/>
          <w:sz w:val="24"/>
          <w:szCs w:val="24"/>
          <w:lang w:val="en-GB"/>
        </w:rPr>
        <w:t>Market Observatories fulfil their role effectively in helping to improve market transparency in the food supply chain</w:t>
      </w:r>
      <w:r w:rsidR="003D1FE0" w:rsidRPr="002A600A">
        <w:rPr>
          <w:rFonts w:cs="Times New Roman"/>
          <w:noProof/>
          <w:sz w:val="24"/>
          <w:szCs w:val="24"/>
          <w:lang w:val="en-GB"/>
        </w:rPr>
        <w:t>, informing choices of economic operators and public authorities and facilitating the monitoring of market developments and threats of market disturbance</w:t>
      </w:r>
      <w:r w:rsidRPr="002A600A">
        <w:rPr>
          <w:rFonts w:cs="Times New Roman"/>
          <w:noProof/>
          <w:sz w:val="24"/>
          <w:szCs w:val="24"/>
          <w:lang w:val="en-GB"/>
        </w:rPr>
        <w:t>. Overall, the range of data and information analysed seems adequate, but could still be improved for some sectors.</w:t>
      </w:r>
    </w:p>
    <w:p w14:paraId="74A31EB8" w14:textId="2E116BB9" w:rsidR="00944FA6" w:rsidRDefault="001B7761" w:rsidP="002A600A">
      <w:pPr>
        <w:spacing w:after="160" w:line="259" w:lineRule="auto"/>
        <w:jc w:val="both"/>
        <w:rPr>
          <w:rFonts w:cs="Times New Roman"/>
          <w:noProof/>
          <w:sz w:val="24"/>
          <w:szCs w:val="24"/>
          <w:lang w:val="en-GB"/>
        </w:rPr>
      </w:pPr>
      <w:r>
        <w:rPr>
          <w:rFonts w:cs="Times New Roman"/>
          <w:noProof/>
          <w:sz w:val="24"/>
          <w:szCs w:val="24"/>
          <w:lang w:val="en-GB"/>
        </w:rPr>
        <w:t>A</w:t>
      </w:r>
      <w:r w:rsidR="003D1FE0" w:rsidRPr="002A600A">
        <w:rPr>
          <w:rFonts w:cs="Times New Roman"/>
          <w:noProof/>
          <w:sz w:val="24"/>
          <w:szCs w:val="24"/>
          <w:lang w:val="en-GB"/>
        </w:rPr>
        <w:t xml:space="preserve"> clear demarcation between the role of Market Observatories in establishing a solid factual basis and that of public authorities in taking policy </w:t>
      </w:r>
      <w:r w:rsidR="003D15D8" w:rsidRPr="002A600A">
        <w:rPr>
          <w:rFonts w:cs="Times New Roman"/>
          <w:noProof/>
          <w:sz w:val="24"/>
          <w:szCs w:val="24"/>
          <w:lang w:val="en-GB"/>
        </w:rPr>
        <w:t>decisions,</w:t>
      </w:r>
      <w:r w:rsidR="003D1FE0" w:rsidRPr="002A600A">
        <w:rPr>
          <w:rFonts w:cs="Times New Roman"/>
          <w:noProof/>
          <w:sz w:val="24"/>
          <w:szCs w:val="24"/>
          <w:lang w:val="en-GB"/>
        </w:rPr>
        <w:t xml:space="preserve"> when necessary, is crucial for maintaining impartiality and objectivity </w:t>
      </w:r>
      <w:r w:rsidR="003743BC" w:rsidRPr="003743BC">
        <w:rPr>
          <w:rFonts w:cs="Times New Roman"/>
          <w:noProof/>
          <w:sz w:val="24"/>
          <w:szCs w:val="24"/>
          <w:lang w:val="en-GB"/>
        </w:rPr>
        <w:t xml:space="preserve">in the analysis supporting the policy process, which </w:t>
      </w:r>
      <w:r>
        <w:rPr>
          <w:rFonts w:cs="Times New Roman"/>
          <w:noProof/>
          <w:sz w:val="24"/>
          <w:szCs w:val="24"/>
          <w:lang w:val="en-GB"/>
        </w:rPr>
        <w:t>belongs to the institutional framework</w:t>
      </w:r>
      <w:r w:rsidR="003743BC" w:rsidRPr="003743BC">
        <w:rPr>
          <w:rFonts w:cs="Times New Roman"/>
          <w:noProof/>
          <w:sz w:val="24"/>
          <w:szCs w:val="24"/>
          <w:lang w:val="en-GB"/>
        </w:rPr>
        <w:t xml:space="preserve">. </w:t>
      </w:r>
    </w:p>
    <w:p w14:paraId="722B00AE" w14:textId="26F82F42" w:rsidR="00C45672" w:rsidRPr="00B14339" w:rsidRDefault="003D1FE0" w:rsidP="00473037">
      <w:pPr>
        <w:spacing w:after="160" w:line="259" w:lineRule="auto"/>
        <w:jc w:val="both"/>
        <w:rPr>
          <w:rFonts w:cs="Times New Roman"/>
          <w:noProof/>
          <w:lang w:val="en-GB"/>
        </w:rPr>
      </w:pPr>
      <w:r w:rsidRPr="002A600A">
        <w:rPr>
          <w:rFonts w:cs="Times New Roman"/>
          <w:noProof/>
          <w:sz w:val="24"/>
          <w:szCs w:val="24"/>
          <w:lang w:val="en-GB"/>
        </w:rPr>
        <w:t>At this stage, there appears to be no particular call for establishing a new Market Observatory in a sector not already covered</w:t>
      </w:r>
      <w:r w:rsidR="003743BC">
        <w:rPr>
          <w:rFonts w:cs="Times New Roman"/>
          <w:noProof/>
          <w:sz w:val="24"/>
          <w:szCs w:val="24"/>
          <w:lang w:val="en-GB"/>
        </w:rPr>
        <w:t xml:space="preserve">, </w:t>
      </w:r>
      <w:r w:rsidR="00B6277A">
        <w:rPr>
          <w:rFonts w:cs="Times New Roman"/>
          <w:noProof/>
          <w:sz w:val="24"/>
          <w:szCs w:val="24"/>
          <w:lang w:val="en-GB"/>
        </w:rPr>
        <w:t>beside</w:t>
      </w:r>
      <w:r w:rsidR="001B7761">
        <w:rPr>
          <w:rFonts w:cs="Times New Roman"/>
          <w:noProof/>
          <w:sz w:val="24"/>
          <w:szCs w:val="24"/>
          <w:lang w:val="en-GB"/>
        </w:rPr>
        <w:t xml:space="preserve"> the ongoing setting up of a Market Observatory</w:t>
      </w:r>
      <w:r w:rsidR="003743BC">
        <w:rPr>
          <w:rFonts w:cs="Times New Roman"/>
          <w:noProof/>
          <w:sz w:val="24"/>
          <w:szCs w:val="24"/>
          <w:lang w:val="en-GB"/>
        </w:rPr>
        <w:t xml:space="preserve"> for olive oil</w:t>
      </w:r>
      <w:r w:rsidRPr="002A600A">
        <w:rPr>
          <w:rFonts w:cs="Times New Roman"/>
          <w:noProof/>
          <w:sz w:val="24"/>
          <w:szCs w:val="24"/>
          <w:lang w:val="en-GB"/>
        </w:rPr>
        <w:t xml:space="preserve">. Such needs tend to </w:t>
      </w:r>
      <w:r w:rsidR="003A4D7A" w:rsidRPr="002A600A">
        <w:rPr>
          <w:rFonts w:cs="Times New Roman"/>
          <w:noProof/>
          <w:sz w:val="24"/>
          <w:szCs w:val="24"/>
          <w:lang w:val="en-GB"/>
        </w:rPr>
        <w:t>emerge when circumstances so require and experience shows that the necessary framework is in place for such needs to be addressed, should they emerge over time.</w:t>
      </w:r>
    </w:p>
    <w:sectPr w:rsidR="00C45672" w:rsidRPr="00B14339" w:rsidSect="0065419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95386" w14:textId="77777777" w:rsidR="00241295" w:rsidRDefault="00241295" w:rsidP="00C67604">
      <w:r>
        <w:separator/>
      </w:r>
    </w:p>
  </w:endnote>
  <w:endnote w:type="continuationSeparator" w:id="0">
    <w:p w14:paraId="480F0D12" w14:textId="77777777" w:rsidR="00241295" w:rsidRDefault="00241295" w:rsidP="00C67604">
      <w:r>
        <w:continuationSeparator/>
      </w:r>
    </w:p>
  </w:endnote>
  <w:endnote w:type="continuationNotice" w:id="1">
    <w:p w14:paraId="1A3E1B7C" w14:textId="77777777" w:rsidR="00241295" w:rsidRDefault="002412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6D6D6" w14:textId="060E79E7" w:rsidR="0065419E" w:rsidRPr="00F16D2F" w:rsidRDefault="0065419E" w:rsidP="00F16D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0635F" w14:textId="23711BDE" w:rsidR="0065419E" w:rsidRPr="00F16D2F" w:rsidRDefault="00F16D2F" w:rsidP="00F16D2F">
    <w:pPr>
      <w:pStyle w:val="FooterCoverPage"/>
      <w:rPr>
        <w:rFonts w:ascii="Arial" w:hAnsi="Arial" w:cs="Arial"/>
        <w:b/>
        <w:sz w:val="48"/>
      </w:rPr>
    </w:pPr>
    <w:r w:rsidRPr="00F16D2F">
      <w:rPr>
        <w:rFonts w:ascii="Arial" w:hAnsi="Arial" w:cs="Arial"/>
        <w:b/>
        <w:sz w:val="48"/>
      </w:rPr>
      <w:t>EN</w:t>
    </w:r>
    <w:r w:rsidRPr="00F16D2F">
      <w:rPr>
        <w:rFonts w:ascii="Arial" w:hAnsi="Arial" w:cs="Arial"/>
        <w:b/>
        <w:sz w:val="48"/>
      </w:rPr>
      <w:tab/>
    </w:r>
    <w:r w:rsidRPr="00F16D2F">
      <w:rPr>
        <w:rFonts w:ascii="Arial" w:hAnsi="Arial" w:cs="Arial"/>
        <w:b/>
        <w:sz w:val="48"/>
      </w:rPr>
      <w:tab/>
    </w:r>
    <w:r w:rsidRPr="00F16D2F">
      <w:tab/>
    </w:r>
    <w:r w:rsidRPr="00F16D2F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15DB1" w14:textId="77777777" w:rsidR="00F16D2F" w:rsidRPr="00F16D2F" w:rsidRDefault="00F16D2F" w:rsidP="00F16D2F">
    <w:pPr>
      <w:pStyle w:val="FooterCover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2F74E" w14:textId="77777777" w:rsidR="0065419E" w:rsidRDefault="0065419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9411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0DED34" w14:textId="2D75E957" w:rsidR="004B0FD9" w:rsidRDefault="004B0F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D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C818DC" w14:textId="77777777" w:rsidR="0065419E" w:rsidRDefault="0065419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940DD" w14:textId="77777777" w:rsidR="0065419E" w:rsidRDefault="006541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DD42E" w14:textId="77777777" w:rsidR="00241295" w:rsidRDefault="00241295" w:rsidP="00C67604">
      <w:r>
        <w:separator/>
      </w:r>
    </w:p>
  </w:footnote>
  <w:footnote w:type="continuationSeparator" w:id="0">
    <w:p w14:paraId="5668AC2D" w14:textId="77777777" w:rsidR="00241295" w:rsidRDefault="00241295" w:rsidP="00C67604">
      <w:r>
        <w:continuationSeparator/>
      </w:r>
    </w:p>
  </w:footnote>
  <w:footnote w:type="continuationNotice" w:id="1">
    <w:p w14:paraId="72D161B9" w14:textId="77777777" w:rsidR="00241295" w:rsidRDefault="00241295"/>
  </w:footnote>
  <w:footnote w:id="2">
    <w:p w14:paraId="545E8390" w14:textId="05D2D48C" w:rsidR="00643627" w:rsidRPr="00415C85" w:rsidRDefault="00643627" w:rsidP="00415C85">
      <w:pPr>
        <w:pStyle w:val="FootnoteText"/>
        <w:jc w:val="both"/>
        <w:rPr>
          <w:rFonts w:ascii="Times New Roman" w:hAnsi="Times New Roman" w:cs="Times New Roman"/>
        </w:rPr>
      </w:pPr>
      <w:r w:rsidRPr="00415C85">
        <w:rPr>
          <w:rStyle w:val="FootnoteReference"/>
          <w:rFonts w:ascii="Times New Roman" w:hAnsi="Times New Roman" w:cs="Times New Roman"/>
        </w:rPr>
        <w:footnoteRef/>
      </w:r>
      <w:r w:rsidRPr="00415C85">
        <w:rPr>
          <w:rFonts w:ascii="Times New Roman" w:hAnsi="Times New Roman" w:cs="Times New Roman"/>
        </w:rPr>
        <w:t xml:space="preserve"> </w:t>
      </w:r>
      <w:hyperlink r:id="rId1" w:history="1">
        <w:r w:rsidRPr="00415C85">
          <w:rPr>
            <w:rStyle w:val="Hyperlink"/>
            <w:rFonts w:ascii="Times New Roman" w:hAnsi="Times New Roman" w:cs="Times New Roman"/>
          </w:rPr>
          <w:t>COM</w:t>
        </w:r>
        <w:r w:rsidR="00E90C88" w:rsidRPr="00415C85">
          <w:rPr>
            <w:rStyle w:val="Hyperlink"/>
            <w:rFonts w:ascii="Times New Roman" w:hAnsi="Times New Roman" w:cs="Times New Roman"/>
          </w:rPr>
          <w:t xml:space="preserve"> </w:t>
        </w:r>
        <w:r w:rsidRPr="00415C85">
          <w:rPr>
            <w:rStyle w:val="Hyperlink"/>
            <w:rFonts w:ascii="Times New Roman" w:hAnsi="Times New Roman" w:cs="Times New Roman"/>
          </w:rPr>
          <w:t>(2022) 590 final/2</w:t>
        </w:r>
      </w:hyperlink>
    </w:p>
  </w:footnote>
  <w:footnote w:id="3">
    <w:p w14:paraId="50CF52D0" w14:textId="2B746150" w:rsidR="00815251" w:rsidRPr="00415C85" w:rsidRDefault="00815251" w:rsidP="00415C85">
      <w:pPr>
        <w:pStyle w:val="FootnoteText"/>
        <w:jc w:val="both"/>
        <w:rPr>
          <w:rFonts w:ascii="Times New Roman" w:hAnsi="Times New Roman" w:cs="Times New Roman"/>
        </w:rPr>
      </w:pPr>
      <w:r w:rsidRPr="00415C85">
        <w:rPr>
          <w:rStyle w:val="FootnoteReference"/>
          <w:rFonts w:ascii="Times New Roman" w:hAnsi="Times New Roman" w:cs="Times New Roman"/>
        </w:rPr>
        <w:footnoteRef/>
      </w:r>
      <w:r w:rsidRPr="00415C85">
        <w:rPr>
          <w:rFonts w:ascii="Times New Roman" w:hAnsi="Times New Roman" w:cs="Times New Roman"/>
        </w:rPr>
        <w:t xml:space="preserve"> Regulation (EU) No 1308/2013 of the European Parliament and of the Council of 17 December 2013 establishing a common organisation of the markets in agricultural products and repealing Council Regulations (EEC) No 922/72, (EEC) No 234/79, (EC) No 1037/2001 and (EC) No 1234/2007.</w:t>
      </w:r>
    </w:p>
  </w:footnote>
  <w:footnote w:id="4">
    <w:p w14:paraId="06FE9AED" w14:textId="2DCD391A" w:rsidR="00241295" w:rsidRPr="002D32B3" w:rsidRDefault="00241295" w:rsidP="00415C85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415C85">
        <w:rPr>
          <w:rStyle w:val="FootnoteReference"/>
          <w:rFonts w:ascii="Times New Roman" w:hAnsi="Times New Roman" w:cs="Times New Roman"/>
        </w:rPr>
        <w:footnoteRef/>
      </w:r>
      <w:r w:rsidRPr="00415C85">
        <w:rPr>
          <w:rFonts w:ascii="Times New Roman" w:hAnsi="Times New Roman" w:cs="Times New Roman"/>
        </w:rPr>
        <w:t xml:space="preserve"> </w:t>
      </w:r>
      <w:r w:rsidRPr="00415C85">
        <w:rPr>
          <w:rFonts w:ascii="Times New Roman" w:hAnsi="Times New Roman" w:cs="Times New Roman"/>
          <w:lang w:val="en-US"/>
        </w:rPr>
        <w:t xml:space="preserve"> </w:t>
      </w:r>
      <w:r w:rsidRPr="00415C85">
        <w:rPr>
          <w:rFonts w:ascii="Times New Roman" w:hAnsi="Times New Roman" w:cs="Times New Roman"/>
          <w:lang w:val="en-IE"/>
        </w:rPr>
        <w:t>Reporting obligations in Regulation (EU) No 1308/2013 - Article 225(da)</w:t>
      </w:r>
      <w:r w:rsidR="004B0FD9">
        <w:rPr>
          <w:rFonts w:ascii="Times New Roman" w:hAnsi="Times New Roman" w:cs="Times New Roman"/>
          <w:lang w:val="en-IE"/>
        </w:rPr>
        <w:t>.</w:t>
      </w:r>
      <w:r w:rsidRPr="002D32B3">
        <w:rPr>
          <w:rFonts w:ascii="Times New Roman" w:hAnsi="Times New Roman" w:cs="Times New Roman"/>
          <w:lang w:val="en-IE"/>
        </w:rPr>
        <w:t xml:space="preserve"> </w:t>
      </w:r>
    </w:p>
  </w:footnote>
  <w:footnote w:id="5">
    <w:p w14:paraId="5C834C4F" w14:textId="77777777" w:rsidR="00241295" w:rsidRPr="00415C85" w:rsidRDefault="00241295" w:rsidP="00434006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415C85">
        <w:rPr>
          <w:rStyle w:val="FootnoteReference"/>
          <w:rFonts w:ascii="Times New Roman" w:hAnsi="Times New Roman" w:cs="Times New Roman"/>
        </w:rPr>
        <w:footnoteRef/>
      </w:r>
      <w:r w:rsidRPr="00415C85">
        <w:rPr>
          <w:rFonts w:ascii="Times New Roman" w:hAnsi="Times New Roman" w:cs="Times New Roman"/>
          <w:lang w:val="en-US"/>
        </w:rPr>
        <w:t xml:space="preserve"> </w:t>
      </w:r>
      <w:hyperlink r:id="rId2" w:history="1">
        <w:r w:rsidRPr="00415C85">
          <w:rPr>
            <w:rStyle w:val="Hyperlink"/>
            <w:rFonts w:ascii="Times New Roman" w:hAnsi="Times New Roman" w:cs="Times New Roman"/>
            <w:lang w:val="en-US"/>
          </w:rPr>
          <w:t>https://ec.europa.eu/eurostat/web/agriculture/data/database</w:t>
        </w:r>
      </w:hyperlink>
    </w:p>
  </w:footnote>
  <w:footnote w:id="6">
    <w:p w14:paraId="7CD9E73D" w14:textId="563F9AC9" w:rsidR="00241295" w:rsidRPr="00415C85" w:rsidRDefault="00241295" w:rsidP="00434006">
      <w:pPr>
        <w:pStyle w:val="FootnoteText"/>
        <w:jc w:val="both"/>
        <w:rPr>
          <w:rFonts w:ascii="Times New Roman" w:hAnsi="Times New Roman" w:cs="Times New Roman"/>
        </w:rPr>
      </w:pPr>
      <w:r w:rsidRPr="00415C85">
        <w:rPr>
          <w:rStyle w:val="FootnoteReference"/>
          <w:rFonts w:ascii="Times New Roman" w:hAnsi="Times New Roman" w:cs="Times New Roman"/>
        </w:rPr>
        <w:footnoteRef/>
      </w:r>
      <w:r w:rsidRPr="00415C85">
        <w:rPr>
          <w:rFonts w:ascii="Times New Roman" w:hAnsi="Times New Roman" w:cs="Times New Roman"/>
        </w:rPr>
        <w:t xml:space="preserve"> </w:t>
      </w:r>
      <w:hyperlink r:id="rId3" w:history="1">
        <w:r w:rsidR="008C7D5B" w:rsidRPr="00D15BD3">
          <w:rPr>
            <w:rStyle w:val="Hyperlink"/>
            <w:rFonts w:ascii="Times New Roman" w:hAnsi="Times New Roman" w:cs="Times New Roman"/>
          </w:rPr>
          <w:t>https://ec.europa.eu/eurostat/web/international-trade-in-goods/database</w:t>
        </w:r>
      </w:hyperlink>
      <w:r w:rsidR="008C7D5B">
        <w:t xml:space="preserve"> </w:t>
      </w:r>
    </w:p>
  </w:footnote>
  <w:footnote w:id="7">
    <w:p w14:paraId="02F2B1E0" w14:textId="2C57D0EE" w:rsidR="00241295" w:rsidRPr="00415C85" w:rsidRDefault="00241295" w:rsidP="00434006">
      <w:pPr>
        <w:pStyle w:val="FootnoteText"/>
        <w:jc w:val="both"/>
        <w:rPr>
          <w:rFonts w:ascii="Times New Roman" w:hAnsi="Times New Roman" w:cs="Times New Roman"/>
        </w:rPr>
      </w:pPr>
      <w:r w:rsidRPr="00415C85">
        <w:rPr>
          <w:rStyle w:val="FootnoteReference"/>
          <w:rFonts w:ascii="Times New Roman" w:hAnsi="Times New Roman" w:cs="Times New Roman"/>
        </w:rPr>
        <w:footnoteRef/>
      </w:r>
      <w:r w:rsidRPr="00415C85">
        <w:rPr>
          <w:rFonts w:ascii="Times New Roman" w:hAnsi="Times New Roman" w:cs="Times New Roman"/>
        </w:rPr>
        <w:t xml:space="preserve"> Commission Implementing Regulation (EU) 2017/1185 of 20 April 2017 laying down rules for the application of Regulations (EU) No 1307/2013 and (EU) No 1308/2013 of the European Parliament and of the Council as regards notifications to the Commission of information and documents and amending and repealing several Commission Regulations.</w:t>
      </w:r>
    </w:p>
  </w:footnote>
  <w:footnote w:id="8">
    <w:p w14:paraId="26F5555D" w14:textId="3FF704A4" w:rsidR="00241295" w:rsidRPr="00D72062" w:rsidRDefault="00241295" w:rsidP="00434006">
      <w:pPr>
        <w:pStyle w:val="FootnoteText"/>
        <w:jc w:val="both"/>
        <w:rPr>
          <w:rFonts w:ascii="Times New Roman" w:hAnsi="Times New Roman" w:cs="Times New Roman"/>
          <w:sz w:val="18"/>
        </w:rPr>
      </w:pPr>
      <w:r w:rsidRPr="00415C85">
        <w:rPr>
          <w:rStyle w:val="FootnoteReference"/>
          <w:rFonts w:ascii="Times New Roman" w:hAnsi="Times New Roman" w:cs="Times New Roman"/>
        </w:rPr>
        <w:footnoteRef/>
      </w:r>
      <w:r w:rsidRPr="00415C85">
        <w:rPr>
          <w:rFonts w:ascii="Times New Roman" w:hAnsi="Times New Roman" w:cs="Times New Roman"/>
        </w:rPr>
        <w:t xml:space="preserve"> Commission Delegated Regulation (EU) 2017/1183 of 20 April 2017 on supplementing Regulations (EU) No 1307/2013 and (EU) No 1308/2013 of the European Parliament and of the Council with regard to the notifications to the Commission of information and documents.</w:t>
      </w:r>
    </w:p>
  </w:footnote>
  <w:footnote w:id="9">
    <w:p w14:paraId="733E4BBD" w14:textId="77777777" w:rsidR="00241295" w:rsidRPr="00415C85" w:rsidRDefault="00241295" w:rsidP="001A11B7">
      <w:pPr>
        <w:pStyle w:val="FootnoteText"/>
        <w:jc w:val="both"/>
        <w:rPr>
          <w:rFonts w:ascii="Times New Roman" w:hAnsi="Times New Roman" w:cs="Times New Roman"/>
        </w:rPr>
      </w:pPr>
      <w:r w:rsidRPr="00415C85">
        <w:rPr>
          <w:rStyle w:val="FootnoteReference"/>
          <w:rFonts w:ascii="Times New Roman" w:hAnsi="Times New Roman" w:cs="Times New Roman"/>
        </w:rPr>
        <w:footnoteRef/>
      </w:r>
      <w:r w:rsidRPr="00415C85">
        <w:rPr>
          <w:rFonts w:ascii="Times New Roman" w:hAnsi="Times New Roman" w:cs="Times New Roman"/>
        </w:rPr>
        <w:t xml:space="preserve"> </w:t>
      </w:r>
      <w:hyperlink r:id="rId4" w:history="1">
        <w:r w:rsidRPr="00415C85">
          <w:rPr>
            <w:rStyle w:val="Hyperlink"/>
            <w:rFonts w:ascii="Times New Roman" w:hAnsi="Times New Roman" w:cs="Times New Roman"/>
          </w:rPr>
          <w:t>https://ec.europa.eu/transparency/regexpert/PDF/C_2016_3301_F1_COMMISSION_DECISION_EN.pdf</w:t>
        </w:r>
      </w:hyperlink>
    </w:p>
    <w:p w14:paraId="3DD355C9" w14:textId="77777777" w:rsidR="00241295" w:rsidRPr="009D1A64" w:rsidRDefault="00241295" w:rsidP="00D72062">
      <w:pPr>
        <w:pStyle w:val="FootnoteText"/>
      </w:pPr>
    </w:p>
  </w:footnote>
  <w:footnote w:id="10">
    <w:p w14:paraId="17204915" w14:textId="42F9DC29" w:rsidR="00FD2D76" w:rsidRPr="00415C85" w:rsidRDefault="00F16D2F" w:rsidP="00FD2D76">
      <w:pPr>
        <w:pStyle w:val="FootnoteText"/>
        <w:jc w:val="both"/>
        <w:rPr>
          <w:rFonts w:ascii="Times New Roman" w:hAnsi="Times New Roman" w:cs="Times New Roman"/>
          <w:lang w:val="en-IE"/>
        </w:rPr>
      </w:pPr>
      <w:hyperlink r:id="rId5" w:history="1">
        <w:r w:rsidR="00FD2D76" w:rsidRPr="00415C85">
          <w:rPr>
            <w:rStyle w:val="Hyperlink"/>
            <w:rFonts w:ascii="Times New Roman" w:hAnsi="Times New Roman" w:cs="Times New Roman"/>
            <w:vertAlign w:val="superscript"/>
          </w:rPr>
          <w:footnoteRef/>
        </w:r>
        <w:r w:rsidR="00FD2D76" w:rsidRPr="00415C85">
          <w:rPr>
            <w:rStyle w:val="Hyperlink"/>
            <w:rFonts w:ascii="Times New Roman" w:hAnsi="Times New Roman" w:cs="Times New Roman"/>
          </w:rPr>
          <w:t xml:space="preserve"> Directive (EU) 2019/633 of the European Parliament and of the Council of 17 April 2019 on unfair trading practices in business-to-business relationships in the agricultural and food supply chain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5CF21" w14:textId="77777777" w:rsidR="00F16D2F" w:rsidRPr="00F16D2F" w:rsidRDefault="00F16D2F" w:rsidP="00F16D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4B65A" w14:textId="77777777" w:rsidR="00F16D2F" w:rsidRPr="00F16D2F" w:rsidRDefault="00F16D2F" w:rsidP="00F16D2F">
    <w:pPr>
      <w:pStyle w:val="HeaderCoverPag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22FAC" w14:textId="77777777" w:rsidR="00F16D2F" w:rsidRPr="00F16D2F" w:rsidRDefault="00F16D2F" w:rsidP="00F16D2F">
    <w:pPr>
      <w:pStyle w:val="HeaderCoverPag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84E3D" w14:textId="77777777" w:rsidR="0065419E" w:rsidRDefault="0065419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EEF6F" w14:textId="77777777" w:rsidR="0065419E" w:rsidRDefault="0065419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0DC2D" w14:textId="77777777" w:rsidR="0065419E" w:rsidRDefault="006541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248C"/>
    <w:multiLevelType w:val="hybridMultilevel"/>
    <w:tmpl w:val="7A8A5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664CF"/>
    <w:multiLevelType w:val="hybridMultilevel"/>
    <w:tmpl w:val="80781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6E53"/>
    <w:multiLevelType w:val="hybridMultilevel"/>
    <w:tmpl w:val="6B24C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4E0D"/>
    <w:multiLevelType w:val="hybridMultilevel"/>
    <w:tmpl w:val="10F254C0"/>
    <w:lvl w:ilvl="0" w:tplc="021C26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01D85"/>
    <w:multiLevelType w:val="hybridMultilevel"/>
    <w:tmpl w:val="DD4682E8"/>
    <w:lvl w:ilvl="0" w:tplc="95DC9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E1C95F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73692"/>
    <w:multiLevelType w:val="hybridMultilevel"/>
    <w:tmpl w:val="972C1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1023B"/>
    <w:multiLevelType w:val="hybridMultilevel"/>
    <w:tmpl w:val="ADFC3C70"/>
    <w:lvl w:ilvl="0" w:tplc="E10ABA7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B6586"/>
    <w:multiLevelType w:val="hybridMultilevel"/>
    <w:tmpl w:val="44BA1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C4EAB"/>
    <w:multiLevelType w:val="hybridMultilevel"/>
    <w:tmpl w:val="09788AE8"/>
    <w:lvl w:ilvl="0" w:tplc="6E38D5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C4E8F"/>
    <w:multiLevelType w:val="hybridMultilevel"/>
    <w:tmpl w:val="B95A48F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4087C"/>
    <w:multiLevelType w:val="hybridMultilevel"/>
    <w:tmpl w:val="02FCFBB4"/>
    <w:lvl w:ilvl="0" w:tplc="38603BC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63DB9"/>
    <w:multiLevelType w:val="hybridMultilevel"/>
    <w:tmpl w:val="80781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37936"/>
    <w:multiLevelType w:val="hybridMultilevel"/>
    <w:tmpl w:val="843A382C"/>
    <w:lvl w:ilvl="0" w:tplc="95DC9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40C73"/>
    <w:multiLevelType w:val="hybridMultilevel"/>
    <w:tmpl w:val="261C5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1E6AF1A">
      <w:start w:val="3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00C36"/>
    <w:multiLevelType w:val="hybridMultilevel"/>
    <w:tmpl w:val="4896FE94"/>
    <w:lvl w:ilvl="0" w:tplc="190436E4">
      <w:start w:val="1"/>
      <w:numFmt w:val="lowerLetter"/>
      <w:lvlText w:val="%1."/>
      <w:lvlJc w:val="left"/>
      <w:pPr>
        <w:ind w:left="1352" w:hanging="360"/>
      </w:pPr>
      <w:rPr>
        <w:rFonts w:ascii="Times New Roman" w:eastAsiaTheme="majorEastAsia" w:hAnsi="Times New Roman" w:cstheme="majorBidi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7B37C1B"/>
    <w:multiLevelType w:val="hybridMultilevel"/>
    <w:tmpl w:val="7026F1FE"/>
    <w:lvl w:ilvl="0" w:tplc="428EB3E4">
      <w:start w:val="1"/>
      <w:numFmt w:val="lowerRoman"/>
      <w:lvlText w:val="%1."/>
      <w:lvlJc w:val="left"/>
      <w:pPr>
        <w:ind w:left="1800" w:hanging="360"/>
      </w:pPr>
      <w:rPr>
        <w:rFonts w:ascii="Times New Roman" w:eastAsiaTheme="majorEastAsia" w:hAnsi="Times New Roman" w:cstheme="maj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A896568"/>
    <w:multiLevelType w:val="hybridMultilevel"/>
    <w:tmpl w:val="B95A48F8"/>
    <w:lvl w:ilvl="0" w:tplc="37A0742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1809001B">
      <w:start w:val="1"/>
      <w:numFmt w:val="lowerRoman"/>
      <w:lvlText w:val="%2."/>
      <w:lvlJc w:val="righ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F7A60"/>
    <w:multiLevelType w:val="multilevel"/>
    <w:tmpl w:val="1DCA5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4C56F70"/>
    <w:multiLevelType w:val="multilevel"/>
    <w:tmpl w:val="1DCA5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67C0873"/>
    <w:multiLevelType w:val="hybridMultilevel"/>
    <w:tmpl w:val="B7A0011A"/>
    <w:lvl w:ilvl="0" w:tplc="BD421366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D15DB"/>
    <w:multiLevelType w:val="hybridMultilevel"/>
    <w:tmpl w:val="2CB0B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E78D1"/>
    <w:multiLevelType w:val="hybridMultilevel"/>
    <w:tmpl w:val="91781B26"/>
    <w:lvl w:ilvl="0" w:tplc="021C26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D7F0C"/>
    <w:multiLevelType w:val="hybridMultilevel"/>
    <w:tmpl w:val="2CB0B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429A6"/>
    <w:multiLevelType w:val="hybridMultilevel"/>
    <w:tmpl w:val="12BAA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623E7"/>
    <w:multiLevelType w:val="hybridMultilevel"/>
    <w:tmpl w:val="27404C4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76074E3F"/>
    <w:multiLevelType w:val="hybridMultilevel"/>
    <w:tmpl w:val="9A1CAB22"/>
    <w:lvl w:ilvl="0" w:tplc="28BAF3F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47905"/>
    <w:multiLevelType w:val="hybridMultilevel"/>
    <w:tmpl w:val="2550BEE0"/>
    <w:lvl w:ilvl="0" w:tplc="021C26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2"/>
  </w:num>
  <w:num w:numId="4">
    <w:abstractNumId w:val="1"/>
  </w:num>
  <w:num w:numId="5">
    <w:abstractNumId w:val="0"/>
  </w:num>
  <w:num w:numId="6">
    <w:abstractNumId w:val="11"/>
  </w:num>
  <w:num w:numId="7">
    <w:abstractNumId w:val="20"/>
  </w:num>
  <w:num w:numId="8">
    <w:abstractNumId w:val="6"/>
  </w:num>
  <w:num w:numId="9">
    <w:abstractNumId w:val="2"/>
  </w:num>
  <w:num w:numId="10">
    <w:abstractNumId w:val="8"/>
  </w:num>
  <w:num w:numId="11">
    <w:abstractNumId w:val="5"/>
  </w:num>
  <w:num w:numId="12">
    <w:abstractNumId w:val="25"/>
  </w:num>
  <w:num w:numId="13">
    <w:abstractNumId w:val="7"/>
  </w:num>
  <w:num w:numId="14">
    <w:abstractNumId w:val="24"/>
  </w:num>
  <w:num w:numId="15">
    <w:abstractNumId w:val="23"/>
  </w:num>
  <w:num w:numId="16">
    <w:abstractNumId w:val="19"/>
  </w:num>
  <w:num w:numId="17">
    <w:abstractNumId w:val="18"/>
  </w:num>
  <w:num w:numId="18">
    <w:abstractNumId w:val="15"/>
  </w:num>
  <w:num w:numId="19">
    <w:abstractNumId w:val="14"/>
  </w:num>
  <w:num w:numId="20">
    <w:abstractNumId w:val="10"/>
  </w:num>
  <w:num w:numId="21">
    <w:abstractNumId w:val="3"/>
  </w:num>
  <w:num w:numId="22">
    <w:abstractNumId w:val="21"/>
  </w:num>
  <w:num w:numId="23">
    <w:abstractNumId w:val="26"/>
  </w:num>
  <w:num w:numId="24">
    <w:abstractNumId w:val="12"/>
  </w:num>
  <w:num w:numId="25">
    <w:abstractNumId w:val="16"/>
  </w:num>
  <w:num w:numId="26">
    <w:abstractNumId w:val="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ctiveWritingStyle w:appName="MSWord" w:lang="fr-BE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IE" w:vendorID="64" w:dllVersion="6" w:nlCheck="1" w:checkStyle="1"/>
  <w:activeWritingStyle w:appName="MSWord" w:lang="fr-BE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revisionView w:markup="0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412CB21A-0567-43AE-8A17-21EC02FCC4E7"/>
    <w:docVar w:name="LW_COVERPAGE_TYPE" w:val="1"/>
    <w:docVar w:name="LW_CROSSREFERENCE" w:val="&lt;UNUSED&gt;"/>
    <w:docVar w:name="LW_DocType" w:val="NORMAL"/>
    <w:docVar w:name="LW_EMISSION" w:val="31.10.2023"/>
    <w:docVar w:name="LW_EMISSION_ISODATE" w:val="2023-10-31"/>
    <w:docVar w:name="LW_EMISSION_LOCATION" w:val="BRX"/>
    <w:docVar w:name="LW_EMISSION_PREFIX" w:val="Brussels, "/>
    <w:docVar w:name="LW_EMISSION_SUFFIX" w:val=" "/>
    <w:docVar w:name="LW_ID_DOCTYPE_NONLW" w:val="CP-006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23) 679"/>
    <w:docVar w:name="LW_REF.INTERNE" w:val="&lt;UNUSED&gt;"/>
    <w:docVar w:name="LW_SENSITIVITY" w:val="&lt;?xml version=&quot;1.0&quot; encoding=&quot;utf-8&quot;?&gt;_x000d__x000a_&lt;SensitivityLevel xmlns:xsd=&quot;http://www.w3.org/2001/XMLSchema&quot; xmlns:xsi=&quot;http://www.w3.org/2001/XMLSchema-instance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On Union Market Observatories"/>
    <w:docVar w:name="LW_TYPE.DOC.CP" w:val="REPORT FROM THE COMMISSION TO THE EUROPEAN PARLIAMENT AND THE COUNCIL"/>
    <w:docVar w:name="LwApiVersions" w:val="LW4CoDe 1.23.2.0; LW 8.0, Build 20211117"/>
  </w:docVars>
  <w:rsids>
    <w:rsidRoot w:val="00C67604"/>
    <w:rsid w:val="000065BE"/>
    <w:rsid w:val="00007358"/>
    <w:rsid w:val="00012D02"/>
    <w:rsid w:val="00044763"/>
    <w:rsid w:val="0005418B"/>
    <w:rsid w:val="00063E53"/>
    <w:rsid w:val="00070A4A"/>
    <w:rsid w:val="00082343"/>
    <w:rsid w:val="00083D12"/>
    <w:rsid w:val="000C4C40"/>
    <w:rsid w:val="000D2C40"/>
    <w:rsid w:val="000D4019"/>
    <w:rsid w:val="000D40C9"/>
    <w:rsid w:val="0013347D"/>
    <w:rsid w:val="0013408B"/>
    <w:rsid w:val="0013555D"/>
    <w:rsid w:val="001371B3"/>
    <w:rsid w:val="00153208"/>
    <w:rsid w:val="00156BBC"/>
    <w:rsid w:val="00157270"/>
    <w:rsid w:val="0017538C"/>
    <w:rsid w:val="001839A9"/>
    <w:rsid w:val="001920DD"/>
    <w:rsid w:val="00194C03"/>
    <w:rsid w:val="001A11B7"/>
    <w:rsid w:val="001A2E61"/>
    <w:rsid w:val="001B3AB5"/>
    <w:rsid w:val="001B7761"/>
    <w:rsid w:val="001E4351"/>
    <w:rsid w:val="002045B2"/>
    <w:rsid w:val="0020483A"/>
    <w:rsid w:val="00205289"/>
    <w:rsid w:val="00212A2D"/>
    <w:rsid w:val="0021335B"/>
    <w:rsid w:val="00241295"/>
    <w:rsid w:val="002436E3"/>
    <w:rsid w:val="00247336"/>
    <w:rsid w:val="00256769"/>
    <w:rsid w:val="0026536F"/>
    <w:rsid w:val="00274C8F"/>
    <w:rsid w:val="002A600A"/>
    <w:rsid w:val="002B02DD"/>
    <w:rsid w:val="002B26CE"/>
    <w:rsid w:val="002D32B3"/>
    <w:rsid w:val="002E1702"/>
    <w:rsid w:val="002F55A4"/>
    <w:rsid w:val="0030556C"/>
    <w:rsid w:val="00326F89"/>
    <w:rsid w:val="003624B7"/>
    <w:rsid w:val="00371310"/>
    <w:rsid w:val="003743BC"/>
    <w:rsid w:val="003758FB"/>
    <w:rsid w:val="003840AF"/>
    <w:rsid w:val="0038590A"/>
    <w:rsid w:val="003A47A4"/>
    <w:rsid w:val="003A4D7A"/>
    <w:rsid w:val="003A4EB3"/>
    <w:rsid w:val="003C5D89"/>
    <w:rsid w:val="003C724E"/>
    <w:rsid w:val="003D15D8"/>
    <w:rsid w:val="003D1FE0"/>
    <w:rsid w:val="003E005F"/>
    <w:rsid w:val="003E3FE8"/>
    <w:rsid w:val="003E4AFB"/>
    <w:rsid w:val="003F0167"/>
    <w:rsid w:val="003F080A"/>
    <w:rsid w:val="003F3183"/>
    <w:rsid w:val="003F39BF"/>
    <w:rsid w:val="00415773"/>
    <w:rsid w:val="00415C85"/>
    <w:rsid w:val="00432481"/>
    <w:rsid w:val="00434006"/>
    <w:rsid w:val="00435EC1"/>
    <w:rsid w:val="004539C4"/>
    <w:rsid w:val="00473037"/>
    <w:rsid w:val="00481F75"/>
    <w:rsid w:val="0048390C"/>
    <w:rsid w:val="0049475B"/>
    <w:rsid w:val="004B0FD9"/>
    <w:rsid w:val="004B70FE"/>
    <w:rsid w:val="004C5AC7"/>
    <w:rsid w:val="004E318A"/>
    <w:rsid w:val="004E48D6"/>
    <w:rsid w:val="004F13F2"/>
    <w:rsid w:val="00500C3F"/>
    <w:rsid w:val="0050243C"/>
    <w:rsid w:val="005102DA"/>
    <w:rsid w:val="00513A55"/>
    <w:rsid w:val="005165E9"/>
    <w:rsid w:val="0051750E"/>
    <w:rsid w:val="00522216"/>
    <w:rsid w:val="0052499D"/>
    <w:rsid w:val="00565A8C"/>
    <w:rsid w:val="005834CE"/>
    <w:rsid w:val="0059136F"/>
    <w:rsid w:val="00596D1F"/>
    <w:rsid w:val="005A4A2E"/>
    <w:rsid w:val="005C1C9C"/>
    <w:rsid w:val="005C2398"/>
    <w:rsid w:val="005C5B38"/>
    <w:rsid w:val="005E0FA3"/>
    <w:rsid w:val="005E13AF"/>
    <w:rsid w:val="005E402B"/>
    <w:rsid w:val="005F29EE"/>
    <w:rsid w:val="005F4107"/>
    <w:rsid w:val="006012C0"/>
    <w:rsid w:val="006026C7"/>
    <w:rsid w:val="00620324"/>
    <w:rsid w:val="006216A3"/>
    <w:rsid w:val="00622E67"/>
    <w:rsid w:val="006242EE"/>
    <w:rsid w:val="006270A2"/>
    <w:rsid w:val="006320BD"/>
    <w:rsid w:val="00643627"/>
    <w:rsid w:val="00647392"/>
    <w:rsid w:val="0065419E"/>
    <w:rsid w:val="00654931"/>
    <w:rsid w:val="00660315"/>
    <w:rsid w:val="00675F6D"/>
    <w:rsid w:val="00680928"/>
    <w:rsid w:val="00681E02"/>
    <w:rsid w:val="006848D4"/>
    <w:rsid w:val="00684A7C"/>
    <w:rsid w:val="00685609"/>
    <w:rsid w:val="00687A5C"/>
    <w:rsid w:val="006914A5"/>
    <w:rsid w:val="0069480A"/>
    <w:rsid w:val="00695448"/>
    <w:rsid w:val="006A4E76"/>
    <w:rsid w:val="006B16F7"/>
    <w:rsid w:val="006B4A43"/>
    <w:rsid w:val="006C40CD"/>
    <w:rsid w:val="006C45D5"/>
    <w:rsid w:val="006D1517"/>
    <w:rsid w:val="006D225D"/>
    <w:rsid w:val="006E2B99"/>
    <w:rsid w:val="006F2AF2"/>
    <w:rsid w:val="00701B53"/>
    <w:rsid w:val="00720E6B"/>
    <w:rsid w:val="00730F1A"/>
    <w:rsid w:val="007329D5"/>
    <w:rsid w:val="007422AB"/>
    <w:rsid w:val="00767D09"/>
    <w:rsid w:val="00770C70"/>
    <w:rsid w:val="0078793C"/>
    <w:rsid w:val="007A0BAE"/>
    <w:rsid w:val="008060CE"/>
    <w:rsid w:val="00815251"/>
    <w:rsid w:val="008303C3"/>
    <w:rsid w:val="00837449"/>
    <w:rsid w:val="00840F95"/>
    <w:rsid w:val="00856638"/>
    <w:rsid w:val="00872CE0"/>
    <w:rsid w:val="008906D8"/>
    <w:rsid w:val="008A6E62"/>
    <w:rsid w:val="008A72CD"/>
    <w:rsid w:val="008B0800"/>
    <w:rsid w:val="008B49FC"/>
    <w:rsid w:val="008C7D5B"/>
    <w:rsid w:val="008E0C13"/>
    <w:rsid w:val="008E4A86"/>
    <w:rsid w:val="008F0983"/>
    <w:rsid w:val="0091429C"/>
    <w:rsid w:val="00944FA6"/>
    <w:rsid w:val="009540DA"/>
    <w:rsid w:val="009565EF"/>
    <w:rsid w:val="009A079B"/>
    <w:rsid w:val="009C521C"/>
    <w:rsid w:val="009C663A"/>
    <w:rsid w:val="009D1A64"/>
    <w:rsid w:val="009D24B2"/>
    <w:rsid w:val="009F16FA"/>
    <w:rsid w:val="009F19E6"/>
    <w:rsid w:val="009F63E8"/>
    <w:rsid w:val="00A01A23"/>
    <w:rsid w:val="00A077CA"/>
    <w:rsid w:val="00A17B9E"/>
    <w:rsid w:val="00A35EF3"/>
    <w:rsid w:val="00A42EAB"/>
    <w:rsid w:val="00A57AE3"/>
    <w:rsid w:val="00A63D8E"/>
    <w:rsid w:val="00A66EF4"/>
    <w:rsid w:val="00A74B09"/>
    <w:rsid w:val="00A82FEA"/>
    <w:rsid w:val="00AB5DBC"/>
    <w:rsid w:val="00AD60AB"/>
    <w:rsid w:val="00B02622"/>
    <w:rsid w:val="00B14339"/>
    <w:rsid w:val="00B237A5"/>
    <w:rsid w:val="00B273B5"/>
    <w:rsid w:val="00B35C13"/>
    <w:rsid w:val="00B52E16"/>
    <w:rsid w:val="00B6277A"/>
    <w:rsid w:val="00B65410"/>
    <w:rsid w:val="00B65695"/>
    <w:rsid w:val="00B7173D"/>
    <w:rsid w:val="00B750B1"/>
    <w:rsid w:val="00B80039"/>
    <w:rsid w:val="00B859C2"/>
    <w:rsid w:val="00B93558"/>
    <w:rsid w:val="00B95851"/>
    <w:rsid w:val="00BC5116"/>
    <w:rsid w:val="00BD24E3"/>
    <w:rsid w:val="00BF1A70"/>
    <w:rsid w:val="00C002C9"/>
    <w:rsid w:val="00C06AE8"/>
    <w:rsid w:val="00C17C63"/>
    <w:rsid w:val="00C20724"/>
    <w:rsid w:val="00C32EEE"/>
    <w:rsid w:val="00C407EE"/>
    <w:rsid w:val="00C45672"/>
    <w:rsid w:val="00C67604"/>
    <w:rsid w:val="00C70F80"/>
    <w:rsid w:val="00C908ED"/>
    <w:rsid w:val="00C92508"/>
    <w:rsid w:val="00C94DD8"/>
    <w:rsid w:val="00CA05EC"/>
    <w:rsid w:val="00CB1E56"/>
    <w:rsid w:val="00CB23EA"/>
    <w:rsid w:val="00CB3F1A"/>
    <w:rsid w:val="00CC664C"/>
    <w:rsid w:val="00CC7B59"/>
    <w:rsid w:val="00CD1812"/>
    <w:rsid w:val="00CF21A3"/>
    <w:rsid w:val="00CF3DD9"/>
    <w:rsid w:val="00CF64AA"/>
    <w:rsid w:val="00D131DF"/>
    <w:rsid w:val="00D14D3E"/>
    <w:rsid w:val="00D15BD3"/>
    <w:rsid w:val="00D22758"/>
    <w:rsid w:val="00D33580"/>
    <w:rsid w:val="00D72062"/>
    <w:rsid w:val="00D83674"/>
    <w:rsid w:val="00D852A2"/>
    <w:rsid w:val="00DD3587"/>
    <w:rsid w:val="00DD7C81"/>
    <w:rsid w:val="00DE4A2C"/>
    <w:rsid w:val="00DE4E8E"/>
    <w:rsid w:val="00DF032E"/>
    <w:rsid w:val="00DF228B"/>
    <w:rsid w:val="00DF70C2"/>
    <w:rsid w:val="00E17C6B"/>
    <w:rsid w:val="00E26811"/>
    <w:rsid w:val="00E40309"/>
    <w:rsid w:val="00E41488"/>
    <w:rsid w:val="00E54CD6"/>
    <w:rsid w:val="00E6119D"/>
    <w:rsid w:val="00E6724E"/>
    <w:rsid w:val="00E8078E"/>
    <w:rsid w:val="00E835B9"/>
    <w:rsid w:val="00E849E7"/>
    <w:rsid w:val="00E90C88"/>
    <w:rsid w:val="00E96030"/>
    <w:rsid w:val="00EA1D68"/>
    <w:rsid w:val="00EA43F0"/>
    <w:rsid w:val="00EA4CE7"/>
    <w:rsid w:val="00EA6C38"/>
    <w:rsid w:val="00EB089D"/>
    <w:rsid w:val="00EC2F32"/>
    <w:rsid w:val="00EC5FC9"/>
    <w:rsid w:val="00ED2F10"/>
    <w:rsid w:val="00ED4138"/>
    <w:rsid w:val="00ED469D"/>
    <w:rsid w:val="00ED46E8"/>
    <w:rsid w:val="00ED7F53"/>
    <w:rsid w:val="00EF4178"/>
    <w:rsid w:val="00F1191B"/>
    <w:rsid w:val="00F13B02"/>
    <w:rsid w:val="00F1542B"/>
    <w:rsid w:val="00F16D2F"/>
    <w:rsid w:val="00F17917"/>
    <w:rsid w:val="00F23319"/>
    <w:rsid w:val="00F323AE"/>
    <w:rsid w:val="00F665DB"/>
    <w:rsid w:val="00F675EA"/>
    <w:rsid w:val="00FA00F4"/>
    <w:rsid w:val="00FA4A17"/>
    <w:rsid w:val="00FA6045"/>
    <w:rsid w:val="00FB1FF9"/>
    <w:rsid w:val="00FB475C"/>
    <w:rsid w:val="00FB59A6"/>
    <w:rsid w:val="00FC58E8"/>
    <w:rsid w:val="00FD2D76"/>
    <w:rsid w:val="00FD3651"/>
    <w:rsid w:val="00FE5032"/>
    <w:rsid w:val="00FF44AA"/>
    <w:rsid w:val="00FF4F27"/>
    <w:rsid w:val="00FF63DA"/>
    <w:rsid w:val="022EE658"/>
    <w:rsid w:val="03CEE1CB"/>
    <w:rsid w:val="05A8A56A"/>
    <w:rsid w:val="084D387A"/>
    <w:rsid w:val="08957CBC"/>
    <w:rsid w:val="09AF9241"/>
    <w:rsid w:val="0BF44332"/>
    <w:rsid w:val="0E6F0BD3"/>
    <w:rsid w:val="0E748E16"/>
    <w:rsid w:val="0EF21F23"/>
    <w:rsid w:val="106FBC27"/>
    <w:rsid w:val="128A28A5"/>
    <w:rsid w:val="12C8C562"/>
    <w:rsid w:val="131E6B2A"/>
    <w:rsid w:val="145757DD"/>
    <w:rsid w:val="18897054"/>
    <w:rsid w:val="18E097BE"/>
    <w:rsid w:val="1A71FE23"/>
    <w:rsid w:val="1C35069E"/>
    <w:rsid w:val="2230B4A0"/>
    <w:rsid w:val="22356589"/>
    <w:rsid w:val="22C034C5"/>
    <w:rsid w:val="24ACD46C"/>
    <w:rsid w:val="2BE5AD30"/>
    <w:rsid w:val="2CF36AEA"/>
    <w:rsid w:val="2E3EFD8F"/>
    <w:rsid w:val="32D5CF2C"/>
    <w:rsid w:val="34584E79"/>
    <w:rsid w:val="34A0BA09"/>
    <w:rsid w:val="39328D92"/>
    <w:rsid w:val="39E48E20"/>
    <w:rsid w:val="3AF16747"/>
    <w:rsid w:val="3CC13E7E"/>
    <w:rsid w:val="3D24222C"/>
    <w:rsid w:val="3FB6BF5F"/>
    <w:rsid w:val="4725C0E6"/>
    <w:rsid w:val="47401BF3"/>
    <w:rsid w:val="481A5600"/>
    <w:rsid w:val="48C19147"/>
    <w:rsid w:val="4A43D203"/>
    <w:rsid w:val="4ABDE871"/>
    <w:rsid w:val="4C29CB63"/>
    <w:rsid w:val="4CD481ED"/>
    <w:rsid w:val="4DD1188D"/>
    <w:rsid w:val="4E8934D5"/>
    <w:rsid w:val="4F61C91E"/>
    <w:rsid w:val="507E83D6"/>
    <w:rsid w:val="5965C0D5"/>
    <w:rsid w:val="5FE5B683"/>
    <w:rsid w:val="6104BA6B"/>
    <w:rsid w:val="61512049"/>
    <w:rsid w:val="61C61528"/>
    <w:rsid w:val="63E308F9"/>
    <w:rsid w:val="66E71EAD"/>
    <w:rsid w:val="68F1AAF2"/>
    <w:rsid w:val="6E9D43B4"/>
    <w:rsid w:val="6F104FB3"/>
    <w:rsid w:val="71F07FCA"/>
    <w:rsid w:val="731B9E77"/>
    <w:rsid w:val="740AEC48"/>
    <w:rsid w:val="7531635E"/>
    <w:rsid w:val="765C47F8"/>
    <w:rsid w:val="76D29335"/>
    <w:rsid w:val="77D6CF8F"/>
    <w:rsid w:val="789E911F"/>
    <w:rsid w:val="7AAB8CA3"/>
    <w:rsid w:val="7BE2D5DC"/>
    <w:rsid w:val="7CB915CB"/>
    <w:rsid w:val="7E0E9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1AFF20F"/>
  <w15:chartTrackingRefBased/>
  <w15:docId w15:val="{3DA01334-17B8-4D89-84A6-A140087D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00A"/>
    <w:pPr>
      <w:spacing w:after="0" w:line="240" w:lineRule="auto"/>
    </w:pPr>
    <w:rPr>
      <w:rFonts w:ascii="Times New Roman" w:hAnsi="Times New Roman" w:cs="Calibri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24B7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4B7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24B7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6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7604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7604"/>
    <w:rPr>
      <w:rFonts w:asciiTheme="minorHAnsi" w:hAnsiTheme="minorHAnsi" w:cstheme="minorBid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604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6760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70F8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45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24B7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624B7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3624B7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3624B7"/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ED469D"/>
    <w:pPr>
      <w:tabs>
        <w:tab w:val="left" w:pos="660"/>
        <w:tab w:val="right" w:leader="dot" w:pos="9350"/>
      </w:tabs>
      <w:spacing w:after="100"/>
      <w:ind w:left="230"/>
    </w:pPr>
  </w:style>
  <w:style w:type="character" w:customStyle="1" w:styleId="Heading3Char">
    <w:name w:val="Heading 3 Char"/>
    <w:basedOn w:val="DefaultParagraphFont"/>
    <w:link w:val="Heading3"/>
    <w:uiPriority w:val="9"/>
    <w:rsid w:val="003624B7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273B5"/>
    <w:pPr>
      <w:tabs>
        <w:tab w:val="right" w:leader="dot" w:pos="9350"/>
      </w:tabs>
      <w:spacing w:after="100"/>
      <w:ind w:left="460"/>
    </w:pPr>
  </w:style>
  <w:style w:type="paragraph" w:styleId="NoSpacing">
    <w:name w:val="No Spacing"/>
    <w:uiPriority w:val="1"/>
    <w:qFormat/>
    <w:rsid w:val="00767D09"/>
    <w:pPr>
      <w:spacing w:after="0" w:line="240" w:lineRule="auto"/>
    </w:pPr>
    <w:rPr>
      <w:rFonts w:ascii="Times New Roman" w:hAnsi="Times New Roman" w:cs="Calibri"/>
      <w:sz w:val="2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2D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74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C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C8F"/>
    <w:rPr>
      <w:rFonts w:ascii="Times New Roman" w:hAnsi="Times New Roman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C8F"/>
    <w:rPr>
      <w:rFonts w:ascii="Times New Roman" w:hAnsi="Times New Roman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49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99D"/>
    <w:rPr>
      <w:rFonts w:ascii="Times New Roman" w:hAnsi="Times New Roman" w:cs="Calibri"/>
      <w:sz w:val="23"/>
    </w:rPr>
  </w:style>
  <w:style w:type="paragraph" w:styleId="Footer">
    <w:name w:val="footer"/>
    <w:basedOn w:val="Normal"/>
    <w:link w:val="FooterChar"/>
    <w:uiPriority w:val="99"/>
    <w:unhideWhenUsed/>
    <w:rsid w:val="005249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99D"/>
    <w:rPr>
      <w:rFonts w:ascii="Times New Roman" w:hAnsi="Times New Roman" w:cs="Calibri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0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00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37449"/>
    <w:pPr>
      <w:spacing w:after="0" w:line="240" w:lineRule="auto"/>
    </w:pPr>
    <w:rPr>
      <w:rFonts w:ascii="Times New Roman" w:hAnsi="Times New Roman" w:cs="Calibri"/>
      <w:sz w:val="23"/>
    </w:rPr>
  </w:style>
  <w:style w:type="character" w:customStyle="1" w:styleId="Marker">
    <w:name w:val="Marker"/>
    <w:basedOn w:val="DefaultParagraphFont"/>
    <w:rsid w:val="0065419E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65419E"/>
    <w:pPr>
      <w:jc w:val="both"/>
    </w:pPr>
    <w:rPr>
      <w:rFonts w:cs="Times New Roman"/>
      <w:sz w:val="24"/>
    </w:rPr>
  </w:style>
  <w:style w:type="paragraph" w:customStyle="1" w:styleId="FooterCoverPage">
    <w:name w:val="Footer Cover Page"/>
    <w:basedOn w:val="Normal"/>
    <w:link w:val="FooterCoverPageChar"/>
    <w:rsid w:val="0065419E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65419E"/>
    <w:rPr>
      <w:rFonts w:ascii="Times New Roman" w:hAnsi="Times New Roman" w:cs="Calibri"/>
      <w:sz w:val="24"/>
    </w:rPr>
  </w:style>
  <w:style w:type="paragraph" w:customStyle="1" w:styleId="FooterSensitivity">
    <w:name w:val="Footer Sensitivity"/>
    <w:basedOn w:val="Normal"/>
    <w:link w:val="FooterSensitivityChar"/>
    <w:rsid w:val="0065419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sid w:val="0065419E"/>
    <w:rPr>
      <w:rFonts w:ascii="Times New Roman" w:hAnsi="Times New Roman" w:cs="Calibri"/>
      <w:b/>
      <w:sz w:val="32"/>
    </w:rPr>
  </w:style>
  <w:style w:type="paragraph" w:customStyle="1" w:styleId="HeaderCoverPage">
    <w:name w:val="Header Cover Page"/>
    <w:basedOn w:val="Normal"/>
    <w:link w:val="HeaderCoverPageChar"/>
    <w:rsid w:val="0065419E"/>
    <w:pPr>
      <w:tabs>
        <w:tab w:val="center" w:pos="4535"/>
        <w:tab w:val="right" w:pos="9071"/>
      </w:tabs>
      <w:spacing w:after="120"/>
      <w:jc w:val="both"/>
    </w:pPr>
    <w:rPr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65419E"/>
    <w:rPr>
      <w:rFonts w:ascii="Times New Roman" w:hAnsi="Times New Roman" w:cs="Calibri"/>
      <w:sz w:val="24"/>
    </w:rPr>
  </w:style>
  <w:style w:type="paragraph" w:customStyle="1" w:styleId="HeaderSensitivity">
    <w:name w:val="Header Sensitivity"/>
    <w:basedOn w:val="Normal"/>
    <w:link w:val="HeaderSensitivityChar"/>
    <w:rsid w:val="0065419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sid w:val="0065419E"/>
    <w:rPr>
      <w:rFonts w:ascii="Times New Roman" w:hAnsi="Times New Roman" w:cs="Calibri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rsid w:val="0065419E"/>
    <w:pPr>
      <w:spacing w:after="120"/>
      <w:jc w:val="right"/>
    </w:pPr>
    <w:rPr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sid w:val="0065419E"/>
    <w:rPr>
      <w:rFonts w:ascii="Times New Roman" w:hAnsi="Times New Roman" w:cs="Calibri"/>
      <w:sz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7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agridata.ec.europa.eu/extensions/DataPortal/home.html" TargetMode="Externa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https://twitter.com/EuropeanMMO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agriculture.ec.europa.eu/data-and-analysis/markets/overviews/market-observatories_en" TargetMode="Externa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4.png"/><Relationship Id="rId28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3.png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web/international-trade-in-goods/database" TargetMode="External"/><Relationship Id="rId2" Type="http://schemas.openxmlformats.org/officeDocument/2006/relationships/hyperlink" Target="https://ec.europa.eu/eurostat/web/agriculture/data/database" TargetMode="External"/><Relationship Id="rId1" Type="http://schemas.openxmlformats.org/officeDocument/2006/relationships/hyperlink" Target="https://eur-lex.europa.eu/legal-content/EN/TXT/?uri=CELEX:52022DC0590(01)" TargetMode="External"/><Relationship Id="rId5" Type="http://schemas.openxmlformats.org/officeDocument/2006/relationships/hyperlink" Target="https://eur-lex.europa.eu/legal-content/EN/TXT/?uri=CELEX%3A32019L0633" TargetMode="External"/><Relationship Id="rId4" Type="http://schemas.openxmlformats.org/officeDocument/2006/relationships/hyperlink" Target="https://ec.europa.eu/transparency/regexpert/PDF/C_2016_3301_F1_COMMISSION_DECISION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693DC8ADCF44D806C190B5B169FD5" ma:contentTypeVersion="4" ma:contentTypeDescription="Create a new document." ma:contentTypeScope="" ma:versionID="6ed451766a7289e488ca9f8626d959c1">
  <xsd:schema xmlns:xsd="http://www.w3.org/2001/XMLSchema" xmlns:xs="http://www.w3.org/2001/XMLSchema" xmlns:p="http://schemas.microsoft.com/office/2006/metadata/properties" xmlns:ns2="65e7e06b-2967-45a3-8296-3e0b01d7a66a" xmlns:ns3="19e20e0e-cf6a-4864-bbaf-9990ea00ffa1" targetNamespace="http://schemas.microsoft.com/office/2006/metadata/properties" ma:root="true" ma:fieldsID="ee814fe342c0115cf0ce44259f66fbe4" ns2:_="" ns3:_="">
    <xsd:import namespace="65e7e06b-2967-45a3-8296-3e0b01d7a66a"/>
    <xsd:import namespace="19e20e0e-cf6a-4864-bbaf-9990ea00f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7e06b-2967-45a3-8296-3e0b01d7a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20e0e-cf6a-4864-bbaf-9990ea00ff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EC272-4881-446E-AB98-7E4C6994EE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E2C25F-6835-48CD-A12A-E47664BCF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7e06b-2967-45a3-8296-3e0b01d7a66a"/>
    <ds:schemaRef ds:uri="19e20e0e-cf6a-4864-bbaf-9990ea00f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D873A3-AB7D-40F9-ABB4-93858BFE3C89}">
  <ds:schemaRefs>
    <ds:schemaRef ds:uri="65e7e06b-2967-45a3-8296-3e0b01d7a66a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6878F65-0BC8-42EB-AC1D-B92658F5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3249</Words>
  <Characters>18134</Characters>
  <Application>Microsoft Office Word</Application>
  <DocSecurity>0</DocSecurity>
  <Lines>362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EC CoDe</cp:lastModifiedBy>
  <cp:revision>26</cp:revision>
  <dcterms:created xsi:type="dcterms:W3CDTF">2023-10-25T17:55:00Z</dcterms:created>
  <dcterms:modified xsi:type="dcterms:W3CDTF">2023-10-30T17:44:00Z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0x010100B43693DC8ADCF44D806C190B5B169FD5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2022-11-11T15:36:35Z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6eaf54c3-a7d5-428d-b6c8-e590801a882f</vt:lpwstr>
  </property>
  <property fmtid="{D5CDD505-2E9C-101B-9397-08002B2CF9AE}" pid="9" name="MSIP_Label_6bd9ddd1-4d20-43f6-abfa-fc3c07406f94_ContentBits">
    <vt:lpwstr>0</vt:lpwstr>
  </property>
  <property fmtid="{D5CDD505-2E9C-101B-9397-08002B2CF9AE}" pid="10" name="Level of sensitivity">
    <vt:lpwstr>Standard treatment</vt:lpwstr>
  </property>
  <property fmtid="{D5CDD505-2E9C-101B-9397-08002B2CF9AE}" pid="11" name="Part">
    <vt:lpwstr>1</vt:lpwstr>
  </property>
  <property fmtid="{D5CDD505-2E9C-101B-9397-08002B2CF9AE}" pid="12" name="Total parts">
    <vt:lpwstr>1</vt:lpwstr>
  </property>
  <property fmtid="{D5CDD505-2E9C-101B-9397-08002B2CF9AE}" pid="13" name="DocStatus">
    <vt:lpwstr>Green</vt:lpwstr>
  </property>
  <property fmtid="{D5CDD505-2E9C-101B-9397-08002B2CF9AE}" pid="14" name="CPTemplateID">
    <vt:lpwstr>CP-006</vt:lpwstr>
  </property>
  <property fmtid="{D5CDD505-2E9C-101B-9397-08002B2CF9AE}" pid="15" name="Last edited using">
    <vt:lpwstr>LW 9.0, Build 20230317</vt:lpwstr>
  </property>
  <property fmtid="{D5CDD505-2E9C-101B-9397-08002B2CF9AE}" pid="16" name="Created using">
    <vt:lpwstr>LW 9.0, Build 20230317</vt:lpwstr>
  </property>
</Properties>
</file>