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C80C8" w14:textId="035DA434" w:rsidR="00CD6518" w:rsidRPr="00B10BEB" w:rsidRDefault="003904A6" w:rsidP="003904A6">
      <w:pPr>
        <w:pStyle w:val="Pagedecouverture"/>
        <w:rPr>
          <w:noProof/>
        </w:rPr>
      </w:pPr>
      <w:r>
        <w:rPr>
          <w:noProof/>
        </w:rPr>
        <w:pict w14:anchorId="7A2EF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EB7D6A5D-2CDE-40BB-8CDD-C248E25C566E" style="width:455.25pt;height:429pt">
            <v:imagedata r:id="rId8" o:title=""/>
          </v:shape>
        </w:pict>
      </w:r>
    </w:p>
    <w:p w14:paraId="413567B3" w14:textId="77777777" w:rsidR="00CD6518" w:rsidRPr="00B10BEB" w:rsidRDefault="00CD6518">
      <w:pPr>
        <w:rPr>
          <w:noProof/>
        </w:rPr>
        <w:sectPr w:rsidR="00CD6518" w:rsidRPr="00B10BEB" w:rsidSect="003904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38D81F5C" w14:textId="2AF27083" w:rsidR="00CE7CD3" w:rsidRPr="00B10BEB" w:rsidRDefault="004405D5">
      <w:pPr>
        <w:pStyle w:val="Annexetitre"/>
        <w:rPr>
          <w:noProof/>
        </w:rPr>
      </w:pPr>
      <w:bookmarkStart w:id="0" w:name="_GoBack"/>
      <w:bookmarkEnd w:id="0"/>
      <w:r w:rsidRPr="00B10BEB">
        <w:rPr>
          <w:noProof/>
        </w:rPr>
        <w:lastRenderedPageBreak/>
        <w:t>MELLÉKLET</w:t>
      </w:r>
    </w:p>
    <w:p w14:paraId="75C1F6F3" w14:textId="77777777" w:rsidR="00CE7CD3" w:rsidRPr="00B10BEB" w:rsidRDefault="00CE7CD3" w:rsidP="00CE7CD3">
      <w:pPr>
        <w:spacing w:before="360" w:after="0" w:line="360" w:lineRule="auto"/>
        <w:jc w:val="center"/>
        <w:rPr>
          <w:rFonts w:eastAsia="Calibri"/>
          <w:noProof/>
        </w:rPr>
      </w:pPr>
      <w:r w:rsidRPr="00B10BEB">
        <w:rPr>
          <w:noProof/>
        </w:rPr>
        <w:t>TERVEZET</w:t>
      </w:r>
    </w:p>
    <w:p w14:paraId="2D2BBF91" w14:textId="77777777" w:rsidR="00CE7CD3" w:rsidRPr="00B10BEB" w:rsidRDefault="00CE7CD3" w:rsidP="00CE7CD3">
      <w:pPr>
        <w:spacing w:before="0" w:after="0" w:line="360" w:lineRule="auto"/>
        <w:jc w:val="center"/>
        <w:rPr>
          <w:rFonts w:eastAsia="Calibri"/>
          <w:noProof/>
        </w:rPr>
      </w:pPr>
    </w:p>
    <w:p w14:paraId="3F08EF89" w14:textId="77777777" w:rsidR="001800AB" w:rsidRDefault="00CE7CD3" w:rsidP="00CE7CD3">
      <w:pPr>
        <w:spacing w:before="0" w:after="0" w:line="360" w:lineRule="auto"/>
        <w:jc w:val="center"/>
        <w:rPr>
          <w:b/>
          <w:bCs/>
          <w:noProof/>
        </w:rPr>
      </w:pPr>
      <w:r w:rsidRPr="001800AB">
        <w:rPr>
          <w:b/>
          <w:bCs/>
          <w:noProof/>
        </w:rPr>
        <w:t xml:space="preserve">A KÖZLEKEDÉSI KÖZÖSSÉG </w:t>
      </w:r>
    </w:p>
    <w:p w14:paraId="0260D7C0" w14:textId="5AC47D54" w:rsidR="00CE7CD3" w:rsidRPr="00B10BEB" w:rsidRDefault="00CE7CD3" w:rsidP="00CE7CD3">
      <w:pPr>
        <w:spacing w:before="0" w:after="0" w:line="360" w:lineRule="auto"/>
        <w:jc w:val="center"/>
        <w:rPr>
          <w:rFonts w:eastAsia="Calibri"/>
          <w:b/>
          <w:noProof/>
        </w:rPr>
      </w:pPr>
      <w:r w:rsidRPr="00B10BEB">
        <w:rPr>
          <w:b/>
          <w:noProof/>
        </w:rPr>
        <w:t>REGIONÁLIS IRÁNYÍTÓBIZOTTSÁGÁNAK</w:t>
      </w:r>
      <w:r w:rsidRPr="00B10BEB">
        <w:rPr>
          <w:noProof/>
        </w:rPr>
        <w:br/>
      </w:r>
      <w:r w:rsidRPr="00B10BEB">
        <w:rPr>
          <w:b/>
          <w:noProof/>
        </w:rPr>
        <w:t xml:space="preserve">... /2023 HATÁROZATA </w:t>
      </w:r>
    </w:p>
    <w:p w14:paraId="58418B75" w14:textId="77777777" w:rsidR="00CE7CD3" w:rsidRPr="00B10BEB" w:rsidRDefault="00CE7CD3" w:rsidP="00CE7CD3">
      <w:pPr>
        <w:spacing w:before="0" w:after="0" w:line="360" w:lineRule="auto"/>
        <w:jc w:val="center"/>
        <w:rPr>
          <w:rFonts w:eastAsia="Calibri"/>
          <w:b/>
          <w:noProof/>
        </w:rPr>
      </w:pPr>
    </w:p>
    <w:p w14:paraId="658FF5E0" w14:textId="77777777" w:rsidR="00CE7CD3" w:rsidRPr="00B10BEB" w:rsidRDefault="00CE7CD3" w:rsidP="00CE7CD3">
      <w:pPr>
        <w:spacing w:before="360" w:after="0" w:line="360" w:lineRule="auto"/>
        <w:jc w:val="center"/>
        <w:rPr>
          <w:rFonts w:eastAsia="Calibri"/>
          <w:b/>
          <w:noProof/>
          <w:szCs w:val="24"/>
        </w:rPr>
      </w:pPr>
      <w:r w:rsidRPr="00B10BEB">
        <w:rPr>
          <w:b/>
          <w:noProof/>
        </w:rPr>
        <w:t>(…)</w:t>
      </w:r>
    </w:p>
    <w:p w14:paraId="5ED87235" w14:textId="77777777" w:rsidR="00CE7CD3" w:rsidRPr="00B10BEB" w:rsidRDefault="00CE7CD3" w:rsidP="00CE7CD3">
      <w:pPr>
        <w:spacing w:before="0" w:after="0" w:line="276" w:lineRule="auto"/>
        <w:jc w:val="center"/>
        <w:rPr>
          <w:rFonts w:eastAsia="Calibri"/>
          <w:b/>
          <w:noProof/>
          <w:szCs w:val="24"/>
        </w:rPr>
      </w:pPr>
      <w:r w:rsidRPr="00B10BEB">
        <w:rPr>
          <w:b/>
          <w:noProof/>
        </w:rPr>
        <w:t xml:space="preserve">a Közlekedési Közösség 2024. évi költségvetésének elfogadásáról </w:t>
      </w:r>
    </w:p>
    <w:p w14:paraId="30A2414F" w14:textId="77B7D6D2" w:rsidR="00CE7CD3" w:rsidRPr="00B10BEB" w:rsidRDefault="00CE7CD3" w:rsidP="00CE7CD3">
      <w:pPr>
        <w:spacing w:before="0" w:after="0" w:line="276" w:lineRule="auto"/>
        <w:jc w:val="center"/>
        <w:rPr>
          <w:rFonts w:eastAsia="Calibri"/>
          <w:b/>
          <w:noProof/>
          <w:szCs w:val="24"/>
        </w:rPr>
      </w:pPr>
    </w:p>
    <w:p w14:paraId="5BB0364F" w14:textId="77777777" w:rsidR="00CE7CD3" w:rsidRPr="00B10BEB" w:rsidRDefault="00CE7CD3" w:rsidP="00CE7CD3">
      <w:pPr>
        <w:keepNext/>
        <w:spacing w:before="600" w:line="360" w:lineRule="auto"/>
        <w:jc w:val="left"/>
        <w:rPr>
          <w:rFonts w:eastAsia="Calibri"/>
          <w:noProof/>
        </w:rPr>
      </w:pPr>
      <w:r w:rsidRPr="00B10BEB">
        <w:rPr>
          <w:noProof/>
        </w:rPr>
        <w:t>A KÖZLEKEDÉSI KÖZÖSSÉG REGIONÁLIS IRÁNYÍTÓBIZOTTSÁGA,</w:t>
      </w:r>
    </w:p>
    <w:p w14:paraId="122060E6" w14:textId="77777777" w:rsidR="00CE7CD3" w:rsidRPr="00B10BEB" w:rsidRDefault="00CE7CD3" w:rsidP="00CE7CD3">
      <w:pPr>
        <w:spacing w:line="360" w:lineRule="auto"/>
        <w:jc w:val="left"/>
        <w:rPr>
          <w:rFonts w:eastAsia="Calibri"/>
          <w:noProof/>
        </w:rPr>
      </w:pPr>
      <w:r w:rsidRPr="00B10BEB">
        <w:rPr>
          <w:noProof/>
        </w:rPr>
        <w:t>tekintettel a Közlekedési Közösséget létrehozó szerződésre</w:t>
      </w:r>
      <w:r w:rsidRPr="00B10BEB">
        <w:rPr>
          <w:rStyle w:val="FootnoteReference"/>
          <w:rFonts w:eastAsia="Calibri"/>
          <w:noProof/>
        </w:rPr>
        <w:footnoteReference w:id="1"/>
      </w:r>
      <w:r w:rsidRPr="00B10BEB">
        <w:rPr>
          <w:noProof/>
        </w:rPr>
        <w:t xml:space="preserve"> és különösen annak 24. cikke (1) bekezdésére és 35. cikkére,</w:t>
      </w:r>
    </w:p>
    <w:p w14:paraId="7F32161E" w14:textId="77777777" w:rsidR="00CE7CD3" w:rsidRPr="00B10BEB" w:rsidRDefault="00CE7CD3" w:rsidP="00CE7CD3">
      <w:pPr>
        <w:spacing w:line="360" w:lineRule="auto"/>
        <w:jc w:val="left"/>
        <w:rPr>
          <w:rFonts w:eastAsia="Calibri"/>
          <w:noProof/>
        </w:rPr>
      </w:pPr>
    </w:p>
    <w:p w14:paraId="3F877070" w14:textId="77777777" w:rsidR="00CE7CD3" w:rsidRPr="00B10BEB" w:rsidRDefault="00CE7CD3" w:rsidP="00CE7CD3">
      <w:pPr>
        <w:keepNext/>
        <w:spacing w:line="360" w:lineRule="auto"/>
        <w:jc w:val="left"/>
        <w:rPr>
          <w:rFonts w:eastAsia="Calibri"/>
          <w:noProof/>
        </w:rPr>
      </w:pPr>
      <w:r w:rsidRPr="00B10BEB">
        <w:rPr>
          <w:noProof/>
        </w:rPr>
        <w:t>ELFOGADTA EZT A HATÁROZATOT:</w:t>
      </w:r>
    </w:p>
    <w:p w14:paraId="49F1561F" w14:textId="4F808A13" w:rsidR="00CE7CD3" w:rsidRPr="00B10BEB" w:rsidRDefault="005423F1" w:rsidP="00CE7CD3">
      <w:pPr>
        <w:keepNext/>
        <w:spacing w:before="360" w:line="360" w:lineRule="auto"/>
        <w:jc w:val="center"/>
        <w:rPr>
          <w:rFonts w:eastAsia="Calibri"/>
          <w:i/>
          <w:noProof/>
        </w:rPr>
      </w:pPr>
      <w:r w:rsidRPr="00B10BEB">
        <w:rPr>
          <w:i/>
          <w:noProof/>
        </w:rPr>
        <w:t xml:space="preserve">Egyetlen cikk </w:t>
      </w:r>
    </w:p>
    <w:p w14:paraId="4A81D082" w14:textId="0CDAC5E8" w:rsidR="00CE7CD3" w:rsidRPr="00B10BEB" w:rsidRDefault="00CE7CD3" w:rsidP="00CE7CD3">
      <w:pPr>
        <w:spacing w:before="0" w:after="0" w:line="276" w:lineRule="auto"/>
        <w:rPr>
          <w:noProof/>
        </w:rPr>
      </w:pPr>
      <w:r w:rsidRPr="00B10BEB">
        <w:rPr>
          <w:noProof/>
        </w:rPr>
        <w:t>A Közlekedési Közösség 2024. évi, e határozathoz csatolt költségvetése elfogadásra kerül.</w:t>
      </w:r>
    </w:p>
    <w:p w14:paraId="58A407DD" w14:textId="144FCB25" w:rsidR="00CE7CD3" w:rsidRPr="00B10BEB" w:rsidRDefault="00CE7CD3" w:rsidP="00CE7CD3">
      <w:pPr>
        <w:keepNext/>
        <w:spacing w:after="0" w:line="360" w:lineRule="auto"/>
        <w:jc w:val="left"/>
        <w:rPr>
          <w:rFonts w:eastAsia="Calibri"/>
          <w:noProof/>
        </w:rPr>
      </w:pPr>
    </w:p>
    <w:p w14:paraId="27CE8992" w14:textId="79D9EBE3" w:rsidR="00CE7CD3" w:rsidRPr="00B10BEB" w:rsidRDefault="00CE7CD3" w:rsidP="00CE7CD3">
      <w:pPr>
        <w:keepNext/>
        <w:spacing w:after="0" w:line="360" w:lineRule="auto"/>
        <w:jc w:val="left"/>
        <w:rPr>
          <w:rFonts w:eastAsia="Calibri"/>
          <w:noProof/>
        </w:rPr>
      </w:pPr>
      <w:r w:rsidRPr="00B10BEB">
        <w:rPr>
          <w:noProof/>
        </w:rPr>
        <w:t>Kelt …-ban/-ben, 2023…-án/-én.</w:t>
      </w:r>
    </w:p>
    <w:p w14:paraId="3980692D" w14:textId="77777777" w:rsidR="00CE7CD3" w:rsidRPr="00B10BEB" w:rsidRDefault="00CE7CD3" w:rsidP="00CE7CD3">
      <w:pPr>
        <w:keepNext/>
        <w:spacing w:after="0" w:line="360" w:lineRule="auto"/>
        <w:jc w:val="left"/>
        <w:rPr>
          <w:rFonts w:eastAsia="Calibri"/>
          <w:noProof/>
        </w:rPr>
      </w:pPr>
    </w:p>
    <w:p w14:paraId="0E4FB399" w14:textId="77777777" w:rsidR="00CE7CD3" w:rsidRPr="00B10BEB" w:rsidRDefault="00CE7CD3" w:rsidP="00CE7CD3">
      <w:pPr>
        <w:keepNext/>
        <w:tabs>
          <w:tab w:val="left" w:pos="4678"/>
        </w:tabs>
        <w:spacing w:before="0" w:after="0" w:line="360" w:lineRule="auto"/>
        <w:jc w:val="left"/>
        <w:rPr>
          <w:rFonts w:eastAsia="Calibri"/>
          <w:i/>
          <w:noProof/>
        </w:rPr>
      </w:pPr>
      <w:r w:rsidRPr="00B10BEB">
        <w:rPr>
          <w:noProof/>
        </w:rPr>
        <w:tab/>
      </w:r>
      <w:r w:rsidRPr="00B10BEB">
        <w:rPr>
          <w:i/>
          <w:noProof/>
        </w:rPr>
        <w:t>a regionális irányítóbizottság részéről</w:t>
      </w:r>
    </w:p>
    <w:p w14:paraId="22A9BCAA" w14:textId="77777777" w:rsidR="00CE7CD3" w:rsidRPr="00B10BEB" w:rsidRDefault="00CE7CD3" w:rsidP="00CE7CD3">
      <w:pPr>
        <w:tabs>
          <w:tab w:val="left" w:pos="5669"/>
        </w:tabs>
        <w:spacing w:before="0" w:after="0" w:line="360" w:lineRule="auto"/>
        <w:jc w:val="left"/>
        <w:rPr>
          <w:rFonts w:eastAsia="Calibri"/>
          <w:i/>
          <w:noProof/>
        </w:rPr>
      </w:pPr>
      <w:r w:rsidRPr="00B10BEB">
        <w:rPr>
          <w:noProof/>
        </w:rPr>
        <w:tab/>
      </w:r>
      <w:r w:rsidRPr="00B10BEB">
        <w:rPr>
          <w:i/>
          <w:noProof/>
        </w:rPr>
        <w:t>az elnök</w:t>
      </w:r>
    </w:p>
    <w:p w14:paraId="64B7958E" w14:textId="77777777" w:rsidR="00CE7CD3" w:rsidRPr="00B10BEB" w:rsidRDefault="00CE7CD3" w:rsidP="00CE7CD3">
      <w:pPr>
        <w:rPr>
          <w:rFonts w:eastAsia="Calibri"/>
          <w:noProof/>
        </w:rPr>
      </w:pPr>
      <w:r w:rsidRPr="00B10BEB">
        <w:rPr>
          <w:noProof/>
        </w:rPr>
        <w:br w:type="page"/>
      </w:r>
    </w:p>
    <w:p w14:paraId="71F15395" w14:textId="383B6F22" w:rsidR="00CE7CD3" w:rsidRPr="00B10BEB" w:rsidRDefault="00CE7CD3" w:rsidP="00CE7CD3">
      <w:pPr>
        <w:pStyle w:val="NormalCentered"/>
        <w:rPr>
          <w:rFonts w:ascii="Calibri" w:hAnsi="Calibri" w:cs="Arial"/>
          <w:noProof/>
          <w:u w:val="single"/>
        </w:rPr>
      </w:pPr>
      <w:r w:rsidRPr="00B10BEB">
        <w:rPr>
          <w:noProof/>
        </w:rPr>
        <w:t>A KÖZLEKEDÉSI KÖZÖSSÉG 2024. ÉVI KÖLTSÉGVETÉSE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7935"/>
        <w:gridCol w:w="1841"/>
      </w:tblGrid>
      <w:tr w:rsidR="00CE7CD3" w:rsidRPr="00B10BEB" w14:paraId="504C7613" w14:textId="77777777" w:rsidTr="00871937">
        <w:trPr>
          <w:trHeight w:val="290"/>
          <w:tblHeader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63A7" w14:textId="77777777" w:rsidR="00CE7CD3" w:rsidRPr="00B10BEB" w:rsidRDefault="00CE7CD3" w:rsidP="00871937">
            <w:pPr>
              <w:spacing w:before="60" w:after="60"/>
              <w:jc w:val="center"/>
              <w:rPr>
                <w:rFonts w:eastAsia="Calibri"/>
                <w:noProof/>
              </w:rPr>
            </w:pPr>
            <w:bookmarkStart w:id="1" w:name="_Hlk136529988"/>
            <w:r w:rsidRPr="00B10BEB">
              <w:rPr>
                <w:noProof/>
              </w:rPr>
              <w:t>Költségvetési sor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BE67E" w14:textId="77777777" w:rsidR="00CE7CD3" w:rsidRPr="00B10BEB" w:rsidRDefault="00CE7CD3" w:rsidP="00871937">
            <w:pPr>
              <w:spacing w:before="60" w:after="60"/>
              <w:jc w:val="center"/>
              <w:rPr>
                <w:rFonts w:eastAsia="Calibri"/>
                <w:noProof/>
              </w:rPr>
            </w:pPr>
            <w:r w:rsidRPr="00B10BEB">
              <w:rPr>
                <w:noProof/>
              </w:rPr>
              <w:t>Összeg</w:t>
            </w:r>
          </w:p>
          <w:p w14:paraId="5AE64E08" w14:textId="77777777" w:rsidR="00CE7CD3" w:rsidRPr="00B10BEB" w:rsidRDefault="00CE7CD3" w:rsidP="00871937">
            <w:pPr>
              <w:spacing w:before="60" w:after="60"/>
              <w:jc w:val="center"/>
              <w:rPr>
                <w:rFonts w:eastAsia="Calibri"/>
                <w:noProof/>
              </w:rPr>
            </w:pPr>
            <w:r w:rsidRPr="00B10BEB">
              <w:rPr>
                <w:noProof/>
              </w:rPr>
              <w:t>(EUR)</w:t>
            </w:r>
          </w:p>
        </w:tc>
      </w:tr>
      <w:tr w:rsidR="00CE7CD3" w:rsidRPr="00B10BEB" w14:paraId="3F2635A5" w14:textId="77777777" w:rsidTr="00871937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AA9B2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  <w:sz w:val="22"/>
              </w:rPr>
            </w:pPr>
            <w:r w:rsidRPr="00B10BEB">
              <w:rPr>
                <w:noProof/>
              </w:rPr>
              <w:t>1.</w:t>
            </w:r>
            <w:r w:rsidRPr="00B10BEB">
              <w:rPr>
                <w:noProof/>
              </w:rPr>
              <w:tab/>
              <w:t>Állandó titkárság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FA1" w14:textId="77777777" w:rsidR="00CE7CD3" w:rsidRPr="00B10BEB" w:rsidRDefault="00CE7CD3" w:rsidP="00871937">
            <w:pPr>
              <w:pStyle w:val="ListParagraph"/>
              <w:spacing w:before="60" w:after="60"/>
              <w:ind w:left="360"/>
              <w:contextualSpacing w:val="0"/>
              <w:jc w:val="right"/>
              <w:rPr>
                <w:b/>
                <w:bCs/>
                <w:noProof/>
                <w:color w:val="000000"/>
              </w:rPr>
            </w:pPr>
          </w:p>
        </w:tc>
      </w:tr>
      <w:tr w:rsidR="00CE7CD3" w:rsidRPr="00B10BEB" w14:paraId="1FA884C0" w14:textId="77777777" w:rsidTr="00871937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4D2D5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1.1.</w:t>
            </w:r>
            <w:r w:rsidRPr="00B10BEB">
              <w:rPr>
                <w:noProof/>
              </w:rPr>
              <w:tab/>
              <w:t>Humánerőforrás-költségek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911B0" w14:textId="70B55668" w:rsidR="00CE7CD3" w:rsidRPr="00B10BEB" w:rsidRDefault="00904E90" w:rsidP="00871937">
            <w:pPr>
              <w:spacing w:before="60" w:after="60"/>
              <w:jc w:val="right"/>
              <w:rPr>
                <w:noProof/>
                <w:color w:val="000000"/>
              </w:rPr>
            </w:pPr>
            <w:r w:rsidRPr="00B10BEB">
              <w:rPr>
                <w:noProof/>
                <w:color w:val="000000" w:themeColor="text1"/>
              </w:rPr>
              <w:t xml:space="preserve">1 442 670      </w:t>
            </w:r>
          </w:p>
        </w:tc>
      </w:tr>
      <w:tr w:rsidR="00CE7CD3" w:rsidRPr="00B10BEB" w14:paraId="36050698" w14:textId="77777777" w:rsidTr="00871937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7E3D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1.2.</w:t>
            </w:r>
            <w:r w:rsidRPr="00B10BEB">
              <w:rPr>
                <w:noProof/>
              </w:rPr>
              <w:tab/>
              <w:t>Utazási költségek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9E62" w14:textId="77C0B4F6" w:rsidR="00CE7CD3" w:rsidRPr="00B10BEB" w:rsidRDefault="00904E90" w:rsidP="00871937">
            <w:pPr>
              <w:spacing w:before="60" w:after="60"/>
              <w:jc w:val="right"/>
              <w:rPr>
                <w:noProof/>
                <w:color w:val="000000"/>
              </w:rPr>
            </w:pPr>
            <w:r w:rsidRPr="00B10BEB">
              <w:rPr>
                <w:noProof/>
                <w:color w:val="000000" w:themeColor="text1"/>
              </w:rPr>
              <w:t xml:space="preserve">138 836      </w:t>
            </w:r>
          </w:p>
        </w:tc>
      </w:tr>
      <w:tr w:rsidR="00CE7CD3" w:rsidRPr="00B10BEB" w14:paraId="6095FF9C" w14:textId="77777777" w:rsidTr="00871937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ACBC2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1.3.</w:t>
            </w:r>
            <w:r w:rsidRPr="00B10BEB">
              <w:rPr>
                <w:noProof/>
              </w:rPr>
              <w:tab/>
              <w:t>Irodai költségek, berendezések és szoftverek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C9CF" w14:textId="36EB31D6" w:rsidR="00CE7CD3" w:rsidRPr="00B10BEB" w:rsidRDefault="00DC6661" w:rsidP="00871937">
            <w:pPr>
              <w:spacing w:before="60" w:after="60"/>
              <w:jc w:val="right"/>
              <w:rPr>
                <w:noProof/>
                <w:color w:val="000000"/>
              </w:rPr>
            </w:pPr>
            <w:r w:rsidRPr="00B10BEB">
              <w:rPr>
                <w:noProof/>
              </w:rPr>
              <w:t xml:space="preserve">48 020      </w:t>
            </w:r>
          </w:p>
        </w:tc>
      </w:tr>
      <w:tr w:rsidR="00CE7CD3" w:rsidRPr="00B10BEB" w14:paraId="13C4634D" w14:textId="77777777" w:rsidTr="00871937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BF5B6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1.4.</w:t>
            </w:r>
            <w:r w:rsidRPr="00B10BEB">
              <w:rPr>
                <w:noProof/>
              </w:rPr>
              <w:tab/>
              <w:t>Egyéb költségek és szolgáltatások, beleértve a következőket:</w:t>
            </w:r>
          </w:p>
          <w:p w14:paraId="2F8E327E" w14:textId="77777777" w:rsidR="00CE7CD3" w:rsidRPr="00B10BEB" w:rsidRDefault="00CE7CD3" w:rsidP="00302DB0">
            <w:pPr>
              <w:pStyle w:val="Tiret1"/>
              <w:numPr>
                <w:ilvl w:val="0"/>
                <w:numId w:val="9"/>
              </w:numPr>
              <w:spacing w:before="60" w:after="60"/>
              <w:jc w:val="left"/>
              <w:rPr>
                <w:noProof/>
              </w:rPr>
            </w:pPr>
            <w:r w:rsidRPr="00B10BEB">
              <w:rPr>
                <w:noProof/>
              </w:rPr>
              <w:t>Kiszervezett és egyéb szolgáltatások (ellenőrzés, láthatóság, személyzet képzése, banki költségek)</w:t>
            </w:r>
          </w:p>
          <w:p w14:paraId="68F1554E" w14:textId="0A65B96B" w:rsidR="00DC6661" w:rsidRPr="00B10BEB" w:rsidRDefault="00DC6661" w:rsidP="00302DB0">
            <w:pPr>
              <w:pStyle w:val="Tiret1"/>
              <w:numPr>
                <w:ilvl w:val="0"/>
                <w:numId w:val="10"/>
              </w:numPr>
              <w:spacing w:before="60" w:after="60"/>
              <w:jc w:val="left"/>
              <w:rPr>
                <w:noProof/>
              </w:rPr>
            </w:pPr>
            <w:r w:rsidRPr="00B10BEB">
              <w:rPr>
                <w:noProof/>
              </w:rPr>
              <w:t>Kapacitásépítés</w:t>
            </w:r>
          </w:p>
          <w:p w14:paraId="7D33CA7C" w14:textId="2B9AB3D2" w:rsidR="00CE7CD3" w:rsidRPr="00B10BEB" w:rsidRDefault="00CE7CD3" w:rsidP="00302DB0">
            <w:pPr>
              <w:pStyle w:val="Tiret1"/>
              <w:numPr>
                <w:ilvl w:val="0"/>
                <w:numId w:val="10"/>
              </w:numPr>
              <w:spacing w:before="60" w:after="60"/>
              <w:jc w:val="left"/>
              <w:rPr>
                <w:noProof/>
              </w:rPr>
            </w:pPr>
            <w:r w:rsidRPr="00B10BEB">
              <w:rPr>
                <w:noProof/>
              </w:rPr>
              <w:t>Ülések és konferenciák költségei</w:t>
            </w:r>
          </w:p>
          <w:p w14:paraId="46EBF886" w14:textId="77777777" w:rsidR="00CE7CD3" w:rsidRPr="00B10BEB" w:rsidRDefault="00CE7CD3" w:rsidP="00302DB0">
            <w:pPr>
              <w:pStyle w:val="Tiret1"/>
              <w:numPr>
                <w:ilvl w:val="0"/>
                <w:numId w:val="10"/>
              </w:numPr>
              <w:spacing w:before="60" w:after="60"/>
              <w:jc w:val="left"/>
              <w:rPr>
                <w:noProof/>
              </w:rPr>
            </w:pPr>
            <w:r w:rsidRPr="00B10BEB">
              <w:rPr>
                <w:noProof/>
              </w:rPr>
              <w:t>Információtechnológiai és kommunikációs költségek</w:t>
            </w:r>
          </w:p>
          <w:p w14:paraId="65AA01B9" w14:textId="77777777" w:rsidR="00CE7CD3" w:rsidRPr="00B10BEB" w:rsidRDefault="00CE7CD3" w:rsidP="00302DB0">
            <w:pPr>
              <w:pStyle w:val="Tiret1"/>
              <w:numPr>
                <w:ilvl w:val="0"/>
                <w:numId w:val="10"/>
              </w:numPr>
              <w:spacing w:before="60" w:after="60"/>
              <w:jc w:val="left"/>
              <w:rPr>
                <w:noProof/>
              </w:rPr>
            </w:pPr>
            <w:r w:rsidRPr="00B10BEB">
              <w:rPr>
                <w:noProof/>
              </w:rPr>
              <w:t>Munkaerő-felvételi költségek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F644" w14:textId="77E3AAF1" w:rsidR="00CE7CD3" w:rsidRPr="00B10BEB" w:rsidRDefault="00DC6661" w:rsidP="00871937">
            <w:pPr>
              <w:spacing w:before="60" w:after="60"/>
              <w:jc w:val="right"/>
              <w:rPr>
                <w:noProof/>
                <w:color w:val="000000"/>
              </w:rPr>
            </w:pPr>
            <w:r w:rsidRPr="00B10BEB">
              <w:rPr>
                <w:noProof/>
              </w:rPr>
              <w:t xml:space="preserve">799 857      </w:t>
            </w:r>
          </w:p>
        </w:tc>
      </w:tr>
      <w:tr w:rsidR="00CE7CD3" w:rsidRPr="00B10BEB" w14:paraId="7262F032" w14:textId="77777777" w:rsidTr="00871937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23738" w14:textId="7421D556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1.5.</w:t>
            </w:r>
            <w:r w:rsidRPr="00B10BEB">
              <w:rPr>
                <w:noProof/>
              </w:rPr>
              <w:tab/>
              <w:t>Tanulmányok, technikai segítségnyújtás az uniós vívmányok és cselekvési tervek megvalósításának támogatásához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D4CA9" w14:textId="510232C3" w:rsidR="00CE7CD3" w:rsidRPr="00B10BEB" w:rsidRDefault="00DC6661" w:rsidP="00871937">
            <w:pPr>
              <w:spacing w:before="60" w:after="60"/>
              <w:jc w:val="right"/>
              <w:rPr>
                <w:rFonts w:eastAsia="Times New Roman"/>
                <w:noProof/>
                <w:color w:val="E36C0A" w:themeColor="accent6" w:themeShade="BF"/>
              </w:rPr>
            </w:pPr>
            <w:r w:rsidRPr="00B10BEB">
              <w:rPr>
                <w:noProof/>
              </w:rPr>
              <w:t xml:space="preserve">370 000      </w:t>
            </w:r>
          </w:p>
        </w:tc>
      </w:tr>
      <w:tr w:rsidR="00CE7CD3" w:rsidRPr="00B10BEB" w14:paraId="46948ACC" w14:textId="77777777" w:rsidTr="00871937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6767B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2.</w:t>
            </w:r>
            <w:r w:rsidRPr="00B10BEB">
              <w:rPr>
                <w:noProof/>
              </w:rPr>
              <w:tab/>
              <w:t>Miniszteri Tanács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06FB" w14:textId="77777777" w:rsidR="00CE7CD3" w:rsidRPr="00B10BEB" w:rsidRDefault="00CE7CD3" w:rsidP="00871937">
            <w:pPr>
              <w:spacing w:before="60" w:after="60"/>
              <w:jc w:val="right"/>
              <w:rPr>
                <w:b/>
                <w:bCs/>
                <w:noProof/>
                <w:color w:val="000000"/>
              </w:rPr>
            </w:pPr>
          </w:p>
        </w:tc>
      </w:tr>
      <w:tr w:rsidR="00CE7CD3" w:rsidRPr="00B10BEB" w14:paraId="219D7DC0" w14:textId="77777777" w:rsidTr="00871937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961D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2.1.</w:t>
            </w:r>
            <w:r w:rsidRPr="00B10BEB">
              <w:rPr>
                <w:noProof/>
              </w:rPr>
              <w:tab/>
              <w:t>Ülések és konferenciák költségei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C6D9" w14:textId="5C6239AE" w:rsidR="00CE7CD3" w:rsidRPr="00B10BEB" w:rsidRDefault="000D22B9" w:rsidP="00871937">
            <w:pPr>
              <w:spacing w:before="60" w:after="60"/>
              <w:jc w:val="right"/>
              <w:rPr>
                <w:noProof/>
                <w:color w:val="000000"/>
              </w:rPr>
            </w:pPr>
            <w:r w:rsidRPr="00B10BEB">
              <w:rPr>
                <w:noProof/>
                <w:color w:val="000000" w:themeColor="text1"/>
              </w:rPr>
              <w:t xml:space="preserve">15 000      </w:t>
            </w:r>
          </w:p>
        </w:tc>
      </w:tr>
      <w:tr w:rsidR="00CE7CD3" w:rsidRPr="00B10BEB" w14:paraId="70B8238D" w14:textId="77777777" w:rsidTr="00871937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DFF99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3.</w:t>
            </w:r>
            <w:r w:rsidRPr="00B10BEB">
              <w:rPr>
                <w:noProof/>
              </w:rPr>
              <w:tab/>
              <w:t>Regionális irányítóbizottság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6A0D" w14:textId="77777777" w:rsidR="00CE7CD3" w:rsidRPr="00B10BEB" w:rsidRDefault="00CE7CD3" w:rsidP="00871937">
            <w:pPr>
              <w:spacing w:before="60" w:after="60"/>
              <w:jc w:val="right"/>
              <w:rPr>
                <w:b/>
                <w:bCs/>
                <w:noProof/>
                <w:color w:val="000000"/>
              </w:rPr>
            </w:pPr>
          </w:p>
        </w:tc>
      </w:tr>
      <w:tr w:rsidR="00CE7CD3" w:rsidRPr="00B10BEB" w14:paraId="22BB7007" w14:textId="77777777" w:rsidTr="00871937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8C637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3.1.</w:t>
            </w:r>
            <w:r w:rsidRPr="00B10BEB">
              <w:rPr>
                <w:noProof/>
              </w:rPr>
              <w:tab/>
              <w:t>Ülések és konferenciák költségei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1EB3" w14:textId="3F4BB60E" w:rsidR="00CE7CD3" w:rsidRPr="00B10BEB" w:rsidRDefault="000D22B9" w:rsidP="00871937">
            <w:pPr>
              <w:spacing w:before="60" w:after="60"/>
              <w:jc w:val="right"/>
              <w:rPr>
                <w:noProof/>
                <w:color w:val="000000"/>
              </w:rPr>
            </w:pPr>
            <w:r w:rsidRPr="00B10BEB">
              <w:rPr>
                <w:noProof/>
                <w:color w:val="000000" w:themeColor="text1"/>
              </w:rPr>
              <w:t xml:space="preserve">12 353      </w:t>
            </w:r>
          </w:p>
        </w:tc>
      </w:tr>
      <w:tr w:rsidR="00CE7CD3" w:rsidRPr="00B10BEB" w14:paraId="05F0DBA7" w14:textId="77777777" w:rsidTr="00A35702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57C76" w14:textId="77777777" w:rsidR="00CE7CD3" w:rsidRPr="00B10BEB" w:rsidRDefault="00CE7CD3" w:rsidP="00871937">
            <w:pPr>
              <w:pStyle w:val="Point0"/>
              <w:pageBreakBefore/>
              <w:spacing w:before="60" w:after="60"/>
              <w:ind w:left="851" w:hanging="851"/>
              <w:rPr>
                <w:noProof/>
              </w:rPr>
            </w:pPr>
            <w:r w:rsidRPr="00B10BEB">
              <w:rPr>
                <w:noProof/>
              </w:rPr>
              <w:t>4.</w:t>
            </w:r>
            <w:r w:rsidRPr="00B10BEB">
              <w:rPr>
                <w:noProof/>
              </w:rPr>
              <w:tab/>
              <w:t>Szakmai bizottságok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6C05" w14:textId="77777777" w:rsidR="00CE7CD3" w:rsidRPr="00B10BEB" w:rsidRDefault="00CE7CD3" w:rsidP="00871937">
            <w:pPr>
              <w:spacing w:before="60" w:after="60"/>
              <w:jc w:val="right"/>
              <w:rPr>
                <w:b/>
                <w:bCs/>
                <w:noProof/>
                <w:color w:val="000000"/>
              </w:rPr>
            </w:pPr>
          </w:p>
        </w:tc>
      </w:tr>
      <w:tr w:rsidR="00CE7CD3" w:rsidRPr="00B10BEB" w14:paraId="1C1DB81B" w14:textId="77777777" w:rsidTr="00A35702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555C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4.1.</w:t>
            </w:r>
            <w:r w:rsidRPr="00B10BEB">
              <w:rPr>
                <w:noProof/>
              </w:rPr>
              <w:tab/>
              <w:t>Ülések és konferenciák költségei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26D08" w14:textId="56941BDD" w:rsidR="00CE7CD3" w:rsidRPr="00B10BEB" w:rsidRDefault="000D22B9" w:rsidP="00871937">
            <w:pPr>
              <w:spacing w:before="60" w:after="60"/>
              <w:jc w:val="right"/>
              <w:rPr>
                <w:noProof/>
                <w:color w:val="000000"/>
              </w:rPr>
            </w:pPr>
            <w:r w:rsidRPr="00B10BEB">
              <w:rPr>
                <w:noProof/>
                <w:color w:val="000000" w:themeColor="text1"/>
              </w:rPr>
              <w:t xml:space="preserve">218 084      </w:t>
            </w:r>
          </w:p>
        </w:tc>
      </w:tr>
      <w:tr w:rsidR="00CE7CD3" w:rsidRPr="00B10BEB" w14:paraId="44B47202" w14:textId="77777777" w:rsidTr="00A35702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A260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5.</w:t>
            </w:r>
            <w:r w:rsidRPr="00B10BEB">
              <w:rPr>
                <w:noProof/>
              </w:rPr>
              <w:tab/>
              <w:t>Szociális fórum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0A0D" w14:textId="77777777" w:rsidR="00CE7CD3" w:rsidRPr="00B10BEB" w:rsidRDefault="00CE7CD3" w:rsidP="00871937">
            <w:pPr>
              <w:spacing w:before="60" w:after="60"/>
              <w:jc w:val="right"/>
              <w:rPr>
                <w:b/>
                <w:bCs/>
                <w:noProof/>
                <w:color w:val="000000"/>
              </w:rPr>
            </w:pPr>
          </w:p>
        </w:tc>
      </w:tr>
      <w:tr w:rsidR="00CE7CD3" w:rsidRPr="00B10BEB" w14:paraId="1C7A4DBE" w14:textId="77777777" w:rsidTr="00A35702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69609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5.1.</w:t>
            </w:r>
            <w:r w:rsidRPr="00B10BEB">
              <w:rPr>
                <w:noProof/>
              </w:rPr>
              <w:tab/>
              <w:t>Ülések és konferenciák költségei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B2E9" w14:textId="0AFDD2E4" w:rsidR="00CE7CD3" w:rsidRPr="00B10BEB" w:rsidRDefault="000D22B9" w:rsidP="00871937">
            <w:pPr>
              <w:spacing w:before="60" w:after="60"/>
              <w:jc w:val="right"/>
              <w:rPr>
                <w:noProof/>
                <w:color w:val="000000"/>
              </w:rPr>
            </w:pPr>
            <w:r w:rsidRPr="00B10BEB">
              <w:rPr>
                <w:noProof/>
                <w:color w:val="000000" w:themeColor="text1"/>
              </w:rPr>
              <w:t xml:space="preserve">9 808       </w:t>
            </w:r>
          </w:p>
        </w:tc>
      </w:tr>
      <w:tr w:rsidR="00CE7CD3" w:rsidRPr="00B10BEB" w14:paraId="49D15B6A" w14:textId="77777777" w:rsidTr="00A35702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353D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6.</w:t>
            </w:r>
            <w:r w:rsidRPr="00B10BEB">
              <w:rPr>
                <w:noProof/>
              </w:rPr>
              <w:tab/>
              <w:t>Költségvetési bizottság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1604" w14:textId="77777777" w:rsidR="00CE7CD3" w:rsidRPr="00B10BEB" w:rsidRDefault="00CE7CD3" w:rsidP="00871937">
            <w:pPr>
              <w:spacing w:before="60" w:after="60"/>
              <w:jc w:val="right"/>
              <w:rPr>
                <w:bCs/>
                <w:noProof/>
                <w:color w:val="000000"/>
              </w:rPr>
            </w:pPr>
          </w:p>
        </w:tc>
      </w:tr>
      <w:tr w:rsidR="00CE7CD3" w:rsidRPr="00B10BEB" w14:paraId="098C8EF0" w14:textId="77777777" w:rsidTr="00A35702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C1AD" w14:textId="77777777" w:rsidR="00CE7CD3" w:rsidRPr="00B10BEB" w:rsidRDefault="00CE7CD3" w:rsidP="00871937">
            <w:pPr>
              <w:pStyle w:val="Point0"/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6.1.</w:t>
            </w:r>
            <w:r w:rsidRPr="00B10BEB">
              <w:rPr>
                <w:noProof/>
              </w:rPr>
              <w:tab/>
              <w:t>Ülések és konferenciák költségei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17B0" w14:textId="469033FE" w:rsidR="00CE7CD3" w:rsidRPr="00B10BEB" w:rsidRDefault="00CB557C" w:rsidP="00871937">
            <w:pPr>
              <w:spacing w:before="60" w:after="60"/>
              <w:jc w:val="right"/>
              <w:rPr>
                <w:noProof/>
                <w:color w:val="000000"/>
              </w:rPr>
            </w:pPr>
            <w:r w:rsidRPr="00B10BEB">
              <w:rPr>
                <w:noProof/>
                <w:color w:val="000000" w:themeColor="text1"/>
              </w:rPr>
              <w:t xml:space="preserve">5 286      </w:t>
            </w:r>
          </w:p>
        </w:tc>
      </w:tr>
      <w:tr w:rsidR="00CE7CD3" w:rsidRPr="00B10BEB" w14:paraId="4CEC2BBF" w14:textId="77777777" w:rsidTr="00A35702">
        <w:trPr>
          <w:trHeight w:val="29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4320D" w14:textId="252775D6" w:rsidR="00CE7CD3" w:rsidRPr="00B10BEB" w:rsidRDefault="00CB557C" w:rsidP="00871937">
            <w:pPr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Részösszeg (a költségvetési tartalék nélkül)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104A5" w14:textId="3945D4C2" w:rsidR="00CE7CD3" w:rsidRPr="00B10BEB" w:rsidRDefault="00CB557C" w:rsidP="00871937">
            <w:pPr>
              <w:spacing w:before="60" w:after="60"/>
              <w:jc w:val="right"/>
              <w:rPr>
                <w:noProof/>
              </w:rPr>
            </w:pPr>
            <w:r w:rsidRPr="00B10BEB">
              <w:rPr>
                <w:noProof/>
              </w:rPr>
              <w:t xml:space="preserve">3 059 914       </w:t>
            </w:r>
          </w:p>
        </w:tc>
      </w:tr>
      <w:tr w:rsidR="00CE7CD3" w:rsidRPr="00B10BEB" w14:paraId="35CC03D6" w14:textId="77777777" w:rsidTr="00A35702">
        <w:trPr>
          <w:trHeight w:val="29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71741" w14:textId="5FBF529E" w:rsidR="00CE7CD3" w:rsidRPr="00B10BEB" w:rsidRDefault="00CE7CD3" w:rsidP="00871937">
            <w:pPr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Költségvetési tartalék (kb. 2 %)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3DC6C" w14:textId="49D16FF5" w:rsidR="00CE7CD3" w:rsidRPr="00B10BEB" w:rsidRDefault="00ED2895" w:rsidP="00871937">
            <w:pPr>
              <w:spacing w:before="60" w:after="60"/>
              <w:jc w:val="right"/>
              <w:rPr>
                <w:noProof/>
              </w:rPr>
            </w:pPr>
            <w:r w:rsidRPr="00B10BEB">
              <w:rPr>
                <w:noProof/>
              </w:rPr>
              <w:t xml:space="preserve">61 286      </w:t>
            </w:r>
          </w:p>
        </w:tc>
      </w:tr>
      <w:tr w:rsidR="00CE7CD3" w:rsidRPr="00B10BEB" w14:paraId="27029511" w14:textId="77777777" w:rsidTr="00A35702">
        <w:trPr>
          <w:trHeight w:val="29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F218" w14:textId="02C0EDD0" w:rsidR="00CE7CD3" w:rsidRPr="00B10BEB" w:rsidRDefault="00CB557C" w:rsidP="00871937">
            <w:pPr>
              <w:spacing w:before="60" w:after="60"/>
              <w:rPr>
                <w:noProof/>
              </w:rPr>
            </w:pPr>
            <w:r w:rsidRPr="00B10BEB">
              <w:rPr>
                <w:noProof/>
              </w:rPr>
              <w:t>Mindösszesen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7C41" w14:textId="683AECED" w:rsidR="00CE7CD3" w:rsidRPr="00B10BEB" w:rsidRDefault="00ED2895" w:rsidP="00871937">
            <w:pPr>
              <w:spacing w:before="60" w:after="60"/>
              <w:jc w:val="right"/>
              <w:rPr>
                <w:noProof/>
              </w:rPr>
            </w:pPr>
            <w:r w:rsidRPr="00B10BEB">
              <w:rPr>
                <w:noProof/>
              </w:rPr>
              <w:t xml:space="preserve">3 121 200      </w:t>
            </w:r>
          </w:p>
        </w:tc>
      </w:tr>
      <w:tr w:rsidR="00CE7CD3" w:rsidRPr="00B10BEB" w14:paraId="5797A909" w14:textId="77777777" w:rsidTr="00A35702">
        <w:trPr>
          <w:trHeight w:val="29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6B0AF" w14:textId="37A030CA" w:rsidR="00CE7CD3" w:rsidRPr="00B10BEB" w:rsidRDefault="00CE7CD3" w:rsidP="00871937">
            <w:pPr>
              <w:spacing w:before="60" w:after="60"/>
              <w:rPr>
                <w:rFonts w:eastAsia="Calibri"/>
                <w:noProof/>
              </w:rPr>
            </w:pPr>
            <w:r w:rsidRPr="00B10BEB">
              <w:rPr>
                <w:noProof/>
              </w:rPr>
              <w:t>Uniós hozzájárulás (a teljes összeg 80 %-a)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51732" w14:textId="21A342F7" w:rsidR="00CE7CD3" w:rsidRPr="00B10BEB" w:rsidRDefault="007B06EF" w:rsidP="00871937">
            <w:pPr>
              <w:spacing w:before="60" w:after="60"/>
              <w:jc w:val="right"/>
              <w:rPr>
                <w:rFonts w:eastAsia="Calibri"/>
                <w:noProof/>
              </w:rPr>
            </w:pPr>
            <w:r w:rsidRPr="00B10BEB">
              <w:rPr>
                <w:noProof/>
              </w:rPr>
              <w:t xml:space="preserve">2 496 960       </w:t>
            </w:r>
          </w:p>
        </w:tc>
      </w:tr>
      <w:tr w:rsidR="00CE7CD3" w:rsidRPr="00B10BEB" w14:paraId="6F29D7A6" w14:textId="77777777" w:rsidTr="00A35702">
        <w:trPr>
          <w:trHeight w:val="29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CB03C" w14:textId="0F4CCB22" w:rsidR="00CE7CD3" w:rsidRPr="00B10BEB" w:rsidRDefault="00CE7CD3" w:rsidP="00871937">
            <w:pPr>
              <w:spacing w:before="60" w:after="60"/>
              <w:rPr>
                <w:rFonts w:eastAsia="Calibri"/>
                <w:noProof/>
              </w:rPr>
            </w:pPr>
            <w:r w:rsidRPr="00B10BEB">
              <w:rPr>
                <w:noProof/>
              </w:rPr>
              <w:t>A délkelet-európai felek hozzájárulása (a teljes összeg 20 %-a: a szerződés V. melléklete tartalmazza az országok szerinti megoszlást)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D233" w14:textId="1019A32F" w:rsidR="00CE7CD3" w:rsidRPr="00B10BEB" w:rsidRDefault="001F4F9B" w:rsidP="00871937">
            <w:pPr>
              <w:spacing w:before="60" w:after="60"/>
              <w:jc w:val="right"/>
              <w:rPr>
                <w:rFonts w:eastAsia="Calibri"/>
                <w:noProof/>
              </w:rPr>
            </w:pPr>
            <w:r w:rsidRPr="00B10BEB">
              <w:rPr>
                <w:noProof/>
              </w:rPr>
              <w:t xml:space="preserve">624 240       </w:t>
            </w:r>
          </w:p>
        </w:tc>
      </w:tr>
      <w:tr w:rsidR="001F4F9B" w:rsidRPr="00B10BEB" w14:paraId="1C40729C" w14:textId="77777777" w:rsidTr="001F4F9B">
        <w:trPr>
          <w:trHeight w:val="802"/>
        </w:trPr>
        <w:tc>
          <w:tcPr>
            <w:tcW w:w="9776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47C2EE65" w14:textId="3D6DFF9A" w:rsidR="001F4F9B" w:rsidRPr="00B10BEB" w:rsidRDefault="00041395" w:rsidP="00A35702">
            <w:pPr>
              <w:spacing w:before="60" w:after="60"/>
              <w:jc w:val="left"/>
              <w:rPr>
                <w:rFonts w:eastAsia="Calibri"/>
                <w:noProof/>
              </w:rPr>
            </w:pPr>
            <w:r w:rsidRPr="00B10BEB">
              <w:rPr>
                <w:noProof/>
              </w:rPr>
              <w:t>2023-ról áthozott összegek (becslés)</w:t>
            </w:r>
            <w:r w:rsidRPr="00B10BEB">
              <w:rPr>
                <w:rStyle w:val="FootnoteReference"/>
                <w:rFonts w:eastAsia="Calibri"/>
                <w:noProof/>
                <w:lang w:eastAsia="en-GB"/>
              </w:rPr>
              <w:footnoteReference w:id="2"/>
            </w:r>
          </w:p>
        </w:tc>
      </w:tr>
      <w:tr w:rsidR="001F4F9B" w:rsidRPr="00B10BEB" w14:paraId="6A07001F" w14:textId="77777777" w:rsidTr="00A35702">
        <w:trPr>
          <w:trHeight w:val="29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A1E63" w14:textId="1F4F04E0" w:rsidR="001F4F9B" w:rsidRPr="00B10BEB" w:rsidRDefault="00041395" w:rsidP="00871937">
            <w:pPr>
              <w:spacing w:before="60" w:after="60"/>
              <w:rPr>
                <w:rFonts w:eastAsia="Calibri"/>
                <w:noProof/>
              </w:rPr>
            </w:pPr>
            <w:r w:rsidRPr="00B10BEB">
              <w:rPr>
                <w:noProof/>
              </w:rPr>
              <w:t>Tanulmányok, technikai segítségnyújtás az uniós vívmányok és cselekvési tervek megvalósításának támogatásához</w:t>
            </w:r>
            <w:r w:rsidRPr="00B10BEB">
              <w:rPr>
                <w:rStyle w:val="FootnoteReference"/>
                <w:noProof/>
              </w:rPr>
              <w:footnoteReference w:id="3"/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C8D56" w14:textId="64FA3D19" w:rsidR="001F4F9B" w:rsidRPr="00B10BEB" w:rsidRDefault="00724B0F" w:rsidP="00871937">
            <w:pPr>
              <w:spacing w:before="60" w:after="60"/>
              <w:jc w:val="right"/>
              <w:rPr>
                <w:rFonts w:eastAsia="Calibri"/>
                <w:noProof/>
              </w:rPr>
            </w:pPr>
            <w:r w:rsidRPr="00B10BEB">
              <w:rPr>
                <w:noProof/>
              </w:rPr>
              <w:t>510 000</w:t>
            </w:r>
          </w:p>
        </w:tc>
      </w:tr>
      <w:bookmarkEnd w:id="1"/>
    </w:tbl>
    <w:p w14:paraId="3342F570" w14:textId="77777777" w:rsidR="00CE7CD3" w:rsidRPr="00B10BEB" w:rsidRDefault="00CE7CD3" w:rsidP="00CE7CD3">
      <w:pPr>
        <w:pStyle w:val="Lignefinal"/>
        <w:rPr>
          <w:noProof/>
        </w:rPr>
      </w:pPr>
    </w:p>
    <w:p w14:paraId="729305F4" w14:textId="77777777" w:rsidR="001F4F9B" w:rsidRPr="00B10BEB" w:rsidRDefault="001F4F9B" w:rsidP="00A35702">
      <w:pPr>
        <w:rPr>
          <w:noProof/>
        </w:rPr>
      </w:pPr>
    </w:p>
    <w:p w14:paraId="2ACEA686" w14:textId="77777777" w:rsidR="00CE7CD3" w:rsidRPr="00B10BEB" w:rsidRDefault="00CE7CD3" w:rsidP="00CE7CD3">
      <w:pPr>
        <w:rPr>
          <w:noProof/>
        </w:rPr>
      </w:pPr>
    </w:p>
    <w:p w14:paraId="54D73E8A" w14:textId="77777777" w:rsidR="00CE7CD3" w:rsidRPr="00B10BEB" w:rsidRDefault="00CE7CD3" w:rsidP="00CE7CD3">
      <w:pPr>
        <w:spacing w:line="360" w:lineRule="auto"/>
        <w:jc w:val="center"/>
        <w:rPr>
          <w:rFonts w:eastAsia="Calibri"/>
          <w:noProof/>
          <w:szCs w:val="24"/>
        </w:rPr>
      </w:pPr>
    </w:p>
    <w:p w14:paraId="31D30F68" w14:textId="77777777" w:rsidR="00CD6518" w:rsidRPr="00B10BEB" w:rsidRDefault="00CD6518" w:rsidP="00CE7CD3">
      <w:pPr>
        <w:jc w:val="center"/>
        <w:rPr>
          <w:noProof/>
        </w:rPr>
      </w:pPr>
    </w:p>
    <w:sectPr w:rsidR="00CD6518" w:rsidRPr="00B10BEB" w:rsidSect="003904A6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29ACF" w14:textId="77777777" w:rsidR="00C43EF2" w:rsidRDefault="00C43EF2">
      <w:pPr>
        <w:spacing w:before="0" w:after="0"/>
      </w:pPr>
      <w:r>
        <w:separator/>
      </w:r>
    </w:p>
  </w:endnote>
  <w:endnote w:type="continuationSeparator" w:id="0">
    <w:p w14:paraId="5B53510A" w14:textId="77777777" w:rsidR="00C43EF2" w:rsidRDefault="00C43E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7FA3" w14:textId="0AAC853C" w:rsidR="00B10BEB" w:rsidRPr="003904A6" w:rsidRDefault="00B10BEB" w:rsidP="00390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4BAE" w14:textId="4AB75A20" w:rsidR="00B10BEB" w:rsidRPr="003904A6" w:rsidRDefault="003904A6" w:rsidP="003904A6">
    <w:pPr>
      <w:pStyle w:val="Footer"/>
      <w:rPr>
        <w:rFonts w:ascii="Arial" w:hAnsi="Arial" w:cs="Arial"/>
        <w:b/>
        <w:sz w:val="48"/>
      </w:rPr>
    </w:pPr>
    <w:r w:rsidRPr="003904A6">
      <w:rPr>
        <w:rFonts w:ascii="Arial" w:hAnsi="Arial" w:cs="Arial"/>
        <w:b/>
        <w:sz w:val="48"/>
      </w:rPr>
      <w:t>HU</w:t>
    </w:r>
    <w:r w:rsidRPr="003904A6">
      <w:rPr>
        <w:rFonts w:ascii="Arial" w:hAnsi="Arial" w:cs="Arial"/>
        <w:b/>
        <w:sz w:val="48"/>
      </w:rPr>
      <w:tab/>
    </w:r>
    <w:r w:rsidRPr="003904A6">
      <w:rPr>
        <w:rFonts w:ascii="Arial" w:hAnsi="Arial" w:cs="Arial"/>
        <w:b/>
        <w:sz w:val="48"/>
      </w:rPr>
      <w:tab/>
    </w:r>
    <w:r w:rsidRPr="003904A6">
      <w:tab/>
    </w:r>
    <w:r w:rsidRPr="003904A6"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2188A" w14:textId="77777777" w:rsidR="003904A6" w:rsidRPr="003904A6" w:rsidRDefault="003904A6" w:rsidP="003904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60E16" w14:textId="05BDF9A8" w:rsidR="003904A6" w:rsidRPr="003904A6" w:rsidRDefault="003904A6" w:rsidP="003904A6">
    <w:pPr>
      <w:pStyle w:val="Footer"/>
      <w:rPr>
        <w:rFonts w:ascii="Arial" w:hAnsi="Arial" w:cs="Arial"/>
        <w:b/>
        <w:sz w:val="48"/>
      </w:rPr>
    </w:pPr>
    <w:r w:rsidRPr="003904A6">
      <w:rPr>
        <w:rFonts w:ascii="Arial" w:hAnsi="Arial" w:cs="Arial"/>
        <w:b/>
        <w:sz w:val="48"/>
      </w:rPr>
      <w:t>HU</w:t>
    </w:r>
    <w:r w:rsidRPr="003904A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3904A6">
      <w:tab/>
    </w:r>
    <w:r w:rsidRPr="003904A6">
      <w:rPr>
        <w:rFonts w:ascii="Arial" w:hAnsi="Arial" w:cs="Arial"/>
        <w:b/>
        <w:sz w:val="48"/>
      </w:rPr>
      <w:t>HU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158E" w14:textId="77777777" w:rsidR="003904A6" w:rsidRPr="003904A6" w:rsidRDefault="003904A6" w:rsidP="00390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464B4" w14:textId="77777777" w:rsidR="00C43EF2" w:rsidRDefault="00C43EF2">
      <w:pPr>
        <w:spacing w:before="0" w:after="0"/>
      </w:pPr>
      <w:r>
        <w:separator/>
      </w:r>
    </w:p>
  </w:footnote>
  <w:footnote w:type="continuationSeparator" w:id="0">
    <w:p w14:paraId="05D4F835" w14:textId="77777777" w:rsidR="00C43EF2" w:rsidRDefault="00C43EF2">
      <w:pPr>
        <w:spacing w:before="0" w:after="0"/>
      </w:pPr>
      <w:r>
        <w:continuationSeparator/>
      </w:r>
    </w:p>
  </w:footnote>
  <w:footnote w:id="1">
    <w:p w14:paraId="6087287F" w14:textId="77777777" w:rsidR="00CE7CD3" w:rsidRPr="006B445F" w:rsidRDefault="00CE7CD3" w:rsidP="00CE7CD3">
      <w:pPr>
        <w:pStyle w:val="FootnoteText"/>
      </w:pPr>
      <w:r>
        <w:rPr>
          <w:rStyle w:val="FootnoteReference"/>
        </w:rPr>
        <w:footnoteRef/>
      </w:r>
      <w:r>
        <w:tab/>
        <w:t>HL L 278., 2017.10.27., 3. o.</w:t>
      </w:r>
    </w:p>
  </w:footnote>
  <w:footnote w:id="2">
    <w:p w14:paraId="3FF38E9D" w14:textId="12E7484F" w:rsidR="002D2B10" w:rsidRDefault="002D2B10" w:rsidP="00A35702"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A Közlekedési Közösség alkalmazandó pénzügyi szabályaival összhangban. Az áthozott összegek nem képezik részét a 2024-re előirányzott összegeknek</w:t>
      </w:r>
    </w:p>
  </w:footnote>
  <w:footnote w:id="3">
    <w:p w14:paraId="357AD9E5" w14:textId="6772B76E" w:rsidR="00041395" w:rsidRDefault="00041395" w:rsidP="00A35702"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A teljes összeget a 2023 negyedik negyedévében aláírt közbeszerzési eljárások és szolgáltatási szerződések megkötésekor kell meghatározni.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0F4F" w14:textId="77777777" w:rsidR="003904A6" w:rsidRPr="003904A6" w:rsidRDefault="003904A6" w:rsidP="00390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9934" w14:textId="77777777" w:rsidR="003904A6" w:rsidRPr="003904A6" w:rsidRDefault="003904A6" w:rsidP="00390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676F" w14:textId="77777777" w:rsidR="003904A6" w:rsidRPr="003904A6" w:rsidRDefault="003904A6" w:rsidP="00390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A26A56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6DCBE5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58636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D2BAD8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A60C4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C4414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63E5B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444E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2"/>
    <w:lvlOverride w:ilvl="0">
      <w:startOverride w:val="1"/>
    </w:lvlOverride>
  </w:num>
  <w:num w:numId="10">
    <w:abstractNumId w:val="12"/>
  </w:num>
  <w:num w:numId="11">
    <w:abstractNumId w:val="19"/>
  </w:num>
  <w:num w:numId="12">
    <w:abstractNumId w:val="12"/>
  </w:num>
  <w:num w:numId="13">
    <w:abstractNumId w:val="21"/>
  </w:num>
  <w:num w:numId="14">
    <w:abstractNumId w:val="11"/>
  </w:num>
  <w:num w:numId="15">
    <w:abstractNumId w:val="13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5"/>
  </w:num>
  <w:num w:numId="21">
    <w:abstractNumId w:val="17"/>
  </w:num>
  <w:num w:numId="22">
    <w:abstractNumId w:val="18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12"/>
  </w:num>
  <w:num w:numId="28">
    <w:abstractNumId w:val="21"/>
  </w:num>
  <w:num w:numId="29">
    <w:abstractNumId w:val="11"/>
  </w:num>
  <w:num w:numId="30">
    <w:abstractNumId w:val="13"/>
  </w:num>
  <w:num w:numId="31">
    <w:abstractNumId w:val="14"/>
  </w:num>
  <w:num w:numId="32">
    <w:abstractNumId w:val="9"/>
  </w:num>
  <w:num w:numId="33">
    <w:abstractNumId w:val="20"/>
  </w:num>
  <w:num w:numId="34">
    <w:abstractNumId w:val="8"/>
  </w:num>
  <w:num w:numId="35">
    <w:abstractNumId w:val="15"/>
  </w:num>
  <w:num w:numId="36">
    <w:abstractNumId w:val="17"/>
  </w:num>
  <w:num w:numId="37">
    <w:abstractNumId w:val="18"/>
  </w:num>
  <w:num w:numId="38">
    <w:abstractNumId w:val="10"/>
  </w:num>
  <w:num w:numId="39">
    <w:abstractNumId w:val="16"/>
  </w:num>
  <w:num w:numId="4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3-10-30 08:34:44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a következ\u337?höz:"/>
    <w:docVar w:name="LW_ACCOMPAGNANT.CP" w:val="a következőhöz: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B7D6A5D-2CDE-40BB-8CDD-C248E25C566E"/>
    <w:docVar w:name="LW_COVERPAGE_TYPE" w:val="1"/>
    <w:docVar w:name="LW_CROSSREFERENCE" w:val="&lt;UNUSED&gt;"/>
    <w:docVar w:name="LW_DocType" w:val="ANNEX"/>
    <w:docVar w:name="LW_EMISSION" w:val="2023.11.8."/>
    <w:docVar w:name="LW_EMISSION_ISODATE" w:val="2023-11-08"/>
    <w:docVar w:name="LW_EMISSION_LOCATION" w:val="BRX"/>
    <w:docVar w:name="LW_EMISSION_PREFIX" w:val="Brüsszel, "/>
    <w:docVar w:name="LW_EMISSION_SUFFIX" w:val=" "/>
    <w:docVar w:name="LW_ID_DOCSTRUCTURE" w:val="COM/ANNEX"/>
    <w:docVar w:name="LW_ID_DOCTYPE" w:val="SG-017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OBJETACTEPRINCIPAL" w:val="az Európai Unió által a Közlekedési Közösség regionális irányítóbizottságában a Közlekedési Közösség 2024. évi költségvetésének elfogadásával kapcsolatban képviselend\u337? álláspont meghatározásáról_x000d__x000d__x000d__x000d__x000d__x000d__x000d__x000d__x000d__x000b_"/>
    <w:docVar w:name="LW_OBJETACTEPRINCIPAL.CP" w:val="az Európai Unió által a Közlekedési Közösség regionális irányítóbizottságában a Közlekedési Közösség 2024. évi költségvetésének elfogadásával kapcsolatban képviselendő álláspont meghatározásáról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3) 695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MELLÉKLET"/>
    <w:docVar w:name="LW_TYPE.DOC.CP" w:val="MELLÉKLET"/>
    <w:docVar w:name="LW_TYPEACTEPRINCIPAL" w:val="Javaslat_x000b_A Tanács határozata"/>
    <w:docVar w:name="LW_TYPEACTEPRINCIPAL.CP" w:val="Javaslat_x000b_A Tanács határozata"/>
    <w:docVar w:name="LwApiVersions" w:val="LW4CoDe 1.23.2.0; LW 8.0, Build 20211117"/>
  </w:docVars>
  <w:rsids>
    <w:rsidRoot w:val="00CD6518"/>
    <w:rsid w:val="00041395"/>
    <w:rsid w:val="00050198"/>
    <w:rsid w:val="000A14F4"/>
    <w:rsid w:val="000B6D22"/>
    <w:rsid w:val="000D115C"/>
    <w:rsid w:val="000D22B9"/>
    <w:rsid w:val="00167121"/>
    <w:rsid w:val="001676B2"/>
    <w:rsid w:val="001800AB"/>
    <w:rsid w:val="001B396C"/>
    <w:rsid w:val="001F4F9B"/>
    <w:rsid w:val="00210960"/>
    <w:rsid w:val="00261DF2"/>
    <w:rsid w:val="002D2B10"/>
    <w:rsid w:val="002E20F7"/>
    <w:rsid w:val="002E597F"/>
    <w:rsid w:val="00302DB0"/>
    <w:rsid w:val="0033018C"/>
    <w:rsid w:val="003822FE"/>
    <w:rsid w:val="003904A6"/>
    <w:rsid w:val="003A2E82"/>
    <w:rsid w:val="003E0021"/>
    <w:rsid w:val="00402AA4"/>
    <w:rsid w:val="00417613"/>
    <w:rsid w:val="004405D5"/>
    <w:rsid w:val="00450E54"/>
    <w:rsid w:val="004B0DC4"/>
    <w:rsid w:val="004C5B0B"/>
    <w:rsid w:val="004F7108"/>
    <w:rsid w:val="00506834"/>
    <w:rsid w:val="005423F1"/>
    <w:rsid w:val="00571D61"/>
    <w:rsid w:val="0058354F"/>
    <w:rsid w:val="005979E4"/>
    <w:rsid w:val="005E53C8"/>
    <w:rsid w:val="005F609E"/>
    <w:rsid w:val="00642FBF"/>
    <w:rsid w:val="00652E3E"/>
    <w:rsid w:val="006A51E8"/>
    <w:rsid w:val="006E484D"/>
    <w:rsid w:val="006E5572"/>
    <w:rsid w:val="00724B0F"/>
    <w:rsid w:val="00765480"/>
    <w:rsid w:val="00765DA5"/>
    <w:rsid w:val="007733AE"/>
    <w:rsid w:val="007B06EF"/>
    <w:rsid w:val="007B1834"/>
    <w:rsid w:val="007C67DC"/>
    <w:rsid w:val="008400A8"/>
    <w:rsid w:val="00904E90"/>
    <w:rsid w:val="009057E3"/>
    <w:rsid w:val="0092122B"/>
    <w:rsid w:val="009242E1"/>
    <w:rsid w:val="00952DB8"/>
    <w:rsid w:val="00953BA4"/>
    <w:rsid w:val="009B76BA"/>
    <w:rsid w:val="00A206A1"/>
    <w:rsid w:val="00A319E0"/>
    <w:rsid w:val="00A35702"/>
    <w:rsid w:val="00A93A7E"/>
    <w:rsid w:val="00B10BEB"/>
    <w:rsid w:val="00B5322B"/>
    <w:rsid w:val="00B731E4"/>
    <w:rsid w:val="00C43EF2"/>
    <w:rsid w:val="00CB557C"/>
    <w:rsid w:val="00CC64BB"/>
    <w:rsid w:val="00CC7ACE"/>
    <w:rsid w:val="00CD6518"/>
    <w:rsid w:val="00CE0E3D"/>
    <w:rsid w:val="00CE7CD3"/>
    <w:rsid w:val="00D01D29"/>
    <w:rsid w:val="00D31388"/>
    <w:rsid w:val="00D3494A"/>
    <w:rsid w:val="00DC6661"/>
    <w:rsid w:val="00E36A5D"/>
    <w:rsid w:val="00E80F46"/>
    <w:rsid w:val="00EC0A00"/>
    <w:rsid w:val="00ED2895"/>
    <w:rsid w:val="00EF4927"/>
    <w:rsid w:val="00F72293"/>
    <w:rsid w:val="00FB099E"/>
    <w:rsid w:val="00FD1AFC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80369E7"/>
  <w15:docId w15:val="{F838213B-FDEF-4301-96AF-DD6095C5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u-HU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3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3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3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hu-H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ignefinal">
    <w:name w:val="Ligne final"/>
    <w:basedOn w:val="Normal"/>
    <w:next w:val="Normal"/>
    <w:rsid w:val="00CE7CD3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3904A6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904A6"/>
    <w:rPr>
      <w:rFonts w:ascii="Times New Roman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3904A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3904A6"/>
    <w:rPr>
      <w:rFonts w:ascii="Times New Roman" w:hAnsi="Times New Roman" w:cs="Times New Roman"/>
      <w:sz w:val="24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3904A6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3904A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3904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3904A6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3904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Tiret5">
    <w:name w:val="Tiret 5"/>
    <w:basedOn w:val="Point5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32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32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F3AF-F4A6-4FDF-8AD7-2C19FDC3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142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BORUTA Malgorzata (MOVE)</dc:creator>
  <cp:keywords/>
  <dc:description/>
  <cp:lastModifiedBy>EC CoDe</cp:lastModifiedBy>
  <cp:revision>23</cp:revision>
  <cp:lastPrinted>2023-06-28T11:23:00Z</cp:lastPrinted>
  <dcterms:created xsi:type="dcterms:W3CDTF">2023-10-04T11:44:00Z</dcterms:created>
  <dcterms:modified xsi:type="dcterms:W3CDTF">2023-10-30T07:34:00Z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2023-06-01T14:36:10Z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092858dd-78fe-47cc-b124-e15a1b021458</vt:lpwstr>
  </property>
  <property fmtid="{D5CDD505-2E9C-101B-9397-08002B2CF9AE}" pid="19" name="MSIP_Label_6bd9ddd1-4d20-43f6-abfa-fc3c07406f94_ContentBits">
    <vt:lpwstr>0</vt:lpwstr>
  </property>
  <property fmtid="{D5CDD505-2E9C-101B-9397-08002B2CF9AE}" pid="20" name="DQCStatus">
    <vt:lpwstr>Green (DQC version 03)</vt:lpwstr>
  </property>
</Properties>
</file>