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8F89C" w14:textId="3EA3F01B" w:rsidR="00544811" w:rsidRPr="00F537B9" w:rsidRDefault="004765B0" w:rsidP="004765B0">
      <w:pPr>
        <w:pStyle w:val="Pagedecouverture"/>
        <w:rPr>
          <w:noProof/>
        </w:rPr>
      </w:pPr>
      <w:r>
        <w:rPr>
          <w:noProof/>
        </w:rPr>
        <w:pict w14:anchorId="07DE1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5BD33E16-1B81-4AB9-B5BA-E590685834AD" style="width:455.25pt;height:355.5pt">
            <v:imagedata r:id="rId12" o:title=""/>
          </v:shape>
        </w:pict>
      </w:r>
    </w:p>
    <w:p w14:paraId="0606264F" w14:textId="77777777" w:rsidR="00544811" w:rsidRPr="00F537B9" w:rsidRDefault="00544811" w:rsidP="00544811">
      <w:pPr>
        <w:rPr>
          <w:noProof/>
        </w:rPr>
        <w:sectPr w:rsidR="00544811" w:rsidRPr="00F537B9" w:rsidSect="004765B0">
          <w:footerReference w:type="default" r:id="rId13"/>
          <w:pgSz w:w="11907" w:h="16839"/>
          <w:pgMar w:top="1134" w:right="1417" w:bottom="1134" w:left="1417" w:header="709" w:footer="709" w:gutter="0"/>
          <w:pgNumType w:start="0"/>
          <w:cols w:space="720"/>
          <w:docGrid w:linePitch="360"/>
        </w:sectPr>
      </w:pPr>
    </w:p>
    <w:p w14:paraId="34F84991" w14:textId="77777777" w:rsidR="00544811" w:rsidRPr="00F537B9" w:rsidRDefault="00544811">
      <w:pPr>
        <w:pStyle w:val="Exposdesmotifstitre"/>
        <w:rPr>
          <w:noProof/>
        </w:rPr>
      </w:pPr>
      <w:bookmarkStart w:id="0" w:name="_GoBack"/>
      <w:bookmarkEnd w:id="0"/>
      <w:r w:rsidRPr="00F537B9">
        <w:rPr>
          <w:noProof/>
        </w:rPr>
        <w:lastRenderedPageBreak/>
        <w:t>DÔVODOVÁ SPRÁVA</w:t>
      </w:r>
    </w:p>
    <w:p w14:paraId="342B013D" w14:textId="77777777" w:rsidR="00E07B7C" w:rsidRPr="00F537B9" w:rsidRDefault="00584D60" w:rsidP="00584D60">
      <w:pPr>
        <w:pStyle w:val="ManualHeading1"/>
        <w:rPr>
          <w:noProof/>
        </w:rPr>
      </w:pPr>
      <w:r w:rsidRPr="00F537B9">
        <w:rPr>
          <w:noProof/>
        </w:rPr>
        <w:t>1.</w:t>
      </w:r>
      <w:r w:rsidRPr="00F537B9">
        <w:rPr>
          <w:noProof/>
        </w:rPr>
        <w:tab/>
        <w:t>KONTEXT NÁVRHU</w:t>
      </w:r>
    </w:p>
    <w:p w14:paraId="70DB5886" w14:textId="559D3936" w:rsidR="00E07B7C" w:rsidRPr="00F537B9" w:rsidRDefault="00E07B7C" w:rsidP="00584D60">
      <w:pPr>
        <w:pStyle w:val="ManualHeading2"/>
        <w:rPr>
          <w:noProof/>
        </w:rPr>
      </w:pPr>
      <w:r w:rsidRPr="00F537B9">
        <w:rPr>
          <w:noProof/>
          <w:color w:val="000000"/>
          <w:u w:color="000000"/>
          <w:bdr w:val="nil"/>
        </w:rPr>
        <w:t>•</w:t>
      </w:r>
      <w:r w:rsidRPr="00F537B9">
        <w:rPr>
          <w:noProof/>
        </w:rPr>
        <w:tab/>
        <w:t>Dôvody</w:t>
      </w:r>
      <w:r w:rsidR="00F537B9">
        <w:rPr>
          <w:noProof/>
        </w:rPr>
        <w:t xml:space="preserve"> a </w:t>
      </w:r>
      <w:r w:rsidRPr="00F537B9">
        <w:rPr>
          <w:noProof/>
        </w:rPr>
        <w:t>ciele návrhu</w:t>
      </w:r>
    </w:p>
    <w:p w14:paraId="29E004F1" w14:textId="52B5DEA5" w:rsidR="006419EE" w:rsidRPr="00F537B9" w:rsidRDefault="00CC1DD4" w:rsidP="00CC1DD4">
      <w:pPr>
        <w:pBdr>
          <w:top w:val="nil"/>
          <w:left w:val="nil"/>
          <w:bottom w:val="nil"/>
          <w:right w:val="nil"/>
          <w:between w:val="nil"/>
          <w:bar w:val="nil"/>
        </w:pBdr>
        <w:spacing w:before="0" w:after="240"/>
        <w:rPr>
          <w:noProof/>
        </w:rPr>
      </w:pPr>
      <w:r w:rsidRPr="00F537B9">
        <w:rPr>
          <w:noProof/>
        </w:rPr>
        <w:t>Tento návrh je súčasťou balíka známeho pod názvom „Podnikanie</w:t>
      </w:r>
      <w:r w:rsidR="00F537B9">
        <w:rPr>
          <w:noProof/>
        </w:rPr>
        <w:t xml:space="preserve"> v </w:t>
      </w:r>
      <w:r w:rsidRPr="00F537B9">
        <w:rPr>
          <w:noProof/>
        </w:rPr>
        <w:t>Európe: rámec pre zdaňovanie príjmov“ alebo „BEFIT“. Balík okrem tohto návrhu</w:t>
      </w:r>
      <w:r w:rsidR="00F537B9">
        <w:rPr>
          <w:noProof/>
        </w:rPr>
        <w:t xml:space="preserve"> o </w:t>
      </w:r>
      <w:r w:rsidRPr="00F537B9">
        <w:rPr>
          <w:noProof/>
        </w:rPr>
        <w:t>transferovom oceňovaní, ktorým sa začleňujú kľúčové princípy transferového oceňovania do práva EÚ</w:t>
      </w:r>
      <w:r w:rsidR="00F537B9">
        <w:rPr>
          <w:noProof/>
        </w:rPr>
        <w:t xml:space="preserve"> s </w:t>
      </w:r>
      <w:r w:rsidRPr="00F537B9">
        <w:rPr>
          <w:noProof/>
        </w:rPr>
        <w:t>cieľom navrhnúť určité jednotné prístupy pre členské štáty, obsahuje druhý samostatný návrh, ktorým sa stanovuje spoločný súbor pravidiel pre výpočet základu dane veľkých skupín podnikov</w:t>
      </w:r>
      <w:r w:rsidR="00F537B9">
        <w:rPr>
          <w:noProof/>
        </w:rPr>
        <w:t xml:space="preserve"> v </w:t>
      </w:r>
      <w:r w:rsidRPr="00F537B9">
        <w:rPr>
          <w:noProof/>
        </w:rPr>
        <w:t>EÚ.</w:t>
      </w:r>
    </w:p>
    <w:p w14:paraId="122A598F" w14:textId="1004CC6C" w:rsidR="006419EE" w:rsidRPr="00F537B9" w:rsidRDefault="006419EE" w:rsidP="006419EE">
      <w:pPr>
        <w:rPr>
          <w:noProof/>
        </w:rPr>
      </w:pPr>
      <w:r w:rsidRPr="00F537B9">
        <w:rPr>
          <w:noProof/>
        </w:rPr>
        <w:t>Transferovým oceňovaním sa označuje stanovovanie cien transakcií medzi pridruženými podnikmi (t. j. členmi toho istého nadnárodného podniku), ktoré zahŕňajú prevod majetku alebo služieb. Významný objem celosvetového obchodu pozostáva</w:t>
      </w:r>
      <w:r w:rsidR="00F537B9">
        <w:rPr>
          <w:noProof/>
        </w:rPr>
        <w:t xml:space="preserve"> z </w:t>
      </w:r>
      <w:r w:rsidRPr="00F537B9">
        <w:rPr>
          <w:noProof/>
        </w:rPr>
        <w:t>medzinárodných prevodov tovaru</w:t>
      </w:r>
      <w:r w:rsidR="00F537B9">
        <w:rPr>
          <w:noProof/>
        </w:rPr>
        <w:t xml:space="preserve"> a </w:t>
      </w:r>
      <w:r w:rsidRPr="00F537B9">
        <w:rPr>
          <w:noProof/>
        </w:rPr>
        <w:t>služieb, kapitálu</w:t>
      </w:r>
      <w:r w:rsidR="00F537B9">
        <w:rPr>
          <w:noProof/>
        </w:rPr>
        <w:t xml:space="preserve"> a </w:t>
      </w:r>
      <w:r w:rsidRPr="00F537B9">
        <w:rPr>
          <w:noProof/>
        </w:rPr>
        <w:t>nehmotného majetku (ako je duševné vlastníctvo)</w:t>
      </w:r>
      <w:r w:rsidR="00F537B9">
        <w:rPr>
          <w:noProof/>
        </w:rPr>
        <w:t xml:space="preserve"> v </w:t>
      </w:r>
      <w:r w:rsidRPr="00F537B9">
        <w:rPr>
          <w:noProof/>
        </w:rPr>
        <w:t>rámci nadnárodného podniku; takéto prevody sa nazývajú „vnútroskupinové transakcie“.</w:t>
      </w:r>
    </w:p>
    <w:p w14:paraId="7DBA8BC7" w14:textId="00F7B955" w:rsidR="006419EE" w:rsidRPr="00F537B9" w:rsidRDefault="006419EE" w:rsidP="006419EE">
      <w:pPr>
        <w:rPr>
          <w:noProof/>
        </w:rPr>
      </w:pPr>
      <w:r w:rsidRPr="00F537B9">
        <w:rPr>
          <w:noProof/>
        </w:rPr>
        <w:t>Vnútroskupinové transakcie sa nemusia nevyhnutne riadiť trhom, ale môžu do značnej miery vychádzať zo spoločných záujmov skupiny ako celku. Keďže výpočet dane vo všeobecnosti vychádza</w:t>
      </w:r>
      <w:r w:rsidR="00F537B9">
        <w:rPr>
          <w:noProof/>
        </w:rPr>
        <w:t xml:space="preserve"> z </w:t>
      </w:r>
      <w:r w:rsidRPr="00F537B9">
        <w:rPr>
          <w:noProof/>
        </w:rPr>
        <w:t>účtovníctva na úrovni subjektov, ovplyvnia ceny alebo iné podmienky, za ktorých sa tieto vnútroskupinové transakcie uskutočňujú, príjmy a/alebo výdavky uvedených subjektov vo vzťahu</w:t>
      </w:r>
      <w:r w:rsidR="00F537B9">
        <w:rPr>
          <w:noProof/>
        </w:rPr>
        <w:t xml:space="preserve"> k </w:t>
      </w:r>
      <w:r w:rsidRPr="00F537B9">
        <w:rPr>
          <w:noProof/>
        </w:rPr>
        <w:t>týmto transakciám</w:t>
      </w:r>
      <w:r w:rsidR="00F537B9">
        <w:rPr>
          <w:noProof/>
        </w:rPr>
        <w:t xml:space="preserve"> a v </w:t>
      </w:r>
      <w:r w:rsidRPr="00F537B9">
        <w:rPr>
          <w:noProof/>
        </w:rPr>
        <w:t>dôsledku toho budú mať dosah na výšku zisku, ktorý každý subjekt skupiny na daňové účely vykazuje. Vyššia cena zvyšuje príjem predávajúceho</w:t>
      </w:r>
      <w:r w:rsidR="00F537B9">
        <w:rPr>
          <w:noProof/>
        </w:rPr>
        <w:t xml:space="preserve"> a </w:t>
      </w:r>
      <w:r w:rsidRPr="00F537B9">
        <w:rPr>
          <w:noProof/>
        </w:rPr>
        <w:t>znižuje príjem kupujúceho. Nižšia cena znižuje príjem predávajúceho</w:t>
      </w:r>
      <w:r w:rsidR="00F537B9">
        <w:rPr>
          <w:noProof/>
        </w:rPr>
        <w:t xml:space="preserve"> a </w:t>
      </w:r>
      <w:r w:rsidRPr="00F537B9">
        <w:rPr>
          <w:noProof/>
        </w:rPr>
        <w:t>zvyšuje príjem kupujúceho. Transferová cena preto ovplyvňuje základ dane krajiny predávajúceho aj krajiny kupujúceho, ktoré sa zúčastňujú na cezhraničnej transakcii.</w:t>
      </w:r>
    </w:p>
    <w:p w14:paraId="0DA24B0E" w14:textId="77777777" w:rsidR="00F537B9" w:rsidRDefault="006419EE" w:rsidP="006419EE">
      <w:pPr>
        <w:rPr>
          <w:noProof/>
        </w:rPr>
      </w:pPr>
      <w:r w:rsidRPr="00F537B9">
        <w:rPr>
          <w:noProof/>
        </w:rPr>
        <w:t>Preto je pre vnútroskupinové prevody dôležité stanoviť primeranú cenu, ktorá sa nazýva „transferová cena“. „Transferové oceňovanie“ je všeobecný pojem pre oceňovanie transakcií medzi spriaznenými osobami</w:t>
      </w:r>
      <w:r w:rsidR="00F537B9">
        <w:rPr>
          <w:noProof/>
        </w:rPr>
        <w:t>.</w:t>
      </w:r>
    </w:p>
    <w:p w14:paraId="7760E45E" w14:textId="4D706BA4" w:rsidR="00C17093" w:rsidRPr="00F537B9" w:rsidRDefault="000C02C1" w:rsidP="000C02C1">
      <w:pPr>
        <w:spacing w:before="0" w:after="160" w:line="259" w:lineRule="auto"/>
        <w:rPr>
          <w:noProof/>
        </w:rPr>
      </w:pPr>
      <w:r w:rsidRPr="00F537B9">
        <w:rPr>
          <w:noProof/>
        </w:rPr>
        <w:t>Podľa súčasných medzinárodných noriem, ktoré vypracovala Organizácia pre hospodársku spoluprácu</w:t>
      </w:r>
      <w:r w:rsidR="00F537B9">
        <w:rPr>
          <w:noProof/>
        </w:rPr>
        <w:t xml:space="preserve"> a </w:t>
      </w:r>
      <w:r w:rsidRPr="00F537B9">
        <w:rPr>
          <w:noProof/>
        </w:rPr>
        <w:t>rozvoj (OECD)</w:t>
      </w:r>
      <w:r w:rsidRPr="00F537B9">
        <w:rPr>
          <w:rStyle w:val="FootnoteReference"/>
          <w:noProof/>
        </w:rPr>
        <w:footnoteReference w:id="2"/>
      </w:r>
      <w:r w:rsidRPr="00F537B9">
        <w:rPr>
          <w:noProof/>
        </w:rPr>
        <w:t>, sa musia cezhraničné transakcie medzi prepojenými subjektmi nadnárodnej skupiny oceňovať na rovnakom základe ako transakcie medzi tretími stranami za porovnateľných okolností. Ide</w:t>
      </w:r>
      <w:r w:rsidR="00F537B9">
        <w:rPr>
          <w:noProof/>
        </w:rPr>
        <w:t xml:space="preserve"> o </w:t>
      </w:r>
      <w:r w:rsidRPr="00F537B9">
        <w:rPr>
          <w:noProof/>
        </w:rPr>
        <w:t>„princíp nezávislého vzťahu“</w:t>
      </w:r>
      <w:r w:rsidR="00F537B9">
        <w:rPr>
          <w:noProof/>
        </w:rPr>
        <w:t xml:space="preserve"> a </w:t>
      </w:r>
      <w:r w:rsidRPr="00F537B9">
        <w:rPr>
          <w:noProof/>
        </w:rPr>
        <w:t>vyjadruje ho článok 9 (Pridružené podniky) Modelovej zmluvy OECD</w:t>
      </w:r>
      <w:r w:rsidR="00F537B9">
        <w:rPr>
          <w:noProof/>
        </w:rPr>
        <w:t xml:space="preserve"> o </w:t>
      </w:r>
      <w:r w:rsidRPr="00F537B9">
        <w:rPr>
          <w:noProof/>
        </w:rPr>
        <w:t>zdaňovaní</w:t>
      </w:r>
      <w:r w:rsidRPr="00F537B9">
        <w:rPr>
          <w:rStyle w:val="FootnoteReference"/>
          <w:noProof/>
        </w:rPr>
        <w:footnoteReference w:id="3"/>
      </w:r>
      <w:r w:rsidRPr="00F537B9">
        <w:rPr>
          <w:noProof/>
        </w:rPr>
        <w:t>.</w:t>
      </w:r>
    </w:p>
    <w:p w14:paraId="5B25DD76" w14:textId="7A670BD7" w:rsidR="001A5218" w:rsidRPr="00F537B9" w:rsidRDefault="001A5218" w:rsidP="001A5218">
      <w:pPr>
        <w:pBdr>
          <w:top w:val="nil"/>
          <w:left w:val="nil"/>
          <w:bottom w:val="nil"/>
          <w:right w:val="nil"/>
          <w:between w:val="nil"/>
          <w:bar w:val="nil"/>
        </w:pBdr>
        <w:spacing w:before="0" w:after="240"/>
        <w:rPr>
          <w:noProof/>
        </w:rPr>
      </w:pPr>
      <w:r w:rsidRPr="00F537B9">
        <w:rPr>
          <w:noProof/>
        </w:rPr>
        <w:t>V článku 9 sa však nestanovujú podrobné pravidlá transferového oceňovania. OECD postupne vypracovala smernicu OECD</w:t>
      </w:r>
      <w:r w:rsidR="00F537B9">
        <w:rPr>
          <w:noProof/>
        </w:rPr>
        <w:t xml:space="preserve"> o </w:t>
      </w:r>
      <w:r w:rsidRPr="00F537B9">
        <w:rPr>
          <w:noProof/>
        </w:rPr>
        <w:t>transferovom oceňovaní</w:t>
      </w:r>
      <w:r w:rsidRPr="00F537B9">
        <w:rPr>
          <w:rStyle w:val="FootnoteReference"/>
          <w:noProof/>
        </w:rPr>
        <w:footnoteReference w:id="4"/>
      </w:r>
      <w:r w:rsidRPr="00F537B9">
        <w:rPr>
          <w:noProof/>
        </w:rPr>
        <w:t>,</w:t>
      </w:r>
      <w:r w:rsidR="00F537B9">
        <w:rPr>
          <w:noProof/>
        </w:rPr>
        <w:t xml:space="preserve"> v </w:t>
      </w:r>
      <w:r w:rsidRPr="00F537B9">
        <w:rPr>
          <w:noProof/>
        </w:rPr>
        <w:t>ktorej sa uvádzajú usmernenia</w:t>
      </w:r>
      <w:r w:rsidR="00F537B9">
        <w:rPr>
          <w:noProof/>
        </w:rPr>
        <w:t xml:space="preserve"> k </w:t>
      </w:r>
      <w:r w:rsidRPr="00F537B9">
        <w:rPr>
          <w:noProof/>
        </w:rPr>
        <w:t>významu</w:t>
      </w:r>
      <w:r w:rsidR="00F537B9">
        <w:rPr>
          <w:noProof/>
        </w:rPr>
        <w:t xml:space="preserve"> a </w:t>
      </w:r>
      <w:r w:rsidRPr="00F537B9">
        <w:rPr>
          <w:noProof/>
        </w:rPr>
        <w:t>uplatňovaniu princípu nezávislého vzťahu. Uvedená smernica bola vypracovaná ako nezáväzný nástroj</w:t>
      </w:r>
      <w:r w:rsidR="00F537B9">
        <w:rPr>
          <w:noProof/>
        </w:rPr>
        <w:t xml:space="preserve"> s </w:t>
      </w:r>
      <w:r w:rsidRPr="00F537B9">
        <w:rPr>
          <w:noProof/>
        </w:rPr>
        <w:t>cieľom pomôcť nadnárodným podnikom</w:t>
      </w:r>
      <w:r w:rsidR="00F537B9">
        <w:rPr>
          <w:noProof/>
        </w:rPr>
        <w:t xml:space="preserve"> a </w:t>
      </w:r>
      <w:r w:rsidRPr="00F537B9">
        <w:rPr>
          <w:noProof/>
        </w:rPr>
        <w:t>daňovým orgánom pri hľadaní riešení prípadov transferového oceňovania, ktoré by minimalizovali konflikty</w:t>
      </w:r>
      <w:r w:rsidR="00F537B9">
        <w:rPr>
          <w:noProof/>
        </w:rPr>
        <w:t xml:space="preserve"> a </w:t>
      </w:r>
      <w:r w:rsidRPr="00F537B9">
        <w:rPr>
          <w:noProof/>
        </w:rPr>
        <w:t>obmedzili počet súdnych sporov. Smernica OECD</w:t>
      </w:r>
      <w:r w:rsidR="00F537B9">
        <w:rPr>
          <w:noProof/>
        </w:rPr>
        <w:t xml:space="preserve"> o </w:t>
      </w:r>
      <w:r w:rsidRPr="00F537B9">
        <w:rPr>
          <w:noProof/>
        </w:rPr>
        <w:t>transferovom oceňovaní bola prvýkrát uverejnená</w:t>
      </w:r>
      <w:r w:rsidR="00F537B9">
        <w:rPr>
          <w:noProof/>
        </w:rPr>
        <w:t xml:space="preserve"> v </w:t>
      </w:r>
      <w:r w:rsidRPr="00F537B9">
        <w:rPr>
          <w:noProof/>
        </w:rPr>
        <w:t>roku 1995</w:t>
      </w:r>
      <w:r w:rsidR="00F537B9">
        <w:rPr>
          <w:noProof/>
        </w:rPr>
        <w:t xml:space="preserve"> a </w:t>
      </w:r>
      <w:r w:rsidRPr="00F537B9">
        <w:rPr>
          <w:noProof/>
        </w:rPr>
        <w:t>pravidelne sa aktualizuje.</w:t>
      </w:r>
    </w:p>
    <w:p w14:paraId="56ADE6AF" w14:textId="134FC9DC" w:rsidR="001A5218" w:rsidRPr="00F537B9" w:rsidRDefault="001A5218" w:rsidP="007D6613">
      <w:pPr>
        <w:pBdr>
          <w:top w:val="nil"/>
          <w:left w:val="nil"/>
          <w:bottom w:val="nil"/>
          <w:right w:val="nil"/>
          <w:between w:val="nil"/>
          <w:bar w:val="nil"/>
        </w:pBdr>
        <w:spacing w:before="0" w:after="240"/>
        <w:rPr>
          <w:noProof/>
        </w:rPr>
      </w:pPr>
      <w:r w:rsidRPr="00F537B9">
        <w:rPr>
          <w:noProof/>
        </w:rPr>
        <w:t>Platí, že článok 9 modelovej zmluvy OECD nezakladá vnútroštátny režim transferového oceňovania, ak princíp nezávislého vzťahu nebol začlenený do vnútroštátneho práva. Článok 9 sa totiž vo všeobecnosti nepovažuje za článok</w:t>
      </w:r>
      <w:r w:rsidR="00F537B9">
        <w:rPr>
          <w:noProof/>
        </w:rPr>
        <w:t xml:space="preserve"> s </w:t>
      </w:r>
      <w:r w:rsidRPr="00F537B9">
        <w:rPr>
          <w:noProof/>
        </w:rPr>
        <w:t>priamym účinkom, pokiaľ ide</w:t>
      </w:r>
      <w:r w:rsidR="00F537B9">
        <w:rPr>
          <w:noProof/>
        </w:rPr>
        <w:t xml:space="preserve"> o </w:t>
      </w:r>
      <w:r w:rsidRPr="00F537B9">
        <w:rPr>
          <w:noProof/>
        </w:rPr>
        <w:t>jeho vnútroštátne uplatňovanie. Jurisdikcie však zvyčajne majú zavedené vnútroštátne právne predpisy, ktorými sa zabezpečuje určitá harmonizácia základných princípov</w:t>
      </w:r>
      <w:r w:rsidR="00F537B9">
        <w:rPr>
          <w:noProof/>
        </w:rPr>
        <w:t xml:space="preserve"> v </w:t>
      </w:r>
      <w:r w:rsidRPr="00F537B9">
        <w:rPr>
          <w:noProof/>
        </w:rPr>
        <w:t>súlade</w:t>
      </w:r>
      <w:r w:rsidR="00F537B9">
        <w:rPr>
          <w:noProof/>
        </w:rPr>
        <w:t xml:space="preserve"> s </w:t>
      </w:r>
      <w:r w:rsidRPr="00F537B9">
        <w:rPr>
          <w:noProof/>
        </w:rPr>
        <w:t>kritériom nezávislého vzťahu, aj keď uplatňovanie nie je na celom svete rovnaké. Okrem toho môžu mať jurisdikcie zavedené vlastné administratívne usmernenia a/alebo právne predpisy</w:t>
      </w:r>
      <w:r w:rsidR="00F537B9">
        <w:rPr>
          <w:noProof/>
        </w:rPr>
        <w:t xml:space="preserve"> s </w:t>
      </w:r>
      <w:r w:rsidRPr="00F537B9">
        <w:rPr>
          <w:noProof/>
        </w:rPr>
        <w:t>cieľom lepšie vysvetliť vnútroštátne ustanovenia</w:t>
      </w:r>
      <w:r w:rsidR="00F537B9">
        <w:rPr>
          <w:noProof/>
        </w:rPr>
        <w:t xml:space="preserve"> a </w:t>
      </w:r>
      <w:r w:rsidRPr="00F537B9">
        <w:rPr>
          <w:noProof/>
        </w:rPr>
        <w:t>poskytnúť usmernenia týkajúce sa ich výkladu.</w:t>
      </w:r>
    </w:p>
    <w:p w14:paraId="6877BA36" w14:textId="1B1A4D29" w:rsidR="0022263E" w:rsidRPr="00F537B9" w:rsidRDefault="004C08F0" w:rsidP="000D0DB8">
      <w:pPr>
        <w:rPr>
          <w:noProof/>
        </w:rPr>
      </w:pPr>
      <w:r w:rsidRPr="00F537B9">
        <w:rPr>
          <w:noProof/>
        </w:rPr>
        <w:t>Dôvodom tohto návrhu je skutočnosť, že takmer všetky členské štáty sú takisto členmi OECD</w:t>
      </w:r>
      <w:r w:rsidRPr="00F537B9">
        <w:rPr>
          <w:rStyle w:val="FootnoteReference"/>
          <w:noProof/>
        </w:rPr>
        <w:footnoteReference w:id="5"/>
      </w:r>
      <w:r w:rsidRPr="00F537B9">
        <w:rPr>
          <w:noProof/>
        </w:rPr>
        <w:t>,</w:t>
      </w:r>
      <w:r w:rsidR="00F537B9">
        <w:rPr>
          <w:noProof/>
        </w:rPr>
        <w:t xml:space="preserve"> a </w:t>
      </w:r>
      <w:r w:rsidRPr="00F537B9">
        <w:rPr>
          <w:noProof/>
        </w:rPr>
        <w:t>preto sa zaviazali dodržiavať zásady</w:t>
      </w:r>
      <w:r w:rsidR="00F537B9">
        <w:rPr>
          <w:noProof/>
        </w:rPr>
        <w:t xml:space="preserve"> a </w:t>
      </w:r>
      <w:r w:rsidRPr="00F537B9">
        <w:rPr>
          <w:noProof/>
        </w:rPr>
        <w:t>odporúčania OECD. Napriek politickému záväzku väčšiny členských štátov sa však postavenie</w:t>
      </w:r>
      <w:r w:rsidR="00F537B9">
        <w:rPr>
          <w:noProof/>
        </w:rPr>
        <w:t xml:space="preserve"> a </w:t>
      </w:r>
      <w:r w:rsidRPr="00F537B9">
        <w:rPr>
          <w:noProof/>
        </w:rPr>
        <w:t>úloha smernice OECD</w:t>
      </w:r>
      <w:r w:rsidR="00F537B9">
        <w:rPr>
          <w:noProof/>
        </w:rPr>
        <w:t xml:space="preserve"> o </w:t>
      </w:r>
      <w:r w:rsidRPr="00F537B9">
        <w:rPr>
          <w:noProof/>
        </w:rPr>
        <w:t>transferovom oceňovaní</w:t>
      </w:r>
      <w:r w:rsidR="00F537B9">
        <w:rPr>
          <w:noProof/>
        </w:rPr>
        <w:t xml:space="preserve"> v </w:t>
      </w:r>
      <w:r w:rsidRPr="00F537B9">
        <w:rPr>
          <w:noProof/>
        </w:rPr>
        <w:t>súčasnosti</w:t>
      </w:r>
      <w:r w:rsidR="00F537B9">
        <w:rPr>
          <w:noProof/>
        </w:rPr>
        <w:t xml:space="preserve"> v </w:t>
      </w:r>
      <w:r w:rsidRPr="00F537B9">
        <w:rPr>
          <w:noProof/>
        </w:rPr>
        <w:t>jednotlivých členských štátoch líši. Okrem toho na úrovni Únie nie sú pravidlá transferového oceňovania</w:t>
      </w:r>
      <w:r w:rsidR="00F537B9">
        <w:rPr>
          <w:noProof/>
        </w:rPr>
        <w:t xml:space="preserve"> v </w:t>
      </w:r>
      <w:r w:rsidRPr="00F537B9">
        <w:rPr>
          <w:noProof/>
        </w:rPr>
        <w:t>súčasnosti harmonizované prostredníctvom legislatívnych aktov, hoci všetky členské štáty majú zavedené vnútroštátne právne predpisy, ktorými sa stanovuje jednotný prístup</w:t>
      </w:r>
      <w:r w:rsidR="00F537B9">
        <w:rPr>
          <w:noProof/>
        </w:rPr>
        <w:t xml:space="preserve"> k </w:t>
      </w:r>
      <w:r w:rsidRPr="00F537B9">
        <w:rPr>
          <w:noProof/>
        </w:rPr>
        <w:t>základným princípom. Nie je to však úplne zosúladené. Skutočnosť, že každý členský štát má veľkú diskrečnú právomoc pri výklade</w:t>
      </w:r>
      <w:r w:rsidR="00F537B9">
        <w:rPr>
          <w:noProof/>
        </w:rPr>
        <w:t xml:space="preserve"> a </w:t>
      </w:r>
      <w:r w:rsidRPr="00F537B9">
        <w:rPr>
          <w:noProof/>
        </w:rPr>
        <w:t>uplatňovaní smernice OECD</w:t>
      </w:r>
      <w:r w:rsidR="00F537B9">
        <w:rPr>
          <w:noProof/>
        </w:rPr>
        <w:t xml:space="preserve"> o </w:t>
      </w:r>
      <w:r w:rsidRPr="00F537B9">
        <w:rPr>
          <w:noProof/>
        </w:rPr>
        <w:t>transferovom oceňovaní, vytvára zložitú situáciu</w:t>
      </w:r>
      <w:r w:rsidR="00F537B9">
        <w:rPr>
          <w:noProof/>
        </w:rPr>
        <w:t xml:space="preserve"> a </w:t>
      </w:r>
      <w:r w:rsidRPr="00F537B9">
        <w:rPr>
          <w:noProof/>
        </w:rPr>
        <w:t>nerovnaké podmienky pre podniky.</w:t>
      </w:r>
    </w:p>
    <w:p w14:paraId="1C17EAAD" w14:textId="2498F52E" w:rsidR="00F537B9" w:rsidRDefault="007D6613" w:rsidP="002650A8">
      <w:pPr>
        <w:pBdr>
          <w:top w:val="nil"/>
          <w:left w:val="nil"/>
          <w:bottom w:val="nil"/>
          <w:right w:val="nil"/>
          <w:between w:val="nil"/>
          <w:bar w:val="nil"/>
        </w:pBdr>
        <w:spacing w:before="0" w:after="240"/>
        <w:rPr>
          <w:noProof/>
        </w:rPr>
      </w:pPr>
      <w:r w:rsidRPr="00F537B9">
        <w:rPr>
          <w:noProof/>
        </w:rPr>
        <w:t>Vnútroštátne právne predpisy členských štátov napríklad obsahujú rozdiely vo vymedzení pojmu „pridružené podniky“,</w:t>
      </w:r>
      <w:r w:rsidR="00F537B9">
        <w:rPr>
          <w:noProof/>
        </w:rPr>
        <w:t xml:space="preserve"> a </w:t>
      </w:r>
      <w:r w:rsidRPr="00F537B9">
        <w:rPr>
          <w:noProof/>
        </w:rPr>
        <w:t>najmä</w:t>
      </w:r>
      <w:r w:rsidR="00F537B9">
        <w:rPr>
          <w:noProof/>
        </w:rPr>
        <w:t xml:space="preserve"> v </w:t>
      </w:r>
      <w:r w:rsidRPr="00F537B9">
        <w:rPr>
          <w:noProof/>
        </w:rPr>
        <w:t>pojme „kontrola“, čo je spravidla podmienkou uplatňovania transferového oceňovania. Keď ide</w:t>
      </w:r>
      <w:r w:rsidR="00F537B9">
        <w:rPr>
          <w:noProof/>
        </w:rPr>
        <w:t xml:space="preserve"> o </w:t>
      </w:r>
      <w:r w:rsidRPr="00F537B9">
        <w:rPr>
          <w:noProof/>
        </w:rPr>
        <w:t>určenie, či je splnené kritérium kontroly, niektoré členské štáty uplatňujú mieru účasti 25</w:t>
      </w:r>
      <w:r w:rsidR="00F537B9">
        <w:rPr>
          <w:noProof/>
        </w:rPr>
        <w:t> %</w:t>
      </w:r>
      <w:r w:rsidRPr="00F537B9">
        <w:rPr>
          <w:noProof/>
        </w:rPr>
        <w:t>, zatiaľ čo iné uplatňujú mieru účasti 50</w:t>
      </w:r>
      <w:r w:rsidR="00F537B9">
        <w:rPr>
          <w:noProof/>
        </w:rPr>
        <w:t> %</w:t>
      </w:r>
      <w:r w:rsidRPr="00F537B9">
        <w:rPr>
          <w:noProof/>
        </w:rPr>
        <w:t>. To sa premieta do daňovej neistoty podnikov, vysokých nákladov na dodržiavanie predpisov, ako aj do častých, časovo náročných právnych sporov, ktoré okrem iného vedú</w:t>
      </w:r>
      <w:r w:rsidR="00F537B9">
        <w:rPr>
          <w:noProof/>
        </w:rPr>
        <w:t xml:space="preserve"> k </w:t>
      </w:r>
      <w:r w:rsidRPr="00F537B9">
        <w:rPr>
          <w:noProof/>
        </w:rPr>
        <w:t>značným sumám právnych poplatkov</w:t>
      </w:r>
      <w:r w:rsidR="00F537B9">
        <w:rPr>
          <w:noProof/>
        </w:rPr>
        <w:t xml:space="preserve"> a </w:t>
      </w:r>
      <w:r w:rsidRPr="00F537B9">
        <w:rPr>
          <w:noProof/>
        </w:rPr>
        <w:t>vytvárajú prekážky pre cezhraničné operácie</w:t>
      </w:r>
      <w:r w:rsidR="00F537B9">
        <w:rPr>
          <w:noProof/>
        </w:rPr>
        <w:t xml:space="preserve"> a </w:t>
      </w:r>
      <w:r w:rsidRPr="00F537B9">
        <w:rPr>
          <w:noProof/>
        </w:rPr>
        <w:t>vysoké riziko dvojitého a/alebo nadmerného zdanenia</w:t>
      </w:r>
      <w:r w:rsidR="00F537B9">
        <w:rPr>
          <w:noProof/>
        </w:rPr>
        <w:t>.</w:t>
      </w:r>
    </w:p>
    <w:p w14:paraId="04862C7F" w14:textId="51002739" w:rsidR="00F537B9" w:rsidRDefault="0090436F" w:rsidP="0090436F">
      <w:pPr>
        <w:rPr>
          <w:noProof/>
        </w:rPr>
      </w:pPr>
      <w:r w:rsidRPr="00F537B9">
        <w:rPr>
          <w:noProof/>
        </w:rPr>
        <w:t>Riziko dvojitého zdanenia</w:t>
      </w:r>
      <w:r w:rsidR="00F537B9">
        <w:rPr>
          <w:noProof/>
        </w:rPr>
        <w:t xml:space="preserve"> a </w:t>
      </w:r>
      <w:r w:rsidRPr="00F537B9">
        <w:rPr>
          <w:noProof/>
        </w:rPr>
        <w:t>nadmerného zdanenia pre podniky pôsobiace na cezhraničnej úrovni vedie</w:t>
      </w:r>
      <w:r w:rsidR="00F537B9">
        <w:rPr>
          <w:noProof/>
        </w:rPr>
        <w:t xml:space="preserve"> k </w:t>
      </w:r>
      <w:r w:rsidRPr="00F537B9">
        <w:rPr>
          <w:noProof/>
        </w:rPr>
        <w:t>nedostatku daňovej istoty</w:t>
      </w:r>
      <w:r w:rsidR="00F537B9">
        <w:rPr>
          <w:noProof/>
        </w:rPr>
        <w:t xml:space="preserve"> v </w:t>
      </w:r>
      <w:r w:rsidRPr="00F537B9">
        <w:rPr>
          <w:noProof/>
        </w:rPr>
        <w:t>dôsledku možných daňových sporov</w:t>
      </w:r>
      <w:r w:rsidRPr="00F537B9">
        <w:rPr>
          <w:rStyle w:val="FootnoteReference"/>
          <w:noProof/>
        </w:rPr>
        <w:footnoteReference w:id="6"/>
      </w:r>
      <w:r w:rsidRPr="00F537B9">
        <w:rPr>
          <w:noProof/>
        </w:rPr>
        <w:t xml:space="preserve"> medzi daňovými správami rôznych členských štátov</w:t>
      </w:r>
      <w:r w:rsidR="00F537B9">
        <w:rPr>
          <w:noProof/>
        </w:rPr>
        <w:t xml:space="preserve"> v </w:t>
      </w:r>
      <w:r w:rsidRPr="00F537B9">
        <w:rPr>
          <w:noProof/>
        </w:rPr>
        <w:t>prípadoch, keď majú rozdielne názory na to, ako pristupovať ku konkrétnej transakcii</w:t>
      </w:r>
      <w:r w:rsidR="00F537B9">
        <w:rPr>
          <w:noProof/>
        </w:rPr>
        <w:t xml:space="preserve"> v </w:t>
      </w:r>
      <w:r w:rsidRPr="00F537B9">
        <w:rPr>
          <w:noProof/>
        </w:rPr>
        <w:t>rámci svojho režimu dane</w:t>
      </w:r>
      <w:r w:rsidR="00F537B9">
        <w:rPr>
          <w:noProof/>
        </w:rPr>
        <w:t xml:space="preserve"> z </w:t>
      </w:r>
      <w:r w:rsidRPr="00F537B9">
        <w:rPr>
          <w:noProof/>
        </w:rPr>
        <w:t>príjmov právnických osôb.</w:t>
      </w:r>
      <w:r w:rsidR="00F537B9">
        <w:rPr>
          <w:noProof/>
        </w:rPr>
        <w:t xml:space="preserve"> V </w:t>
      </w:r>
      <w:r w:rsidRPr="00F537B9">
        <w:rPr>
          <w:noProof/>
        </w:rPr>
        <w:t>stále globalizovanejšom</w:t>
      </w:r>
      <w:r w:rsidR="00F537B9">
        <w:rPr>
          <w:noProof/>
        </w:rPr>
        <w:t xml:space="preserve"> a </w:t>
      </w:r>
      <w:r w:rsidRPr="00F537B9">
        <w:rPr>
          <w:noProof/>
        </w:rPr>
        <w:t>konkurencieschopnejšom svetovom hospodárstve existuje zvýšená potreba väčšej daňovej istoty na jednotnom trhu. Niektoré podniky sa preto</w:t>
      </w:r>
      <w:r w:rsidR="00F537B9">
        <w:rPr>
          <w:noProof/>
        </w:rPr>
        <w:t xml:space="preserve"> v </w:t>
      </w:r>
      <w:r w:rsidRPr="00F537B9">
        <w:rPr>
          <w:noProof/>
        </w:rPr>
        <w:t>snahe zvýšiť daňovú istotu</w:t>
      </w:r>
      <w:r w:rsidR="00F537B9">
        <w:rPr>
          <w:noProof/>
        </w:rPr>
        <w:t xml:space="preserve"> v </w:t>
      </w:r>
      <w:r w:rsidRPr="00F537B9">
        <w:rPr>
          <w:noProof/>
        </w:rPr>
        <w:t>súvislosti so svojimi daňovými záležitosťami snažia od daňového orgánu získať záväzné daňové stanoviská, pokiaľ ide</w:t>
      </w:r>
      <w:r w:rsidR="00F537B9">
        <w:rPr>
          <w:noProof/>
        </w:rPr>
        <w:t xml:space="preserve"> o </w:t>
      </w:r>
      <w:r w:rsidRPr="00F537B9">
        <w:rPr>
          <w:noProof/>
        </w:rPr>
        <w:t>to, ako pristupovať</w:t>
      </w:r>
      <w:r w:rsidR="00F537B9">
        <w:rPr>
          <w:noProof/>
        </w:rPr>
        <w:t xml:space="preserve"> k </w:t>
      </w:r>
      <w:r w:rsidRPr="00F537B9">
        <w:rPr>
          <w:noProof/>
        </w:rPr>
        <w:t>určitým transakciám. Ak je však záväzné daňové stanovisko jednostranné, ostatné dotknuté členské štáty môžu schválený prístup</w:t>
      </w:r>
      <w:r w:rsidR="00F537B9">
        <w:rPr>
          <w:noProof/>
        </w:rPr>
        <w:t xml:space="preserve"> k </w:t>
      </w:r>
      <w:r w:rsidRPr="00F537B9">
        <w:rPr>
          <w:noProof/>
        </w:rPr>
        <w:t>takýmto transakciám napadnúť. Preto aj</w:t>
      </w:r>
      <w:r w:rsidR="00F537B9">
        <w:rPr>
          <w:noProof/>
        </w:rPr>
        <w:t xml:space="preserve"> v </w:t>
      </w:r>
      <w:r w:rsidRPr="00F537B9">
        <w:rPr>
          <w:noProof/>
        </w:rPr>
        <w:t>prípade získania jednostranného záväzného daňového stanoviska existuje reálne riziko daňových sporov</w:t>
      </w:r>
      <w:r w:rsidR="00F537B9">
        <w:rPr>
          <w:noProof/>
        </w:rPr>
        <w:t xml:space="preserve"> a </w:t>
      </w:r>
      <w:r w:rsidRPr="00F537B9">
        <w:rPr>
          <w:noProof/>
        </w:rPr>
        <w:t>možného dvojitého alebo nadmerného zdanenia</w:t>
      </w:r>
      <w:r w:rsidR="00F537B9">
        <w:rPr>
          <w:noProof/>
        </w:rPr>
        <w:t>.</w:t>
      </w:r>
    </w:p>
    <w:p w14:paraId="1CA7E5CA" w14:textId="7054E0C0" w:rsidR="00070247" w:rsidRPr="00F537B9" w:rsidRDefault="00070247" w:rsidP="00070247">
      <w:pPr>
        <w:rPr>
          <w:noProof/>
        </w:rPr>
      </w:pPr>
      <w:r w:rsidRPr="00F537B9">
        <w:rPr>
          <w:noProof/>
        </w:rPr>
        <w:t>Zložitosť pravidiel transferového oceňovania</w:t>
      </w:r>
      <w:r w:rsidR="00F537B9">
        <w:rPr>
          <w:noProof/>
        </w:rPr>
        <w:t xml:space="preserve"> a </w:t>
      </w:r>
      <w:r w:rsidRPr="00F537B9">
        <w:rPr>
          <w:noProof/>
        </w:rPr>
        <w:t>ich rozdielne vykonávanie vo vnútroštátnom práve členských štátov spôsobuje niekoľko ďalších problémov:</w:t>
      </w:r>
    </w:p>
    <w:p w14:paraId="7027335F" w14:textId="12355E3E" w:rsidR="00070247" w:rsidRPr="00F537B9" w:rsidRDefault="00070247" w:rsidP="005773EB">
      <w:pPr>
        <w:pStyle w:val="Tiret0"/>
        <w:numPr>
          <w:ilvl w:val="0"/>
          <w:numId w:val="17"/>
        </w:numPr>
        <w:rPr>
          <w:noProof/>
        </w:rPr>
      </w:pPr>
      <w:r w:rsidRPr="00F537B9">
        <w:rPr>
          <w:b/>
          <w:noProof/>
        </w:rPr>
        <w:t>Presun ziskov</w:t>
      </w:r>
      <w:r w:rsidR="00F537B9">
        <w:rPr>
          <w:b/>
          <w:noProof/>
        </w:rPr>
        <w:t xml:space="preserve"> a </w:t>
      </w:r>
      <w:r w:rsidRPr="00F537B9">
        <w:rPr>
          <w:b/>
          <w:noProof/>
        </w:rPr>
        <w:t>vyhýbanie sa daňovým povinnostiam</w:t>
      </w:r>
      <w:r w:rsidRPr="00F537B9">
        <w:rPr>
          <w:rStyle w:val="FootnoteReference"/>
          <w:noProof/>
        </w:rPr>
        <w:footnoteReference w:id="7"/>
      </w:r>
      <w:r w:rsidRPr="00F537B9">
        <w:rPr>
          <w:noProof/>
        </w:rPr>
        <w:t>:</w:t>
      </w:r>
      <w:r w:rsidR="00F537B9">
        <w:rPr>
          <w:noProof/>
        </w:rPr>
        <w:t xml:space="preserve"> s </w:t>
      </w:r>
      <w:r w:rsidRPr="00F537B9">
        <w:rPr>
          <w:noProof/>
        </w:rPr>
        <w:t>transferovými cenami možno jednoducho manipulovať</w:t>
      </w:r>
      <w:r w:rsidR="00F537B9">
        <w:rPr>
          <w:noProof/>
        </w:rPr>
        <w:t xml:space="preserve"> s </w:t>
      </w:r>
      <w:r w:rsidRPr="00F537B9">
        <w:rPr>
          <w:noProof/>
        </w:rPr>
        <w:t>cieľom presunúť zisk</w:t>
      </w:r>
      <w:r w:rsidR="00F537B9">
        <w:rPr>
          <w:noProof/>
        </w:rPr>
        <w:t xml:space="preserve"> a </w:t>
      </w:r>
      <w:r w:rsidRPr="00F537B9">
        <w:rPr>
          <w:noProof/>
        </w:rPr>
        <w:t>možno ich použiť</w:t>
      </w:r>
      <w:r w:rsidR="00F537B9">
        <w:rPr>
          <w:noProof/>
        </w:rPr>
        <w:t xml:space="preserve"> v </w:t>
      </w:r>
      <w:r w:rsidRPr="00F537B9">
        <w:rPr>
          <w:noProof/>
        </w:rPr>
        <w:t>kontexte operácií agresívneho daňového plánovania.</w:t>
      </w:r>
    </w:p>
    <w:p w14:paraId="195EE970" w14:textId="4F25D276" w:rsidR="00F537B9" w:rsidRDefault="00070247" w:rsidP="00070247">
      <w:pPr>
        <w:pStyle w:val="Tiret0"/>
        <w:rPr>
          <w:noProof/>
        </w:rPr>
      </w:pPr>
      <w:r w:rsidRPr="00F537B9">
        <w:rPr>
          <w:b/>
          <w:noProof/>
        </w:rPr>
        <w:t>Súdne spory</w:t>
      </w:r>
      <w:r w:rsidRPr="00F537B9">
        <w:rPr>
          <w:rStyle w:val="FootnoteReference"/>
          <w:noProof/>
        </w:rPr>
        <w:footnoteReference w:id="8"/>
      </w:r>
      <w:r w:rsidR="00F537B9">
        <w:rPr>
          <w:noProof/>
        </w:rPr>
        <w:t xml:space="preserve"> a </w:t>
      </w:r>
      <w:r w:rsidRPr="00F537B9">
        <w:rPr>
          <w:b/>
          <w:noProof/>
        </w:rPr>
        <w:t>dvojité zdanenie</w:t>
      </w:r>
      <w:r w:rsidRPr="00F537B9">
        <w:rPr>
          <w:rStyle w:val="FootnoteReference"/>
          <w:noProof/>
        </w:rPr>
        <w:footnoteReference w:id="9"/>
      </w:r>
      <w:r w:rsidRPr="00F537B9">
        <w:rPr>
          <w:noProof/>
        </w:rPr>
        <w:t>: transferové oceňovanie je subjektívnejšie ako iné oblasti priameho</w:t>
      </w:r>
      <w:r w:rsidR="00F537B9">
        <w:rPr>
          <w:noProof/>
        </w:rPr>
        <w:t xml:space="preserve"> a </w:t>
      </w:r>
      <w:r w:rsidRPr="00F537B9">
        <w:rPr>
          <w:noProof/>
        </w:rPr>
        <w:t>nepriameho zdaňovania</w:t>
      </w:r>
      <w:r w:rsidR="00F537B9">
        <w:rPr>
          <w:noProof/>
        </w:rPr>
        <w:t xml:space="preserve"> a z </w:t>
      </w:r>
      <w:r w:rsidRPr="00F537B9">
        <w:rPr>
          <w:noProof/>
        </w:rPr>
        <w:t>tohto dôvodu je citlivé na spory, pretože daňové správy nemajú vždy spoločný záujem</w:t>
      </w:r>
      <w:r w:rsidR="00F537B9">
        <w:rPr>
          <w:noProof/>
        </w:rPr>
        <w:t xml:space="preserve"> a </w:t>
      </w:r>
      <w:r w:rsidRPr="00F537B9">
        <w:rPr>
          <w:noProof/>
        </w:rPr>
        <w:t>rozchádzajú sa vo výklade. Je to preto, že</w:t>
      </w:r>
      <w:r w:rsidR="00F537B9">
        <w:rPr>
          <w:noProof/>
        </w:rPr>
        <w:t xml:space="preserve"> v </w:t>
      </w:r>
      <w:r w:rsidRPr="00F537B9">
        <w:rPr>
          <w:noProof/>
        </w:rPr>
        <w:t>záujme zamedzenia dvojitému zdaneniu by mala po opodstatnenej primárnej úprave (smerom nahor) jednou daňovou správou</w:t>
      </w:r>
      <w:r w:rsidR="00F537B9">
        <w:rPr>
          <w:noProof/>
        </w:rPr>
        <w:t xml:space="preserve"> v </w:t>
      </w:r>
      <w:r w:rsidRPr="00F537B9">
        <w:rPr>
          <w:noProof/>
        </w:rPr>
        <w:t>ideálnom prípade nasledovať korešpondujúca úprava (smerom nadol).</w:t>
      </w:r>
      <w:r w:rsidR="00F537B9">
        <w:rPr>
          <w:noProof/>
        </w:rPr>
        <w:t xml:space="preserve"> Z </w:t>
      </w:r>
      <w:r w:rsidRPr="00F537B9">
        <w:rPr>
          <w:noProof/>
        </w:rPr>
        <w:t>toho vyplýva, že druhá daňová správa by musela zodpovedajúcim spôsobom znížiť príslušný základ dane, čo je určite možnosť, ktorej by sa daňová správa radšej vyhla</w:t>
      </w:r>
      <w:r w:rsidR="00F537B9">
        <w:rPr>
          <w:noProof/>
        </w:rPr>
        <w:t>.</w:t>
      </w:r>
    </w:p>
    <w:p w14:paraId="0A8E5ECD" w14:textId="0D9C7A64" w:rsidR="00FD4F98" w:rsidRPr="00F537B9" w:rsidRDefault="00070247" w:rsidP="004C1F5C">
      <w:pPr>
        <w:pStyle w:val="Tiret0"/>
        <w:rPr>
          <w:noProof/>
        </w:rPr>
      </w:pPr>
      <w:r w:rsidRPr="00F537B9">
        <w:rPr>
          <w:b/>
          <w:noProof/>
        </w:rPr>
        <w:t>Vysoké náklady na dodržiavanie predpisov</w:t>
      </w:r>
      <w:r w:rsidRPr="00F537B9">
        <w:rPr>
          <w:noProof/>
        </w:rPr>
        <w:t>: dvojité zdanenie už pre podniky pôsobiace cezhranične predstavuje značné náklady. Okrem toho sú značné aj náklady na dodržiavanie daňových predpisov</w:t>
      </w:r>
      <w:r w:rsidRPr="00F537B9">
        <w:rPr>
          <w:rStyle w:val="FootnoteReference"/>
          <w:noProof/>
        </w:rPr>
        <w:footnoteReference w:id="10"/>
      </w:r>
      <w:r w:rsidR="00F537B9">
        <w:rPr>
          <w:noProof/>
        </w:rPr>
        <w:t xml:space="preserve"> v </w:t>
      </w:r>
      <w:r w:rsidRPr="00F537B9">
        <w:rPr>
          <w:noProof/>
        </w:rPr>
        <w:t>súvislosti</w:t>
      </w:r>
      <w:r w:rsidR="00F537B9">
        <w:rPr>
          <w:noProof/>
        </w:rPr>
        <w:t xml:space="preserve"> s </w:t>
      </w:r>
      <w:r w:rsidRPr="00F537B9">
        <w:rPr>
          <w:noProof/>
        </w:rPr>
        <w:t>transferovým oceňovaním. Tieto náklady vyplývajú</w:t>
      </w:r>
      <w:r w:rsidR="00F537B9">
        <w:rPr>
          <w:noProof/>
        </w:rPr>
        <w:t xml:space="preserve"> z </w:t>
      </w:r>
      <w:r w:rsidRPr="00F537B9">
        <w:rPr>
          <w:noProof/>
        </w:rPr>
        <w:t>povinnosti podnikov určiť, aké ceny by sa mohli považovať za nezávislé trhové ceny, vykonávať štúdie</w:t>
      </w:r>
      <w:r w:rsidR="00F537B9">
        <w:rPr>
          <w:noProof/>
        </w:rPr>
        <w:t xml:space="preserve"> a </w:t>
      </w:r>
      <w:r w:rsidRPr="00F537B9">
        <w:rPr>
          <w:noProof/>
        </w:rPr>
        <w:t>pripravovať</w:t>
      </w:r>
      <w:r w:rsidR="00F537B9">
        <w:rPr>
          <w:noProof/>
        </w:rPr>
        <w:t xml:space="preserve"> a </w:t>
      </w:r>
      <w:r w:rsidRPr="00F537B9">
        <w:rPr>
          <w:noProof/>
        </w:rPr>
        <w:t>uchovávať/aktualizovať súvisiacu dokumentáciu.</w:t>
      </w:r>
    </w:p>
    <w:p w14:paraId="29EED79A" w14:textId="4E2D35F8" w:rsidR="00F537B9" w:rsidRDefault="0090436F" w:rsidP="0090436F">
      <w:pPr>
        <w:rPr>
          <w:noProof/>
        </w:rPr>
      </w:pPr>
      <w:r w:rsidRPr="00F537B9">
        <w:rPr>
          <w:noProof/>
        </w:rPr>
        <w:t>Tieto daňové prekážky pre podniky bránia riadnemu fungovaniu jednotného trhu</w:t>
      </w:r>
      <w:r w:rsidR="00F537B9">
        <w:rPr>
          <w:noProof/>
        </w:rPr>
        <w:t xml:space="preserve"> a </w:t>
      </w:r>
      <w:r w:rsidRPr="00F537B9">
        <w:rPr>
          <w:noProof/>
        </w:rPr>
        <w:t>ohrozujú vyhliadky na využitie jeho potenciálu, pokiaľ ide</w:t>
      </w:r>
      <w:r w:rsidR="00F537B9">
        <w:rPr>
          <w:noProof/>
        </w:rPr>
        <w:t xml:space="preserve"> o </w:t>
      </w:r>
      <w:r w:rsidRPr="00F537B9">
        <w:rPr>
          <w:noProof/>
        </w:rPr>
        <w:t>zvýšenie efektívnosti.</w:t>
      </w:r>
      <w:r w:rsidR="00F537B9">
        <w:rPr>
          <w:noProof/>
        </w:rPr>
        <w:t xml:space="preserve"> V </w:t>
      </w:r>
      <w:r w:rsidRPr="00F537B9">
        <w:rPr>
          <w:noProof/>
        </w:rPr>
        <w:t>dôsledku toho sa oslabuje konkurencieschopnosť jednotného trhu</w:t>
      </w:r>
      <w:r w:rsidR="00F537B9">
        <w:rPr>
          <w:noProof/>
        </w:rPr>
        <w:t>.</w:t>
      </w:r>
    </w:p>
    <w:p w14:paraId="73B6410F" w14:textId="634CBDF6" w:rsidR="001926C1" w:rsidRPr="00F537B9" w:rsidRDefault="009364A3" w:rsidP="001926C1">
      <w:pPr>
        <w:rPr>
          <w:noProof/>
        </w:rPr>
      </w:pPr>
      <w:r w:rsidRPr="00F537B9">
        <w:rPr>
          <w:noProof/>
        </w:rPr>
        <w:t>Cieľom tohto návrhu je zjednodušiť daňové pravidlá zvýšením daňovej istoty pre podniky</w:t>
      </w:r>
      <w:r w:rsidR="00F537B9">
        <w:rPr>
          <w:noProof/>
        </w:rPr>
        <w:t xml:space="preserve"> v </w:t>
      </w:r>
      <w:r w:rsidRPr="00F537B9">
        <w:rPr>
          <w:noProof/>
        </w:rPr>
        <w:t>EÚ, čím sa zníži riziko súdnych sporov</w:t>
      </w:r>
      <w:r w:rsidR="00F537B9">
        <w:rPr>
          <w:noProof/>
        </w:rPr>
        <w:t xml:space="preserve"> a </w:t>
      </w:r>
      <w:r w:rsidRPr="00F537B9">
        <w:rPr>
          <w:noProof/>
        </w:rPr>
        <w:t>dvojitého zdanenia</w:t>
      </w:r>
      <w:r w:rsidR="00F537B9">
        <w:rPr>
          <w:noProof/>
        </w:rPr>
        <w:t xml:space="preserve"> a </w:t>
      </w:r>
      <w:r w:rsidRPr="00F537B9">
        <w:rPr>
          <w:noProof/>
        </w:rPr>
        <w:t>zodpovedajúce náklady na dodržiavanie predpisov,</w:t>
      </w:r>
      <w:r w:rsidR="00F537B9">
        <w:rPr>
          <w:noProof/>
        </w:rPr>
        <w:t xml:space="preserve"> a </w:t>
      </w:r>
      <w:r w:rsidRPr="00F537B9">
        <w:rPr>
          <w:noProof/>
        </w:rPr>
        <w:t>tým sa zlepší konkurencieschopnosť</w:t>
      </w:r>
      <w:r w:rsidR="00F537B9">
        <w:rPr>
          <w:noProof/>
        </w:rPr>
        <w:t xml:space="preserve"> a </w:t>
      </w:r>
      <w:r w:rsidRPr="00F537B9">
        <w:rPr>
          <w:noProof/>
        </w:rPr>
        <w:t>efektívnosť jednotného trhu. Jednoznačným výsledkom cielených aj verejných konzultácií bolo želanie podnikov mať daňovú</w:t>
      </w:r>
      <w:r w:rsidR="00F537B9">
        <w:rPr>
          <w:noProof/>
        </w:rPr>
        <w:t xml:space="preserve"> a </w:t>
      </w:r>
      <w:r w:rsidRPr="00F537B9">
        <w:rPr>
          <w:noProof/>
        </w:rPr>
        <w:t>všeobecnejšie právnu istotu. Daňová istota bola pre podniky vždy vysokou prioritou</w:t>
      </w:r>
      <w:r w:rsidR="00F537B9">
        <w:rPr>
          <w:noProof/>
        </w:rPr>
        <w:t xml:space="preserve"> a </w:t>
      </w:r>
      <w:r w:rsidRPr="00F537B9">
        <w:rPr>
          <w:noProof/>
        </w:rPr>
        <w:t>často sa zdôrazňuje, že predstavuje väčší problém ako sadzba dane. Toto je čoraz kritickejšie vzhľadom na veľký počet ambicióznych reforiem</w:t>
      </w:r>
      <w:r w:rsidR="00F537B9">
        <w:rPr>
          <w:noProof/>
        </w:rPr>
        <w:t xml:space="preserve"> v </w:t>
      </w:r>
      <w:r w:rsidRPr="00F537B9">
        <w:rPr>
          <w:noProof/>
        </w:rPr>
        <w:t>oblasti medzinárodného zdaňovania príjmov právnických osôb</w:t>
      </w:r>
      <w:r w:rsidR="00F537B9">
        <w:rPr>
          <w:noProof/>
        </w:rPr>
        <w:t xml:space="preserve"> v </w:t>
      </w:r>
      <w:r w:rsidRPr="00F537B9">
        <w:rPr>
          <w:noProof/>
        </w:rPr>
        <w:t>posledných rokoch.</w:t>
      </w:r>
    </w:p>
    <w:p w14:paraId="76F85511" w14:textId="27D95A8A" w:rsidR="00F537B9" w:rsidRDefault="00DB3D2E" w:rsidP="00D811B5">
      <w:pPr>
        <w:rPr>
          <w:noProof/>
        </w:rPr>
      </w:pPr>
      <w:r w:rsidRPr="00F537B9">
        <w:rPr>
          <w:noProof/>
        </w:rPr>
        <w:t>Tento cieľ sa dosahuje: 1. začlenením princípu nezávislého vzťahu do práva Únie; 2. harmonizáciou kľúčových pravidiel transferového oceňovania; 3. objasnením úlohy</w:t>
      </w:r>
      <w:r w:rsidR="00F537B9">
        <w:rPr>
          <w:noProof/>
        </w:rPr>
        <w:t xml:space="preserve"> a </w:t>
      </w:r>
      <w:r w:rsidRPr="00F537B9">
        <w:rPr>
          <w:noProof/>
        </w:rPr>
        <w:t>postavenia smernice OECD</w:t>
      </w:r>
      <w:r w:rsidR="00F537B9">
        <w:rPr>
          <w:noProof/>
        </w:rPr>
        <w:t xml:space="preserve"> o </w:t>
      </w:r>
      <w:r w:rsidRPr="00F537B9">
        <w:rPr>
          <w:noProof/>
        </w:rPr>
        <w:t>transferovom oceňovaní</w:t>
      </w:r>
      <w:r w:rsidR="00F537B9">
        <w:rPr>
          <w:noProof/>
        </w:rPr>
        <w:t xml:space="preserve"> a </w:t>
      </w:r>
      <w:r w:rsidRPr="00F537B9">
        <w:rPr>
          <w:noProof/>
        </w:rPr>
        <w:t>4. vytvorením možnosti stanoviť</w:t>
      </w:r>
      <w:r w:rsidR="00F537B9">
        <w:rPr>
          <w:noProof/>
        </w:rPr>
        <w:t xml:space="preserve"> v </w:t>
      </w:r>
      <w:r w:rsidRPr="00F537B9">
        <w:rPr>
          <w:noProof/>
        </w:rPr>
        <w:t>rámci Únie jednotné záväzné pravidlá pre konkrétne subjekty transferového oceňovania</w:t>
      </w:r>
      <w:r w:rsidR="00F537B9">
        <w:rPr>
          <w:noProof/>
        </w:rPr>
        <w:t xml:space="preserve"> v </w:t>
      </w:r>
      <w:r w:rsidRPr="00F537B9">
        <w:rPr>
          <w:noProof/>
        </w:rPr>
        <w:t>rámci smernice OECD</w:t>
      </w:r>
      <w:r w:rsidR="00F537B9">
        <w:rPr>
          <w:noProof/>
        </w:rPr>
        <w:t xml:space="preserve"> o </w:t>
      </w:r>
      <w:r w:rsidRPr="00F537B9">
        <w:rPr>
          <w:noProof/>
        </w:rPr>
        <w:t>transferovom oceňovaní</w:t>
      </w:r>
      <w:r w:rsidR="00F537B9">
        <w:rPr>
          <w:noProof/>
        </w:rPr>
        <w:t>.</w:t>
      </w:r>
    </w:p>
    <w:p w14:paraId="69283547" w14:textId="33DDDEBE" w:rsidR="00F537B9" w:rsidRDefault="001926C1" w:rsidP="00D811B5">
      <w:pPr>
        <w:rPr>
          <w:noProof/>
        </w:rPr>
      </w:pPr>
      <w:r w:rsidRPr="00F537B9">
        <w:rPr>
          <w:noProof/>
        </w:rPr>
        <w:t>Návrhom by sa stanovilo postupné vytvorenie jednotných</w:t>
      </w:r>
      <w:r w:rsidR="00F537B9">
        <w:rPr>
          <w:noProof/>
        </w:rPr>
        <w:t xml:space="preserve"> a </w:t>
      </w:r>
      <w:r w:rsidRPr="00F537B9">
        <w:rPr>
          <w:noProof/>
        </w:rPr>
        <w:t>dôsledných prístupov daňových orgánov členských štátov</w:t>
      </w:r>
      <w:r w:rsidR="00F537B9">
        <w:rPr>
          <w:noProof/>
        </w:rPr>
        <w:t xml:space="preserve"> k </w:t>
      </w:r>
      <w:r w:rsidRPr="00F537B9">
        <w:rPr>
          <w:noProof/>
        </w:rPr>
        <w:t>výkladu</w:t>
      </w:r>
      <w:r w:rsidR="00F537B9">
        <w:rPr>
          <w:noProof/>
        </w:rPr>
        <w:t xml:space="preserve"> a </w:t>
      </w:r>
      <w:r w:rsidRPr="00F537B9">
        <w:rPr>
          <w:noProof/>
        </w:rPr>
        <w:t>uplatňovaniu pravidiel transferového oceňovania začlenením princípu nezávislého vzťahu do práva Únie</w:t>
      </w:r>
      <w:r w:rsidR="00F537B9">
        <w:rPr>
          <w:noProof/>
        </w:rPr>
        <w:t xml:space="preserve"> a </w:t>
      </w:r>
      <w:r w:rsidRPr="00F537B9">
        <w:rPr>
          <w:noProof/>
        </w:rPr>
        <w:t>objasnením úlohy</w:t>
      </w:r>
      <w:r w:rsidR="00F537B9">
        <w:rPr>
          <w:noProof/>
        </w:rPr>
        <w:t xml:space="preserve"> a </w:t>
      </w:r>
      <w:r w:rsidRPr="00F537B9">
        <w:rPr>
          <w:noProof/>
        </w:rPr>
        <w:t>postavenia smernice OECD</w:t>
      </w:r>
      <w:r w:rsidR="00F537B9">
        <w:rPr>
          <w:noProof/>
        </w:rPr>
        <w:t xml:space="preserve"> o </w:t>
      </w:r>
      <w:r w:rsidRPr="00F537B9">
        <w:rPr>
          <w:noProof/>
        </w:rPr>
        <w:t>transferovom oceňovaní. Okrem toho by vyhliadky na zavedenie spoločných záväzných pravidiel pre členské štáty týkajúcich sa konkrétnych transakcií</w:t>
      </w:r>
      <w:r w:rsidR="00F537B9">
        <w:rPr>
          <w:noProof/>
        </w:rPr>
        <w:t xml:space="preserve"> v </w:t>
      </w:r>
      <w:r w:rsidRPr="00F537B9">
        <w:rPr>
          <w:noProof/>
        </w:rPr>
        <w:t>rámci smernice OECD</w:t>
      </w:r>
      <w:r w:rsidR="00F537B9">
        <w:rPr>
          <w:noProof/>
        </w:rPr>
        <w:t xml:space="preserve"> o </w:t>
      </w:r>
      <w:r w:rsidRPr="00F537B9">
        <w:rPr>
          <w:noProof/>
        </w:rPr>
        <w:t>transferovom oceňovaní mali zlepšiť odolnosť podnikov</w:t>
      </w:r>
      <w:r w:rsidR="00F537B9">
        <w:rPr>
          <w:noProof/>
        </w:rPr>
        <w:t xml:space="preserve"> v </w:t>
      </w:r>
      <w:r w:rsidRPr="00F537B9">
        <w:rPr>
          <w:noProof/>
        </w:rPr>
        <w:t>Únii, obmedziť narušenia</w:t>
      </w:r>
      <w:r w:rsidR="00F537B9">
        <w:rPr>
          <w:noProof/>
        </w:rPr>
        <w:t xml:space="preserve"> a </w:t>
      </w:r>
      <w:r w:rsidRPr="00F537B9">
        <w:rPr>
          <w:noProof/>
        </w:rPr>
        <w:t>prispieť</w:t>
      </w:r>
      <w:r w:rsidR="00F537B9">
        <w:rPr>
          <w:noProof/>
        </w:rPr>
        <w:t xml:space="preserve"> k </w:t>
      </w:r>
      <w:r w:rsidRPr="00F537B9">
        <w:rPr>
          <w:noProof/>
        </w:rPr>
        <w:t>vytvoreniu rovnakých podmienok na jednotnom trhu</w:t>
      </w:r>
      <w:r w:rsidR="00F537B9">
        <w:rPr>
          <w:noProof/>
        </w:rPr>
        <w:t>.</w:t>
      </w:r>
    </w:p>
    <w:p w14:paraId="52444C55" w14:textId="2FE46CA1" w:rsidR="004C1F5C" w:rsidRPr="00F537B9" w:rsidRDefault="004C1F5C" w:rsidP="00D811B5">
      <w:pPr>
        <w:rPr>
          <w:noProof/>
        </w:rPr>
      </w:pPr>
    </w:p>
    <w:p w14:paraId="21314C0C" w14:textId="031385E6" w:rsidR="00E07B7C" w:rsidRPr="00F537B9" w:rsidRDefault="00E07B7C" w:rsidP="00CE54C3">
      <w:pPr>
        <w:pStyle w:val="ManualHeading2"/>
        <w:rPr>
          <w:noProof/>
          <w:color w:val="000000"/>
          <w:u w:color="000000"/>
          <w:bdr w:val="nil"/>
        </w:rPr>
      </w:pPr>
      <w:r w:rsidRPr="00F537B9">
        <w:rPr>
          <w:noProof/>
          <w:color w:val="000000"/>
          <w:u w:color="000000"/>
          <w:bdr w:val="nil"/>
        </w:rPr>
        <w:t>•</w:t>
      </w:r>
      <w:r w:rsidRPr="00F537B9">
        <w:rPr>
          <w:noProof/>
        </w:rPr>
        <w:tab/>
        <w:t>Súlad</w:t>
      </w:r>
      <w:r w:rsidR="00F537B9">
        <w:rPr>
          <w:noProof/>
        </w:rPr>
        <w:t xml:space="preserve"> s </w:t>
      </w:r>
      <w:r w:rsidRPr="00F537B9">
        <w:rPr>
          <w:noProof/>
        </w:rPr>
        <w:t>existujúcimi ustanoveniami</w:t>
      </w:r>
      <w:r w:rsidR="00F537B9">
        <w:rPr>
          <w:noProof/>
        </w:rPr>
        <w:t xml:space="preserve"> v </w:t>
      </w:r>
      <w:r w:rsidRPr="00F537B9">
        <w:rPr>
          <w:noProof/>
        </w:rPr>
        <w:t>tejto oblasti politiky</w:t>
      </w:r>
    </w:p>
    <w:p w14:paraId="7B3F22CD" w14:textId="33479EF1" w:rsidR="005D0930" w:rsidRPr="00F537B9" w:rsidRDefault="005D0930" w:rsidP="00E07B7C">
      <w:pPr>
        <w:pBdr>
          <w:top w:val="nil"/>
          <w:left w:val="nil"/>
          <w:bottom w:val="nil"/>
          <w:right w:val="nil"/>
          <w:between w:val="nil"/>
          <w:bar w:val="nil"/>
        </w:pBdr>
        <w:spacing w:before="0" w:after="240"/>
        <w:rPr>
          <w:rFonts w:eastAsia="Arial Unicode MS"/>
          <w:noProof/>
          <w:spacing w:val="-4"/>
        </w:rPr>
      </w:pPr>
      <w:r w:rsidRPr="00F537B9">
        <w:rPr>
          <w:noProof/>
          <w:spacing w:val="-4"/>
        </w:rPr>
        <w:t>Tento návrh smernice je</w:t>
      </w:r>
      <w:r w:rsidR="00F537B9" w:rsidRPr="00F537B9">
        <w:rPr>
          <w:noProof/>
          <w:spacing w:val="-4"/>
        </w:rPr>
        <w:t xml:space="preserve"> v </w:t>
      </w:r>
      <w:r w:rsidRPr="00F537B9">
        <w:rPr>
          <w:noProof/>
          <w:spacing w:val="-4"/>
        </w:rPr>
        <w:t>úplnom súlade</w:t>
      </w:r>
      <w:r w:rsidR="00F537B9" w:rsidRPr="00F537B9">
        <w:rPr>
          <w:noProof/>
          <w:spacing w:val="-4"/>
        </w:rPr>
        <w:t xml:space="preserve"> s </w:t>
      </w:r>
      <w:r w:rsidRPr="00F537B9">
        <w:rPr>
          <w:noProof/>
          <w:spacing w:val="-4"/>
        </w:rPr>
        <w:t>existujúcimi politikami EÚ</w:t>
      </w:r>
      <w:r w:rsidR="00F537B9" w:rsidRPr="00F537B9">
        <w:rPr>
          <w:noProof/>
          <w:spacing w:val="-4"/>
        </w:rPr>
        <w:t xml:space="preserve"> v </w:t>
      </w:r>
      <w:r w:rsidRPr="00F537B9">
        <w:rPr>
          <w:noProof/>
          <w:spacing w:val="-4"/>
        </w:rPr>
        <w:t>oblasti priameho zdaňovania. Nadväzuje na úsilie Komisie</w:t>
      </w:r>
      <w:r w:rsidR="00F537B9" w:rsidRPr="00F537B9">
        <w:rPr>
          <w:noProof/>
          <w:spacing w:val="-4"/>
        </w:rPr>
        <w:t xml:space="preserve"> a </w:t>
      </w:r>
      <w:r w:rsidRPr="00F537B9">
        <w:rPr>
          <w:noProof/>
          <w:spacing w:val="-4"/>
        </w:rPr>
        <w:t>Únie</w:t>
      </w:r>
      <w:r w:rsidR="00F537B9" w:rsidRPr="00F537B9">
        <w:rPr>
          <w:noProof/>
          <w:spacing w:val="-4"/>
        </w:rPr>
        <w:t xml:space="preserve"> v </w:t>
      </w:r>
      <w:r w:rsidRPr="00F537B9">
        <w:rPr>
          <w:noProof/>
          <w:spacing w:val="-4"/>
        </w:rPr>
        <w:t>rámci jej programu daňovej politiky</w:t>
      </w:r>
      <w:r w:rsidR="00F537B9" w:rsidRPr="00F537B9">
        <w:rPr>
          <w:noProof/>
          <w:spacing w:val="-4"/>
        </w:rPr>
        <w:t xml:space="preserve"> o </w:t>
      </w:r>
      <w:r w:rsidRPr="00F537B9">
        <w:rPr>
          <w:noProof/>
          <w:spacing w:val="-4"/>
        </w:rPr>
        <w:t>vytvorenie spoľahlivého, efektívneho</w:t>
      </w:r>
      <w:r w:rsidR="00F537B9" w:rsidRPr="00F537B9">
        <w:rPr>
          <w:noProof/>
          <w:spacing w:val="-4"/>
        </w:rPr>
        <w:t xml:space="preserve"> a </w:t>
      </w:r>
      <w:r w:rsidRPr="00F537B9">
        <w:rPr>
          <w:noProof/>
          <w:spacing w:val="-4"/>
        </w:rPr>
        <w:t>spravodlivého daňového rámca, ktorým sa zabezpečia stabilné príjmy</w:t>
      </w:r>
      <w:r w:rsidR="00F537B9" w:rsidRPr="00F537B9">
        <w:rPr>
          <w:noProof/>
          <w:spacing w:val="-4"/>
        </w:rPr>
        <w:t xml:space="preserve"> a </w:t>
      </w:r>
      <w:r w:rsidRPr="00F537B9">
        <w:rPr>
          <w:noProof/>
          <w:spacing w:val="-4"/>
        </w:rPr>
        <w:t>ktorý je priaznivý pre rast, ako sa uvádza</w:t>
      </w:r>
      <w:r w:rsidR="00F537B9" w:rsidRPr="00F537B9">
        <w:rPr>
          <w:noProof/>
          <w:spacing w:val="-4"/>
        </w:rPr>
        <w:t xml:space="preserve"> v </w:t>
      </w:r>
      <w:r w:rsidRPr="00F537B9">
        <w:rPr>
          <w:noProof/>
          <w:spacing w:val="-4"/>
        </w:rPr>
        <w:t>oznámení</w:t>
      </w:r>
      <w:r w:rsidR="00F537B9" w:rsidRPr="00F537B9">
        <w:rPr>
          <w:noProof/>
          <w:spacing w:val="-4"/>
        </w:rPr>
        <w:t xml:space="preserve"> o </w:t>
      </w:r>
      <w:r w:rsidRPr="00F537B9">
        <w:rPr>
          <w:noProof/>
          <w:spacing w:val="-4"/>
        </w:rPr>
        <w:t>zdaňovaní podnikov</w:t>
      </w:r>
      <w:r w:rsidR="00F537B9" w:rsidRPr="00F537B9">
        <w:rPr>
          <w:noProof/>
          <w:spacing w:val="-4"/>
        </w:rPr>
        <w:t xml:space="preserve"> v </w:t>
      </w:r>
      <w:r w:rsidRPr="00F537B9">
        <w:rPr>
          <w:noProof/>
          <w:spacing w:val="-4"/>
        </w:rPr>
        <w:t>21. storočí</w:t>
      </w:r>
      <w:r w:rsidR="00F537B9" w:rsidRPr="00F537B9">
        <w:rPr>
          <w:noProof/>
          <w:spacing w:val="-4"/>
        </w:rPr>
        <w:t xml:space="preserve"> v </w:t>
      </w:r>
      <w:r w:rsidRPr="00F537B9">
        <w:rPr>
          <w:noProof/>
          <w:spacing w:val="-4"/>
        </w:rPr>
        <w:t>roku 2021</w:t>
      </w:r>
      <w:r w:rsidRPr="00F537B9">
        <w:rPr>
          <w:rStyle w:val="FootnoteReference"/>
          <w:noProof/>
          <w:spacing w:val="-4"/>
        </w:rPr>
        <w:footnoteReference w:id="11"/>
      </w:r>
      <w:r w:rsidRPr="00F537B9">
        <w:rPr>
          <w:noProof/>
          <w:spacing w:val="-4"/>
        </w:rPr>
        <w:t>. Táto politická iniciatíva je</w:t>
      </w:r>
      <w:r w:rsidR="00F537B9" w:rsidRPr="00F537B9">
        <w:rPr>
          <w:noProof/>
          <w:spacing w:val="-4"/>
        </w:rPr>
        <w:t xml:space="preserve"> v </w:t>
      </w:r>
      <w:r w:rsidRPr="00F537B9">
        <w:rPr>
          <w:noProof/>
          <w:spacing w:val="-4"/>
        </w:rPr>
        <w:t>súlade so snahou poskytnúť podnikom daňovú istotu</w:t>
      </w:r>
      <w:r w:rsidR="00F537B9" w:rsidRPr="00F537B9">
        <w:rPr>
          <w:noProof/>
          <w:spacing w:val="-4"/>
        </w:rPr>
        <w:t xml:space="preserve"> a </w:t>
      </w:r>
      <w:r w:rsidRPr="00F537B9">
        <w:rPr>
          <w:noProof/>
          <w:spacing w:val="-4"/>
        </w:rPr>
        <w:t>rovnaké podmienky</w:t>
      </w:r>
      <w:r w:rsidR="00F537B9" w:rsidRPr="00F537B9">
        <w:rPr>
          <w:noProof/>
          <w:spacing w:val="-4"/>
        </w:rPr>
        <w:t xml:space="preserve"> a </w:t>
      </w:r>
      <w:r w:rsidRPr="00F537B9">
        <w:rPr>
          <w:noProof/>
          <w:spacing w:val="-4"/>
        </w:rPr>
        <w:t>zároveň zabezpečiť, aby vlády členských štátov mali prístup</w:t>
      </w:r>
      <w:r w:rsidR="00F537B9" w:rsidRPr="00F537B9">
        <w:rPr>
          <w:noProof/>
          <w:spacing w:val="-4"/>
        </w:rPr>
        <w:t xml:space="preserve"> k </w:t>
      </w:r>
      <w:r w:rsidRPr="00F537B9">
        <w:rPr>
          <w:noProof/>
          <w:spacing w:val="-4"/>
        </w:rPr>
        <w:t>spravodlivým</w:t>
      </w:r>
      <w:r w:rsidR="00F537B9" w:rsidRPr="00F537B9">
        <w:rPr>
          <w:noProof/>
          <w:spacing w:val="-4"/>
        </w:rPr>
        <w:t xml:space="preserve"> a </w:t>
      </w:r>
      <w:r w:rsidRPr="00F537B9">
        <w:rPr>
          <w:noProof/>
          <w:spacing w:val="-4"/>
        </w:rPr>
        <w:t>stabilným výnosom dane</w:t>
      </w:r>
      <w:r w:rsidR="00F537B9" w:rsidRPr="00F537B9">
        <w:rPr>
          <w:noProof/>
          <w:spacing w:val="-4"/>
        </w:rPr>
        <w:t xml:space="preserve"> z </w:t>
      </w:r>
      <w:r w:rsidRPr="00F537B9">
        <w:rPr>
          <w:noProof/>
          <w:spacing w:val="-4"/>
        </w:rPr>
        <w:t>príjmov právnických osôb.</w:t>
      </w:r>
    </w:p>
    <w:p w14:paraId="40270663" w14:textId="5F65781D" w:rsidR="00E07B7C" w:rsidRPr="00F537B9" w:rsidRDefault="00E07B7C" w:rsidP="00E07B7C">
      <w:pPr>
        <w:pBdr>
          <w:top w:val="nil"/>
          <w:left w:val="nil"/>
          <w:bottom w:val="nil"/>
          <w:right w:val="nil"/>
          <w:between w:val="nil"/>
          <w:bar w:val="nil"/>
        </w:pBdr>
        <w:spacing w:before="0" w:after="240"/>
        <w:rPr>
          <w:rFonts w:eastAsia="Arial Unicode MS"/>
          <w:noProof/>
        </w:rPr>
      </w:pPr>
      <w:r w:rsidRPr="00F537B9">
        <w:rPr>
          <w:noProof/>
        </w:rPr>
        <w:t>V roku 2016 bola prijatá smernica</w:t>
      </w:r>
      <w:r w:rsidR="00F537B9">
        <w:rPr>
          <w:noProof/>
        </w:rPr>
        <w:t xml:space="preserve"> o </w:t>
      </w:r>
      <w:r w:rsidRPr="00F537B9">
        <w:rPr>
          <w:noProof/>
        </w:rPr>
        <w:t>opatreniach proti vyhýbaniu sa daňovým povinnostiam (ATAD)</w:t>
      </w:r>
      <w:r w:rsidRPr="00F537B9">
        <w:rPr>
          <w:rStyle w:val="FootnoteReference"/>
          <w:rFonts w:eastAsia="Arial Unicode MS"/>
          <w:noProof/>
        </w:rPr>
        <w:footnoteReference w:id="12"/>
      </w:r>
      <w:r w:rsidR="00F537B9">
        <w:rPr>
          <w:noProof/>
        </w:rPr>
        <w:t xml:space="preserve"> s </w:t>
      </w:r>
      <w:r w:rsidRPr="00F537B9">
        <w:rPr>
          <w:noProof/>
        </w:rPr>
        <w:t>cieľom zabezpečiť</w:t>
      </w:r>
      <w:r w:rsidR="00F537B9">
        <w:rPr>
          <w:noProof/>
        </w:rPr>
        <w:t xml:space="preserve"> v </w:t>
      </w:r>
      <w:r w:rsidRPr="00F537B9">
        <w:rPr>
          <w:noProof/>
        </w:rPr>
        <w:t>členských štátoch koordinované vykonávanie kľúčových opatrení proti vyhýbaniu sa daňovým povinnostiam, ktoré vyplývajú</w:t>
      </w:r>
      <w:r w:rsidR="00F537B9">
        <w:rPr>
          <w:noProof/>
        </w:rPr>
        <w:t xml:space="preserve"> z </w:t>
      </w:r>
      <w:r w:rsidRPr="00F537B9">
        <w:rPr>
          <w:noProof/>
        </w:rPr>
        <w:t>medzinárodných opatrení</w:t>
      </w:r>
      <w:r w:rsidR="00F537B9">
        <w:rPr>
          <w:noProof/>
        </w:rPr>
        <w:t xml:space="preserve"> v </w:t>
      </w:r>
      <w:r w:rsidRPr="00F537B9">
        <w:rPr>
          <w:noProof/>
        </w:rPr>
        <w:t>rámci projektu na zabránenie narúšaniu základu dane</w:t>
      </w:r>
      <w:r w:rsidR="00F537B9">
        <w:rPr>
          <w:noProof/>
        </w:rPr>
        <w:t xml:space="preserve"> a </w:t>
      </w:r>
      <w:r w:rsidRPr="00F537B9">
        <w:rPr>
          <w:noProof/>
        </w:rPr>
        <w:t>presunu ziskov</w:t>
      </w:r>
      <w:r w:rsidR="00F537B9">
        <w:rPr>
          <w:noProof/>
        </w:rPr>
        <w:t xml:space="preserve"> a </w:t>
      </w:r>
      <w:r w:rsidRPr="00F537B9">
        <w:rPr>
          <w:noProof/>
        </w:rPr>
        <w:t>stanoviť niekoľko špecifických</w:t>
      </w:r>
      <w:r w:rsidR="00F537B9">
        <w:rPr>
          <w:noProof/>
        </w:rPr>
        <w:t xml:space="preserve"> a </w:t>
      </w:r>
      <w:r w:rsidRPr="00F537B9">
        <w:rPr>
          <w:noProof/>
        </w:rPr>
        <w:t>všeobecných pravidiel proti zneužívaniu daňových povinností.</w:t>
      </w:r>
      <w:r w:rsidR="00F537B9">
        <w:rPr>
          <w:noProof/>
        </w:rPr>
        <w:t xml:space="preserve"> V </w:t>
      </w:r>
      <w:r w:rsidRPr="00F537B9">
        <w:rPr>
          <w:noProof/>
        </w:rPr>
        <w:t>roku 2017 bola zmenená tak, aby zahŕňala ďalšie pravidlá proti vyhýbaniu sa daňovým povinnostiam týkajúce sa nesúladu medzi daňovými systémami</w:t>
      </w:r>
      <w:r w:rsidRPr="00F537B9">
        <w:rPr>
          <w:rStyle w:val="FootnoteReference"/>
          <w:noProof/>
        </w:rPr>
        <w:footnoteReference w:id="13"/>
      </w:r>
      <w:r w:rsidRPr="00F537B9">
        <w:rPr>
          <w:noProof/>
        </w:rPr>
        <w:t>.</w:t>
      </w:r>
    </w:p>
    <w:p w14:paraId="3B556E5C" w14:textId="7C6F03A7" w:rsidR="00F537B9" w:rsidRDefault="00E07B7C" w:rsidP="00E07B7C">
      <w:pPr>
        <w:pBdr>
          <w:top w:val="nil"/>
          <w:left w:val="nil"/>
          <w:bottom w:val="nil"/>
          <w:right w:val="nil"/>
          <w:between w:val="nil"/>
          <w:bar w:val="nil"/>
        </w:pBdr>
        <w:spacing w:before="0" w:after="240"/>
        <w:rPr>
          <w:noProof/>
        </w:rPr>
      </w:pPr>
      <w:r w:rsidRPr="00F537B9">
        <w:rPr>
          <w:noProof/>
        </w:rPr>
        <w:t>Súbežne</w:t>
      </w:r>
      <w:r w:rsidR="00F537B9">
        <w:rPr>
          <w:noProof/>
        </w:rPr>
        <w:t xml:space="preserve"> s </w:t>
      </w:r>
      <w:r w:rsidRPr="00F537B9">
        <w:rPr>
          <w:noProof/>
        </w:rPr>
        <w:t>tým bola viackrát od jej prijatia</w:t>
      </w:r>
      <w:r w:rsidR="00F537B9">
        <w:rPr>
          <w:noProof/>
        </w:rPr>
        <w:t xml:space="preserve"> v </w:t>
      </w:r>
      <w:r w:rsidRPr="00F537B9">
        <w:rPr>
          <w:noProof/>
        </w:rPr>
        <w:t>roku 2011 revidovaná</w:t>
      </w:r>
      <w:r w:rsidR="00F537B9">
        <w:rPr>
          <w:noProof/>
        </w:rPr>
        <w:t xml:space="preserve"> a </w:t>
      </w:r>
      <w:r w:rsidRPr="00F537B9">
        <w:rPr>
          <w:noProof/>
        </w:rPr>
        <w:t>rozšírená smernica</w:t>
      </w:r>
      <w:r w:rsidR="00F537B9">
        <w:rPr>
          <w:noProof/>
        </w:rPr>
        <w:t xml:space="preserve"> o </w:t>
      </w:r>
      <w:r w:rsidRPr="00F537B9">
        <w:rPr>
          <w:noProof/>
        </w:rPr>
        <w:t>administratívnej spolupráci</w:t>
      </w:r>
      <w:r w:rsidR="00F537B9">
        <w:rPr>
          <w:noProof/>
        </w:rPr>
        <w:t xml:space="preserve"> v </w:t>
      </w:r>
      <w:r w:rsidRPr="00F537B9">
        <w:rPr>
          <w:noProof/>
        </w:rPr>
        <w:t>oblasti daní (DAC)</w:t>
      </w:r>
      <w:r w:rsidRPr="00F537B9">
        <w:rPr>
          <w:rStyle w:val="FootnoteReference"/>
          <w:rFonts w:eastAsia="Arial Unicode MS"/>
          <w:noProof/>
        </w:rPr>
        <w:footnoteReference w:id="14"/>
      </w:r>
      <w:r w:rsidRPr="00F537B9">
        <w:rPr>
          <w:noProof/>
        </w:rPr>
        <w:t>, aby umožňovala rozsiahlu</w:t>
      </w:r>
      <w:r w:rsidR="00F537B9">
        <w:rPr>
          <w:noProof/>
        </w:rPr>
        <w:t xml:space="preserve"> a </w:t>
      </w:r>
      <w:r w:rsidRPr="00F537B9">
        <w:rPr>
          <w:noProof/>
        </w:rPr>
        <w:t>včasnú výmenu daňových informácií medzi daňovými orgánmi</w:t>
      </w:r>
      <w:r w:rsidR="00F537B9">
        <w:rPr>
          <w:noProof/>
        </w:rPr>
        <w:t xml:space="preserve"> v </w:t>
      </w:r>
      <w:r w:rsidRPr="00F537B9">
        <w:rPr>
          <w:noProof/>
        </w:rPr>
        <w:t>celej Únii na podporu presadzovania daňových predpisov členských štátov</w:t>
      </w:r>
      <w:r w:rsidR="00F537B9">
        <w:rPr>
          <w:noProof/>
        </w:rPr>
        <w:t>.</w:t>
      </w:r>
    </w:p>
    <w:p w14:paraId="3845F982" w14:textId="018ACE0A" w:rsidR="00D72296" w:rsidRPr="00F537B9" w:rsidRDefault="000F2AFA" w:rsidP="00E07B7C">
      <w:pPr>
        <w:pBdr>
          <w:top w:val="nil"/>
          <w:left w:val="nil"/>
          <w:bottom w:val="nil"/>
          <w:right w:val="nil"/>
          <w:between w:val="nil"/>
          <w:bar w:val="nil"/>
        </w:pBdr>
        <w:spacing w:before="0" w:after="240"/>
        <w:rPr>
          <w:rFonts w:eastAsia="Arial Unicode MS"/>
          <w:noProof/>
        </w:rPr>
      </w:pPr>
      <w:r w:rsidRPr="00F537B9">
        <w:rPr>
          <w:noProof/>
        </w:rPr>
        <w:t>Najmä DAC3</w:t>
      </w:r>
      <w:r w:rsidRPr="00F537B9">
        <w:rPr>
          <w:rStyle w:val="FootnoteReference"/>
          <w:rFonts w:eastAsia="Arial Unicode MS"/>
          <w:noProof/>
        </w:rPr>
        <w:footnoteReference w:id="15"/>
      </w:r>
      <w:r w:rsidR="00F537B9">
        <w:rPr>
          <w:noProof/>
        </w:rPr>
        <w:t xml:space="preserve"> a </w:t>
      </w:r>
      <w:r w:rsidRPr="00F537B9">
        <w:rPr>
          <w:noProof/>
        </w:rPr>
        <w:t>DAC6</w:t>
      </w:r>
      <w:r w:rsidRPr="00F537B9">
        <w:rPr>
          <w:rStyle w:val="FootnoteReference"/>
          <w:rFonts w:eastAsia="Arial Unicode MS"/>
          <w:noProof/>
        </w:rPr>
        <w:footnoteReference w:id="16"/>
      </w:r>
      <w:r w:rsidRPr="00F537B9">
        <w:rPr>
          <w:noProof/>
        </w:rPr>
        <w:t xml:space="preserve"> majú osobitný význam pre tento návrh vzhľadom na ich súvislosť</w:t>
      </w:r>
      <w:r w:rsidR="00F537B9">
        <w:rPr>
          <w:noProof/>
        </w:rPr>
        <w:t xml:space="preserve"> s </w:t>
      </w:r>
      <w:r w:rsidRPr="00F537B9">
        <w:rPr>
          <w:noProof/>
        </w:rPr>
        <w:t>transferovým oceňovaním. Podľa DAC3 si vnútroštátne príslušné orgány okrem iného automaticky vymieňajú informácie týkajúce sa takzvaných záväzných stanovísk</w:t>
      </w:r>
      <w:r w:rsidR="00F537B9">
        <w:rPr>
          <w:noProof/>
        </w:rPr>
        <w:t xml:space="preserve"> k </w:t>
      </w:r>
      <w:r w:rsidRPr="00F537B9">
        <w:rPr>
          <w:noProof/>
        </w:rPr>
        <w:t>stanoveniu metódy ocenenia</w:t>
      </w:r>
      <w:r w:rsidRPr="00F537B9">
        <w:rPr>
          <w:rStyle w:val="FootnoteReference"/>
          <w:noProof/>
        </w:rPr>
        <w:footnoteReference w:id="17"/>
      </w:r>
      <w:r w:rsidRPr="00F537B9">
        <w:rPr>
          <w:noProof/>
        </w:rPr>
        <w:t>. DAC6 upravuje automatickú výmenu informácií</w:t>
      </w:r>
      <w:r w:rsidR="00F537B9">
        <w:rPr>
          <w:noProof/>
        </w:rPr>
        <w:t xml:space="preserve"> o </w:t>
      </w:r>
      <w:r w:rsidRPr="00F537B9">
        <w:rPr>
          <w:noProof/>
        </w:rPr>
        <w:t>cezhraničných opatreniach podliehajúcich oznamovaniu, ktoré boli nahlásené sprostredkovateľmi alebo príslušným daňovníkom. Cezhraničné opatrenia podliehajúce oznamovaniu sa identifikujú na základe viacerých „charakteristických znakov“, ktoré zahŕňajú rôzne ukazovatele možného rizika vyhýbania sa daňovým povinnostiam. Na opatrenia týkajúce sa transferového oceňovania sa vzťahuje charakteristický znak E.</w:t>
      </w:r>
    </w:p>
    <w:p w14:paraId="6F81C99D" w14:textId="0C124FB1" w:rsidR="00975855" w:rsidRPr="00F537B9" w:rsidRDefault="00A005BE" w:rsidP="00E07B7C">
      <w:pPr>
        <w:pBdr>
          <w:top w:val="nil"/>
          <w:left w:val="nil"/>
          <w:bottom w:val="nil"/>
          <w:right w:val="nil"/>
          <w:between w:val="nil"/>
          <w:bar w:val="nil"/>
        </w:pBdr>
        <w:spacing w:before="0" w:after="240"/>
        <w:rPr>
          <w:rFonts w:eastAsia="Arial Unicode MS"/>
          <w:noProof/>
        </w:rPr>
      </w:pPr>
      <w:r w:rsidRPr="00F537B9">
        <w:rPr>
          <w:noProof/>
        </w:rPr>
        <w:t>Návrh je takisto</w:t>
      </w:r>
      <w:r w:rsidR="00F537B9">
        <w:rPr>
          <w:noProof/>
        </w:rPr>
        <w:t xml:space="preserve"> v </w:t>
      </w:r>
      <w:r w:rsidRPr="00F537B9">
        <w:rPr>
          <w:noProof/>
        </w:rPr>
        <w:t>súlade</w:t>
      </w:r>
      <w:r w:rsidR="00F537B9">
        <w:rPr>
          <w:noProof/>
        </w:rPr>
        <w:t xml:space="preserve"> s </w:t>
      </w:r>
      <w:r w:rsidRPr="00F537B9">
        <w:rPr>
          <w:noProof/>
        </w:rPr>
        <w:t>minulým výstupom Spoločného fóra pre transferové oceňovanie</w:t>
      </w:r>
      <w:r w:rsidRPr="00F537B9">
        <w:rPr>
          <w:rStyle w:val="FootnoteReference"/>
          <w:rFonts w:eastAsia="Arial Unicode MS"/>
          <w:noProof/>
        </w:rPr>
        <w:footnoteReference w:id="18"/>
      </w:r>
      <w:r w:rsidRPr="00F537B9">
        <w:rPr>
          <w:noProof/>
        </w:rPr>
        <w:t>, skupiny expertov, ktorú Komisia zriadila</w:t>
      </w:r>
      <w:r w:rsidR="00F537B9">
        <w:rPr>
          <w:noProof/>
        </w:rPr>
        <w:t xml:space="preserve"> v </w:t>
      </w:r>
      <w:r w:rsidRPr="00F537B9">
        <w:rPr>
          <w:noProof/>
        </w:rPr>
        <w:t>roku 2002</w:t>
      </w:r>
      <w:r w:rsidR="00F537B9">
        <w:rPr>
          <w:noProof/>
        </w:rPr>
        <w:t xml:space="preserve"> s </w:t>
      </w:r>
      <w:r w:rsidRPr="00F537B9">
        <w:rPr>
          <w:noProof/>
        </w:rPr>
        <w:t>cieľom navrhnúť pragmatické</w:t>
      </w:r>
      <w:r w:rsidR="00F537B9">
        <w:rPr>
          <w:noProof/>
        </w:rPr>
        <w:t xml:space="preserve"> a </w:t>
      </w:r>
      <w:r w:rsidRPr="00F537B9">
        <w:rPr>
          <w:noProof/>
        </w:rPr>
        <w:t>nelegislatívne riešenia praktických problémov vznikajúcich</w:t>
      </w:r>
      <w:r w:rsidR="00F537B9">
        <w:rPr>
          <w:noProof/>
        </w:rPr>
        <w:t xml:space="preserve"> v </w:t>
      </w:r>
      <w:r w:rsidRPr="00F537B9">
        <w:rPr>
          <w:noProof/>
        </w:rPr>
        <w:t>rámci postupov oceňovania transferov</w:t>
      </w:r>
      <w:r w:rsidR="00F537B9">
        <w:rPr>
          <w:noProof/>
        </w:rPr>
        <w:t xml:space="preserve"> v </w:t>
      </w:r>
      <w:r w:rsidRPr="00F537B9">
        <w:rPr>
          <w:noProof/>
        </w:rPr>
        <w:t>Únii. Spoločné fórum EÚ pre transferové oceňovanie pracovalo</w:t>
      </w:r>
      <w:r w:rsidR="00F537B9">
        <w:rPr>
          <w:noProof/>
        </w:rPr>
        <w:t xml:space="preserve"> v </w:t>
      </w:r>
      <w:r w:rsidRPr="00F537B9">
        <w:rPr>
          <w:noProof/>
        </w:rPr>
        <w:t>rámci smernice OECD</w:t>
      </w:r>
      <w:r w:rsidR="00F537B9">
        <w:rPr>
          <w:noProof/>
        </w:rPr>
        <w:t xml:space="preserve"> o </w:t>
      </w:r>
      <w:r w:rsidRPr="00F537B9">
        <w:rPr>
          <w:noProof/>
        </w:rPr>
        <w:t>transferovom oceňovaní</w:t>
      </w:r>
      <w:r w:rsidR="00F537B9">
        <w:rPr>
          <w:noProof/>
        </w:rPr>
        <w:t xml:space="preserve"> a </w:t>
      </w:r>
      <w:r w:rsidRPr="00F537B9">
        <w:rPr>
          <w:noProof/>
        </w:rPr>
        <w:t>vyvíjalo činnosť na základe konsenzu.</w:t>
      </w:r>
      <w:r w:rsidR="00F537B9">
        <w:rPr>
          <w:noProof/>
        </w:rPr>
        <w:t xml:space="preserve"> V </w:t>
      </w:r>
      <w:r w:rsidRPr="00F537B9">
        <w:rPr>
          <w:noProof/>
        </w:rPr>
        <w:t>nadväznosti na prácu, ktorú vykonalo Spoločné fórum EÚ pre transferové oceňovanie, Komisia iniciovala súbor koordinovaných opatrení, či už usmernení, alebo odporúčaní, ktoré Rada všetky následne schválila. Jedným</w:t>
      </w:r>
      <w:r w:rsidR="00F537B9">
        <w:rPr>
          <w:noProof/>
        </w:rPr>
        <w:t xml:space="preserve"> z </w:t>
      </w:r>
      <w:r w:rsidRPr="00F537B9">
        <w:rPr>
          <w:noProof/>
        </w:rPr>
        <w:t>nich je kódex správania pre dokumentáciu</w:t>
      </w:r>
      <w:r w:rsidR="00F537B9">
        <w:rPr>
          <w:noProof/>
        </w:rPr>
        <w:t xml:space="preserve"> o </w:t>
      </w:r>
      <w:r w:rsidRPr="00F537B9">
        <w:rPr>
          <w:noProof/>
        </w:rPr>
        <w:t>transferovom oceňovaní pre pridružené podniky</w:t>
      </w:r>
      <w:r w:rsidR="00F537B9">
        <w:rPr>
          <w:noProof/>
        </w:rPr>
        <w:t xml:space="preserve"> v </w:t>
      </w:r>
      <w:r w:rsidRPr="00F537B9">
        <w:rPr>
          <w:noProof/>
        </w:rPr>
        <w:t>Európskej únii (ďalej len „DTO EÚ“)</w:t>
      </w:r>
      <w:r w:rsidRPr="00F537B9">
        <w:rPr>
          <w:rStyle w:val="FootnoteReference"/>
          <w:noProof/>
        </w:rPr>
        <w:footnoteReference w:id="19"/>
      </w:r>
      <w:r w:rsidRPr="00F537B9">
        <w:rPr>
          <w:noProof/>
        </w:rPr>
        <w:t>, ktorým sa členské štáty vo všeobecnosti riadia. Platnosť mandátu Spoločného fóra EÚ pre transferové oceňovanie sa skončila</w:t>
      </w:r>
      <w:r w:rsidR="00F537B9">
        <w:rPr>
          <w:noProof/>
        </w:rPr>
        <w:t xml:space="preserve"> v </w:t>
      </w:r>
      <w:r w:rsidRPr="00F537B9">
        <w:rPr>
          <w:noProof/>
        </w:rPr>
        <w:t>marci 2019</w:t>
      </w:r>
      <w:r w:rsidR="00F537B9">
        <w:rPr>
          <w:noProof/>
        </w:rPr>
        <w:t xml:space="preserve"> a </w:t>
      </w:r>
      <w:r w:rsidRPr="00F537B9">
        <w:rPr>
          <w:noProof/>
        </w:rPr>
        <w:t>nebola obnovená.</w:t>
      </w:r>
    </w:p>
    <w:p w14:paraId="1FB8AE1D" w14:textId="28E326E6" w:rsidR="00F537B9" w:rsidRDefault="00AD303D" w:rsidP="00AD303D">
      <w:pPr>
        <w:pBdr>
          <w:top w:val="nil"/>
          <w:left w:val="nil"/>
          <w:bottom w:val="nil"/>
          <w:right w:val="nil"/>
          <w:between w:val="nil"/>
          <w:bar w:val="nil"/>
        </w:pBdr>
        <w:spacing w:before="0" w:after="240"/>
        <w:rPr>
          <w:noProof/>
        </w:rPr>
      </w:pPr>
      <w:r w:rsidRPr="00F537B9">
        <w:rPr>
          <w:noProof/>
        </w:rPr>
        <w:t>Návrh dopĺňa aj arbitrážny dohovor</w:t>
      </w:r>
      <w:r w:rsidRPr="00F537B9">
        <w:rPr>
          <w:rStyle w:val="FootnoteReference"/>
          <w:rFonts w:eastAsia="Arial Unicode MS"/>
          <w:noProof/>
        </w:rPr>
        <w:footnoteReference w:id="20"/>
      </w:r>
      <w:r w:rsidRPr="00F537B9">
        <w:rPr>
          <w:noProof/>
        </w:rPr>
        <w:t>. Ustanovuje sa</w:t>
      </w:r>
      <w:r w:rsidR="00F537B9">
        <w:rPr>
          <w:noProof/>
        </w:rPr>
        <w:t xml:space="preserve"> v </w:t>
      </w:r>
      <w:r w:rsidRPr="00F537B9">
        <w:rPr>
          <w:noProof/>
        </w:rPr>
        <w:t>ňom postup na riešenie sporov, pri ktorých dochádza</w:t>
      </w:r>
      <w:r w:rsidR="00F537B9">
        <w:rPr>
          <w:noProof/>
        </w:rPr>
        <w:t xml:space="preserve"> k </w:t>
      </w:r>
      <w:r w:rsidRPr="00F537B9">
        <w:rPr>
          <w:noProof/>
        </w:rPr>
        <w:t>dvojitému zdaneniu medzi podnikmi rôznych členských štátov</w:t>
      </w:r>
      <w:r w:rsidR="00F537B9">
        <w:rPr>
          <w:noProof/>
        </w:rPr>
        <w:t xml:space="preserve"> v </w:t>
      </w:r>
      <w:r w:rsidRPr="00F537B9">
        <w:rPr>
          <w:noProof/>
        </w:rPr>
        <w:t>dôsledku úpravy ziskov podniku jedného členského štátu smerom nahor. Hoci väčšina dvojstranných zmlúv</w:t>
      </w:r>
      <w:r w:rsidR="00F537B9">
        <w:rPr>
          <w:noProof/>
        </w:rPr>
        <w:t xml:space="preserve"> o </w:t>
      </w:r>
      <w:r w:rsidRPr="00F537B9">
        <w:rPr>
          <w:noProof/>
        </w:rPr>
        <w:t>zamedzení dvojitého zdanenia obsahuje ustanovenie</w:t>
      </w:r>
      <w:r w:rsidR="00F537B9">
        <w:rPr>
          <w:noProof/>
        </w:rPr>
        <w:t xml:space="preserve"> o </w:t>
      </w:r>
      <w:r w:rsidRPr="00F537B9">
        <w:rPr>
          <w:noProof/>
        </w:rPr>
        <w:t>korešpondujúcej úprave ziskov dotknutého pridruženého podniku smerom nadol, vo všeobecnosti neukladajú zmluvným štátom záväznú povinnosť zamedziť dvojitému zdaneniu. Zamedzenie dvojitého zdanenia dohodou medzi zmluvnými štátmi,</w:t>
      </w:r>
      <w:r w:rsidR="00F537B9">
        <w:rPr>
          <w:noProof/>
        </w:rPr>
        <w:t xml:space="preserve"> v </w:t>
      </w:r>
      <w:r w:rsidRPr="00F537B9">
        <w:rPr>
          <w:noProof/>
        </w:rPr>
        <w:t>prípade potreby aj</w:t>
      </w:r>
      <w:r w:rsidR="00F537B9">
        <w:rPr>
          <w:noProof/>
        </w:rPr>
        <w:t xml:space="preserve"> s </w:t>
      </w:r>
      <w:r w:rsidRPr="00F537B9">
        <w:rPr>
          <w:noProof/>
        </w:rPr>
        <w:t>odkazom na stanovisko nezávislého poradného orgánu, sa stanovuje</w:t>
      </w:r>
      <w:r w:rsidR="00F537B9">
        <w:rPr>
          <w:noProof/>
        </w:rPr>
        <w:t xml:space="preserve"> v </w:t>
      </w:r>
      <w:r w:rsidRPr="00F537B9">
        <w:rPr>
          <w:noProof/>
        </w:rPr>
        <w:t>arbitrážnom dohovore. Arbitrážny dohovor tak zlepšuje podmienky pre cezhraničné činnosti na vnútornom trhu</w:t>
      </w:r>
      <w:r w:rsidR="00F537B9">
        <w:rPr>
          <w:noProof/>
        </w:rPr>
        <w:t>.</w:t>
      </w:r>
    </w:p>
    <w:p w14:paraId="36F345E1" w14:textId="1C2E1F77" w:rsidR="001B1F2E" w:rsidRPr="00F537B9" w:rsidRDefault="005C6377" w:rsidP="001B1F2E">
      <w:pPr>
        <w:pBdr>
          <w:top w:val="nil"/>
          <w:left w:val="nil"/>
          <w:bottom w:val="nil"/>
          <w:right w:val="nil"/>
          <w:between w:val="nil"/>
          <w:bar w:val="nil"/>
        </w:pBdr>
        <w:spacing w:before="0" w:after="240"/>
        <w:rPr>
          <w:rFonts w:eastAsia="Arial Unicode MS"/>
          <w:noProof/>
        </w:rPr>
      </w:pPr>
      <w:r w:rsidRPr="00F537B9">
        <w:rPr>
          <w:noProof/>
        </w:rPr>
        <w:t>Okrem arbitrážneho dohovoru sa daňovníci môžu odvolávať na nové pravidlá riešenia sporov týkajúcich sa zdanenia, ktoré sa uplatňujú od 1</w:t>
      </w:r>
      <w:r w:rsidR="00F537B9">
        <w:rPr>
          <w:noProof/>
        </w:rPr>
        <w:t>. júla</w:t>
      </w:r>
      <w:r w:rsidRPr="00F537B9">
        <w:rPr>
          <w:noProof/>
        </w:rPr>
        <w:t xml:space="preserve"> 2019. Sú stanovené</w:t>
      </w:r>
      <w:r w:rsidR="00F537B9">
        <w:rPr>
          <w:noProof/>
        </w:rPr>
        <w:t xml:space="preserve"> v </w:t>
      </w:r>
      <w:r w:rsidRPr="00F537B9">
        <w:rPr>
          <w:noProof/>
        </w:rPr>
        <w:t>smernici Rady</w:t>
      </w:r>
      <w:r w:rsidR="00F537B9">
        <w:rPr>
          <w:noProof/>
        </w:rPr>
        <w:t xml:space="preserve"> o </w:t>
      </w:r>
      <w:r w:rsidRPr="00F537B9">
        <w:rPr>
          <w:noProof/>
        </w:rPr>
        <w:t>mechanizmoch riešenia sporov týkajúcich sa zdanenia</w:t>
      </w:r>
      <w:r w:rsidR="00F537B9">
        <w:rPr>
          <w:noProof/>
        </w:rPr>
        <w:t xml:space="preserve"> v </w:t>
      </w:r>
      <w:r w:rsidRPr="00F537B9">
        <w:rPr>
          <w:noProof/>
        </w:rPr>
        <w:t>Európskej únii</w:t>
      </w:r>
      <w:r w:rsidRPr="00F537B9">
        <w:rPr>
          <w:rStyle w:val="FootnoteReference"/>
          <w:rFonts w:eastAsia="Arial Unicode MS"/>
          <w:noProof/>
        </w:rPr>
        <w:footnoteReference w:id="21"/>
      </w:r>
      <w:r w:rsidR="00F537B9">
        <w:rPr>
          <w:noProof/>
        </w:rPr>
        <w:t xml:space="preserve"> a </w:t>
      </w:r>
      <w:r w:rsidRPr="00F537B9">
        <w:rPr>
          <w:noProof/>
        </w:rPr>
        <w:t>prinášajú podstatné zlepšenie riešenia sporov týkajúcich sa zdanenia, pretože sa nimi zabezpečuje, aby podniky</w:t>
      </w:r>
      <w:r w:rsidR="00F537B9">
        <w:rPr>
          <w:noProof/>
        </w:rPr>
        <w:t xml:space="preserve"> a </w:t>
      </w:r>
      <w:r w:rsidRPr="00F537B9">
        <w:rPr>
          <w:noProof/>
        </w:rPr>
        <w:t>občania mohli riešiť spory týkajúce sa výkladu</w:t>
      </w:r>
      <w:r w:rsidR="00F537B9">
        <w:rPr>
          <w:noProof/>
        </w:rPr>
        <w:t xml:space="preserve"> a </w:t>
      </w:r>
      <w:r w:rsidRPr="00F537B9">
        <w:rPr>
          <w:noProof/>
        </w:rPr>
        <w:t>uplatňovania daňových zmlúv rýchlejšie</w:t>
      </w:r>
      <w:r w:rsidR="00F537B9">
        <w:rPr>
          <w:noProof/>
        </w:rPr>
        <w:t xml:space="preserve"> a </w:t>
      </w:r>
      <w:r w:rsidRPr="00F537B9">
        <w:rPr>
          <w:noProof/>
        </w:rPr>
        <w:t>účinnejšie. Nové pravidlá sa vzťahujú aj na otázky súvisiace</w:t>
      </w:r>
      <w:r w:rsidR="00F537B9">
        <w:rPr>
          <w:noProof/>
        </w:rPr>
        <w:t xml:space="preserve"> s </w:t>
      </w:r>
      <w:r w:rsidRPr="00F537B9">
        <w:rPr>
          <w:noProof/>
        </w:rPr>
        <w:t>dvojitým zdanením, ku ktorému dochádza</w:t>
      </w:r>
      <w:r w:rsidR="00F537B9">
        <w:rPr>
          <w:noProof/>
        </w:rPr>
        <w:t xml:space="preserve"> v </w:t>
      </w:r>
      <w:r w:rsidRPr="00F537B9">
        <w:rPr>
          <w:noProof/>
        </w:rPr>
        <w:t>prípade, že si dve alebo viaceré krajiny nárokujú právo zdaniť ten istý príjem alebo zisky spoločnosti alebo osoby.</w:t>
      </w:r>
      <w:r w:rsidR="00F537B9">
        <w:rPr>
          <w:noProof/>
        </w:rPr>
        <w:t xml:space="preserve"> K </w:t>
      </w:r>
      <w:r w:rsidRPr="00F537B9">
        <w:rPr>
          <w:noProof/>
        </w:rPr>
        <w:t>tomu môže dôjsť napríklad</w:t>
      </w:r>
      <w:r w:rsidR="00F537B9">
        <w:rPr>
          <w:noProof/>
        </w:rPr>
        <w:t xml:space="preserve"> v </w:t>
      </w:r>
      <w:r w:rsidRPr="00F537B9">
        <w:rPr>
          <w:noProof/>
        </w:rPr>
        <w:t>dôsledku rozdielnych vnútroštátnych pravidiel alebo rôznych výkladov pravidiel transferového oceňovania</w:t>
      </w:r>
      <w:r w:rsidR="00F537B9">
        <w:rPr>
          <w:noProof/>
        </w:rPr>
        <w:t xml:space="preserve"> v </w:t>
      </w:r>
      <w:r w:rsidRPr="00F537B9">
        <w:rPr>
          <w:noProof/>
        </w:rPr>
        <w:t>dvojstrannej daňovej zmluve.</w:t>
      </w:r>
    </w:p>
    <w:p w14:paraId="0B66144A" w14:textId="664F1F09" w:rsidR="00F537B9" w:rsidRDefault="009B4B4D" w:rsidP="0042573D">
      <w:pPr>
        <w:pBdr>
          <w:top w:val="nil"/>
          <w:left w:val="nil"/>
          <w:bottom w:val="nil"/>
          <w:right w:val="nil"/>
          <w:between w:val="nil"/>
          <w:bar w:val="nil"/>
        </w:pBdr>
        <w:spacing w:before="0" w:after="240"/>
        <w:rPr>
          <w:noProof/>
        </w:rPr>
      </w:pPr>
      <w:r w:rsidRPr="00F537B9">
        <w:rPr>
          <w:noProof/>
        </w:rPr>
        <w:t>A napokon sa Komisia</w:t>
      </w:r>
      <w:r w:rsidR="00F537B9">
        <w:rPr>
          <w:noProof/>
        </w:rPr>
        <w:t xml:space="preserve"> v </w:t>
      </w:r>
      <w:r w:rsidRPr="00F537B9">
        <w:rPr>
          <w:noProof/>
        </w:rPr>
        <w:t>júli 2020 zaviazala, že spolu</w:t>
      </w:r>
      <w:r w:rsidR="00F537B9">
        <w:rPr>
          <w:noProof/>
        </w:rPr>
        <w:t xml:space="preserve"> s </w:t>
      </w:r>
      <w:r w:rsidRPr="00F537B9">
        <w:rPr>
          <w:noProof/>
        </w:rPr>
        <w:t>členskými štátmi, ktoré majú záujem, vytvorí rámec spolupráce EÚ</w:t>
      </w:r>
      <w:r w:rsidR="00F537B9">
        <w:rPr>
          <w:noProof/>
        </w:rPr>
        <w:t xml:space="preserve"> v </w:t>
      </w:r>
      <w:r w:rsidRPr="00F537B9">
        <w:rPr>
          <w:noProof/>
        </w:rPr>
        <w:t xml:space="preserve">oblasti dodržiavania predpisov, spoločne nazývaný </w:t>
      </w:r>
      <w:r w:rsidRPr="00F537B9">
        <w:rPr>
          <w:i/>
          <w:noProof/>
        </w:rPr>
        <w:t>European Trust and Cooperation Approach (ETACA)</w:t>
      </w:r>
      <w:r w:rsidRPr="00F537B9">
        <w:rPr>
          <w:noProof/>
        </w:rPr>
        <w:t xml:space="preserve"> (Európsky prístup založený na dôvere</w:t>
      </w:r>
      <w:r w:rsidR="00F537B9">
        <w:rPr>
          <w:noProof/>
        </w:rPr>
        <w:t xml:space="preserve"> a </w:t>
      </w:r>
      <w:r w:rsidRPr="00F537B9">
        <w:rPr>
          <w:noProof/>
        </w:rPr>
        <w:t>spolupráci)</w:t>
      </w:r>
      <w:r w:rsidRPr="00F537B9">
        <w:rPr>
          <w:rStyle w:val="FootnoteReference"/>
          <w:rFonts w:eastAsia="Arial Unicode MS"/>
          <w:noProof/>
        </w:rPr>
        <w:footnoteReference w:id="22"/>
      </w:r>
      <w:r w:rsidRPr="00F537B9">
        <w:rPr>
          <w:noProof/>
        </w:rPr>
        <w:t>. Jeho účelom je poskytnúť jasný celoeurópsky rámec pre preventívny dialóg medzi daňovými správami</w:t>
      </w:r>
      <w:r w:rsidR="00F537B9">
        <w:rPr>
          <w:noProof/>
        </w:rPr>
        <w:t xml:space="preserve"> a </w:t>
      </w:r>
      <w:r w:rsidRPr="00F537B9">
        <w:rPr>
          <w:noProof/>
        </w:rPr>
        <w:t>daňovníkmi</w:t>
      </w:r>
      <w:r w:rsidR="00F537B9">
        <w:rPr>
          <w:noProof/>
        </w:rPr>
        <w:t xml:space="preserve"> z </w:t>
      </w:r>
      <w:r w:rsidRPr="00F537B9">
        <w:rPr>
          <w:noProof/>
        </w:rPr>
        <w:t>radov podnikateľov</w:t>
      </w:r>
      <w:r w:rsidR="00F537B9">
        <w:rPr>
          <w:noProof/>
        </w:rPr>
        <w:t xml:space="preserve"> s </w:t>
      </w:r>
      <w:r w:rsidRPr="00F537B9">
        <w:rPr>
          <w:noProof/>
        </w:rPr>
        <w:t>cieľom podnietiť preventívny dialóg vedúci</w:t>
      </w:r>
      <w:r w:rsidR="00F537B9">
        <w:rPr>
          <w:noProof/>
        </w:rPr>
        <w:t xml:space="preserve"> k </w:t>
      </w:r>
      <w:r w:rsidRPr="00F537B9">
        <w:rPr>
          <w:noProof/>
        </w:rPr>
        <w:t>tomu, aby daňové správy vykonali posúdenie rizík na vysokej úrovni, pokiaľ ide</w:t>
      </w:r>
      <w:r w:rsidR="00F537B9">
        <w:rPr>
          <w:noProof/>
        </w:rPr>
        <w:t xml:space="preserve"> o </w:t>
      </w:r>
      <w:r w:rsidRPr="00F537B9">
        <w:rPr>
          <w:noProof/>
        </w:rPr>
        <w:t>zásady transferového oceňovania prijaté veľkými nadnárodnými podnikmi. Výsledkom je, že spoločnosti získavajú podporu pri internacionalizácii, aby sa predišlo problémom dvojitého zdanenia</w:t>
      </w:r>
      <w:r w:rsidR="00F537B9">
        <w:rPr>
          <w:noProof/>
        </w:rPr>
        <w:t xml:space="preserve"> a </w:t>
      </w:r>
      <w:r w:rsidRPr="00F537B9">
        <w:rPr>
          <w:noProof/>
        </w:rPr>
        <w:t>znížili náklady na dodržiavanie daňových predpisov.</w:t>
      </w:r>
      <w:r w:rsidR="00F537B9">
        <w:rPr>
          <w:noProof/>
        </w:rPr>
        <w:t xml:space="preserve"> V </w:t>
      </w:r>
      <w:r w:rsidRPr="00F537B9">
        <w:rPr>
          <w:noProof/>
        </w:rPr>
        <w:t>marci 2023 bola ukončená pilotná fáza programu</w:t>
      </w:r>
      <w:r w:rsidR="00F537B9">
        <w:rPr>
          <w:noProof/>
        </w:rPr>
        <w:t xml:space="preserve"> a </w:t>
      </w:r>
      <w:r w:rsidRPr="00F537B9">
        <w:rPr>
          <w:noProof/>
        </w:rPr>
        <w:t>útvary Komisie</w:t>
      </w:r>
      <w:r w:rsidR="00F537B9">
        <w:rPr>
          <w:noProof/>
        </w:rPr>
        <w:t xml:space="preserve"> v </w:t>
      </w:r>
      <w:r w:rsidRPr="00F537B9">
        <w:rPr>
          <w:noProof/>
        </w:rPr>
        <w:t>súčasnosti vyhodnocujú, či</w:t>
      </w:r>
      <w:r w:rsidR="00F537B9">
        <w:rPr>
          <w:noProof/>
        </w:rPr>
        <w:t xml:space="preserve"> a </w:t>
      </w:r>
      <w:r w:rsidRPr="00F537B9">
        <w:rPr>
          <w:noProof/>
        </w:rPr>
        <w:t>ako predĺžiť program natrvalo</w:t>
      </w:r>
      <w:r w:rsidR="00F537B9">
        <w:rPr>
          <w:noProof/>
        </w:rPr>
        <w:t>.</w:t>
      </w:r>
    </w:p>
    <w:p w14:paraId="1C72115E" w14:textId="0C26A7DE" w:rsidR="00D2013A" w:rsidRPr="00F537B9" w:rsidRDefault="00D2013A" w:rsidP="0042573D">
      <w:pPr>
        <w:pBdr>
          <w:top w:val="nil"/>
          <w:left w:val="nil"/>
          <w:bottom w:val="nil"/>
          <w:right w:val="nil"/>
          <w:between w:val="nil"/>
          <w:bar w:val="nil"/>
        </w:pBdr>
        <w:spacing w:before="0" w:after="240"/>
        <w:rPr>
          <w:rFonts w:eastAsia="Arial Unicode MS"/>
          <w:noProof/>
        </w:rPr>
      </w:pPr>
      <w:r w:rsidRPr="00F537B9">
        <w:rPr>
          <w:noProof/>
        </w:rPr>
        <w:t>A napokon Komisia naďalej podporuje vykonávanie svojho programu pre spravodlivé</w:t>
      </w:r>
      <w:r w:rsidR="00F537B9">
        <w:rPr>
          <w:noProof/>
        </w:rPr>
        <w:t xml:space="preserve"> a </w:t>
      </w:r>
      <w:r w:rsidRPr="00F537B9">
        <w:rPr>
          <w:noProof/>
        </w:rPr>
        <w:t>jednoduché zdaňovanie, akým sú uvedené smernice, prostredníctvom svojho Nástroja technickej podpory</w:t>
      </w:r>
      <w:r w:rsidRPr="00F537B9">
        <w:rPr>
          <w:rStyle w:val="FootnoteReference"/>
          <w:rFonts w:eastAsia="Arial Unicode MS"/>
          <w:noProof/>
        </w:rPr>
        <w:footnoteReference w:id="23"/>
      </w:r>
      <w:r w:rsidR="00F537B9">
        <w:rPr>
          <w:noProof/>
        </w:rPr>
        <w:t xml:space="preserve"> a </w:t>
      </w:r>
      <w:r w:rsidRPr="00F537B9">
        <w:rPr>
          <w:noProof/>
        </w:rPr>
        <w:t>iných programov Únie.</w:t>
      </w:r>
    </w:p>
    <w:p w14:paraId="5F10F14D" w14:textId="2F319B97" w:rsidR="00E07B7C" w:rsidRPr="00F537B9" w:rsidRDefault="00E07B7C" w:rsidP="00CE54C3">
      <w:pPr>
        <w:pStyle w:val="ManualHeading2"/>
        <w:rPr>
          <w:noProof/>
        </w:rPr>
      </w:pPr>
      <w:r w:rsidRPr="00F537B9">
        <w:rPr>
          <w:noProof/>
          <w:color w:val="000000"/>
          <w:u w:color="000000"/>
          <w:bdr w:val="nil"/>
        </w:rPr>
        <w:t>•</w:t>
      </w:r>
      <w:r w:rsidRPr="00F537B9">
        <w:rPr>
          <w:noProof/>
        </w:rPr>
        <w:tab/>
        <w:t>Súlad</w:t>
      </w:r>
      <w:r w:rsidR="00F537B9">
        <w:rPr>
          <w:noProof/>
        </w:rPr>
        <w:t xml:space="preserve"> s </w:t>
      </w:r>
      <w:r w:rsidRPr="00F537B9">
        <w:rPr>
          <w:noProof/>
        </w:rPr>
        <w:t>ostatnými politikami Únie</w:t>
      </w:r>
    </w:p>
    <w:p w14:paraId="280612FB" w14:textId="09DF5E63" w:rsidR="00002722" w:rsidRPr="00F537B9" w:rsidRDefault="00241440" w:rsidP="00002722">
      <w:pPr>
        <w:pBdr>
          <w:top w:val="nil"/>
          <w:left w:val="nil"/>
          <w:bottom w:val="nil"/>
          <w:right w:val="nil"/>
          <w:between w:val="nil"/>
          <w:bar w:val="nil"/>
        </w:pBdr>
        <w:spacing w:before="0" w:after="240"/>
        <w:rPr>
          <w:rFonts w:eastAsia="Arial Unicode MS"/>
          <w:noProof/>
        </w:rPr>
      </w:pPr>
      <w:r w:rsidRPr="00F537B9">
        <w:rPr>
          <w:noProof/>
        </w:rPr>
        <w:t>Tento návrh smernice je</w:t>
      </w:r>
      <w:r w:rsidR="00F537B9">
        <w:rPr>
          <w:noProof/>
        </w:rPr>
        <w:t xml:space="preserve"> v </w:t>
      </w:r>
      <w:r w:rsidRPr="00F537B9">
        <w:rPr>
          <w:noProof/>
        </w:rPr>
        <w:t>súlade so stratégiou Komisie pre MSP</w:t>
      </w:r>
      <w:r w:rsidR="00F537B9">
        <w:rPr>
          <w:noProof/>
        </w:rPr>
        <w:t xml:space="preserve"> v </w:t>
      </w:r>
      <w:r w:rsidRPr="00F537B9">
        <w:rPr>
          <w:noProof/>
        </w:rPr>
        <w:t>oblasti zdaňovania</w:t>
      </w:r>
      <w:r w:rsidR="00F537B9">
        <w:rPr>
          <w:noProof/>
        </w:rPr>
        <w:t xml:space="preserve"> a </w:t>
      </w:r>
      <w:r w:rsidRPr="00F537B9">
        <w:rPr>
          <w:noProof/>
        </w:rPr>
        <w:t>MSP</w:t>
      </w:r>
      <w:r w:rsidRPr="00F537B9">
        <w:rPr>
          <w:rStyle w:val="FootnoteReference"/>
          <w:rFonts w:eastAsia="Arial Unicode MS"/>
          <w:noProof/>
        </w:rPr>
        <w:footnoteReference w:id="24"/>
      </w:r>
      <w:r w:rsidRPr="00F537B9">
        <w:rPr>
          <w:noProof/>
        </w:rPr>
        <w:t>. Väčšina MSP považuje daňové záležitosti za oblasť politiky, ktorá predstavuje najväčšiu záťaž</w:t>
      </w:r>
      <w:r w:rsidR="00F537B9">
        <w:rPr>
          <w:noProof/>
        </w:rPr>
        <w:t xml:space="preserve"> a </w:t>
      </w:r>
      <w:r w:rsidRPr="00F537B9">
        <w:rPr>
          <w:noProof/>
        </w:rPr>
        <w:t>ktorá ich ovplyvňuje. MSP majú mnoho ťažkostí</w:t>
      </w:r>
      <w:r w:rsidR="00F537B9">
        <w:rPr>
          <w:noProof/>
        </w:rPr>
        <w:t xml:space="preserve"> v </w:t>
      </w:r>
      <w:r w:rsidRPr="00F537B9">
        <w:rPr>
          <w:noProof/>
        </w:rPr>
        <w:t>daňových otázkach, napríklad: priame zdaňovanie (príjem, kapitál, dvojité zdanenie atď.), náklady na dodržiavanie daňových predpisov</w:t>
      </w:r>
      <w:r w:rsidR="00F537B9">
        <w:rPr>
          <w:noProof/>
        </w:rPr>
        <w:t xml:space="preserve"> a </w:t>
      </w:r>
      <w:r w:rsidRPr="00F537B9">
        <w:rPr>
          <w:noProof/>
        </w:rPr>
        <w:t>administratívne zaťaženie vyplývajúce</w:t>
      </w:r>
      <w:r w:rsidR="00F537B9">
        <w:rPr>
          <w:noProof/>
        </w:rPr>
        <w:t xml:space="preserve"> z </w:t>
      </w:r>
      <w:r w:rsidRPr="00F537B9">
        <w:rPr>
          <w:noProof/>
        </w:rPr>
        <w:t>daňových pravidiel. Keďže cieľom nášho návrhu je zaviesť jednotný prístup</w:t>
      </w:r>
      <w:r w:rsidR="00F537B9">
        <w:rPr>
          <w:noProof/>
        </w:rPr>
        <w:t xml:space="preserve"> k </w:t>
      </w:r>
      <w:r w:rsidRPr="00F537B9">
        <w:rPr>
          <w:noProof/>
        </w:rPr>
        <w:t>transferovému oceňovaniu,</w:t>
      </w:r>
      <w:r w:rsidR="00F537B9">
        <w:rPr>
          <w:noProof/>
        </w:rPr>
        <w:t xml:space="preserve"> a </w:t>
      </w:r>
      <w:r w:rsidRPr="00F537B9">
        <w:rPr>
          <w:noProof/>
        </w:rPr>
        <w:t>tým dosiahnuť väčšiu daňovú istotu</w:t>
      </w:r>
      <w:r w:rsidR="00F537B9">
        <w:rPr>
          <w:noProof/>
        </w:rPr>
        <w:t xml:space="preserve"> v </w:t>
      </w:r>
      <w:r w:rsidRPr="00F537B9">
        <w:rPr>
          <w:noProof/>
        </w:rPr>
        <w:t>tejto oblasti</w:t>
      </w:r>
      <w:r w:rsidR="00F537B9">
        <w:rPr>
          <w:noProof/>
        </w:rPr>
        <w:t xml:space="preserve"> v </w:t>
      </w:r>
      <w:r w:rsidRPr="00F537B9">
        <w:rPr>
          <w:noProof/>
        </w:rPr>
        <w:t>celej Únii pre spoločnosti bez ohľadu na ich veľkosť, MSP budú takisto profitovať</w:t>
      </w:r>
      <w:r w:rsidR="00F537B9">
        <w:rPr>
          <w:noProof/>
        </w:rPr>
        <w:t xml:space="preserve"> z </w:t>
      </w:r>
      <w:r w:rsidRPr="00F537B9">
        <w:rPr>
          <w:noProof/>
        </w:rPr>
        <w:t>harmonizovanejšieho prístupu, ktorý by mohol viesť</w:t>
      </w:r>
      <w:r w:rsidR="00F537B9">
        <w:rPr>
          <w:noProof/>
        </w:rPr>
        <w:t xml:space="preserve"> k </w:t>
      </w:r>
      <w:r w:rsidRPr="00F537B9">
        <w:rPr>
          <w:noProof/>
        </w:rPr>
        <w:t>zníženiu nákladov na dodržiavanie predpisov, ako aj</w:t>
      </w:r>
      <w:r w:rsidR="00F537B9">
        <w:rPr>
          <w:noProof/>
        </w:rPr>
        <w:t xml:space="preserve"> k </w:t>
      </w:r>
      <w:r w:rsidRPr="00F537B9">
        <w:rPr>
          <w:noProof/>
        </w:rPr>
        <w:t>zvýšeniu istoty vo vzťahu</w:t>
      </w:r>
      <w:r w:rsidR="00F537B9">
        <w:rPr>
          <w:noProof/>
        </w:rPr>
        <w:t xml:space="preserve"> k </w:t>
      </w:r>
      <w:r w:rsidRPr="00F537B9">
        <w:rPr>
          <w:noProof/>
        </w:rPr>
        <w:t>daňovým orgánom</w:t>
      </w:r>
      <w:r w:rsidR="00F537B9">
        <w:rPr>
          <w:noProof/>
        </w:rPr>
        <w:t xml:space="preserve"> v </w:t>
      </w:r>
      <w:r w:rsidRPr="00F537B9">
        <w:rPr>
          <w:noProof/>
        </w:rPr>
        <w:t>jednotlivých členských štátoch.</w:t>
      </w:r>
    </w:p>
    <w:p w14:paraId="0C12F244" w14:textId="77777777" w:rsidR="00E07B7C" w:rsidRPr="00F537B9" w:rsidRDefault="00E07B7C" w:rsidP="00CE54C3">
      <w:pPr>
        <w:pStyle w:val="ManualHeading1"/>
        <w:rPr>
          <w:noProof/>
        </w:rPr>
      </w:pPr>
      <w:r w:rsidRPr="00F537B9">
        <w:rPr>
          <w:noProof/>
        </w:rPr>
        <w:t>2.</w:t>
      </w:r>
      <w:r w:rsidRPr="00F537B9">
        <w:rPr>
          <w:noProof/>
        </w:rPr>
        <w:tab/>
        <w:t>PRÁVNY ZÁKLAD, SUBSIDIARITA A PROPORCIONALITA</w:t>
      </w:r>
    </w:p>
    <w:p w14:paraId="4DE4CE54" w14:textId="77777777" w:rsidR="00E07B7C" w:rsidRPr="00F537B9" w:rsidRDefault="00E07B7C" w:rsidP="00CE54C3">
      <w:pPr>
        <w:pStyle w:val="ManualHeading2"/>
        <w:rPr>
          <w:noProof/>
          <w:u w:color="000000"/>
          <w:bdr w:val="nil"/>
        </w:rPr>
      </w:pPr>
      <w:r w:rsidRPr="00F537B9">
        <w:rPr>
          <w:noProof/>
          <w:u w:color="000000"/>
          <w:bdr w:val="nil"/>
        </w:rPr>
        <w:t>•</w:t>
      </w:r>
      <w:r w:rsidRPr="00F537B9">
        <w:rPr>
          <w:noProof/>
        </w:rPr>
        <w:tab/>
      </w:r>
      <w:r w:rsidRPr="00F537B9">
        <w:rPr>
          <w:noProof/>
          <w:u w:color="000000"/>
          <w:bdr w:val="nil"/>
        </w:rPr>
        <w:t>Právny základ</w:t>
      </w:r>
    </w:p>
    <w:p w14:paraId="5DCC4C1F" w14:textId="5574D123" w:rsidR="00E07B7C" w:rsidRPr="00F537B9" w:rsidRDefault="00E07B7C" w:rsidP="00E07B7C">
      <w:pPr>
        <w:pBdr>
          <w:top w:val="nil"/>
          <w:left w:val="nil"/>
          <w:bottom w:val="nil"/>
          <w:right w:val="nil"/>
          <w:between w:val="nil"/>
          <w:bar w:val="nil"/>
        </w:pBdr>
        <w:spacing w:before="0" w:after="240"/>
        <w:rPr>
          <w:rFonts w:eastAsia="Arial Unicode MS"/>
          <w:noProof/>
          <w:color w:val="008000"/>
        </w:rPr>
      </w:pPr>
      <w:bookmarkStart w:id="1" w:name="_Hlk136509499"/>
      <w:r w:rsidRPr="00F537B9">
        <w:rPr>
          <w:noProof/>
        </w:rPr>
        <w:t xml:space="preserve">Právnym základom </w:t>
      </w:r>
      <w:bookmarkEnd w:id="1"/>
      <w:r w:rsidRPr="00F537B9">
        <w:rPr>
          <w:noProof/>
        </w:rPr>
        <w:t>legislatívnych iniciatív týkajúcich sa daňového systému je článok 115 Zmluvy</w:t>
      </w:r>
      <w:r w:rsidR="00F537B9">
        <w:rPr>
          <w:noProof/>
        </w:rPr>
        <w:t xml:space="preserve"> o </w:t>
      </w:r>
      <w:r w:rsidRPr="00F537B9">
        <w:rPr>
          <w:noProof/>
        </w:rPr>
        <w:t>fungovaní Európskej únie (ZFEÚ). Hoci tento článok neobsahuje výslovný odkaz na priame dane, spomína sa</w:t>
      </w:r>
      <w:r w:rsidR="00F537B9">
        <w:rPr>
          <w:noProof/>
        </w:rPr>
        <w:t xml:space="preserve"> v </w:t>
      </w:r>
      <w:r w:rsidRPr="00F537B9">
        <w:rPr>
          <w:noProof/>
        </w:rPr>
        <w:t>ňom vydávanie smerníc na aproximáciu vnútroštátneho práva, ktoré priamo ovplyvňujú vytvorenie alebo fungovanie jednotného trhu.</w:t>
      </w:r>
      <w:r w:rsidR="00F537B9">
        <w:rPr>
          <w:noProof/>
        </w:rPr>
        <w:t xml:space="preserve"> Z </w:t>
      </w:r>
      <w:r w:rsidRPr="00F537B9">
        <w:rPr>
          <w:noProof/>
        </w:rPr>
        <w:t>toho vyplýva, že podľa článku 115 ZFEÚ sú smernice vhodným právnym nástrojom pre Úniu</w:t>
      </w:r>
      <w:r w:rsidR="00F537B9">
        <w:rPr>
          <w:noProof/>
        </w:rPr>
        <w:t xml:space="preserve"> v </w:t>
      </w:r>
      <w:r w:rsidRPr="00F537B9">
        <w:rPr>
          <w:noProof/>
        </w:rPr>
        <w:t>tejto oblasti. Na základe článku 288 ZFEÚ sú smernice záväzné pre členské štáty vzhľadom na výsledok, ktorý sa má dosiahnuť, pričom sa voľba foriem</w:t>
      </w:r>
      <w:r w:rsidR="00F537B9">
        <w:rPr>
          <w:noProof/>
        </w:rPr>
        <w:t xml:space="preserve"> a </w:t>
      </w:r>
      <w:r w:rsidRPr="00F537B9">
        <w:rPr>
          <w:noProof/>
        </w:rPr>
        <w:t>metód ponecháva vnútroštátnym orgánom</w:t>
      </w:r>
      <w:r w:rsidRPr="00F537B9">
        <w:rPr>
          <w:noProof/>
          <w:color w:val="008000"/>
        </w:rPr>
        <w:t>.</w:t>
      </w:r>
    </w:p>
    <w:p w14:paraId="019138C7" w14:textId="77777777" w:rsidR="00E07B7C" w:rsidRPr="00F537B9" w:rsidRDefault="00E07B7C" w:rsidP="00CE54C3">
      <w:pPr>
        <w:pStyle w:val="ManualHeading2"/>
        <w:rPr>
          <w:noProof/>
          <w:u w:color="000000"/>
          <w:bdr w:val="nil"/>
        </w:rPr>
      </w:pPr>
      <w:r w:rsidRPr="00F537B9">
        <w:rPr>
          <w:noProof/>
          <w:u w:color="000000"/>
          <w:bdr w:val="nil"/>
        </w:rPr>
        <w:t>•</w:t>
      </w:r>
      <w:r w:rsidRPr="00F537B9">
        <w:rPr>
          <w:noProof/>
        </w:rPr>
        <w:tab/>
      </w:r>
      <w:r w:rsidRPr="00F537B9">
        <w:rPr>
          <w:noProof/>
          <w:u w:color="000000"/>
          <w:bdr w:val="nil"/>
        </w:rPr>
        <w:t>Subsidiarita (v prípade inej ako výlučnej právomoci)</w:t>
      </w:r>
    </w:p>
    <w:p w14:paraId="3B3BD2E8" w14:textId="655E34DC" w:rsidR="00E07B7C" w:rsidRPr="00F537B9" w:rsidRDefault="00E07B7C" w:rsidP="00E07B7C">
      <w:pPr>
        <w:pBdr>
          <w:top w:val="nil"/>
          <w:left w:val="nil"/>
          <w:bottom w:val="nil"/>
          <w:right w:val="nil"/>
          <w:between w:val="nil"/>
          <w:bar w:val="nil"/>
        </w:pBdr>
        <w:spacing w:before="0" w:after="240"/>
        <w:rPr>
          <w:noProof/>
        </w:rPr>
      </w:pPr>
      <w:r w:rsidRPr="00F537B9">
        <w:rPr>
          <w:noProof/>
        </w:rPr>
        <w:t>Podľa zásady subsidiarity stanovenej</w:t>
      </w:r>
      <w:r w:rsidR="00F537B9">
        <w:rPr>
          <w:noProof/>
        </w:rPr>
        <w:t xml:space="preserve"> v </w:t>
      </w:r>
      <w:r w:rsidRPr="00F537B9">
        <w:rPr>
          <w:noProof/>
        </w:rPr>
        <w:t>článku 5 Zmluvy</w:t>
      </w:r>
      <w:r w:rsidR="00F537B9">
        <w:rPr>
          <w:noProof/>
        </w:rPr>
        <w:t xml:space="preserve"> o </w:t>
      </w:r>
      <w:r w:rsidRPr="00F537B9">
        <w:rPr>
          <w:noProof/>
        </w:rPr>
        <w:t>Európskej únii by sa mali opatrenia na úrovni Únie prijímať len vtedy, keď zamýšľané ciele nemožno uspokojivo dosiahnuť, ak by členské štáty konali samostatne,</w:t>
      </w:r>
      <w:r w:rsidR="00F537B9">
        <w:rPr>
          <w:noProof/>
        </w:rPr>
        <w:t xml:space="preserve"> a </w:t>
      </w:r>
      <w:r w:rsidRPr="00F537B9">
        <w:rPr>
          <w:noProof/>
        </w:rPr>
        <w:t>okrem toho, keď ich</w:t>
      </w:r>
      <w:r w:rsidR="00F537B9">
        <w:rPr>
          <w:noProof/>
        </w:rPr>
        <w:t xml:space="preserve"> z </w:t>
      </w:r>
      <w:r w:rsidRPr="00F537B9">
        <w:rPr>
          <w:noProof/>
        </w:rPr>
        <w:t>dôvodu rozsahu alebo účinkov navrhovaného opatrenia možno lepšie dosiahnuť na úrovni Únie.</w:t>
      </w:r>
    </w:p>
    <w:p w14:paraId="0116D2FF" w14:textId="3BC496BF" w:rsidR="00E07B7C" w:rsidRPr="00F537B9" w:rsidRDefault="00E07B7C" w:rsidP="00E07B7C">
      <w:pPr>
        <w:pBdr>
          <w:top w:val="nil"/>
          <w:left w:val="nil"/>
          <w:bottom w:val="nil"/>
          <w:right w:val="nil"/>
          <w:between w:val="nil"/>
          <w:bar w:val="nil"/>
        </w:pBdr>
        <w:spacing w:before="0" w:after="240"/>
        <w:rPr>
          <w:noProof/>
        </w:rPr>
      </w:pPr>
      <w:r w:rsidRPr="00F537B9">
        <w:rPr>
          <w:noProof/>
        </w:rPr>
        <w:t>Vzhľadom na cezhraničný charakter predmetného problému sa vyžaduje spoločná iniciatíva</w:t>
      </w:r>
      <w:r w:rsidR="00F537B9">
        <w:rPr>
          <w:noProof/>
        </w:rPr>
        <w:t xml:space="preserve"> v </w:t>
      </w:r>
      <w:r w:rsidRPr="00F537B9">
        <w:rPr>
          <w:noProof/>
        </w:rPr>
        <w:t>rámci celého jednotného trhu. Vzhľadom na inherentnú cezhraničnú povahu transferového oceňovania ho možno ho riešiť len stanovením právnych predpisov na úrovni Únie. Táto iniciatíva je preto</w:t>
      </w:r>
      <w:r w:rsidR="00F537B9">
        <w:rPr>
          <w:noProof/>
        </w:rPr>
        <w:t xml:space="preserve"> v </w:t>
      </w:r>
      <w:r w:rsidRPr="00F537B9">
        <w:rPr>
          <w:noProof/>
        </w:rPr>
        <w:t>súlade so zásadou subsidiarity, keďže jednotlivé nekoordinované opatrenia členských štátov by len prispeli</w:t>
      </w:r>
      <w:r w:rsidR="00F537B9">
        <w:rPr>
          <w:noProof/>
        </w:rPr>
        <w:t xml:space="preserve"> k </w:t>
      </w:r>
      <w:r w:rsidRPr="00F537B9">
        <w:rPr>
          <w:noProof/>
        </w:rPr>
        <w:t>súčasnej fragmentácii právneho rámca pre transferové oceňovanie</w:t>
      </w:r>
      <w:r w:rsidR="00F537B9">
        <w:rPr>
          <w:noProof/>
        </w:rPr>
        <w:t xml:space="preserve"> a </w:t>
      </w:r>
      <w:r w:rsidRPr="00F537B9">
        <w:rPr>
          <w:noProof/>
        </w:rPr>
        <w:t>nedosiahli by plánované výsledky. Spoločný prístup pre všetky členské štáty by mal najvyššiu šancu na dosiahnutie plánovaných cieľov.</w:t>
      </w:r>
    </w:p>
    <w:p w14:paraId="63A92EDE" w14:textId="0F7E830D" w:rsidR="00E07B7C" w:rsidRPr="00F537B9" w:rsidRDefault="00E07B7C" w:rsidP="00E07B7C">
      <w:pPr>
        <w:pBdr>
          <w:top w:val="nil"/>
          <w:left w:val="nil"/>
          <w:bottom w:val="nil"/>
          <w:right w:val="nil"/>
          <w:between w:val="nil"/>
          <w:bar w:val="nil"/>
        </w:pBdr>
        <w:spacing w:before="0" w:after="240"/>
        <w:rPr>
          <w:rFonts w:eastAsia="Arial Unicode MS"/>
          <w:noProof/>
        </w:rPr>
      </w:pPr>
      <w:r w:rsidRPr="00F537B9">
        <w:rPr>
          <w:noProof/>
        </w:rPr>
        <w:t>Legislatívna iniciatíva je preto</w:t>
      </w:r>
      <w:r w:rsidR="00F537B9">
        <w:rPr>
          <w:noProof/>
        </w:rPr>
        <w:t xml:space="preserve"> v </w:t>
      </w:r>
      <w:r w:rsidRPr="00F537B9">
        <w:rPr>
          <w:noProof/>
        </w:rPr>
        <w:t>súlade so zásadou subsidiarity stanovenou</w:t>
      </w:r>
      <w:r w:rsidR="00F537B9">
        <w:rPr>
          <w:noProof/>
        </w:rPr>
        <w:t xml:space="preserve"> v </w:t>
      </w:r>
      <w:r w:rsidRPr="00F537B9">
        <w:rPr>
          <w:noProof/>
        </w:rPr>
        <w:t>článku 5 Zmluvy</w:t>
      </w:r>
      <w:r w:rsidR="00F537B9">
        <w:rPr>
          <w:noProof/>
        </w:rPr>
        <w:t xml:space="preserve"> o </w:t>
      </w:r>
      <w:r w:rsidRPr="00F537B9">
        <w:rPr>
          <w:noProof/>
        </w:rPr>
        <w:t>Európskej únii.</w:t>
      </w:r>
    </w:p>
    <w:p w14:paraId="6C77D742" w14:textId="77777777" w:rsidR="00E07B7C" w:rsidRPr="00F537B9" w:rsidRDefault="00E07B7C" w:rsidP="00CE54C3">
      <w:pPr>
        <w:pStyle w:val="ManualHeading2"/>
        <w:rPr>
          <w:noProof/>
          <w:u w:color="000000"/>
          <w:bdr w:val="nil"/>
        </w:rPr>
      </w:pPr>
      <w:r w:rsidRPr="00F537B9">
        <w:rPr>
          <w:noProof/>
          <w:u w:color="000000"/>
          <w:bdr w:val="nil"/>
        </w:rPr>
        <w:t>•</w:t>
      </w:r>
      <w:r w:rsidRPr="00F537B9">
        <w:rPr>
          <w:noProof/>
        </w:rPr>
        <w:tab/>
      </w:r>
      <w:r w:rsidRPr="00F537B9">
        <w:rPr>
          <w:noProof/>
          <w:u w:color="000000"/>
          <w:bdr w:val="nil"/>
        </w:rPr>
        <w:t>Proporcionalita</w:t>
      </w:r>
    </w:p>
    <w:p w14:paraId="384B3E15" w14:textId="46C1FB0E" w:rsidR="00F537B9" w:rsidRDefault="00531996" w:rsidP="00CD6A1C">
      <w:pPr>
        <w:pBdr>
          <w:top w:val="nil"/>
          <w:left w:val="nil"/>
          <w:bottom w:val="nil"/>
          <w:right w:val="nil"/>
          <w:between w:val="nil"/>
          <w:bar w:val="nil"/>
        </w:pBdr>
        <w:spacing w:before="0" w:after="240"/>
        <w:rPr>
          <w:noProof/>
        </w:rPr>
      </w:pPr>
      <w:r w:rsidRPr="00F537B9">
        <w:rPr>
          <w:noProof/>
        </w:rPr>
        <w:t>Plánovanými opatreniami sa neprekračuje rámec minimálnej potrebnej úrovne ochrany jednotného trhu,</w:t>
      </w:r>
      <w:r w:rsidR="00F537B9">
        <w:rPr>
          <w:noProof/>
        </w:rPr>
        <w:t xml:space="preserve"> a </w:t>
      </w:r>
      <w:r w:rsidRPr="00F537B9">
        <w:rPr>
          <w:noProof/>
        </w:rPr>
        <w:t>preto sú</w:t>
      </w:r>
      <w:r w:rsidR="00F537B9">
        <w:rPr>
          <w:noProof/>
        </w:rPr>
        <w:t xml:space="preserve"> v </w:t>
      </w:r>
      <w:r w:rsidRPr="00F537B9">
        <w:rPr>
          <w:noProof/>
        </w:rPr>
        <w:t>súlade so zásadami proporcionality. Smernicou sa zabezpečuje jednotný prístup, pokiaľ ide</w:t>
      </w:r>
      <w:r w:rsidR="00F537B9">
        <w:rPr>
          <w:noProof/>
        </w:rPr>
        <w:t xml:space="preserve"> o </w:t>
      </w:r>
      <w:r w:rsidRPr="00F537B9">
        <w:rPr>
          <w:noProof/>
        </w:rPr>
        <w:t>základné princípy transferového oceňovania,</w:t>
      </w:r>
      <w:r w:rsidR="00F537B9">
        <w:rPr>
          <w:noProof/>
        </w:rPr>
        <w:t xml:space="preserve"> a </w:t>
      </w:r>
      <w:r w:rsidRPr="00F537B9">
        <w:rPr>
          <w:noProof/>
        </w:rPr>
        <w:t>stanovujú sa</w:t>
      </w:r>
      <w:r w:rsidR="00F537B9">
        <w:rPr>
          <w:noProof/>
        </w:rPr>
        <w:t xml:space="preserve"> v </w:t>
      </w:r>
      <w:r w:rsidRPr="00F537B9">
        <w:rPr>
          <w:noProof/>
        </w:rPr>
        <w:t>nej cielené pravidlá pre konkrétne transakcie, ktorými možno dosiahnuť najväčšiu pridanú hodnotu pre Úniu. Jednotný štandard princípu nezávislého vzťahu</w:t>
      </w:r>
      <w:r w:rsidR="00F537B9">
        <w:rPr>
          <w:noProof/>
        </w:rPr>
        <w:t xml:space="preserve"> a </w:t>
      </w:r>
      <w:r w:rsidRPr="00F537B9">
        <w:rPr>
          <w:noProof/>
        </w:rPr>
        <w:t>harmonizovanejší prístup</w:t>
      </w:r>
      <w:r w:rsidR="00F537B9">
        <w:rPr>
          <w:noProof/>
        </w:rPr>
        <w:t xml:space="preserve"> k </w:t>
      </w:r>
      <w:r w:rsidRPr="00F537B9">
        <w:rPr>
          <w:noProof/>
        </w:rPr>
        <w:t>transferovému oceňovaniu by mali viesť</w:t>
      </w:r>
      <w:r w:rsidR="00F537B9">
        <w:rPr>
          <w:noProof/>
        </w:rPr>
        <w:t xml:space="preserve"> k </w:t>
      </w:r>
      <w:r w:rsidRPr="00F537B9">
        <w:rPr>
          <w:noProof/>
        </w:rPr>
        <w:t>menej roztrieštenému uplatňovaniu</w:t>
      </w:r>
      <w:r w:rsidR="00F537B9">
        <w:rPr>
          <w:noProof/>
        </w:rPr>
        <w:t xml:space="preserve"> a </w:t>
      </w:r>
      <w:r w:rsidRPr="00F537B9">
        <w:rPr>
          <w:noProof/>
        </w:rPr>
        <w:t>výkladu princípu nezávislého vzťahu</w:t>
      </w:r>
      <w:r w:rsidR="00F537B9">
        <w:rPr>
          <w:noProof/>
        </w:rPr>
        <w:t xml:space="preserve"> v </w:t>
      </w:r>
      <w:r w:rsidRPr="00F537B9">
        <w:rPr>
          <w:noProof/>
        </w:rPr>
        <w:t>celej Únii, čím by sa mali obmedziť spory, súdne spory</w:t>
      </w:r>
      <w:r w:rsidR="00F537B9">
        <w:rPr>
          <w:noProof/>
        </w:rPr>
        <w:t xml:space="preserve"> a </w:t>
      </w:r>
      <w:r w:rsidRPr="00F537B9">
        <w:rPr>
          <w:noProof/>
        </w:rPr>
        <w:t>celkové náklady na dodržiavanie predpisov pre podniky pôsobiace</w:t>
      </w:r>
      <w:r w:rsidR="00F537B9">
        <w:rPr>
          <w:noProof/>
        </w:rPr>
        <w:t xml:space="preserve"> v </w:t>
      </w:r>
      <w:r w:rsidRPr="00F537B9">
        <w:rPr>
          <w:noProof/>
        </w:rPr>
        <w:t>celej Únii</w:t>
      </w:r>
      <w:r w:rsidR="00F537B9">
        <w:rPr>
          <w:noProof/>
        </w:rPr>
        <w:t>.</w:t>
      </w:r>
    </w:p>
    <w:p w14:paraId="63F2C62F" w14:textId="312A32A4" w:rsidR="00E07B7C" w:rsidRPr="00F537B9" w:rsidRDefault="00531996" w:rsidP="00E07B7C">
      <w:pPr>
        <w:pBdr>
          <w:top w:val="nil"/>
          <w:left w:val="nil"/>
          <w:bottom w:val="nil"/>
          <w:right w:val="nil"/>
          <w:between w:val="nil"/>
          <w:bar w:val="nil"/>
        </w:pBdr>
        <w:spacing w:before="0" w:after="240"/>
        <w:rPr>
          <w:noProof/>
        </w:rPr>
      </w:pPr>
      <w:r w:rsidRPr="00F537B9">
        <w:rPr>
          <w:noProof/>
        </w:rPr>
        <w:t>Vzhľadom na uvedené skutočnosti návrh smernice neprekračuje rámec toho, čo je nevyhnutné na splnenie jeho cieľov,</w:t>
      </w:r>
      <w:r w:rsidR="00F537B9">
        <w:rPr>
          <w:noProof/>
        </w:rPr>
        <w:t xml:space="preserve"> a </w:t>
      </w:r>
      <w:r w:rsidRPr="00F537B9">
        <w:rPr>
          <w:noProof/>
        </w:rPr>
        <w:t>preto je</w:t>
      </w:r>
      <w:r w:rsidR="00F537B9">
        <w:rPr>
          <w:noProof/>
        </w:rPr>
        <w:t xml:space="preserve"> v </w:t>
      </w:r>
      <w:r w:rsidRPr="00F537B9">
        <w:rPr>
          <w:noProof/>
        </w:rPr>
        <w:t>súlade so zásadou proporcionality.</w:t>
      </w:r>
    </w:p>
    <w:p w14:paraId="73A9EAD0" w14:textId="77777777" w:rsidR="00E07B7C" w:rsidRPr="00F537B9" w:rsidRDefault="00E07B7C" w:rsidP="00CE54C3">
      <w:pPr>
        <w:pStyle w:val="ManualHeading2"/>
        <w:rPr>
          <w:noProof/>
          <w:u w:color="000000"/>
          <w:bdr w:val="nil"/>
        </w:rPr>
      </w:pPr>
      <w:r w:rsidRPr="00F537B9">
        <w:rPr>
          <w:noProof/>
          <w:u w:color="000000"/>
          <w:bdr w:val="nil"/>
        </w:rPr>
        <w:t>•</w:t>
      </w:r>
      <w:r w:rsidRPr="00F537B9">
        <w:rPr>
          <w:noProof/>
        </w:rPr>
        <w:tab/>
      </w:r>
      <w:r w:rsidRPr="00F537B9">
        <w:rPr>
          <w:noProof/>
          <w:u w:color="000000"/>
          <w:bdr w:val="nil"/>
        </w:rPr>
        <w:t>Výber nástroja</w:t>
      </w:r>
    </w:p>
    <w:p w14:paraId="52C47134" w14:textId="74CC44AF" w:rsidR="00F537B9" w:rsidRDefault="00E07B7C" w:rsidP="00E07B7C">
      <w:pPr>
        <w:pBdr>
          <w:top w:val="nil"/>
          <w:left w:val="nil"/>
          <w:bottom w:val="nil"/>
          <w:right w:val="nil"/>
          <w:between w:val="nil"/>
          <w:bar w:val="nil"/>
        </w:pBdr>
        <w:spacing w:before="0" w:after="240"/>
        <w:rPr>
          <w:noProof/>
        </w:rPr>
      </w:pPr>
      <w:r w:rsidRPr="00F537B9">
        <w:rPr>
          <w:noProof/>
        </w:rPr>
        <w:t>Návrh je návrhom smernice, ktorá je jediným nástrojom prípustným podľa právneho základu, ako sa stanovuje</w:t>
      </w:r>
      <w:r w:rsidR="00F537B9">
        <w:rPr>
          <w:noProof/>
        </w:rPr>
        <w:t xml:space="preserve"> v </w:t>
      </w:r>
      <w:r w:rsidRPr="00F537B9">
        <w:rPr>
          <w:noProof/>
        </w:rPr>
        <w:t>článku 115 Zmluvy</w:t>
      </w:r>
      <w:r w:rsidR="00F537B9">
        <w:rPr>
          <w:noProof/>
        </w:rPr>
        <w:t xml:space="preserve"> o </w:t>
      </w:r>
      <w:r w:rsidRPr="00F537B9">
        <w:rPr>
          <w:noProof/>
        </w:rPr>
        <w:t>fungovaní Európskej únie</w:t>
      </w:r>
      <w:r w:rsidR="00F537B9">
        <w:rPr>
          <w:noProof/>
        </w:rPr>
        <w:t>.</w:t>
      </w:r>
    </w:p>
    <w:p w14:paraId="5F35DBCC" w14:textId="39998D09" w:rsidR="00E07B7C" w:rsidRPr="00F537B9" w:rsidRDefault="00E07B7C" w:rsidP="00CE54C3">
      <w:pPr>
        <w:pStyle w:val="ManualHeading1"/>
        <w:rPr>
          <w:noProof/>
        </w:rPr>
      </w:pPr>
      <w:r w:rsidRPr="00F537B9">
        <w:rPr>
          <w:noProof/>
        </w:rPr>
        <w:t>3.</w:t>
      </w:r>
      <w:r w:rsidRPr="00F537B9">
        <w:rPr>
          <w:noProof/>
        </w:rPr>
        <w:tab/>
        <w:t xml:space="preserve">VÝSLEDKY HODNOTENÍ </w:t>
      </w:r>
      <w:r w:rsidRPr="00F537B9">
        <w:rPr>
          <w:i/>
          <w:noProof/>
        </w:rPr>
        <w:t>EX POST</w:t>
      </w:r>
      <w:r w:rsidRPr="00F537B9">
        <w:rPr>
          <w:noProof/>
        </w:rPr>
        <w:t>, KONZULTÁCIÍ SO ZAINTERESOVANÝMI STRANAMI A POSÚDENÍ VPLYVU</w:t>
      </w:r>
    </w:p>
    <w:p w14:paraId="303DFABA" w14:textId="77777777" w:rsidR="00E07B7C" w:rsidRPr="00F537B9" w:rsidRDefault="00E07B7C" w:rsidP="00CE54C3">
      <w:pPr>
        <w:pStyle w:val="ManualHeading2"/>
        <w:rPr>
          <w:noProof/>
          <w:u w:color="000000"/>
          <w:bdr w:val="nil"/>
        </w:rPr>
      </w:pPr>
      <w:r w:rsidRPr="00F537B9">
        <w:rPr>
          <w:noProof/>
          <w:u w:color="000000"/>
          <w:bdr w:val="nil"/>
        </w:rPr>
        <w:t>•</w:t>
      </w:r>
      <w:r w:rsidRPr="00F537B9">
        <w:rPr>
          <w:noProof/>
        </w:rPr>
        <w:tab/>
      </w:r>
      <w:r w:rsidRPr="00F537B9">
        <w:rPr>
          <w:noProof/>
          <w:u w:color="000000"/>
          <w:bdr w:val="nil"/>
        </w:rPr>
        <w:t xml:space="preserve">Hodnotenia </w:t>
      </w:r>
      <w:r w:rsidRPr="00F537B9">
        <w:rPr>
          <w:i/>
          <w:noProof/>
          <w:u w:color="000000"/>
          <w:bdr w:val="nil"/>
        </w:rPr>
        <w:t>ex post</w:t>
      </w:r>
      <w:r w:rsidRPr="00F537B9">
        <w:rPr>
          <w:noProof/>
          <w:u w:color="000000"/>
          <w:bdr w:val="nil"/>
        </w:rPr>
        <w:t>/kontroly vhodnosti existujúcich právnych predpisov</w:t>
      </w:r>
    </w:p>
    <w:p w14:paraId="54C86E56" w14:textId="092B0068" w:rsidR="00E07B7C" w:rsidRPr="00F537B9" w:rsidRDefault="00E07B7C" w:rsidP="00E07B7C">
      <w:pPr>
        <w:pBdr>
          <w:top w:val="nil"/>
          <w:left w:val="nil"/>
          <w:bottom w:val="nil"/>
          <w:right w:val="nil"/>
          <w:between w:val="nil"/>
          <w:bar w:val="nil"/>
        </w:pBdr>
        <w:spacing w:before="0" w:after="240"/>
        <w:rPr>
          <w:noProof/>
        </w:rPr>
      </w:pPr>
      <w:r w:rsidRPr="00F537B9">
        <w:rPr>
          <w:noProof/>
        </w:rPr>
        <w:t>Keďže neexistujú predchádzajúce právne predpisy Únie</w:t>
      </w:r>
      <w:r w:rsidR="00F537B9">
        <w:rPr>
          <w:noProof/>
        </w:rPr>
        <w:t xml:space="preserve"> v </w:t>
      </w:r>
      <w:r w:rsidRPr="00F537B9">
        <w:rPr>
          <w:noProof/>
        </w:rPr>
        <w:t xml:space="preserve">oblasti transferového oceňovania, neuskutočnili sa hodnotenia </w:t>
      </w:r>
      <w:r w:rsidRPr="00F537B9">
        <w:rPr>
          <w:i/>
          <w:noProof/>
        </w:rPr>
        <w:t>ex post</w:t>
      </w:r>
      <w:r w:rsidRPr="00F537B9">
        <w:rPr>
          <w:noProof/>
        </w:rPr>
        <w:t xml:space="preserve"> ani kontroly vhodnosti.</w:t>
      </w:r>
    </w:p>
    <w:p w14:paraId="283DBEFF" w14:textId="77777777" w:rsidR="00E07B7C" w:rsidRPr="00F537B9" w:rsidRDefault="00E07B7C" w:rsidP="00CE54C3">
      <w:pPr>
        <w:pStyle w:val="ManualHeading2"/>
        <w:rPr>
          <w:noProof/>
          <w:u w:color="000000"/>
          <w:bdr w:val="nil"/>
        </w:rPr>
      </w:pPr>
      <w:r w:rsidRPr="00F537B9">
        <w:rPr>
          <w:noProof/>
          <w:u w:color="000000"/>
          <w:bdr w:val="nil"/>
        </w:rPr>
        <w:t>•</w:t>
      </w:r>
      <w:r w:rsidRPr="00F537B9">
        <w:rPr>
          <w:noProof/>
        </w:rPr>
        <w:tab/>
      </w:r>
      <w:r w:rsidRPr="00F537B9">
        <w:rPr>
          <w:noProof/>
          <w:u w:color="000000"/>
          <w:bdr w:val="nil"/>
        </w:rPr>
        <w:t>Konzultácie so zainteresovanými stranami</w:t>
      </w:r>
    </w:p>
    <w:p w14:paraId="55763B6C" w14:textId="4C380889" w:rsidR="00F537B9" w:rsidRDefault="00857F67" w:rsidP="00E07B7C">
      <w:pPr>
        <w:pBdr>
          <w:top w:val="nil"/>
          <w:left w:val="nil"/>
          <w:bottom w:val="nil"/>
          <w:right w:val="nil"/>
          <w:between w:val="nil"/>
          <w:bar w:val="nil"/>
        </w:pBdr>
        <w:spacing w:before="0" w:after="240"/>
        <w:rPr>
          <w:noProof/>
        </w:rPr>
      </w:pPr>
      <w:r w:rsidRPr="00F537B9">
        <w:rPr>
          <w:noProof/>
        </w:rPr>
        <w:t>Výzva na predkladanie podkladov</w:t>
      </w:r>
      <w:r w:rsidR="00F537B9">
        <w:rPr>
          <w:noProof/>
        </w:rPr>
        <w:t xml:space="preserve"> a </w:t>
      </w:r>
      <w:r w:rsidRPr="00F537B9">
        <w:rPr>
          <w:noProof/>
        </w:rPr>
        <w:t>online prieskum</w:t>
      </w:r>
      <w:r w:rsidR="00F537B9">
        <w:rPr>
          <w:noProof/>
        </w:rPr>
        <w:t xml:space="preserve"> o </w:t>
      </w:r>
      <w:r w:rsidRPr="00F537B9">
        <w:rPr>
          <w:noProof/>
        </w:rPr>
        <w:t>širšej iniciatíve BEFIT boli uverejnené od 13</w:t>
      </w:r>
      <w:r w:rsidR="00F537B9">
        <w:rPr>
          <w:noProof/>
        </w:rPr>
        <w:t>. októbra</w:t>
      </w:r>
      <w:r w:rsidRPr="00F537B9">
        <w:rPr>
          <w:noProof/>
        </w:rPr>
        <w:t xml:space="preserve"> 2022 do 26</w:t>
      </w:r>
      <w:r w:rsidR="00F537B9">
        <w:rPr>
          <w:noProof/>
        </w:rPr>
        <w:t>. januára</w:t>
      </w:r>
      <w:r w:rsidRPr="00F537B9">
        <w:rPr>
          <w:noProof/>
        </w:rPr>
        <w:t xml:space="preserve"> 2023.</w:t>
      </w:r>
      <w:r w:rsidR="00F537B9">
        <w:rPr>
          <w:noProof/>
        </w:rPr>
        <w:t xml:space="preserve"> Z </w:t>
      </w:r>
      <w:r w:rsidRPr="00F537B9">
        <w:rPr>
          <w:noProof/>
        </w:rPr>
        <w:t>konzultačných činností sa celkovo získalo 123 príspevkov. Medzi nimi je 46 príspevkov obsahujúcich spätnú väzbu, 77 odpovedí na prieskum</w:t>
      </w:r>
      <w:r w:rsidR="00F537B9">
        <w:rPr>
          <w:noProof/>
        </w:rPr>
        <w:t xml:space="preserve"> v </w:t>
      </w:r>
      <w:r w:rsidRPr="00F537B9">
        <w:rPr>
          <w:noProof/>
        </w:rPr>
        <w:t>rámci verejnej konzultácie,</w:t>
      </w:r>
      <w:r w:rsidR="00F537B9">
        <w:rPr>
          <w:noProof/>
        </w:rPr>
        <w:t xml:space="preserve"> z </w:t>
      </w:r>
      <w:r w:rsidRPr="00F537B9">
        <w:rPr>
          <w:noProof/>
        </w:rPr>
        <w:t>ktorých 29 zahŕňalo písomné podania.</w:t>
      </w:r>
      <w:r w:rsidR="00F537B9">
        <w:rPr>
          <w:noProof/>
        </w:rPr>
        <w:t xml:space="preserve"> V </w:t>
      </w:r>
      <w:r w:rsidRPr="00F537B9">
        <w:rPr>
          <w:noProof/>
        </w:rPr>
        <w:t>posúdení vplyvu sa posudzovali všetky príspevky prijaté od zainteresovaných strán</w:t>
      </w:r>
      <w:r w:rsidR="00F537B9">
        <w:rPr>
          <w:noProof/>
        </w:rPr>
        <w:t>.</w:t>
      </w:r>
    </w:p>
    <w:p w14:paraId="7EE36DF9" w14:textId="62F6AC52" w:rsidR="00E07B7C" w:rsidRPr="00F537B9" w:rsidRDefault="00E07B7C" w:rsidP="00CE54C3">
      <w:pPr>
        <w:pStyle w:val="ManualHeading2"/>
        <w:rPr>
          <w:noProof/>
          <w:u w:color="000000"/>
          <w:bdr w:val="nil"/>
        </w:rPr>
      </w:pPr>
      <w:r w:rsidRPr="00F537B9">
        <w:rPr>
          <w:noProof/>
          <w:u w:color="000000"/>
          <w:bdr w:val="nil"/>
        </w:rPr>
        <w:t>•</w:t>
      </w:r>
      <w:r w:rsidRPr="00F537B9">
        <w:rPr>
          <w:noProof/>
        </w:rPr>
        <w:tab/>
      </w:r>
      <w:r w:rsidRPr="00F537B9">
        <w:rPr>
          <w:noProof/>
          <w:u w:color="000000"/>
          <w:bdr w:val="nil"/>
        </w:rPr>
        <w:t>Získavanie</w:t>
      </w:r>
      <w:r w:rsidR="00F537B9">
        <w:rPr>
          <w:noProof/>
          <w:u w:color="000000"/>
          <w:bdr w:val="nil"/>
        </w:rPr>
        <w:t xml:space="preserve"> a </w:t>
      </w:r>
      <w:r w:rsidRPr="00F537B9">
        <w:rPr>
          <w:noProof/>
          <w:u w:color="000000"/>
          <w:bdr w:val="nil"/>
        </w:rPr>
        <w:t>využívanie odborných znalostí</w:t>
      </w:r>
    </w:p>
    <w:p w14:paraId="75FEF33F" w14:textId="7E4369DF" w:rsidR="00980B7F" w:rsidRPr="00F537B9" w:rsidRDefault="00E07B7C" w:rsidP="00B26327">
      <w:pPr>
        <w:pBdr>
          <w:top w:val="nil"/>
          <w:left w:val="nil"/>
          <w:bottom w:val="nil"/>
          <w:right w:val="nil"/>
          <w:between w:val="nil"/>
          <w:bar w:val="nil"/>
        </w:pBdr>
        <w:spacing w:before="0" w:after="240"/>
        <w:rPr>
          <w:noProof/>
        </w:rPr>
      </w:pPr>
      <w:r w:rsidRPr="00F537B9">
        <w:rPr>
          <w:noProof/>
        </w:rPr>
        <w:t>V priebehu prípravy tohto návrhu Komisia uskutočnila konzultácie</w:t>
      </w:r>
      <w:r w:rsidR="00F537B9">
        <w:rPr>
          <w:noProof/>
        </w:rPr>
        <w:t xml:space="preserve"> a </w:t>
      </w:r>
      <w:r w:rsidRPr="00F537B9">
        <w:rPr>
          <w:noProof/>
        </w:rPr>
        <w:t>získala vstupy</w:t>
      </w:r>
      <w:r w:rsidR="00F537B9">
        <w:rPr>
          <w:noProof/>
        </w:rPr>
        <w:t xml:space="preserve"> z </w:t>
      </w:r>
      <w:r w:rsidRPr="00F537B9">
        <w:rPr>
          <w:noProof/>
        </w:rPr>
        <w:t>rôznych zdrojov. Komisia okrem iného vychádzala</w:t>
      </w:r>
      <w:r w:rsidR="00F537B9">
        <w:rPr>
          <w:noProof/>
        </w:rPr>
        <w:t xml:space="preserve"> z </w:t>
      </w:r>
      <w:r w:rsidRPr="00F537B9">
        <w:rPr>
          <w:noProof/>
        </w:rPr>
        <w:t>verejne dostupných informácií, konzultovala so sekretariátom OECD</w:t>
      </w:r>
      <w:r w:rsidR="00F537B9">
        <w:rPr>
          <w:noProof/>
        </w:rPr>
        <w:t xml:space="preserve"> a </w:t>
      </w:r>
      <w:r w:rsidRPr="00F537B9">
        <w:rPr>
          <w:noProof/>
        </w:rPr>
        <w:t>získala vstupy od akademických pracovníkov špecializovaných</w:t>
      </w:r>
      <w:r w:rsidR="00F537B9">
        <w:rPr>
          <w:noProof/>
        </w:rPr>
        <w:t xml:space="preserve"> v </w:t>
      </w:r>
      <w:r w:rsidRPr="00F537B9">
        <w:rPr>
          <w:noProof/>
        </w:rPr>
        <w:t>oblasti transferového oceňovania tak, že zorganizovala virtuálnu panelovú diskusiu.</w:t>
      </w:r>
    </w:p>
    <w:p w14:paraId="50C6B996" w14:textId="77777777" w:rsidR="00E07B7C" w:rsidRPr="00F537B9" w:rsidRDefault="00E07B7C" w:rsidP="00CE54C3">
      <w:pPr>
        <w:pStyle w:val="ManualHeading2"/>
        <w:rPr>
          <w:noProof/>
          <w:u w:color="000000"/>
          <w:bdr w:val="nil"/>
        </w:rPr>
      </w:pPr>
      <w:r w:rsidRPr="00F537B9">
        <w:rPr>
          <w:noProof/>
          <w:u w:color="000000"/>
          <w:bdr w:val="nil"/>
        </w:rPr>
        <w:t>•</w:t>
      </w:r>
      <w:r w:rsidRPr="00F537B9">
        <w:rPr>
          <w:noProof/>
        </w:rPr>
        <w:tab/>
      </w:r>
      <w:r w:rsidRPr="00F537B9">
        <w:rPr>
          <w:noProof/>
          <w:u w:color="000000"/>
          <w:bdr w:val="nil"/>
        </w:rPr>
        <w:t>Posúdenie vplyvu</w:t>
      </w:r>
    </w:p>
    <w:p w14:paraId="2D41539D" w14:textId="64B3ECA8" w:rsidR="00F537B9" w:rsidRPr="00F537B9" w:rsidRDefault="00E07B7C" w:rsidP="00E07B7C">
      <w:pPr>
        <w:pBdr>
          <w:top w:val="nil"/>
          <w:left w:val="nil"/>
          <w:bottom w:val="nil"/>
          <w:right w:val="nil"/>
          <w:between w:val="nil"/>
          <w:bar w:val="nil"/>
        </w:pBdr>
        <w:spacing w:before="0" w:after="240"/>
        <w:rPr>
          <w:noProof/>
          <w:spacing w:val="-4"/>
        </w:rPr>
      </w:pPr>
      <w:r w:rsidRPr="00F537B9">
        <w:rPr>
          <w:noProof/>
          <w:spacing w:val="-4"/>
        </w:rPr>
        <w:t>V rámci prípravy iniciatívy BEFIT, ktorej súčasťou je tento návrh, sa vykonalo posúdenie vplyvu. Návrh správy</w:t>
      </w:r>
      <w:r w:rsidR="00F537B9" w:rsidRPr="00F537B9">
        <w:rPr>
          <w:noProof/>
          <w:spacing w:val="-4"/>
        </w:rPr>
        <w:t xml:space="preserve"> o </w:t>
      </w:r>
      <w:r w:rsidRPr="00F537B9">
        <w:rPr>
          <w:noProof/>
          <w:spacing w:val="-4"/>
        </w:rPr>
        <w:t>posúdení vplyvu bol predložený výboru Komisie pre kontrolu regulácie 26</w:t>
      </w:r>
      <w:r w:rsidR="00F537B9" w:rsidRPr="00F537B9">
        <w:rPr>
          <w:noProof/>
          <w:spacing w:val="-4"/>
        </w:rPr>
        <w:t>. apríla</w:t>
      </w:r>
      <w:r w:rsidRPr="00F537B9">
        <w:rPr>
          <w:noProof/>
          <w:spacing w:val="-4"/>
        </w:rPr>
        <w:t xml:space="preserve"> 2023.</w:t>
      </w:r>
      <w:r w:rsidR="00F537B9" w:rsidRPr="00F537B9">
        <w:rPr>
          <w:noProof/>
          <w:spacing w:val="-4"/>
        </w:rPr>
        <w:t xml:space="preserve"> V </w:t>
      </w:r>
      <w:r w:rsidRPr="00F537B9">
        <w:rPr>
          <w:noProof/>
          <w:spacing w:val="-4"/>
        </w:rPr>
        <w:t>nadväznosti na stretnutie, ktoré sa uskutočnilo 24</w:t>
      </w:r>
      <w:r w:rsidR="00F537B9" w:rsidRPr="00F537B9">
        <w:rPr>
          <w:noProof/>
          <w:spacing w:val="-4"/>
        </w:rPr>
        <w:t>. mája</w:t>
      </w:r>
      <w:r w:rsidRPr="00F537B9">
        <w:rPr>
          <w:noProof/>
          <w:spacing w:val="-4"/>
        </w:rPr>
        <w:t xml:space="preserve"> 2023, výbor pre kontrolu regulácie 26</w:t>
      </w:r>
      <w:r w:rsidR="00F537B9" w:rsidRPr="00F537B9">
        <w:rPr>
          <w:noProof/>
          <w:spacing w:val="-4"/>
        </w:rPr>
        <w:t>. mája</w:t>
      </w:r>
      <w:r w:rsidRPr="00F537B9">
        <w:rPr>
          <w:noProof/>
          <w:spacing w:val="-4"/>
        </w:rPr>
        <w:t xml:space="preserve"> 2023 vydal kladné stanovisko</w:t>
      </w:r>
      <w:r w:rsidR="00F537B9" w:rsidRPr="00F537B9">
        <w:rPr>
          <w:noProof/>
          <w:spacing w:val="-4"/>
        </w:rPr>
        <w:t xml:space="preserve"> a </w:t>
      </w:r>
      <w:r w:rsidRPr="00F537B9">
        <w:rPr>
          <w:noProof/>
          <w:spacing w:val="-4"/>
        </w:rPr>
        <w:t>navrhol niekoľko oblastí,</w:t>
      </w:r>
      <w:r w:rsidR="00F537B9" w:rsidRPr="00F537B9">
        <w:rPr>
          <w:noProof/>
          <w:spacing w:val="-4"/>
        </w:rPr>
        <w:t xml:space="preserve"> v </w:t>
      </w:r>
      <w:r w:rsidRPr="00F537B9">
        <w:rPr>
          <w:noProof/>
          <w:spacing w:val="-4"/>
        </w:rPr>
        <w:t>ktorých bolo potrebné ďalšie zlepšenie, pokiaľ ide</w:t>
      </w:r>
      <w:r w:rsidR="00F537B9" w:rsidRPr="00F537B9">
        <w:rPr>
          <w:noProof/>
          <w:spacing w:val="-4"/>
        </w:rPr>
        <w:t xml:space="preserve"> o </w:t>
      </w:r>
      <w:r w:rsidRPr="00F537B9">
        <w:rPr>
          <w:noProof/>
          <w:spacing w:val="-4"/>
        </w:rPr>
        <w:t>náklady</w:t>
      </w:r>
      <w:r w:rsidR="00F537B9" w:rsidRPr="00F537B9">
        <w:rPr>
          <w:noProof/>
          <w:spacing w:val="-4"/>
        </w:rPr>
        <w:t xml:space="preserve"> a </w:t>
      </w:r>
      <w:r w:rsidRPr="00F537B9">
        <w:rPr>
          <w:noProof/>
          <w:spacing w:val="-4"/>
        </w:rPr>
        <w:t>prínosy celkovej iniciatívy BEFIT.</w:t>
      </w:r>
      <w:r w:rsidR="00F537B9" w:rsidRPr="00F537B9">
        <w:rPr>
          <w:noProof/>
          <w:spacing w:val="-4"/>
        </w:rPr>
        <w:t xml:space="preserve"> V </w:t>
      </w:r>
      <w:r w:rsidRPr="00F537B9">
        <w:rPr>
          <w:noProof/>
          <w:spacing w:val="-4"/>
        </w:rPr>
        <w:t>súvislosti</w:t>
      </w:r>
      <w:r w:rsidR="00F537B9" w:rsidRPr="00F537B9">
        <w:rPr>
          <w:noProof/>
          <w:spacing w:val="-4"/>
        </w:rPr>
        <w:t xml:space="preserve"> s </w:t>
      </w:r>
      <w:r w:rsidRPr="00F537B9">
        <w:rPr>
          <w:noProof/>
          <w:spacing w:val="-4"/>
        </w:rPr>
        <w:t xml:space="preserve">týmto návrhom neboli aktualizované žiadne ďalšie osobitné údaje. Zhrnutie, ktoré je súčasťou posúdenia vplyvu, bolo uverejnené na tejto adrese: </w:t>
      </w:r>
      <w:r w:rsidRPr="00F537B9">
        <w:rPr>
          <w:noProof/>
          <w:spacing w:val="-4"/>
          <w:highlight w:val="yellow"/>
        </w:rPr>
        <w:t>[to be added later]</w:t>
      </w:r>
    </w:p>
    <w:p w14:paraId="6170379D" w14:textId="2AAF9705" w:rsidR="00E07B7C" w:rsidRPr="00F537B9" w:rsidRDefault="00E07B7C" w:rsidP="00E07B7C">
      <w:pPr>
        <w:pBdr>
          <w:top w:val="nil"/>
          <w:left w:val="nil"/>
          <w:bottom w:val="nil"/>
          <w:right w:val="nil"/>
          <w:between w:val="nil"/>
          <w:bar w:val="nil"/>
        </w:pBdr>
        <w:spacing w:before="0" w:after="240"/>
        <w:rPr>
          <w:rFonts w:eastAsia="Arial Unicode MS"/>
          <w:noProof/>
        </w:rPr>
      </w:pPr>
      <w:r w:rsidRPr="00F537B9">
        <w:rPr>
          <w:noProof/>
        </w:rPr>
        <w:t>V posúdení vplyvu revidovanom</w:t>
      </w:r>
      <w:r w:rsidR="00F537B9">
        <w:rPr>
          <w:noProof/>
        </w:rPr>
        <w:t xml:space="preserve"> v </w:t>
      </w:r>
      <w:r w:rsidRPr="00F537B9">
        <w:rPr>
          <w:noProof/>
        </w:rPr>
        <w:t>nadväznosti na odporúčania výboru pre kontrolu regulácie sa skúmal základný scenár (t. j. žiadna zmena)</w:t>
      </w:r>
      <w:r w:rsidR="00F537B9">
        <w:rPr>
          <w:noProof/>
        </w:rPr>
        <w:t xml:space="preserve"> a </w:t>
      </w:r>
      <w:r w:rsidRPr="00F537B9">
        <w:rPr>
          <w:noProof/>
        </w:rPr>
        <w:t>dve možnosti politiky:</w:t>
      </w:r>
    </w:p>
    <w:p w14:paraId="29127A26" w14:textId="12D761DD" w:rsidR="00E07B7C" w:rsidRPr="00F537B9" w:rsidRDefault="00E07B7C" w:rsidP="00CE54C3">
      <w:pPr>
        <w:rPr>
          <w:b/>
          <w:bCs/>
          <w:noProof/>
        </w:rPr>
      </w:pPr>
      <w:r w:rsidRPr="00F537B9">
        <w:rPr>
          <w:b/>
          <w:noProof/>
        </w:rPr>
        <w:t>Možnosť 1: Začlenenie princípu nezávislého vzťahu OECD</w:t>
      </w:r>
      <w:r w:rsidR="00F537B9">
        <w:rPr>
          <w:b/>
          <w:noProof/>
        </w:rPr>
        <w:t xml:space="preserve"> a </w:t>
      </w:r>
      <w:r w:rsidRPr="00F537B9">
        <w:rPr>
          <w:b/>
          <w:noProof/>
        </w:rPr>
        <w:t>smernice OECD</w:t>
      </w:r>
      <w:r w:rsidR="00F537B9">
        <w:rPr>
          <w:b/>
          <w:noProof/>
        </w:rPr>
        <w:t xml:space="preserve"> o </w:t>
      </w:r>
      <w:r w:rsidRPr="00F537B9">
        <w:rPr>
          <w:b/>
          <w:noProof/>
        </w:rPr>
        <w:t>transferovom oceňovaní do práva EÚ</w:t>
      </w:r>
    </w:p>
    <w:p w14:paraId="44E4BDCD" w14:textId="4E3506C7" w:rsidR="00E07B7C" w:rsidRPr="00F537B9" w:rsidRDefault="00E07B7C" w:rsidP="00CE54C3">
      <w:pPr>
        <w:rPr>
          <w:noProof/>
          <w:spacing w:val="-4"/>
        </w:rPr>
      </w:pPr>
      <w:r w:rsidRPr="00F537B9">
        <w:rPr>
          <w:noProof/>
          <w:spacing w:val="-4"/>
        </w:rPr>
        <w:t>Táto možnosť sa týka harmonizácie noriem transferového oceňovania</w:t>
      </w:r>
      <w:r w:rsidR="00F537B9" w:rsidRPr="00F537B9">
        <w:rPr>
          <w:noProof/>
          <w:spacing w:val="-4"/>
        </w:rPr>
        <w:t xml:space="preserve"> v </w:t>
      </w:r>
      <w:r w:rsidRPr="00F537B9">
        <w:rPr>
          <w:noProof/>
          <w:spacing w:val="-4"/>
        </w:rPr>
        <w:t>rámci Únie vo forme právnych predpisov založených na zásadách. Princíp nezávislého vzťahu by sa začlenil do práva Únie. Okrem toho by sa</w:t>
      </w:r>
      <w:r w:rsidR="00F537B9" w:rsidRPr="00F537B9">
        <w:rPr>
          <w:noProof/>
          <w:spacing w:val="-4"/>
        </w:rPr>
        <w:t xml:space="preserve"> v </w:t>
      </w:r>
      <w:r w:rsidRPr="00F537B9">
        <w:rPr>
          <w:noProof/>
          <w:spacing w:val="-4"/>
        </w:rPr>
        <w:t>právnych predpisoch objasnilo postavenie</w:t>
      </w:r>
      <w:r w:rsidR="00F537B9" w:rsidRPr="00F537B9">
        <w:rPr>
          <w:noProof/>
          <w:spacing w:val="-4"/>
        </w:rPr>
        <w:t xml:space="preserve"> a </w:t>
      </w:r>
      <w:r w:rsidRPr="00F537B9">
        <w:rPr>
          <w:noProof/>
          <w:spacing w:val="-4"/>
        </w:rPr>
        <w:t>úloha smernice OECD</w:t>
      </w:r>
      <w:r w:rsidR="00F537B9" w:rsidRPr="00F537B9">
        <w:rPr>
          <w:noProof/>
          <w:spacing w:val="-4"/>
        </w:rPr>
        <w:t xml:space="preserve"> o </w:t>
      </w:r>
      <w:r w:rsidRPr="00F537B9">
        <w:rPr>
          <w:noProof/>
          <w:spacing w:val="-4"/>
        </w:rPr>
        <w:t>transferovom oceňovaní</w:t>
      </w:r>
      <w:r w:rsidR="00F537B9" w:rsidRPr="00F537B9">
        <w:rPr>
          <w:noProof/>
          <w:spacing w:val="-4"/>
        </w:rPr>
        <w:t xml:space="preserve"> a </w:t>
      </w:r>
      <w:r w:rsidRPr="00F537B9">
        <w:rPr>
          <w:noProof/>
          <w:spacing w:val="-4"/>
        </w:rPr>
        <w:t>pri výklade princípu nezávislého vzťahu by sa</w:t>
      </w:r>
      <w:r w:rsidR="00F537B9" w:rsidRPr="00F537B9">
        <w:rPr>
          <w:noProof/>
          <w:spacing w:val="-4"/>
        </w:rPr>
        <w:t xml:space="preserve"> v </w:t>
      </w:r>
      <w:r w:rsidRPr="00F537B9">
        <w:rPr>
          <w:noProof/>
          <w:spacing w:val="-4"/>
        </w:rPr>
        <w:t>nich odkazovalo na jej najnovšiu verziu.</w:t>
      </w:r>
      <w:r w:rsidR="00F537B9" w:rsidRPr="00F537B9">
        <w:rPr>
          <w:noProof/>
          <w:spacing w:val="-4"/>
        </w:rPr>
        <w:t xml:space="preserve"> Z </w:t>
      </w:r>
      <w:r w:rsidRPr="00F537B9">
        <w:rPr>
          <w:noProof/>
          <w:spacing w:val="-4"/>
        </w:rPr>
        <w:t>hľadiska účinku by sa smernica zmenila na záväzný nástroj, ale to by sa týkalo výlučne (najnovšej) verzie, ktorá by bola začlenená do práva Únie, pričom by sa to netýkalo žiadnej jej revízie. Cieľom by bolo zabezpečiť, aby členské štáty dodržiavali rovnaký princíp</w:t>
      </w:r>
      <w:r w:rsidR="00F537B9" w:rsidRPr="00F537B9">
        <w:rPr>
          <w:noProof/>
          <w:spacing w:val="-4"/>
        </w:rPr>
        <w:t xml:space="preserve"> a </w:t>
      </w:r>
      <w:r w:rsidRPr="00F537B9">
        <w:rPr>
          <w:noProof/>
          <w:spacing w:val="-4"/>
        </w:rPr>
        <w:t>zaujali jednotný prístup</w:t>
      </w:r>
      <w:r w:rsidR="00F537B9" w:rsidRPr="00F537B9">
        <w:rPr>
          <w:noProof/>
          <w:spacing w:val="-4"/>
        </w:rPr>
        <w:t xml:space="preserve"> k </w:t>
      </w:r>
      <w:r w:rsidRPr="00F537B9">
        <w:rPr>
          <w:noProof/>
          <w:spacing w:val="-4"/>
        </w:rPr>
        <w:t>uplatňovaniu transferového oceňovania.</w:t>
      </w:r>
    </w:p>
    <w:p w14:paraId="16522B94" w14:textId="594EF7D0" w:rsidR="00E07B7C" w:rsidRPr="00F537B9" w:rsidRDefault="00E07B7C" w:rsidP="00CE54C3">
      <w:pPr>
        <w:spacing w:before="0" w:after="200" w:line="276" w:lineRule="auto"/>
        <w:rPr>
          <w:b/>
          <w:bCs/>
          <w:noProof/>
          <w:szCs w:val="24"/>
        </w:rPr>
      </w:pPr>
      <w:r w:rsidRPr="00F537B9">
        <w:rPr>
          <w:b/>
          <w:noProof/>
        </w:rPr>
        <w:t>Možnosť 2: Začlenenie princípu nezávislého vzťahu OECD</w:t>
      </w:r>
      <w:r w:rsidR="00F537B9">
        <w:rPr>
          <w:b/>
          <w:noProof/>
        </w:rPr>
        <w:t xml:space="preserve"> a </w:t>
      </w:r>
      <w:r w:rsidRPr="00F537B9">
        <w:rPr>
          <w:b/>
          <w:noProof/>
        </w:rPr>
        <w:t>smernice OECD</w:t>
      </w:r>
      <w:r w:rsidR="00F537B9">
        <w:rPr>
          <w:b/>
          <w:noProof/>
        </w:rPr>
        <w:t xml:space="preserve"> o </w:t>
      </w:r>
      <w:r w:rsidRPr="00F537B9">
        <w:rPr>
          <w:b/>
          <w:noProof/>
        </w:rPr>
        <w:t>transferovom oceňovaní do práva EÚ spolu</w:t>
      </w:r>
      <w:r w:rsidR="00F537B9">
        <w:rPr>
          <w:b/>
          <w:noProof/>
        </w:rPr>
        <w:t xml:space="preserve"> s </w:t>
      </w:r>
      <w:r w:rsidRPr="00F537B9">
        <w:rPr>
          <w:b/>
          <w:noProof/>
        </w:rPr>
        <w:t>postupným vytvorením jednotných prístupov</w:t>
      </w:r>
      <w:r w:rsidR="00F537B9">
        <w:rPr>
          <w:b/>
          <w:noProof/>
        </w:rPr>
        <w:t xml:space="preserve"> k </w:t>
      </w:r>
      <w:r w:rsidRPr="00F537B9">
        <w:rPr>
          <w:b/>
          <w:noProof/>
        </w:rPr>
        <w:t>praxi uplatňovania transferového oceňovania.</w:t>
      </w:r>
    </w:p>
    <w:p w14:paraId="695E98E4" w14:textId="01490C4A" w:rsidR="00E07B7C" w:rsidRPr="00F537B9" w:rsidRDefault="00E07B7C" w:rsidP="00CE54C3">
      <w:pPr>
        <w:rPr>
          <w:noProof/>
        </w:rPr>
      </w:pPr>
      <w:r w:rsidRPr="00F537B9">
        <w:rPr>
          <w:noProof/>
        </w:rPr>
        <w:t>Táto možnosť vychádza</w:t>
      </w:r>
      <w:r w:rsidR="00F537B9">
        <w:rPr>
          <w:noProof/>
        </w:rPr>
        <w:t xml:space="preserve"> z </w:t>
      </w:r>
      <w:r w:rsidRPr="00F537B9">
        <w:rPr>
          <w:noProof/>
        </w:rPr>
        <w:t>možnosti 1</w:t>
      </w:r>
      <w:r w:rsidR="00F537B9">
        <w:rPr>
          <w:noProof/>
        </w:rPr>
        <w:t xml:space="preserve"> a </w:t>
      </w:r>
      <w:r w:rsidRPr="00F537B9">
        <w:rPr>
          <w:noProof/>
        </w:rPr>
        <w:t>jej cieľom by bolo nielen zabezpečiť, aby členské štáty EÚ uplatňovali rovnaký princíp, ale išla by aj</w:t>
      </w:r>
      <w:r w:rsidR="00F537B9">
        <w:rPr>
          <w:noProof/>
        </w:rPr>
        <w:t xml:space="preserve"> o </w:t>
      </w:r>
      <w:r w:rsidRPr="00F537B9">
        <w:rPr>
          <w:noProof/>
        </w:rPr>
        <w:t>krok ďalej pri zavádzaní mechanizmu, ktorým by sa zabezpečila koordinácia názorov</w:t>
      </w:r>
      <w:r w:rsidR="00F537B9">
        <w:rPr>
          <w:noProof/>
        </w:rPr>
        <w:t xml:space="preserve"> a </w:t>
      </w:r>
      <w:r w:rsidRPr="00F537B9">
        <w:rPr>
          <w:noProof/>
        </w:rPr>
        <w:t>výkladov smernice OECD</w:t>
      </w:r>
      <w:r w:rsidR="00F537B9">
        <w:rPr>
          <w:noProof/>
        </w:rPr>
        <w:t xml:space="preserve"> o </w:t>
      </w:r>
      <w:r w:rsidRPr="00F537B9">
        <w:rPr>
          <w:noProof/>
        </w:rPr>
        <w:t>transferovom oceňovaní medzi členskými štátmi.</w:t>
      </w:r>
    </w:p>
    <w:p w14:paraId="6D1C51A5" w14:textId="0669A5E9" w:rsidR="00E07B7C" w:rsidRPr="00F537B9" w:rsidRDefault="00E07B7C" w:rsidP="00CE54C3">
      <w:pPr>
        <w:rPr>
          <w:noProof/>
        </w:rPr>
      </w:pPr>
      <w:r w:rsidRPr="00F537B9">
        <w:rPr>
          <w:noProof/>
        </w:rPr>
        <w:t>Rovnako ako</w:t>
      </w:r>
      <w:r w:rsidR="00F537B9">
        <w:rPr>
          <w:noProof/>
        </w:rPr>
        <w:t xml:space="preserve"> v </w:t>
      </w:r>
      <w:r w:rsidRPr="00F537B9">
        <w:rPr>
          <w:noProof/>
        </w:rPr>
        <w:t>prípade možnosti 1 by sa princíp nezávislého vzťahu začlenil do práva Únie</w:t>
      </w:r>
      <w:r w:rsidR="00F537B9">
        <w:rPr>
          <w:noProof/>
        </w:rPr>
        <w:t xml:space="preserve"> a v </w:t>
      </w:r>
      <w:r w:rsidRPr="00F537B9">
        <w:rPr>
          <w:noProof/>
        </w:rPr>
        <w:t>právnych predpisoch by sa objasnila úloha</w:t>
      </w:r>
      <w:r w:rsidR="00F537B9">
        <w:rPr>
          <w:noProof/>
        </w:rPr>
        <w:t xml:space="preserve"> a </w:t>
      </w:r>
      <w:r w:rsidRPr="00F537B9">
        <w:rPr>
          <w:noProof/>
        </w:rPr>
        <w:t>postavenie smernice OECD</w:t>
      </w:r>
      <w:r w:rsidR="00F537B9">
        <w:rPr>
          <w:noProof/>
        </w:rPr>
        <w:t xml:space="preserve"> o </w:t>
      </w:r>
      <w:r w:rsidRPr="00F537B9">
        <w:rPr>
          <w:noProof/>
        </w:rPr>
        <w:t>transferovom oceňovaní, ktoré by sa však doplnili aj mechanizmom na koordináciu ich výkladu</w:t>
      </w:r>
      <w:r w:rsidR="00F537B9">
        <w:rPr>
          <w:noProof/>
        </w:rPr>
        <w:t xml:space="preserve"> a </w:t>
      </w:r>
      <w:r w:rsidRPr="00F537B9">
        <w:rPr>
          <w:noProof/>
        </w:rPr>
        <w:t>uplatňovania na úrovni Únie. Okrem toho to zahŕňa niekoľko ustanovení, ktorými sa stanovujú základné pravidlá transferového oceňovania. Touto možnosťou by sa ďalej stanovili osobitné pravidlá proti zneužívaniu pri transferovom oceňovaní. Vyzvalo by sa takisto na vytvorenie skupiny expertov, ktorá by prediskutovala výklad princípu nezávislého vzťahu</w:t>
      </w:r>
      <w:r w:rsidR="00F537B9">
        <w:rPr>
          <w:noProof/>
        </w:rPr>
        <w:t xml:space="preserve"> a </w:t>
      </w:r>
      <w:r w:rsidRPr="00F537B9">
        <w:rPr>
          <w:noProof/>
        </w:rPr>
        <w:t>dohodla sa na ňom</w:t>
      </w:r>
      <w:r w:rsidR="00F537B9">
        <w:rPr>
          <w:noProof/>
        </w:rPr>
        <w:t xml:space="preserve"> a </w:t>
      </w:r>
      <w:r w:rsidRPr="00F537B9">
        <w:rPr>
          <w:noProof/>
        </w:rPr>
        <w:t>zabezpečila koordinovaný výklad</w:t>
      </w:r>
      <w:r w:rsidR="00F537B9">
        <w:rPr>
          <w:noProof/>
        </w:rPr>
        <w:t xml:space="preserve"> a </w:t>
      </w:r>
      <w:r w:rsidRPr="00F537B9">
        <w:rPr>
          <w:noProof/>
        </w:rPr>
        <w:t>prístup</w:t>
      </w:r>
      <w:r w:rsidR="00F537B9">
        <w:rPr>
          <w:noProof/>
        </w:rPr>
        <w:t xml:space="preserve"> k </w:t>
      </w:r>
      <w:r w:rsidRPr="00F537B9">
        <w:rPr>
          <w:noProof/>
        </w:rPr>
        <w:t>praktickým problémom, ktoré vznikajú</w:t>
      </w:r>
      <w:r w:rsidR="00F537B9">
        <w:rPr>
          <w:noProof/>
        </w:rPr>
        <w:t xml:space="preserve"> v </w:t>
      </w:r>
      <w:r w:rsidRPr="00F537B9">
        <w:rPr>
          <w:noProof/>
        </w:rPr>
        <w:t>súvislosti</w:t>
      </w:r>
      <w:r w:rsidR="00F537B9">
        <w:rPr>
          <w:noProof/>
        </w:rPr>
        <w:t xml:space="preserve"> s </w:t>
      </w:r>
      <w:r w:rsidRPr="00F537B9">
        <w:rPr>
          <w:noProof/>
        </w:rPr>
        <w:t>postupmi transferového oceňovania</w:t>
      </w:r>
      <w:r w:rsidR="00F537B9">
        <w:rPr>
          <w:noProof/>
        </w:rPr>
        <w:t xml:space="preserve"> v </w:t>
      </w:r>
      <w:r w:rsidRPr="00F537B9">
        <w:rPr>
          <w:noProof/>
        </w:rPr>
        <w:t>Únii.</w:t>
      </w:r>
    </w:p>
    <w:p w14:paraId="72751994" w14:textId="3169F4DB" w:rsidR="00E07B7C" w:rsidRPr="00F537B9" w:rsidRDefault="00E07B7C" w:rsidP="00E07B7C">
      <w:pPr>
        <w:pBdr>
          <w:top w:val="nil"/>
          <w:left w:val="nil"/>
          <w:bottom w:val="nil"/>
          <w:right w:val="nil"/>
          <w:between w:val="nil"/>
          <w:bar w:val="nil"/>
        </w:pBdr>
        <w:spacing w:before="0" w:after="240"/>
        <w:rPr>
          <w:rFonts w:eastAsia="Arial Unicode MS"/>
          <w:noProof/>
        </w:rPr>
      </w:pPr>
      <w:r w:rsidRPr="00F537B9">
        <w:rPr>
          <w:noProof/>
        </w:rPr>
        <w:t>Tieto dve možnosti sa posudzovali</w:t>
      </w:r>
      <w:r w:rsidR="00F537B9">
        <w:rPr>
          <w:noProof/>
        </w:rPr>
        <w:t xml:space="preserve"> v </w:t>
      </w:r>
      <w:r w:rsidRPr="00F537B9">
        <w:rPr>
          <w:noProof/>
        </w:rPr>
        <w:t>porovnaní</w:t>
      </w:r>
      <w:r w:rsidR="00F537B9">
        <w:rPr>
          <w:noProof/>
        </w:rPr>
        <w:t xml:space="preserve"> s </w:t>
      </w:r>
      <w:r w:rsidRPr="00F537B9">
        <w:rPr>
          <w:noProof/>
        </w:rPr>
        <w:t>týmito kritériami: účinnosť, efektívnosť, koherentnosť</w:t>
      </w:r>
      <w:r w:rsidR="00F537B9">
        <w:rPr>
          <w:noProof/>
        </w:rPr>
        <w:t xml:space="preserve"> a </w:t>
      </w:r>
      <w:r w:rsidRPr="00F537B9">
        <w:rPr>
          <w:noProof/>
        </w:rPr>
        <w:t>proporcionalita.</w:t>
      </w:r>
      <w:r w:rsidR="00F537B9">
        <w:rPr>
          <w:noProof/>
        </w:rPr>
        <w:t xml:space="preserve"> V </w:t>
      </w:r>
      <w:r w:rsidRPr="00F537B9">
        <w:rPr>
          <w:noProof/>
        </w:rPr>
        <w:t>posúdení vplyvu sa konštatuje, že uprednostňovanou možnosťou je možnosť 2.</w:t>
      </w:r>
    </w:p>
    <w:p w14:paraId="11633FAD" w14:textId="778D5B63" w:rsidR="00E07B7C" w:rsidRPr="00F537B9" w:rsidRDefault="0041163E" w:rsidP="00E07B7C">
      <w:pPr>
        <w:pBdr>
          <w:top w:val="nil"/>
          <w:left w:val="nil"/>
          <w:bottom w:val="nil"/>
          <w:right w:val="nil"/>
          <w:between w:val="nil"/>
          <w:bar w:val="nil"/>
        </w:pBdr>
        <w:spacing w:before="0" w:after="240"/>
        <w:rPr>
          <w:rFonts w:eastAsia="Arial Unicode MS"/>
          <w:noProof/>
        </w:rPr>
      </w:pPr>
      <w:r w:rsidRPr="00F537B9">
        <w:rPr>
          <w:noProof/>
        </w:rPr>
        <w:t>V tomto návrhu sa zohľadňuje táto možnosť 2, aj keď</w:t>
      </w:r>
      <w:r w:rsidR="00F537B9">
        <w:rPr>
          <w:noProof/>
        </w:rPr>
        <w:t xml:space="preserve"> s </w:t>
      </w:r>
      <w:r w:rsidRPr="00F537B9">
        <w:rPr>
          <w:noProof/>
        </w:rPr>
        <w:t>menšími zmenami. Po prvé, návrh neobsahuje žiadne osobitné pravidlo proti zneužívaniu. Návrh sa však zaoberá otázkou úprav smerom nadol ako systematickým pravidlom</w:t>
      </w:r>
      <w:r w:rsidR="00F537B9">
        <w:rPr>
          <w:noProof/>
        </w:rPr>
        <w:t xml:space="preserve"> v </w:t>
      </w:r>
      <w:r w:rsidRPr="00F537B9">
        <w:rPr>
          <w:noProof/>
        </w:rPr>
        <w:t>súlade</w:t>
      </w:r>
      <w:r w:rsidR="00F537B9">
        <w:rPr>
          <w:noProof/>
        </w:rPr>
        <w:t xml:space="preserve"> s </w:t>
      </w:r>
      <w:r w:rsidRPr="00F537B9">
        <w:rPr>
          <w:noProof/>
        </w:rPr>
        <w:t>prístupom podľa Modelovej zmluvy OECD</w:t>
      </w:r>
      <w:r w:rsidR="00F537B9">
        <w:rPr>
          <w:noProof/>
        </w:rPr>
        <w:t xml:space="preserve"> o </w:t>
      </w:r>
      <w:r w:rsidRPr="00F537B9">
        <w:rPr>
          <w:noProof/>
        </w:rPr>
        <w:t>zdaňovaní. Po druhé,</w:t>
      </w:r>
      <w:r w:rsidR="00F537B9">
        <w:rPr>
          <w:noProof/>
        </w:rPr>
        <w:t xml:space="preserve"> v </w:t>
      </w:r>
      <w:r w:rsidRPr="00F537B9">
        <w:rPr>
          <w:noProof/>
        </w:rPr>
        <w:t>súčasnosti sa plánuje vydanie záväzných pravidiel týkajúcich sa určitých transakcií vo forme vykonávacích aktov Rady na základe návrhu Komisie.</w:t>
      </w:r>
    </w:p>
    <w:p w14:paraId="2E690AA6" w14:textId="211FD275" w:rsidR="00F537B9" w:rsidRDefault="00F13352" w:rsidP="0055027C">
      <w:pPr>
        <w:rPr>
          <w:noProof/>
        </w:rPr>
      </w:pPr>
      <w:r w:rsidRPr="00F537B9">
        <w:rPr>
          <w:noProof/>
        </w:rPr>
        <w:t>Komisia je toho názoru, že sa prejaví pozitívny hospodársky vplyv</w:t>
      </w:r>
      <w:r w:rsidR="00F537B9">
        <w:rPr>
          <w:noProof/>
        </w:rPr>
        <w:t xml:space="preserve"> v </w:t>
      </w:r>
      <w:r w:rsidRPr="00F537B9">
        <w:rPr>
          <w:noProof/>
        </w:rPr>
        <w:t>dôsledku nižších nákladov na dodržiavanie predpisov tak na úrovni daňových správ, ako aj daňovníka</w:t>
      </w:r>
      <w:r w:rsidR="00F537B9">
        <w:rPr>
          <w:noProof/>
        </w:rPr>
        <w:t xml:space="preserve"> v </w:t>
      </w:r>
      <w:r w:rsidRPr="00F537B9">
        <w:rPr>
          <w:noProof/>
        </w:rPr>
        <w:t>dôsledku väčšej daňovej istoty,</w:t>
      </w:r>
      <w:r w:rsidR="00F537B9">
        <w:rPr>
          <w:noProof/>
        </w:rPr>
        <w:t xml:space="preserve"> a </w:t>
      </w:r>
      <w:r w:rsidRPr="00F537B9">
        <w:rPr>
          <w:noProof/>
        </w:rPr>
        <w:t>teda menšieho počtu daňových sporov. Očakáva sa, že sociálny</w:t>
      </w:r>
      <w:r w:rsidR="00F537B9">
        <w:rPr>
          <w:noProof/>
        </w:rPr>
        <w:t xml:space="preserve"> a </w:t>
      </w:r>
      <w:r w:rsidRPr="00F537B9">
        <w:rPr>
          <w:noProof/>
        </w:rPr>
        <w:t>environmentálny vplyv bude skôr obmedzený</w:t>
      </w:r>
      <w:r w:rsidR="00F537B9">
        <w:rPr>
          <w:noProof/>
        </w:rPr>
        <w:t>.</w:t>
      </w:r>
    </w:p>
    <w:p w14:paraId="2025E647" w14:textId="33D285F0" w:rsidR="00E07B7C" w:rsidRPr="00F537B9" w:rsidRDefault="00E07B7C" w:rsidP="00CE54C3">
      <w:pPr>
        <w:pStyle w:val="ManualHeading2"/>
        <w:rPr>
          <w:noProof/>
          <w:u w:color="000000"/>
          <w:bdr w:val="nil"/>
        </w:rPr>
      </w:pPr>
      <w:r w:rsidRPr="00F537B9">
        <w:rPr>
          <w:noProof/>
        </w:rPr>
        <w:tab/>
      </w:r>
      <w:r w:rsidRPr="00F537B9">
        <w:rPr>
          <w:noProof/>
          <w:u w:color="000000"/>
          <w:bdr w:val="nil"/>
        </w:rPr>
        <w:t>Základné práva</w:t>
      </w:r>
    </w:p>
    <w:p w14:paraId="68FFEB69" w14:textId="01E4668D" w:rsidR="00D853AD" w:rsidRPr="00F537B9" w:rsidRDefault="00F65C25" w:rsidP="00E07B7C">
      <w:pPr>
        <w:pBdr>
          <w:top w:val="nil"/>
          <w:left w:val="nil"/>
          <w:bottom w:val="nil"/>
          <w:right w:val="nil"/>
          <w:between w:val="nil"/>
          <w:bar w:val="nil"/>
        </w:pBdr>
        <w:spacing w:before="0" w:after="240"/>
        <w:rPr>
          <w:rFonts w:eastAsia="Arial Unicode MS"/>
          <w:noProof/>
        </w:rPr>
      </w:pPr>
      <w:r w:rsidRPr="00F537B9">
        <w:rPr>
          <w:noProof/>
        </w:rPr>
        <w:t>Chránené sú základné práva, najmä požiadavky týkajúce sa ochrany osobných údajov na základe všeobecného nariadenia</w:t>
      </w:r>
      <w:r w:rsidR="00F537B9">
        <w:rPr>
          <w:noProof/>
        </w:rPr>
        <w:t xml:space="preserve"> o </w:t>
      </w:r>
      <w:r w:rsidRPr="00F537B9">
        <w:rPr>
          <w:noProof/>
        </w:rPr>
        <w:t>ochrane údajov</w:t>
      </w:r>
      <w:r w:rsidRPr="00F537B9">
        <w:rPr>
          <w:rStyle w:val="FootnoteReference"/>
          <w:rFonts w:eastAsia="Arial Unicode MS"/>
          <w:noProof/>
        </w:rPr>
        <w:footnoteReference w:id="25"/>
      </w:r>
      <w:r w:rsidRPr="00F537B9">
        <w:rPr>
          <w:noProof/>
        </w:rPr>
        <w:t>. Osobné údaje sa budú spracúvať len do takej miery</w:t>
      </w:r>
      <w:r w:rsidR="00F537B9">
        <w:rPr>
          <w:noProof/>
        </w:rPr>
        <w:t xml:space="preserve"> a </w:t>
      </w:r>
      <w:r w:rsidRPr="00F537B9">
        <w:rPr>
          <w:noProof/>
        </w:rPr>
        <w:t>na také obdobie, ako je nevyhnutne potrebné na to, aby príslušné orgány zabezpečili súlad so svojimi vnútroštátnymi daňovými právnymi predpismi</w:t>
      </w:r>
      <w:r w:rsidR="00F537B9">
        <w:rPr>
          <w:noProof/>
        </w:rPr>
        <w:t xml:space="preserve"> a </w:t>
      </w:r>
      <w:r w:rsidRPr="00F537B9">
        <w:rPr>
          <w:noProof/>
        </w:rPr>
        <w:t>zmiernili riziko daňových podvodov, daňových únikov alebo vyhýbania sa daňovým povinnostiam</w:t>
      </w:r>
      <w:r w:rsidR="00F537B9">
        <w:rPr>
          <w:noProof/>
        </w:rPr>
        <w:t xml:space="preserve"> v </w:t>
      </w:r>
      <w:r w:rsidRPr="00F537B9">
        <w:rPr>
          <w:noProof/>
        </w:rPr>
        <w:t>členských štátoch,</w:t>
      </w:r>
      <w:r w:rsidR="00F537B9">
        <w:rPr>
          <w:noProof/>
        </w:rPr>
        <w:t xml:space="preserve"> a </w:t>
      </w:r>
      <w:r w:rsidRPr="00F537B9">
        <w:rPr>
          <w:noProof/>
        </w:rPr>
        <w:t>to najmä tak, že overia, či sa správne uplatňujú pravidlá transferového oceňovania zakotvené</w:t>
      </w:r>
      <w:r w:rsidR="00F537B9">
        <w:rPr>
          <w:noProof/>
        </w:rPr>
        <w:t xml:space="preserve"> v </w:t>
      </w:r>
      <w:r w:rsidRPr="00F537B9">
        <w:rPr>
          <w:noProof/>
        </w:rPr>
        <w:t>tejto smernici.</w:t>
      </w:r>
    </w:p>
    <w:p w14:paraId="3CF70F22" w14:textId="77777777" w:rsidR="00E07B7C" w:rsidRPr="00F537B9" w:rsidRDefault="00E07B7C" w:rsidP="00CE54C3">
      <w:pPr>
        <w:pStyle w:val="ManualHeading1"/>
        <w:rPr>
          <w:noProof/>
        </w:rPr>
      </w:pPr>
      <w:r w:rsidRPr="00F537B9">
        <w:rPr>
          <w:noProof/>
        </w:rPr>
        <w:t>4.</w:t>
      </w:r>
      <w:r w:rsidRPr="00F537B9">
        <w:rPr>
          <w:noProof/>
        </w:rPr>
        <w:tab/>
        <w:t>VPLYVY NA ROZPOČET</w:t>
      </w:r>
    </w:p>
    <w:p w14:paraId="6D0C6C15" w14:textId="654A1C49" w:rsidR="00E07B7C" w:rsidRPr="00F537B9" w:rsidRDefault="00E07B7C" w:rsidP="00E07B7C">
      <w:pPr>
        <w:pBdr>
          <w:top w:val="nil"/>
          <w:left w:val="nil"/>
          <w:bottom w:val="nil"/>
          <w:right w:val="nil"/>
          <w:between w:val="nil"/>
          <w:bar w:val="nil"/>
        </w:pBdr>
        <w:spacing w:before="0" w:after="240"/>
        <w:rPr>
          <w:rFonts w:eastAsia="Arial Unicode MS"/>
          <w:noProof/>
        </w:rPr>
      </w:pPr>
      <w:r w:rsidRPr="00F537B9">
        <w:rPr>
          <w:noProof/>
        </w:rPr>
        <w:t>Medzi hlavné vplyvy iniciatívy na rozpočet</w:t>
      </w:r>
      <w:r w:rsidR="00F537B9">
        <w:rPr>
          <w:noProof/>
        </w:rPr>
        <w:t xml:space="preserve"> z </w:t>
      </w:r>
      <w:r w:rsidRPr="00F537B9">
        <w:rPr>
          <w:noProof/>
        </w:rPr>
        <w:t>hľadiska Komisie patria dodatočné ľudské zdroje na pokrytie nových úloh</w:t>
      </w:r>
      <w:r w:rsidR="00F537B9">
        <w:rPr>
          <w:noProof/>
        </w:rPr>
        <w:t xml:space="preserve"> a </w:t>
      </w:r>
      <w:r w:rsidRPr="00F537B9">
        <w:rPr>
          <w:noProof/>
        </w:rPr>
        <w:t>vytvorenie skupiny expertov. Táto skupina expertov bude zložená</w:t>
      </w:r>
      <w:r w:rsidR="00F537B9">
        <w:rPr>
          <w:noProof/>
        </w:rPr>
        <w:t xml:space="preserve"> z </w:t>
      </w:r>
      <w:r w:rsidRPr="00F537B9">
        <w:rPr>
          <w:noProof/>
        </w:rPr>
        <w:t>odborníkov</w:t>
      </w:r>
      <w:r w:rsidR="00F537B9">
        <w:rPr>
          <w:noProof/>
        </w:rPr>
        <w:t xml:space="preserve"> v </w:t>
      </w:r>
      <w:r w:rsidRPr="00F537B9">
        <w:rPr>
          <w:noProof/>
        </w:rPr>
        <w:t>oblasti transferového oceňovania</w:t>
      </w:r>
      <w:r w:rsidR="00F537B9">
        <w:rPr>
          <w:noProof/>
        </w:rPr>
        <w:t xml:space="preserve"> a </w:t>
      </w:r>
      <w:r w:rsidRPr="00F537B9">
        <w:rPr>
          <w:noProof/>
        </w:rPr>
        <w:t>poskytne Komisii poznatky</w:t>
      </w:r>
      <w:r w:rsidR="00F537B9">
        <w:rPr>
          <w:noProof/>
        </w:rPr>
        <w:t xml:space="preserve"> a </w:t>
      </w:r>
      <w:r w:rsidRPr="00F537B9">
        <w:rPr>
          <w:noProof/>
        </w:rPr>
        <w:t>odborné znalosti, aby zvážila, ktoré prvky by sa mali zahrnúť do vykonávacích aktov, ktoré navrhne Rade.</w:t>
      </w:r>
      <w:r w:rsidR="00F537B9">
        <w:rPr>
          <w:noProof/>
        </w:rPr>
        <w:t xml:space="preserve"> V </w:t>
      </w:r>
      <w:r w:rsidRPr="00F537B9">
        <w:rPr>
          <w:noProof/>
        </w:rPr>
        <w:t>legislatívnom finančnom výkaze sa uvádzajú podrobnosti</w:t>
      </w:r>
      <w:r w:rsidR="00F537B9">
        <w:rPr>
          <w:noProof/>
        </w:rPr>
        <w:t xml:space="preserve"> o </w:t>
      </w:r>
      <w:r w:rsidRPr="00F537B9">
        <w:rPr>
          <w:noProof/>
        </w:rPr>
        <w:t>požadovaných ľudských</w:t>
      </w:r>
      <w:r w:rsidR="00F537B9">
        <w:rPr>
          <w:noProof/>
        </w:rPr>
        <w:t xml:space="preserve"> a </w:t>
      </w:r>
      <w:r w:rsidRPr="00F537B9">
        <w:rPr>
          <w:noProof/>
        </w:rPr>
        <w:t>administratívnych zdrojoch.</w:t>
      </w:r>
    </w:p>
    <w:p w14:paraId="109B4E94" w14:textId="77777777" w:rsidR="00E07B7C" w:rsidRPr="00F537B9" w:rsidRDefault="00E07B7C" w:rsidP="00CE54C3">
      <w:pPr>
        <w:pStyle w:val="ManualHeading1"/>
        <w:rPr>
          <w:noProof/>
        </w:rPr>
      </w:pPr>
      <w:r w:rsidRPr="00F537B9">
        <w:rPr>
          <w:noProof/>
        </w:rPr>
        <w:t>5.</w:t>
      </w:r>
      <w:r w:rsidRPr="00F537B9">
        <w:rPr>
          <w:noProof/>
        </w:rPr>
        <w:tab/>
        <w:t>ĎALŠIE PRVKY</w:t>
      </w:r>
    </w:p>
    <w:p w14:paraId="31223B70" w14:textId="269FAC3F" w:rsidR="00E07B7C" w:rsidRPr="00F537B9" w:rsidRDefault="00E07B7C" w:rsidP="00CE54C3">
      <w:pPr>
        <w:pStyle w:val="ManualHeading2"/>
        <w:rPr>
          <w:noProof/>
          <w:u w:color="000000"/>
          <w:bdr w:val="nil"/>
        </w:rPr>
      </w:pPr>
      <w:r w:rsidRPr="00F537B9">
        <w:rPr>
          <w:noProof/>
          <w:u w:color="000000"/>
          <w:bdr w:val="nil"/>
        </w:rPr>
        <w:t>•</w:t>
      </w:r>
      <w:r w:rsidRPr="00F537B9">
        <w:rPr>
          <w:noProof/>
        </w:rPr>
        <w:tab/>
      </w:r>
      <w:r w:rsidRPr="00F537B9">
        <w:rPr>
          <w:noProof/>
          <w:u w:color="000000"/>
          <w:bdr w:val="nil"/>
        </w:rPr>
        <w:t>Plány vykonávania</w:t>
      </w:r>
      <w:r w:rsidR="00F537B9">
        <w:rPr>
          <w:noProof/>
          <w:u w:color="000000"/>
          <w:bdr w:val="nil"/>
        </w:rPr>
        <w:t xml:space="preserve"> a </w:t>
      </w:r>
      <w:r w:rsidRPr="00F537B9">
        <w:rPr>
          <w:noProof/>
          <w:u w:color="000000"/>
          <w:bdr w:val="nil"/>
        </w:rPr>
        <w:t>monitorovanie, hodnotenie</w:t>
      </w:r>
      <w:r w:rsidR="00F537B9">
        <w:rPr>
          <w:noProof/>
          <w:u w:color="000000"/>
          <w:bdr w:val="nil"/>
        </w:rPr>
        <w:t xml:space="preserve"> a </w:t>
      </w:r>
      <w:r w:rsidRPr="00F537B9">
        <w:rPr>
          <w:noProof/>
          <w:u w:color="000000"/>
          <w:bdr w:val="nil"/>
        </w:rPr>
        <w:t>predkladanie správ</w:t>
      </w:r>
    </w:p>
    <w:p w14:paraId="094F0FF5" w14:textId="4938EF05" w:rsidR="00E07B7C" w:rsidRPr="00F537B9" w:rsidRDefault="00E07B7C" w:rsidP="00E07B7C">
      <w:pPr>
        <w:pBdr>
          <w:top w:val="nil"/>
          <w:left w:val="nil"/>
          <w:bottom w:val="nil"/>
          <w:right w:val="nil"/>
          <w:between w:val="nil"/>
          <w:bar w:val="nil"/>
        </w:pBdr>
        <w:spacing w:before="0" w:after="240"/>
        <w:rPr>
          <w:noProof/>
        </w:rPr>
      </w:pPr>
      <w:r w:rsidRPr="00F537B9">
        <w:rPr>
          <w:noProof/>
        </w:rPr>
        <w:t>Komisia vykoná hodnotenie smernice päť rokov po nadobudnutí účinnosti vnútroštátnych pravidiel, ktorými sa smernica transponuje,</w:t>
      </w:r>
      <w:r w:rsidR="00F537B9">
        <w:rPr>
          <w:noProof/>
        </w:rPr>
        <w:t xml:space="preserve"> a </w:t>
      </w:r>
      <w:r w:rsidRPr="00F537B9">
        <w:rPr>
          <w:noProof/>
        </w:rPr>
        <w:t>potom každých päť rokov.</w:t>
      </w:r>
    </w:p>
    <w:p w14:paraId="3923DC6E" w14:textId="4B7D347F" w:rsidR="00E07B7C" w:rsidRPr="00F537B9" w:rsidRDefault="00E07B7C" w:rsidP="00E07B7C">
      <w:pPr>
        <w:pBdr>
          <w:top w:val="nil"/>
          <w:left w:val="nil"/>
          <w:bottom w:val="nil"/>
          <w:right w:val="nil"/>
          <w:between w:val="nil"/>
          <w:bar w:val="nil"/>
        </w:pBdr>
        <w:spacing w:before="0" w:after="240"/>
        <w:rPr>
          <w:noProof/>
        </w:rPr>
      </w:pPr>
      <w:r w:rsidRPr="00F537B9">
        <w:rPr>
          <w:noProof/>
        </w:rPr>
        <w:t>Na účely monitorovania</w:t>
      </w:r>
      <w:r w:rsidR="00F537B9">
        <w:rPr>
          <w:noProof/>
        </w:rPr>
        <w:t xml:space="preserve"> a </w:t>
      </w:r>
      <w:r w:rsidRPr="00F537B9">
        <w:rPr>
          <w:noProof/>
        </w:rPr>
        <w:t>hodnotenia vykonávania smernice poskytnú členské štáty Komisii každoročne údaje odzrkadľujúce príslušné informácie</w:t>
      </w:r>
      <w:r w:rsidR="00F537B9">
        <w:rPr>
          <w:noProof/>
        </w:rPr>
        <w:t xml:space="preserve"> o </w:t>
      </w:r>
      <w:r w:rsidRPr="00F537B9">
        <w:rPr>
          <w:noProof/>
        </w:rPr>
        <w:t>fungovaní smernice. Príslušné informácie sa majú vymedziť prostredníctvom vykonávacieho aktu</w:t>
      </w:r>
      <w:r w:rsidR="00F537B9">
        <w:rPr>
          <w:noProof/>
        </w:rPr>
        <w:t xml:space="preserve"> v </w:t>
      </w:r>
      <w:r w:rsidRPr="00F537B9">
        <w:rPr>
          <w:noProof/>
        </w:rPr>
        <w:t>súlade</w:t>
      </w:r>
      <w:r w:rsidR="00F537B9">
        <w:rPr>
          <w:noProof/>
        </w:rPr>
        <w:t xml:space="preserve"> s </w:t>
      </w:r>
      <w:r w:rsidRPr="00F537B9">
        <w:rPr>
          <w:noProof/>
        </w:rPr>
        <w:t>postupom uvedeným</w:t>
      </w:r>
      <w:r w:rsidR="00F537B9">
        <w:rPr>
          <w:noProof/>
        </w:rPr>
        <w:t xml:space="preserve"> v </w:t>
      </w:r>
      <w:r w:rsidRPr="00F537B9">
        <w:rPr>
          <w:noProof/>
        </w:rPr>
        <w:t>článku 17 návrhu.</w:t>
      </w:r>
    </w:p>
    <w:p w14:paraId="2FCC4B2B" w14:textId="77777777" w:rsidR="00E07B7C" w:rsidRPr="00F537B9" w:rsidRDefault="00E07B7C" w:rsidP="00CE54C3">
      <w:pPr>
        <w:pStyle w:val="ManualHeading2"/>
        <w:rPr>
          <w:noProof/>
          <w:u w:color="000000"/>
          <w:bdr w:val="nil"/>
        </w:rPr>
      </w:pPr>
      <w:r w:rsidRPr="00F537B9">
        <w:rPr>
          <w:noProof/>
          <w:u w:color="000000"/>
          <w:bdr w:val="nil"/>
        </w:rPr>
        <w:t>•</w:t>
      </w:r>
      <w:r w:rsidRPr="00F537B9">
        <w:rPr>
          <w:noProof/>
        </w:rPr>
        <w:tab/>
      </w:r>
      <w:r w:rsidRPr="00F537B9">
        <w:rPr>
          <w:noProof/>
          <w:u w:color="000000"/>
          <w:bdr w:val="nil"/>
        </w:rPr>
        <w:t>Podrobné vysvetlenie konkrétnych ustanovení návrhu</w:t>
      </w:r>
    </w:p>
    <w:p w14:paraId="4B6C76FA" w14:textId="58F9BEEF" w:rsidR="005F42D4" w:rsidRPr="00F537B9" w:rsidRDefault="005F42D4" w:rsidP="00E07B7C">
      <w:pPr>
        <w:pBdr>
          <w:top w:val="nil"/>
          <w:left w:val="nil"/>
          <w:bottom w:val="nil"/>
          <w:right w:val="nil"/>
          <w:between w:val="nil"/>
          <w:bar w:val="nil"/>
        </w:pBdr>
        <w:spacing w:before="0" w:after="240"/>
        <w:rPr>
          <w:rFonts w:eastAsia="Arial Unicode MS"/>
          <w:noProof/>
        </w:rPr>
      </w:pPr>
      <w:r w:rsidRPr="00F537B9">
        <w:rPr>
          <w:noProof/>
        </w:rPr>
        <w:t>Návrh možno rozdeliť do troch častí: 1. prvá časť sa týka princípu nezávislého vzťahu</w:t>
      </w:r>
      <w:r w:rsidR="00F537B9">
        <w:rPr>
          <w:noProof/>
        </w:rPr>
        <w:t xml:space="preserve"> a </w:t>
      </w:r>
      <w:r w:rsidRPr="00F537B9">
        <w:rPr>
          <w:noProof/>
        </w:rPr>
        <w:t>možných dôsledkov uplatňovania tohto princípu; 2.</w:t>
      </w:r>
      <w:r w:rsidR="00F537B9">
        <w:rPr>
          <w:noProof/>
        </w:rPr>
        <w:t xml:space="preserve"> v </w:t>
      </w:r>
      <w:r w:rsidRPr="00F537B9">
        <w:rPr>
          <w:noProof/>
        </w:rPr>
        <w:t>druhej časti sa stanovujú základné prvky, ktoré sú pre uplatňovanie princípu nezávislého vzťahu dôležité,</w:t>
      </w:r>
      <w:r w:rsidR="00F537B9">
        <w:rPr>
          <w:noProof/>
        </w:rPr>
        <w:t xml:space="preserve"> a </w:t>
      </w:r>
      <w:r w:rsidRPr="00F537B9">
        <w:rPr>
          <w:noProof/>
        </w:rPr>
        <w:t>3. tretia časť obsahuje mechanizmus na stanovenie ďalších spoločných pravidiel, ktoré sa vzťahujú na obmedzený okruh oblastí</w:t>
      </w:r>
      <w:r w:rsidR="00F537B9">
        <w:rPr>
          <w:noProof/>
        </w:rPr>
        <w:t xml:space="preserve"> a </w:t>
      </w:r>
      <w:r w:rsidRPr="00F537B9">
        <w:rPr>
          <w:noProof/>
        </w:rPr>
        <w:t>ktoré daňovníkom umožnia ďalšie zjednodušenie</w:t>
      </w:r>
      <w:r w:rsidR="00F537B9">
        <w:rPr>
          <w:noProof/>
        </w:rPr>
        <w:t xml:space="preserve"> a </w:t>
      </w:r>
      <w:r w:rsidRPr="00F537B9">
        <w:rPr>
          <w:noProof/>
        </w:rPr>
        <w:t>daňovú istotu pri výklade</w:t>
      </w:r>
      <w:r w:rsidR="00F537B9">
        <w:rPr>
          <w:noProof/>
        </w:rPr>
        <w:t xml:space="preserve"> a </w:t>
      </w:r>
      <w:r w:rsidRPr="00F537B9">
        <w:rPr>
          <w:noProof/>
        </w:rPr>
        <w:t>uplatňovaní princípu nezávislého vzťahu.</w:t>
      </w:r>
    </w:p>
    <w:p w14:paraId="1B1D442B" w14:textId="77777777" w:rsidR="005F42D4" w:rsidRPr="00F537B9" w:rsidRDefault="005F42D4" w:rsidP="00B3282D">
      <w:pPr>
        <w:pStyle w:val="Point1"/>
        <w:rPr>
          <w:b/>
          <w:bCs/>
          <w:noProof/>
        </w:rPr>
      </w:pPr>
      <w:r w:rsidRPr="00F537B9">
        <w:rPr>
          <w:b/>
          <w:noProof/>
        </w:rPr>
        <w:t>i) Princíp nezávislého vzťahu</w:t>
      </w:r>
    </w:p>
    <w:p w14:paraId="4CCCD5F3" w14:textId="77777777" w:rsidR="00B3282D" w:rsidRPr="00F537B9" w:rsidRDefault="00AE4437" w:rsidP="00E07B7C">
      <w:pPr>
        <w:pBdr>
          <w:top w:val="nil"/>
          <w:left w:val="nil"/>
          <w:bottom w:val="nil"/>
          <w:right w:val="nil"/>
          <w:between w:val="nil"/>
          <w:bar w:val="nil"/>
        </w:pBdr>
        <w:spacing w:before="0" w:after="240"/>
        <w:rPr>
          <w:rFonts w:eastAsia="Arial Unicode MS"/>
          <w:i/>
          <w:iCs/>
          <w:noProof/>
        </w:rPr>
      </w:pPr>
      <w:r w:rsidRPr="00F537B9">
        <w:rPr>
          <w:i/>
          <w:noProof/>
        </w:rPr>
        <w:t>Princíp</w:t>
      </w:r>
    </w:p>
    <w:p w14:paraId="6938AB2F" w14:textId="3796D6F6" w:rsidR="00AE4437" w:rsidRPr="00F537B9" w:rsidRDefault="00EE117A" w:rsidP="00AE4437">
      <w:pPr>
        <w:pBdr>
          <w:top w:val="nil"/>
          <w:left w:val="nil"/>
          <w:bottom w:val="nil"/>
          <w:right w:val="nil"/>
          <w:between w:val="nil"/>
          <w:bar w:val="nil"/>
        </w:pBdr>
        <w:spacing w:before="0" w:after="240"/>
        <w:rPr>
          <w:rFonts w:eastAsia="Arial Unicode MS"/>
          <w:noProof/>
        </w:rPr>
      </w:pPr>
      <w:r w:rsidRPr="00F537B9">
        <w:rPr>
          <w:noProof/>
        </w:rPr>
        <w:t>V článku 4 sa uvádza, že ak podmienky cezhraničných vnútroskupinových transakcií nie sú nezávislými trhovými podmienkami, musia sa upraviť tak, aby</w:t>
      </w:r>
      <w:r w:rsidR="00F537B9">
        <w:rPr>
          <w:noProof/>
        </w:rPr>
        <w:t xml:space="preserve"> v </w:t>
      </w:r>
      <w:r w:rsidRPr="00F537B9">
        <w:rPr>
          <w:noProof/>
        </w:rPr>
        <w:t>nich boli zohľadnené podmienky, ktoré by existovali medzi nezávislými stranami,</w:t>
      </w:r>
      <w:r w:rsidR="00F537B9">
        <w:rPr>
          <w:noProof/>
        </w:rPr>
        <w:t xml:space="preserve"> a </w:t>
      </w:r>
      <w:r w:rsidRPr="00F537B9">
        <w:rPr>
          <w:noProof/>
        </w:rPr>
        <w:t>aby sa zisky zdanili zodpovedajúcim spôsobom.</w:t>
      </w:r>
    </w:p>
    <w:p w14:paraId="3E0C1718" w14:textId="36837903" w:rsidR="00AE4437" w:rsidRPr="00F537B9" w:rsidRDefault="00AE4437" w:rsidP="00AE4437">
      <w:pPr>
        <w:pBdr>
          <w:top w:val="nil"/>
          <w:left w:val="nil"/>
          <w:bottom w:val="nil"/>
          <w:right w:val="nil"/>
          <w:between w:val="nil"/>
          <w:bar w:val="nil"/>
        </w:pBdr>
        <w:spacing w:before="0" w:after="240"/>
        <w:rPr>
          <w:rFonts w:eastAsia="Arial Unicode MS"/>
          <w:noProof/>
        </w:rPr>
      </w:pPr>
      <w:r w:rsidRPr="00F537B9">
        <w:rPr>
          <w:noProof/>
        </w:rPr>
        <w:t>Na účely tejto smernice by sa stála prevádzkareň mala považovať za pridružený podnik,</w:t>
      </w:r>
      <w:r w:rsidR="00F537B9">
        <w:rPr>
          <w:noProof/>
        </w:rPr>
        <w:t xml:space="preserve"> a </w:t>
      </w:r>
      <w:r w:rsidRPr="00F537B9">
        <w:rPr>
          <w:noProof/>
        </w:rPr>
        <w:t>preto všeobecné pravidlo obsiahnuté</w:t>
      </w:r>
      <w:r w:rsidR="00F537B9">
        <w:rPr>
          <w:noProof/>
        </w:rPr>
        <w:t xml:space="preserve"> v </w:t>
      </w:r>
      <w:r w:rsidRPr="00F537B9">
        <w:rPr>
          <w:noProof/>
        </w:rPr>
        <w:t>článku 4 platí aj pre pripísanie zisku stálej prevádzkarni.</w:t>
      </w:r>
      <w:r w:rsidR="00F537B9">
        <w:rPr>
          <w:noProof/>
        </w:rPr>
        <w:t xml:space="preserve"> V </w:t>
      </w:r>
      <w:r w:rsidRPr="00F537B9">
        <w:rPr>
          <w:noProof/>
        </w:rPr>
        <w:t>dôsledku toho by sa interné transakcie medzi ústredím</w:t>
      </w:r>
      <w:r w:rsidR="00F537B9">
        <w:rPr>
          <w:noProof/>
        </w:rPr>
        <w:t xml:space="preserve"> a </w:t>
      </w:r>
      <w:r w:rsidRPr="00F537B9">
        <w:rPr>
          <w:noProof/>
        </w:rPr>
        <w:t>stálou prevádzkarňou mali určiť</w:t>
      </w:r>
      <w:r w:rsidR="00F537B9">
        <w:rPr>
          <w:noProof/>
        </w:rPr>
        <w:t xml:space="preserve"> v </w:t>
      </w:r>
      <w:r w:rsidRPr="00F537B9">
        <w:rPr>
          <w:noProof/>
        </w:rPr>
        <w:t>súlade</w:t>
      </w:r>
      <w:r w:rsidR="00F537B9">
        <w:rPr>
          <w:noProof/>
        </w:rPr>
        <w:t xml:space="preserve"> s </w:t>
      </w:r>
      <w:r w:rsidRPr="00F537B9">
        <w:rPr>
          <w:noProof/>
        </w:rPr>
        <w:t>princípom nezávislého vzťahu.</w:t>
      </w:r>
    </w:p>
    <w:p w14:paraId="04E7617D" w14:textId="0BDF2484" w:rsidR="00F537B9" w:rsidRDefault="00AE4437" w:rsidP="00AE4437">
      <w:pPr>
        <w:pBdr>
          <w:top w:val="nil"/>
          <w:left w:val="nil"/>
          <w:bottom w:val="nil"/>
          <w:right w:val="nil"/>
          <w:between w:val="nil"/>
          <w:bar w:val="nil"/>
        </w:pBdr>
        <w:spacing w:before="0" w:after="240"/>
        <w:rPr>
          <w:noProof/>
        </w:rPr>
      </w:pPr>
      <w:r w:rsidRPr="00F537B9">
        <w:rPr>
          <w:noProof/>
        </w:rPr>
        <w:t>Podľa princípu nezávislého vzťahu sa cena transakcií medzi pridruženými podnikmi (ďalej len „transferové ceny“) testuje</w:t>
      </w:r>
      <w:r w:rsidR="00F537B9">
        <w:rPr>
          <w:noProof/>
        </w:rPr>
        <w:t xml:space="preserve"> a </w:t>
      </w:r>
      <w:r w:rsidRPr="00F537B9">
        <w:rPr>
          <w:noProof/>
        </w:rPr>
        <w:t>možno ju upraviť tak, aby vyjadrovala cenu porovnateľných nekontrolovaných transakcií</w:t>
      </w:r>
      <w:r w:rsidR="00F537B9">
        <w:rPr>
          <w:noProof/>
        </w:rPr>
        <w:t>.</w:t>
      </w:r>
    </w:p>
    <w:p w14:paraId="3027459D" w14:textId="0D5390D4" w:rsidR="00F42A48" w:rsidRPr="00F537B9" w:rsidRDefault="00AE4437" w:rsidP="00E07B7C">
      <w:pPr>
        <w:pBdr>
          <w:top w:val="nil"/>
          <w:left w:val="nil"/>
          <w:bottom w:val="nil"/>
          <w:right w:val="nil"/>
          <w:between w:val="nil"/>
          <w:bar w:val="nil"/>
        </w:pBdr>
        <w:spacing w:before="0" w:after="240"/>
        <w:rPr>
          <w:rFonts w:eastAsia="Arial Unicode MS"/>
          <w:noProof/>
        </w:rPr>
      </w:pPr>
      <w:r w:rsidRPr="00F537B9">
        <w:rPr>
          <w:noProof/>
        </w:rPr>
        <w:t>Aby sa na transakciu vzťahovalo všeobecné pravidlo stanovené</w:t>
      </w:r>
      <w:r w:rsidR="00F537B9">
        <w:rPr>
          <w:noProof/>
        </w:rPr>
        <w:t xml:space="preserve"> v </w:t>
      </w:r>
      <w:r w:rsidRPr="00F537B9">
        <w:rPr>
          <w:noProof/>
        </w:rPr>
        <w:t>článku 4, musí sa uskutočniť medzi dvoma pridruženými subjektmi. Preto je nevyhnutné mať</w:t>
      </w:r>
      <w:r w:rsidR="00F537B9">
        <w:rPr>
          <w:noProof/>
        </w:rPr>
        <w:t xml:space="preserve"> v </w:t>
      </w:r>
      <w:r w:rsidRPr="00F537B9">
        <w:rPr>
          <w:noProof/>
        </w:rPr>
        <w:t>rámci Únie jednotné vymedzenie pridruženého podniku. Článok 5 obsahuje vymedzenie pridruženého podniku, ktoré musia členské štáty zaviesť na účely uplatňovania pravidiel transferového oceňovania stanovených</w:t>
      </w:r>
      <w:r w:rsidR="00F537B9">
        <w:rPr>
          <w:noProof/>
        </w:rPr>
        <w:t xml:space="preserve"> v </w:t>
      </w:r>
      <w:r w:rsidRPr="00F537B9">
        <w:rPr>
          <w:noProof/>
        </w:rPr>
        <w:t>tomto návrhu smernice.</w:t>
      </w:r>
    </w:p>
    <w:p w14:paraId="6DA65327" w14:textId="77777777" w:rsidR="00F42A48" w:rsidRPr="00F537B9" w:rsidRDefault="00713658" w:rsidP="00E07B7C">
      <w:pPr>
        <w:pBdr>
          <w:top w:val="nil"/>
          <w:left w:val="nil"/>
          <w:bottom w:val="nil"/>
          <w:right w:val="nil"/>
          <w:between w:val="nil"/>
          <w:bar w:val="nil"/>
        </w:pBdr>
        <w:spacing w:before="0" w:after="240"/>
        <w:rPr>
          <w:rFonts w:eastAsia="Arial Unicode MS"/>
          <w:i/>
          <w:iCs/>
          <w:noProof/>
        </w:rPr>
      </w:pPr>
      <w:r w:rsidRPr="00F537B9">
        <w:rPr>
          <w:i/>
          <w:noProof/>
        </w:rPr>
        <w:t>Úpravy</w:t>
      </w:r>
    </w:p>
    <w:p w14:paraId="20D0E513" w14:textId="0A8766FC" w:rsidR="00713658" w:rsidRPr="00F537B9" w:rsidRDefault="00713658" w:rsidP="00713658">
      <w:pPr>
        <w:pBdr>
          <w:top w:val="nil"/>
          <w:left w:val="nil"/>
          <w:bottom w:val="nil"/>
          <w:right w:val="nil"/>
          <w:between w:val="nil"/>
          <w:bar w:val="nil"/>
        </w:pBdr>
        <w:spacing w:before="0" w:after="240"/>
        <w:rPr>
          <w:rFonts w:eastAsia="Arial Unicode MS"/>
          <w:noProof/>
        </w:rPr>
      </w:pPr>
      <w:r w:rsidRPr="00F537B9">
        <w:rPr>
          <w:noProof/>
        </w:rPr>
        <w:t>Úpravy transferového oceňovania možno rozdeliť do dvoch hlavných kategórií: i) tie, ktoré vykonala daňová správa po podaní daňového priznania spoločnosti, ktoré môžu zahŕňať primárne úpravy</w:t>
      </w:r>
      <w:r w:rsidR="00F537B9">
        <w:rPr>
          <w:noProof/>
        </w:rPr>
        <w:t xml:space="preserve"> a </w:t>
      </w:r>
      <w:r w:rsidRPr="00F537B9">
        <w:rPr>
          <w:noProof/>
        </w:rPr>
        <w:t>korešpondujúce úpravy,</w:t>
      </w:r>
      <w:r w:rsidR="00F537B9">
        <w:rPr>
          <w:noProof/>
        </w:rPr>
        <w:t xml:space="preserve"> a </w:t>
      </w:r>
      <w:r w:rsidRPr="00F537B9">
        <w:rPr>
          <w:noProof/>
        </w:rPr>
        <w:t>ii) tie, ktoré dobrovoľne vykonal daňovník pred podaním daňového priznania spoločnosti, ktoré sú známe ako kompenzačné úpravy.</w:t>
      </w:r>
    </w:p>
    <w:p w14:paraId="08F0BE95" w14:textId="0A5CE5E7" w:rsidR="00713658" w:rsidRPr="00F537B9" w:rsidRDefault="00713658" w:rsidP="00713658">
      <w:pPr>
        <w:pBdr>
          <w:top w:val="nil"/>
          <w:left w:val="nil"/>
          <w:bottom w:val="nil"/>
          <w:right w:val="nil"/>
          <w:between w:val="nil"/>
          <w:bar w:val="nil"/>
        </w:pBdr>
        <w:spacing w:before="0" w:after="240"/>
        <w:rPr>
          <w:rFonts w:eastAsia="Arial Unicode MS"/>
          <w:noProof/>
          <w:spacing w:val="-4"/>
        </w:rPr>
      </w:pPr>
      <w:r w:rsidRPr="00F537B9">
        <w:rPr>
          <w:noProof/>
          <w:spacing w:val="-4"/>
        </w:rPr>
        <w:t>V článku 6 sa stanovujú pravidlá, ako by členské štáty mali riešiť primárne</w:t>
      </w:r>
      <w:r w:rsidR="00F537B9" w:rsidRPr="00F537B9">
        <w:rPr>
          <w:noProof/>
          <w:spacing w:val="-4"/>
        </w:rPr>
        <w:t xml:space="preserve"> a </w:t>
      </w:r>
      <w:r w:rsidRPr="00F537B9">
        <w:rPr>
          <w:noProof/>
          <w:spacing w:val="-4"/>
        </w:rPr>
        <w:t>korešpondujúce úpravy. Primárne úpravy sa týkajú zvýšenia zdaniteľných ziskov spoločnosti</w:t>
      </w:r>
      <w:r w:rsidR="00F537B9" w:rsidRPr="00F537B9">
        <w:rPr>
          <w:noProof/>
          <w:spacing w:val="-4"/>
        </w:rPr>
        <w:t xml:space="preserve"> v </w:t>
      </w:r>
      <w:r w:rsidRPr="00F537B9">
        <w:rPr>
          <w:noProof/>
          <w:spacing w:val="-4"/>
        </w:rPr>
        <w:t>dôsledku cezhraničných transakcií</w:t>
      </w:r>
      <w:r w:rsidR="00F537B9" w:rsidRPr="00F537B9">
        <w:rPr>
          <w:noProof/>
          <w:spacing w:val="-4"/>
        </w:rPr>
        <w:t xml:space="preserve"> s </w:t>
      </w:r>
      <w:r w:rsidRPr="00F537B9">
        <w:rPr>
          <w:noProof/>
          <w:spacing w:val="-4"/>
        </w:rPr>
        <w:t>pridruženým podnikom, ktoré sa neuskutočnili</w:t>
      </w:r>
      <w:r w:rsidR="00F537B9" w:rsidRPr="00F537B9">
        <w:rPr>
          <w:noProof/>
          <w:spacing w:val="-4"/>
        </w:rPr>
        <w:t xml:space="preserve"> v </w:t>
      </w:r>
      <w:r w:rsidRPr="00F537B9">
        <w:rPr>
          <w:noProof/>
          <w:spacing w:val="-4"/>
        </w:rPr>
        <w:t>súlade</w:t>
      </w:r>
      <w:r w:rsidR="00F537B9" w:rsidRPr="00F537B9">
        <w:rPr>
          <w:noProof/>
          <w:spacing w:val="-4"/>
        </w:rPr>
        <w:t xml:space="preserve"> s </w:t>
      </w:r>
      <w:r w:rsidRPr="00F537B9">
        <w:rPr>
          <w:noProof/>
          <w:spacing w:val="-4"/>
        </w:rPr>
        <w:t>princípom nezávislého vzťahu. Korešpondujúce úpravy sa vykonávajú ako reakcia na primárnu úpravu</w:t>
      </w:r>
      <w:r w:rsidR="00F537B9" w:rsidRPr="00F537B9">
        <w:rPr>
          <w:noProof/>
          <w:spacing w:val="-4"/>
        </w:rPr>
        <w:t xml:space="preserve"> a </w:t>
      </w:r>
      <w:r w:rsidRPr="00F537B9">
        <w:rPr>
          <w:noProof/>
          <w:spacing w:val="-4"/>
        </w:rPr>
        <w:t>ich cieľom je zabrániť prípadnému dvojitému zdaneniu, ku ktorému môže dôjsť</w:t>
      </w:r>
      <w:r w:rsidR="00F537B9" w:rsidRPr="00F537B9">
        <w:rPr>
          <w:noProof/>
          <w:spacing w:val="-4"/>
        </w:rPr>
        <w:t xml:space="preserve"> v </w:t>
      </w:r>
      <w:r w:rsidRPr="00F537B9">
        <w:rPr>
          <w:noProof/>
          <w:spacing w:val="-4"/>
        </w:rPr>
        <w:t>dôsledku primárnej úpravy. Keď totiž daňová správa zvýši zdaniteľné zisky spoločnosti</w:t>
      </w:r>
      <w:r w:rsidR="00F537B9" w:rsidRPr="00F537B9">
        <w:rPr>
          <w:noProof/>
          <w:spacing w:val="-4"/>
        </w:rPr>
        <w:t xml:space="preserve"> v </w:t>
      </w:r>
      <w:r w:rsidRPr="00F537B9">
        <w:rPr>
          <w:noProof/>
          <w:spacing w:val="-4"/>
        </w:rPr>
        <w:t>jednej daňovej jurisdikcii (prostredníctvom primárnej úpravy), môže byť potrebná korešpondujúca úprava</w:t>
      </w:r>
      <w:r w:rsidR="00F537B9" w:rsidRPr="00F537B9">
        <w:rPr>
          <w:noProof/>
          <w:spacing w:val="-4"/>
        </w:rPr>
        <w:t xml:space="preserve"> s </w:t>
      </w:r>
      <w:r w:rsidRPr="00F537B9">
        <w:rPr>
          <w:noProof/>
          <w:spacing w:val="-4"/>
        </w:rPr>
        <w:t>cieľom znížiť daňovú povinnosť tejto spoločnosti</w:t>
      </w:r>
      <w:r w:rsidR="00F537B9" w:rsidRPr="00F537B9">
        <w:rPr>
          <w:noProof/>
          <w:spacing w:val="-4"/>
        </w:rPr>
        <w:t xml:space="preserve"> v </w:t>
      </w:r>
      <w:r w:rsidRPr="00F537B9">
        <w:rPr>
          <w:noProof/>
          <w:spacing w:val="-4"/>
        </w:rPr>
        <w:t>druhej dotknutej daňovej jurisdikcii.</w:t>
      </w:r>
    </w:p>
    <w:p w14:paraId="29336C4A" w14:textId="11F1C9C9" w:rsidR="00F537B9" w:rsidRDefault="00713658" w:rsidP="00713658">
      <w:pPr>
        <w:pBdr>
          <w:top w:val="nil"/>
          <w:left w:val="nil"/>
          <w:bottom w:val="nil"/>
          <w:right w:val="nil"/>
          <w:between w:val="nil"/>
          <w:bar w:val="nil"/>
        </w:pBdr>
        <w:spacing w:before="0" w:after="240"/>
        <w:rPr>
          <w:noProof/>
        </w:rPr>
      </w:pPr>
      <w:r w:rsidRPr="00F537B9">
        <w:rPr>
          <w:noProof/>
        </w:rPr>
        <w:t>Hlavným cieľom článku 6 ods. 1 je zabezpečiť, aby členské štáty mali zavedený primeraný mechanizmus, ktorý im umožní vykonať korešpondujúcu úpravu</w:t>
      </w:r>
      <w:r w:rsidR="00F537B9">
        <w:rPr>
          <w:noProof/>
        </w:rPr>
        <w:t xml:space="preserve"> v </w:t>
      </w:r>
      <w:r w:rsidRPr="00F537B9">
        <w:rPr>
          <w:noProof/>
        </w:rPr>
        <w:t>prípade, že sa vykoná primárna úprava</w:t>
      </w:r>
      <w:r w:rsidR="00F537B9">
        <w:rPr>
          <w:noProof/>
        </w:rPr>
        <w:t xml:space="preserve"> v </w:t>
      </w:r>
      <w:r w:rsidRPr="00F537B9">
        <w:rPr>
          <w:noProof/>
        </w:rPr>
        <w:t>inej jurisdikcii. Ak sa korešpondujúca úprava nevykoná, je pravdepodobné, že daňovníci pôsobiaci cezhranične budú vystavení dvojitému zdaneniu, čo je situácia, ktorej je potrebné zabrániť.</w:t>
      </w:r>
      <w:r w:rsidR="00F537B9">
        <w:rPr>
          <w:noProof/>
        </w:rPr>
        <w:t xml:space="preserve"> V </w:t>
      </w:r>
      <w:r w:rsidRPr="00F537B9">
        <w:rPr>
          <w:noProof/>
        </w:rPr>
        <w:t>tejto súvislosti by členské štáty mali mať možnosť vykonávať korešpondujúce úpravy</w:t>
      </w:r>
      <w:r w:rsidR="00F537B9">
        <w:rPr>
          <w:noProof/>
        </w:rPr>
        <w:t xml:space="preserve"> a </w:t>
      </w:r>
      <w:r w:rsidRPr="00F537B9">
        <w:rPr>
          <w:noProof/>
        </w:rPr>
        <w:t>mali by zvážiť možnosť nepriznávať takéto úpravy iba</w:t>
      </w:r>
      <w:r w:rsidR="00F537B9">
        <w:rPr>
          <w:noProof/>
        </w:rPr>
        <w:t xml:space="preserve"> v </w:t>
      </w:r>
      <w:r w:rsidRPr="00F537B9">
        <w:rPr>
          <w:noProof/>
        </w:rPr>
        <w:t>kontexte postupov vzájomnej dohody, ale napríklad aj ako výsledok „zrýchleného“ postupu, keď nie je pochýb</w:t>
      </w:r>
      <w:r w:rsidR="00F537B9">
        <w:rPr>
          <w:noProof/>
        </w:rPr>
        <w:t xml:space="preserve"> o </w:t>
      </w:r>
      <w:r w:rsidRPr="00F537B9">
        <w:rPr>
          <w:noProof/>
        </w:rPr>
        <w:t>tom, že primárna úprava je opodstatnená, alebo ako výsledok spoločných kontrol</w:t>
      </w:r>
      <w:r w:rsidR="00F537B9">
        <w:rPr>
          <w:noProof/>
        </w:rPr>
        <w:t>.</w:t>
      </w:r>
    </w:p>
    <w:p w14:paraId="2B6F7949" w14:textId="41097058" w:rsidR="00713658" w:rsidRPr="00F537B9" w:rsidRDefault="008F4974" w:rsidP="00713658">
      <w:pPr>
        <w:pBdr>
          <w:top w:val="nil"/>
          <w:left w:val="nil"/>
          <w:bottom w:val="nil"/>
          <w:right w:val="nil"/>
          <w:between w:val="nil"/>
          <w:bar w:val="nil"/>
        </w:pBdr>
        <w:spacing w:before="0" w:after="240"/>
        <w:rPr>
          <w:rFonts w:eastAsia="Arial Unicode MS"/>
          <w:noProof/>
          <w:spacing w:val="-4"/>
        </w:rPr>
      </w:pPr>
      <w:r w:rsidRPr="00F537B9">
        <w:rPr>
          <w:noProof/>
          <w:spacing w:val="-4"/>
        </w:rPr>
        <w:t>V niektorých prípadoch môžu existovať legitímne dôvody, prečo sa korešpondujúca úprava neprizná. Členské štáty by nemali priznávať korešpondujúce úpravy, ak: i) sa primárna úprava nepovažuje za zlučiteľnú</w:t>
      </w:r>
      <w:r w:rsidR="00F537B9" w:rsidRPr="00F537B9">
        <w:rPr>
          <w:noProof/>
          <w:spacing w:val="-4"/>
        </w:rPr>
        <w:t xml:space="preserve"> s </w:t>
      </w:r>
      <w:r w:rsidRPr="00F537B9">
        <w:rPr>
          <w:noProof/>
          <w:spacing w:val="-4"/>
        </w:rPr>
        <w:t>princípom nezávislého vzťahu; ii) primárna úprava nevedie</w:t>
      </w:r>
      <w:r w:rsidR="00F537B9" w:rsidRPr="00F537B9">
        <w:rPr>
          <w:noProof/>
          <w:spacing w:val="-4"/>
        </w:rPr>
        <w:t xml:space="preserve"> k </w:t>
      </w:r>
      <w:r w:rsidRPr="00F537B9">
        <w:rPr>
          <w:noProof/>
          <w:spacing w:val="-4"/>
        </w:rPr>
        <w:t>zdaneniu sumy ziskov,</w:t>
      </w:r>
      <w:r w:rsidR="00F537B9" w:rsidRPr="00F537B9">
        <w:rPr>
          <w:noProof/>
          <w:spacing w:val="-4"/>
        </w:rPr>
        <w:t xml:space="preserve"> z </w:t>
      </w:r>
      <w:r w:rsidRPr="00F537B9">
        <w:rPr>
          <w:noProof/>
          <w:spacing w:val="-4"/>
        </w:rPr>
        <w:t>ktorej už pridružený podnik</w:t>
      </w:r>
      <w:r w:rsidR="00F537B9" w:rsidRPr="00F537B9">
        <w:rPr>
          <w:noProof/>
          <w:spacing w:val="-4"/>
        </w:rPr>
        <w:t xml:space="preserve"> v </w:t>
      </w:r>
      <w:r w:rsidRPr="00F537B9">
        <w:rPr>
          <w:noProof/>
          <w:spacing w:val="-4"/>
        </w:rPr>
        <w:t>príslušnom členskom štáte daň zaplatil,</w:t>
      </w:r>
      <w:r w:rsidR="00F537B9" w:rsidRPr="00F537B9">
        <w:rPr>
          <w:noProof/>
          <w:spacing w:val="-4"/>
        </w:rPr>
        <w:t xml:space="preserve"> v </w:t>
      </w:r>
      <w:r w:rsidRPr="00F537B9">
        <w:rPr>
          <w:noProof/>
          <w:spacing w:val="-4"/>
        </w:rPr>
        <w:t>inej jurisdikcii; iii) ak ide</w:t>
      </w:r>
      <w:r w:rsidR="00F537B9" w:rsidRPr="00F537B9">
        <w:rPr>
          <w:noProof/>
          <w:spacing w:val="-4"/>
        </w:rPr>
        <w:t xml:space="preserve"> o </w:t>
      </w:r>
      <w:r w:rsidRPr="00F537B9">
        <w:rPr>
          <w:noProof/>
          <w:spacing w:val="-4"/>
        </w:rPr>
        <w:t>jurisdikciu tretej krajiny, neexistuje zmluva</w:t>
      </w:r>
      <w:r w:rsidR="00F537B9" w:rsidRPr="00F537B9">
        <w:rPr>
          <w:noProof/>
          <w:spacing w:val="-4"/>
        </w:rPr>
        <w:t xml:space="preserve"> o </w:t>
      </w:r>
      <w:r w:rsidRPr="00F537B9">
        <w:rPr>
          <w:noProof/>
          <w:spacing w:val="-4"/>
        </w:rPr>
        <w:t>zamedzení dvojitého zdanenia. Pri absencii primárnej úpravy môže členský štát vykonať úpravu smerom nadol len vtedy, ak i) úprava smerom nadol je</w:t>
      </w:r>
      <w:r w:rsidR="00F537B9" w:rsidRPr="00F537B9">
        <w:rPr>
          <w:noProof/>
          <w:spacing w:val="-4"/>
        </w:rPr>
        <w:t xml:space="preserve"> v </w:t>
      </w:r>
      <w:r w:rsidRPr="00F537B9">
        <w:rPr>
          <w:noProof/>
          <w:spacing w:val="-4"/>
        </w:rPr>
        <w:t>súlade</w:t>
      </w:r>
      <w:r w:rsidR="00F537B9" w:rsidRPr="00F537B9">
        <w:rPr>
          <w:noProof/>
          <w:spacing w:val="-4"/>
        </w:rPr>
        <w:t xml:space="preserve"> s </w:t>
      </w:r>
      <w:r w:rsidRPr="00F537B9">
        <w:rPr>
          <w:noProof/>
          <w:spacing w:val="-4"/>
        </w:rPr>
        <w:t>princípom nezávislého vzťahu; ii) suma rovnajúca sa úprave smerom nadol je zahrnutá do zisku pridruženého podniku</w:t>
      </w:r>
      <w:r w:rsidR="00F537B9" w:rsidRPr="00F537B9">
        <w:rPr>
          <w:noProof/>
          <w:spacing w:val="-4"/>
        </w:rPr>
        <w:t xml:space="preserve"> v </w:t>
      </w:r>
      <w:r w:rsidRPr="00F537B9">
        <w:rPr>
          <w:noProof/>
          <w:spacing w:val="-4"/>
        </w:rPr>
        <w:t>inej jurisdikcii; iii) príslušným jurisdikciám bolo zaslané oznámenie</w:t>
      </w:r>
      <w:r w:rsidR="00F537B9" w:rsidRPr="00F537B9">
        <w:rPr>
          <w:noProof/>
          <w:spacing w:val="-4"/>
        </w:rPr>
        <w:t xml:space="preserve"> o </w:t>
      </w:r>
      <w:r w:rsidRPr="00F537B9">
        <w:rPr>
          <w:noProof/>
          <w:spacing w:val="-4"/>
        </w:rPr>
        <w:t>zámere vykonať úpravu smerom nadol. Cieľom je zabezpečiť, aby si členské štáty mohli zachovať svoju vnútroštátnu daňovú suverenitu</w:t>
      </w:r>
      <w:r w:rsidR="00F537B9" w:rsidRPr="00F537B9">
        <w:rPr>
          <w:noProof/>
          <w:spacing w:val="-4"/>
        </w:rPr>
        <w:t xml:space="preserve"> a </w:t>
      </w:r>
      <w:r w:rsidRPr="00F537B9">
        <w:rPr>
          <w:noProof/>
          <w:spacing w:val="-4"/>
        </w:rPr>
        <w:t>právo posúdiť, či je primárna úprava</w:t>
      </w:r>
      <w:r w:rsidR="00F537B9" w:rsidRPr="00F537B9">
        <w:rPr>
          <w:noProof/>
          <w:spacing w:val="-4"/>
        </w:rPr>
        <w:t xml:space="preserve"> v </w:t>
      </w:r>
      <w:r w:rsidRPr="00F537B9">
        <w:rPr>
          <w:noProof/>
          <w:spacing w:val="-4"/>
        </w:rPr>
        <w:t>súlade</w:t>
      </w:r>
      <w:r w:rsidR="00F537B9" w:rsidRPr="00F537B9">
        <w:rPr>
          <w:noProof/>
          <w:spacing w:val="-4"/>
        </w:rPr>
        <w:t xml:space="preserve"> s </w:t>
      </w:r>
      <w:r w:rsidRPr="00F537B9">
        <w:rPr>
          <w:noProof/>
          <w:spacing w:val="-4"/>
        </w:rPr>
        <w:t>princípom nezávislého vzťahu</w:t>
      </w:r>
      <w:r w:rsidR="00F537B9" w:rsidRPr="00F537B9">
        <w:rPr>
          <w:noProof/>
          <w:spacing w:val="-4"/>
        </w:rPr>
        <w:t xml:space="preserve"> a </w:t>
      </w:r>
      <w:r w:rsidRPr="00F537B9">
        <w:rPr>
          <w:noProof/>
          <w:spacing w:val="-4"/>
        </w:rPr>
        <w:t>či nedochádza</w:t>
      </w:r>
      <w:r w:rsidR="00F537B9" w:rsidRPr="00F537B9">
        <w:rPr>
          <w:noProof/>
          <w:spacing w:val="-4"/>
        </w:rPr>
        <w:t xml:space="preserve"> k </w:t>
      </w:r>
      <w:r w:rsidRPr="00F537B9">
        <w:rPr>
          <w:noProof/>
          <w:spacing w:val="-4"/>
        </w:rPr>
        <w:t>dvojitému zdaneniu alebo dvojitému nezdaneniu.</w:t>
      </w:r>
    </w:p>
    <w:p w14:paraId="6E8CB9BD" w14:textId="2FEE83B0" w:rsidR="00B3282D" w:rsidRPr="00F537B9" w:rsidRDefault="00582926" w:rsidP="00713658">
      <w:pPr>
        <w:pBdr>
          <w:top w:val="nil"/>
          <w:left w:val="nil"/>
          <w:bottom w:val="nil"/>
          <w:right w:val="nil"/>
          <w:between w:val="nil"/>
          <w:bar w:val="nil"/>
        </w:pBdr>
        <w:spacing w:before="0" w:after="240"/>
        <w:rPr>
          <w:rFonts w:eastAsia="Arial Unicode MS"/>
          <w:noProof/>
        </w:rPr>
      </w:pPr>
      <w:r w:rsidRPr="00F537B9">
        <w:rPr>
          <w:noProof/>
        </w:rPr>
        <w:t>„Kompenzačná úprava“ je vymedzená</w:t>
      </w:r>
      <w:r w:rsidR="00F537B9">
        <w:rPr>
          <w:noProof/>
        </w:rPr>
        <w:t xml:space="preserve"> v </w:t>
      </w:r>
      <w:r w:rsidRPr="00F537B9">
        <w:rPr>
          <w:noProof/>
        </w:rPr>
        <w:t>slovníku smernice OECD</w:t>
      </w:r>
      <w:r w:rsidR="00F537B9">
        <w:rPr>
          <w:noProof/>
        </w:rPr>
        <w:t xml:space="preserve"> o </w:t>
      </w:r>
      <w:r w:rsidRPr="00F537B9">
        <w:rPr>
          <w:noProof/>
        </w:rPr>
        <w:t>transferovom oceňovaní ako „úprava, pri ktorej daňovník vykazuje na daňové účely transferovú cenu, ktorá je podľa názoru daňovníka nezávislou trhovou cenou kontrolovanej transakcie,</w:t>
      </w:r>
      <w:r w:rsidR="00F537B9">
        <w:rPr>
          <w:noProof/>
        </w:rPr>
        <w:t xml:space="preserve"> a </w:t>
      </w:r>
      <w:r w:rsidRPr="00F537B9">
        <w:rPr>
          <w:noProof/>
        </w:rPr>
        <w:t>to aj napriek tomu, že táto cena sa líši od sumy, ktorá bola medzi pridruženými podnikmi skutočne účtovaná“. Kompenzačné úpravy sú však príčinou dvojitého zdanenia, pretože sa zvyčajne vo všetkých jurisdikciách neuznávajú</w:t>
      </w:r>
      <w:r w:rsidR="00F537B9">
        <w:rPr>
          <w:noProof/>
        </w:rPr>
        <w:t xml:space="preserve"> z </w:t>
      </w:r>
      <w:r w:rsidRPr="00F537B9">
        <w:rPr>
          <w:noProof/>
        </w:rPr>
        <w:t>toho dôvodu, že daňové priznanie by malo odzrkadľovať skutočné transakcie.</w:t>
      </w:r>
      <w:r w:rsidR="00F537B9">
        <w:rPr>
          <w:noProof/>
        </w:rPr>
        <w:t xml:space="preserve"> V </w:t>
      </w:r>
      <w:r w:rsidRPr="00F537B9">
        <w:rPr>
          <w:noProof/>
        </w:rPr>
        <w:t>článku 7 sa stanovujú podmienky, za ktorých by členské štáty mali uznať kompenzačnú úpravu, aby sa zabránilo súdnym sporom</w:t>
      </w:r>
      <w:r w:rsidR="00F537B9">
        <w:rPr>
          <w:noProof/>
        </w:rPr>
        <w:t xml:space="preserve"> a </w:t>
      </w:r>
      <w:r w:rsidRPr="00F537B9">
        <w:rPr>
          <w:noProof/>
        </w:rPr>
        <w:t>stanovil jednotný prístup ku kompenzačnej úprave</w:t>
      </w:r>
      <w:r w:rsidR="00F537B9">
        <w:rPr>
          <w:noProof/>
        </w:rPr>
        <w:t xml:space="preserve"> v </w:t>
      </w:r>
      <w:r w:rsidRPr="00F537B9">
        <w:rPr>
          <w:noProof/>
        </w:rPr>
        <w:t>rámci Únie. Toto ustanovenie vychádza zo správy JTPF/009/FINAL/2013/EN</w:t>
      </w:r>
      <w:r w:rsidRPr="00F537B9">
        <w:rPr>
          <w:rStyle w:val="FootnoteReference"/>
          <w:rFonts w:eastAsia="Arial Unicode MS"/>
          <w:noProof/>
        </w:rPr>
        <w:footnoteReference w:id="26"/>
      </w:r>
      <w:r w:rsidR="00F537B9">
        <w:rPr>
          <w:noProof/>
        </w:rPr>
        <w:t xml:space="preserve"> o </w:t>
      </w:r>
      <w:r w:rsidRPr="00F537B9">
        <w:rPr>
          <w:noProof/>
        </w:rPr>
        <w:t>kompenzačných úpravách schválenej Spoločným fórom pre transferové oceňovanie</w:t>
      </w:r>
      <w:r w:rsidR="00F537B9">
        <w:rPr>
          <w:noProof/>
        </w:rPr>
        <w:t xml:space="preserve"> v </w:t>
      </w:r>
      <w:r w:rsidRPr="00F537B9">
        <w:rPr>
          <w:noProof/>
        </w:rPr>
        <w:t>roku 2013</w:t>
      </w:r>
      <w:r w:rsidR="00F537B9">
        <w:rPr>
          <w:noProof/>
        </w:rPr>
        <w:t xml:space="preserve"> a </w:t>
      </w:r>
      <w:r w:rsidRPr="00F537B9">
        <w:rPr>
          <w:noProof/>
        </w:rPr>
        <w:t>malo by sa vykladať</w:t>
      </w:r>
      <w:r w:rsidR="00F537B9">
        <w:rPr>
          <w:noProof/>
        </w:rPr>
        <w:t xml:space="preserve"> v </w:t>
      </w:r>
      <w:r w:rsidRPr="00F537B9">
        <w:rPr>
          <w:noProof/>
        </w:rPr>
        <w:t>spojení</w:t>
      </w:r>
      <w:r w:rsidR="00F537B9">
        <w:rPr>
          <w:noProof/>
        </w:rPr>
        <w:t xml:space="preserve"> s </w:t>
      </w:r>
      <w:r w:rsidRPr="00F537B9">
        <w:rPr>
          <w:noProof/>
        </w:rPr>
        <w:t>ňou.</w:t>
      </w:r>
    </w:p>
    <w:p w14:paraId="27BE67CC" w14:textId="77777777" w:rsidR="005F42D4" w:rsidRPr="00F537B9" w:rsidRDefault="005F42D4" w:rsidP="00B3282D">
      <w:pPr>
        <w:pStyle w:val="Point1"/>
        <w:rPr>
          <w:b/>
          <w:bCs/>
          <w:noProof/>
        </w:rPr>
      </w:pPr>
      <w:r w:rsidRPr="00F537B9">
        <w:rPr>
          <w:b/>
          <w:noProof/>
        </w:rPr>
        <w:t>ii) Spoločné základné prvky</w:t>
      </w:r>
    </w:p>
    <w:p w14:paraId="4EA0B262" w14:textId="40C53500" w:rsidR="001B017B" w:rsidRPr="00F537B9" w:rsidRDefault="000148CC" w:rsidP="00E07B7C">
      <w:pPr>
        <w:pBdr>
          <w:top w:val="nil"/>
          <w:left w:val="nil"/>
          <w:bottom w:val="nil"/>
          <w:right w:val="nil"/>
          <w:between w:val="nil"/>
          <w:bar w:val="nil"/>
        </w:pBdr>
        <w:spacing w:before="0" w:after="240"/>
        <w:rPr>
          <w:rFonts w:eastAsia="Arial Unicode MS"/>
          <w:i/>
          <w:iCs/>
          <w:noProof/>
        </w:rPr>
      </w:pPr>
      <w:r w:rsidRPr="00F537B9">
        <w:rPr>
          <w:i/>
          <w:noProof/>
        </w:rPr>
        <w:t>Presné vymedzenie obchodných</w:t>
      </w:r>
      <w:r w:rsidR="00F537B9">
        <w:rPr>
          <w:i/>
          <w:noProof/>
        </w:rPr>
        <w:t xml:space="preserve"> a </w:t>
      </w:r>
      <w:r w:rsidRPr="00F537B9">
        <w:rPr>
          <w:i/>
          <w:noProof/>
        </w:rPr>
        <w:t>finančných vzťahov</w:t>
      </w:r>
    </w:p>
    <w:p w14:paraId="05E83910" w14:textId="667DEA63" w:rsidR="00296F97" w:rsidRPr="00F537B9" w:rsidRDefault="00713658" w:rsidP="00E07B7C">
      <w:pPr>
        <w:pBdr>
          <w:top w:val="nil"/>
          <w:left w:val="nil"/>
          <w:bottom w:val="nil"/>
          <w:right w:val="nil"/>
          <w:between w:val="nil"/>
          <w:bar w:val="nil"/>
        </w:pBdr>
        <w:spacing w:before="0" w:after="240"/>
        <w:rPr>
          <w:rFonts w:eastAsia="Arial Unicode MS"/>
          <w:noProof/>
          <w:spacing w:val="-4"/>
        </w:rPr>
      </w:pPr>
      <w:r w:rsidRPr="00F537B9">
        <w:rPr>
          <w:noProof/>
          <w:spacing w:val="-4"/>
        </w:rPr>
        <w:t>V článku 8 smernice sa stanovuje, že výsledky transferového oceňovania sa musia určiť</w:t>
      </w:r>
      <w:r w:rsidR="00F537B9" w:rsidRPr="00F537B9">
        <w:rPr>
          <w:noProof/>
          <w:spacing w:val="-4"/>
        </w:rPr>
        <w:t xml:space="preserve"> v </w:t>
      </w:r>
      <w:r w:rsidRPr="00F537B9">
        <w:rPr>
          <w:noProof/>
          <w:spacing w:val="-4"/>
        </w:rPr>
        <w:t>súlade so skutočným konaním spriaznených osôb</w:t>
      </w:r>
      <w:r w:rsidR="00F537B9" w:rsidRPr="00F537B9">
        <w:rPr>
          <w:noProof/>
          <w:spacing w:val="-4"/>
        </w:rPr>
        <w:t xml:space="preserve"> v </w:t>
      </w:r>
      <w:r w:rsidRPr="00F537B9">
        <w:rPr>
          <w:noProof/>
          <w:spacing w:val="-4"/>
        </w:rPr>
        <w:t>kontexte zmluvných podmienok transakcie. Na dosiahnutie tohto cieľa toto ustanovenie vyžaduje dôkladné vymedzenie skutočnej transakcie medzi pridruženými podnikmi prostredníctvom analýzy zmluvných vzťahov medzi zmluvnými stranami</w:t>
      </w:r>
      <w:r w:rsidR="00F537B9" w:rsidRPr="00F537B9">
        <w:rPr>
          <w:noProof/>
          <w:spacing w:val="-4"/>
        </w:rPr>
        <w:t xml:space="preserve"> v </w:t>
      </w:r>
      <w:r w:rsidRPr="00F537B9">
        <w:rPr>
          <w:noProof/>
          <w:spacing w:val="-4"/>
        </w:rPr>
        <w:t>kombinácii</w:t>
      </w:r>
      <w:r w:rsidR="00F537B9" w:rsidRPr="00F537B9">
        <w:rPr>
          <w:noProof/>
          <w:spacing w:val="-4"/>
        </w:rPr>
        <w:t xml:space="preserve"> s </w:t>
      </w:r>
      <w:r w:rsidRPr="00F537B9">
        <w:rPr>
          <w:noProof/>
          <w:spacing w:val="-4"/>
        </w:rPr>
        <w:t>konaním zmluvných strán.</w:t>
      </w:r>
      <w:r w:rsidR="00F537B9" w:rsidRPr="00F537B9">
        <w:rPr>
          <w:noProof/>
          <w:spacing w:val="-4"/>
        </w:rPr>
        <w:t xml:space="preserve"> V </w:t>
      </w:r>
      <w:r w:rsidRPr="00F537B9">
        <w:rPr>
          <w:noProof/>
          <w:spacing w:val="-4"/>
        </w:rPr>
        <w:t>tejto súvislosti musí byť kritickým prvým krokom analýzy transferového oceňovania presné vymedzenie medzipodnikových transakcií analýzou ich ekonomicky relevantných charakteristických znakov, ktoré sa odrážajú nielen</w:t>
      </w:r>
      <w:r w:rsidR="00F537B9" w:rsidRPr="00F537B9">
        <w:rPr>
          <w:noProof/>
          <w:spacing w:val="-4"/>
        </w:rPr>
        <w:t xml:space="preserve"> v </w:t>
      </w:r>
      <w:r w:rsidRPr="00F537B9">
        <w:rPr>
          <w:noProof/>
          <w:spacing w:val="-4"/>
        </w:rPr>
        <w:t>zmluvách medzi zmluvnými stranami, ale aj</w:t>
      </w:r>
      <w:r w:rsidR="00F537B9" w:rsidRPr="00F537B9">
        <w:rPr>
          <w:noProof/>
          <w:spacing w:val="-4"/>
        </w:rPr>
        <w:t xml:space="preserve"> v </w:t>
      </w:r>
      <w:r w:rsidRPr="00F537B9">
        <w:rPr>
          <w:noProof/>
          <w:spacing w:val="-4"/>
        </w:rPr>
        <w:t>ich konaní</w:t>
      </w:r>
      <w:r w:rsidR="00F537B9" w:rsidRPr="00F537B9">
        <w:rPr>
          <w:noProof/>
          <w:spacing w:val="-4"/>
        </w:rPr>
        <w:t xml:space="preserve"> a </w:t>
      </w:r>
      <w:r w:rsidRPr="00F537B9">
        <w:rPr>
          <w:noProof/>
          <w:spacing w:val="-4"/>
        </w:rPr>
        <w:t>akýchkoľvek iných relevantných skutočnostiach. Zmluvné podmienky by mali byť východiskovým bodom pre analýzu</w:t>
      </w:r>
      <w:r w:rsidR="00F537B9" w:rsidRPr="00F537B9">
        <w:rPr>
          <w:noProof/>
          <w:spacing w:val="-4"/>
        </w:rPr>
        <w:t xml:space="preserve"> a v </w:t>
      </w:r>
      <w:r w:rsidRPr="00F537B9">
        <w:rPr>
          <w:noProof/>
          <w:spacing w:val="-4"/>
        </w:rPr>
        <w:t>rozsahu,</w:t>
      </w:r>
      <w:r w:rsidR="00F537B9" w:rsidRPr="00F537B9">
        <w:rPr>
          <w:noProof/>
          <w:spacing w:val="-4"/>
        </w:rPr>
        <w:t xml:space="preserve"> v </w:t>
      </w:r>
      <w:r w:rsidRPr="00F537B9">
        <w:rPr>
          <w:noProof/>
          <w:spacing w:val="-4"/>
        </w:rPr>
        <w:t>akom je konanie alebo iné skutočnosti</w:t>
      </w:r>
      <w:r w:rsidR="00F537B9" w:rsidRPr="00F537B9">
        <w:rPr>
          <w:noProof/>
          <w:spacing w:val="-4"/>
        </w:rPr>
        <w:t xml:space="preserve"> v </w:t>
      </w:r>
      <w:r w:rsidRPr="00F537B9">
        <w:rPr>
          <w:noProof/>
          <w:spacing w:val="-4"/>
        </w:rPr>
        <w:t>rozpore</w:t>
      </w:r>
      <w:r w:rsidR="00F537B9" w:rsidRPr="00F537B9">
        <w:rPr>
          <w:noProof/>
          <w:spacing w:val="-4"/>
        </w:rPr>
        <w:t xml:space="preserve"> s </w:t>
      </w:r>
      <w:r w:rsidRPr="00F537B9">
        <w:rPr>
          <w:noProof/>
          <w:spacing w:val="-4"/>
        </w:rPr>
        <w:t>písomnou zmluvou, by sa konanie zmluvných strán (a nie podmienky písomnej zmluvy) malo považovať za najlepší dôkaz skutočne vykonanej(-ých) transakcie(-ií).</w:t>
      </w:r>
    </w:p>
    <w:p w14:paraId="38E1DE06" w14:textId="77777777" w:rsidR="00B3282D" w:rsidRPr="00F537B9" w:rsidRDefault="000148CC" w:rsidP="00E07B7C">
      <w:pPr>
        <w:pBdr>
          <w:top w:val="nil"/>
          <w:left w:val="nil"/>
          <w:bottom w:val="nil"/>
          <w:right w:val="nil"/>
          <w:between w:val="nil"/>
          <w:bar w:val="nil"/>
        </w:pBdr>
        <w:spacing w:before="0" w:after="240"/>
        <w:rPr>
          <w:rFonts w:eastAsia="Arial Unicode MS"/>
          <w:i/>
          <w:iCs/>
          <w:noProof/>
        </w:rPr>
      </w:pPr>
      <w:r w:rsidRPr="00F537B9">
        <w:rPr>
          <w:i/>
          <w:noProof/>
        </w:rPr>
        <w:t>Metódy transferového oceňovania</w:t>
      </w:r>
    </w:p>
    <w:p w14:paraId="6015DABD" w14:textId="10D9DA34" w:rsidR="00F537B9" w:rsidRDefault="00962AED" w:rsidP="00296F97">
      <w:pPr>
        <w:pBdr>
          <w:top w:val="nil"/>
          <w:left w:val="nil"/>
          <w:bottom w:val="nil"/>
          <w:right w:val="nil"/>
          <w:between w:val="nil"/>
          <w:bar w:val="nil"/>
        </w:pBdr>
        <w:spacing w:before="0" w:after="240"/>
        <w:rPr>
          <w:noProof/>
        </w:rPr>
      </w:pPr>
      <w:r w:rsidRPr="00F537B9">
        <w:rPr>
          <w:noProof/>
        </w:rPr>
        <w:t>V súlade</w:t>
      </w:r>
      <w:r w:rsidR="00F537B9">
        <w:rPr>
          <w:noProof/>
        </w:rPr>
        <w:t xml:space="preserve"> s </w:t>
      </w:r>
      <w:r w:rsidRPr="00F537B9">
        <w:rPr>
          <w:noProof/>
        </w:rPr>
        <w:t>kapitolou III smernice OECD</w:t>
      </w:r>
      <w:r w:rsidR="00F537B9">
        <w:rPr>
          <w:noProof/>
        </w:rPr>
        <w:t xml:space="preserve"> o </w:t>
      </w:r>
      <w:r w:rsidRPr="00F537B9">
        <w:rPr>
          <w:noProof/>
        </w:rPr>
        <w:t>transferovom oceňovaní sa</w:t>
      </w:r>
      <w:r w:rsidR="00F537B9">
        <w:rPr>
          <w:noProof/>
        </w:rPr>
        <w:t xml:space="preserve"> v </w:t>
      </w:r>
      <w:r w:rsidRPr="00F537B9">
        <w:rPr>
          <w:noProof/>
        </w:rPr>
        <w:t>článku 9 návrhu smernice odkazuje na tieto hlavné metódy transferového oceňovania</w:t>
      </w:r>
      <w:r w:rsidR="00F537B9">
        <w:rPr>
          <w:noProof/>
        </w:rPr>
        <w:t>.</w:t>
      </w:r>
    </w:p>
    <w:p w14:paraId="05650405" w14:textId="28CE63E3" w:rsidR="00296F97" w:rsidRPr="00F537B9" w:rsidRDefault="00296F97" w:rsidP="00296F97">
      <w:pPr>
        <w:pBdr>
          <w:top w:val="nil"/>
          <w:left w:val="nil"/>
          <w:bottom w:val="nil"/>
          <w:right w:val="nil"/>
          <w:between w:val="nil"/>
          <w:bar w:val="nil"/>
        </w:pBdr>
        <w:spacing w:before="0" w:after="240"/>
        <w:rPr>
          <w:rFonts w:eastAsia="Arial Unicode MS"/>
          <w:noProof/>
        </w:rPr>
      </w:pPr>
      <w:r w:rsidRPr="00F537B9">
        <w:rPr>
          <w:noProof/>
        </w:rPr>
        <w:t>„Metóda porovnateľnej nekontrolovanej ceny“ porovnáva cenu účtovanú za majetok alebo služby prevedené</w:t>
      </w:r>
      <w:r w:rsidR="00F537B9">
        <w:rPr>
          <w:noProof/>
        </w:rPr>
        <w:t xml:space="preserve"> v </w:t>
      </w:r>
      <w:r w:rsidRPr="00F537B9">
        <w:rPr>
          <w:noProof/>
        </w:rPr>
        <w:t>kontrolovanej transakcii</w:t>
      </w:r>
      <w:r w:rsidR="00F537B9">
        <w:rPr>
          <w:noProof/>
        </w:rPr>
        <w:t xml:space="preserve"> s </w:t>
      </w:r>
      <w:r w:rsidRPr="00F537B9">
        <w:rPr>
          <w:noProof/>
        </w:rPr>
        <w:t>cenou účtovanou za majetok alebo služby prevedené</w:t>
      </w:r>
      <w:r w:rsidR="00F537B9">
        <w:rPr>
          <w:noProof/>
        </w:rPr>
        <w:t xml:space="preserve"> v </w:t>
      </w:r>
      <w:r w:rsidRPr="00F537B9">
        <w:rPr>
          <w:noProof/>
        </w:rPr>
        <w:t>porovnateľnej nekontrolovanej transakcii za porovnateľných okolností. Ak existuje rozdiel medzi týmito dvoma cenami, môže to znamenať, že podmienky obchodných</w:t>
      </w:r>
      <w:r w:rsidR="00F537B9">
        <w:rPr>
          <w:noProof/>
        </w:rPr>
        <w:t xml:space="preserve"> a </w:t>
      </w:r>
      <w:r w:rsidRPr="00F537B9">
        <w:rPr>
          <w:noProof/>
        </w:rPr>
        <w:t>finančných vzťahov pridružených podnikov nie sú nezávislými trhovými podmienkami</w:t>
      </w:r>
      <w:r w:rsidR="00F537B9">
        <w:rPr>
          <w:noProof/>
        </w:rPr>
        <w:t xml:space="preserve"> a </w:t>
      </w:r>
      <w:r w:rsidRPr="00F537B9">
        <w:rPr>
          <w:noProof/>
        </w:rPr>
        <w:t>že cenu kontrolovanej transakcie môže byť potrebné nahradiť cenou nekontrolovanej transakcie. Metódu porovnateľnej nekontrolovanej ceny možno uplatniť na základe transakcií daňovníka</w:t>
      </w:r>
      <w:r w:rsidR="00F537B9">
        <w:rPr>
          <w:noProof/>
        </w:rPr>
        <w:t xml:space="preserve"> s </w:t>
      </w:r>
      <w:r w:rsidRPr="00F537B9">
        <w:rPr>
          <w:noProof/>
        </w:rPr>
        <w:t>nezávislými podnikmi (interné porovnateľné údaje) alebo na základe transakcií medzi inými nezávislými podnikmi (externé porovnateľné údaje). Hoci je táto metóda potenciálne dostupná pre všetky typy transakcií, požiadavka na porovnateľnosť produktov, aby ju bolo možné uplatniť dostatočne spoľahlivým spôsobom, je zvlášť dôležitá, pretože akýkoľvek rozdiel</w:t>
      </w:r>
      <w:r w:rsidR="00F537B9">
        <w:rPr>
          <w:noProof/>
        </w:rPr>
        <w:t xml:space="preserve"> v </w:t>
      </w:r>
      <w:r w:rsidRPr="00F537B9">
        <w:rPr>
          <w:noProof/>
        </w:rPr>
        <w:t>produkte môže podstatne ovplyvniť cenu transakcie, pričom určiť dostatočne presné úpravy na účely porovnateľnosti pre takéto rozdiely</w:t>
      </w:r>
      <w:r w:rsidR="00F537B9">
        <w:rPr>
          <w:noProof/>
        </w:rPr>
        <w:t xml:space="preserve"> v </w:t>
      </w:r>
      <w:r w:rsidRPr="00F537B9">
        <w:rPr>
          <w:noProof/>
        </w:rPr>
        <w:t>produktoch často nie je možné.</w:t>
      </w:r>
    </w:p>
    <w:p w14:paraId="0F57DDA1" w14:textId="5403AA97" w:rsidR="00296F97" w:rsidRPr="00F537B9" w:rsidRDefault="00296F97" w:rsidP="00296F97">
      <w:pPr>
        <w:pBdr>
          <w:top w:val="nil"/>
          <w:left w:val="nil"/>
          <w:bottom w:val="nil"/>
          <w:right w:val="nil"/>
          <w:between w:val="nil"/>
          <w:bar w:val="nil"/>
        </w:pBdr>
        <w:spacing w:before="0" w:after="240"/>
        <w:rPr>
          <w:rFonts w:eastAsia="Arial Unicode MS"/>
          <w:noProof/>
          <w:spacing w:val="-4"/>
        </w:rPr>
      </w:pPr>
      <w:r w:rsidRPr="00F537B9">
        <w:rPr>
          <w:noProof/>
          <w:spacing w:val="-4"/>
        </w:rPr>
        <w:t>„Metóda následného predaja“ je založená na cene, za ktorú sa produkt zakúpený od pridruženého podniku ďalej predáva nezávislému podniku. Táto cena (ďalej len „cena následného predaja“) sa potom zníži</w:t>
      </w:r>
      <w:r w:rsidR="00F537B9" w:rsidRPr="00F537B9">
        <w:rPr>
          <w:noProof/>
          <w:spacing w:val="-4"/>
        </w:rPr>
        <w:t xml:space="preserve"> o </w:t>
      </w:r>
      <w:r w:rsidRPr="00F537B9">
        <w:rPr>
          <w:noProof/>
          <w:spacing w:val="-4"/>
        </w:rPr>
        <w:t>primeranú hrubú maržu (ďalej len „obchodné rozpätie pri následnom predaji“) určenú pomocou hrubých marží pri porovnateľných nekontrolovaných transakciách, čo predstavuje sumu,</w:t>
      </w:r>
      <w:r w:rsidR="00F537B9" w:rsidRPr="00F537B9">
        <w:rPr>
          <w:noProof/>
          <w:spacing w:val="-4"/>
        </w:rPr>
        <w:t xml:space="preserve"> z </w:t>
      </w:r>
      <w:r w:rsidRPr="00F537B9">
        <w:rPr>
          <w:noProof/>
          <w:spacing w:val="-4"/>
        </w:rPr>
        <w:t>ktorej by sa predajca snažil pokryť svoje náklady na predaj</w:t>
      </w:r>
      <w:r w:rsidR="00F537B9" w:rsidRPr="00F537B9">
        <w:rPr>
          <w:noProof/>
          <w:spacing w:val="-4"/>
        </w:rPr>
        <w:t xml:space="preserve"> a </w:t>
      </w:r>
      <w:r w:rsidRPr="00F537B9">
        <w:rPr>
          <w:noProof/>
          <w:spacing w:val="-4"/>
        </w:rPr>
        <w:t>iné prevádzkové náklady</w:t>
      </w:r>
      <w:r w:rsidR="00F537B9" w:rsidRPr="00F537B9">
        <w:rPr>
          <w:noProof/>
          <w:spacing w:val="-4"/>
        </w:rPr>
        <w:t xml:space="preserve"> a </w:t>
      </w:r>
      <w:r w:rsidRPr="00F537B9">
        <w:rPr>
          <w:noProof/>
          <w:spacing w:val="-4"/>
        </w:rPr>
        <w:t>– so zreteľom na vykonávané funkcie (s prihliadnutím na použité aktíva</w:t>
      </w:r>
      <w:r w:rsidR="00F537B9" w:rsidRPr="00F537B9">
        <w:rPr>
          <w:noProof/>
          <w:spacing w:val="-4"/>
        </w:rPr>
        <w:t xml:space="preserve"> a </w:t>
      </w:r>
      <w:r w:rsidRPr="00F537B9">
        <w:rPr>
          <w:noProof/>
          <w:spacing w:val="-4"/>
        </w:rPr>
        <w:t>znášané riziká) – dosiahnuť primeraný zisk. To, čo zostane po odpočítaní hrubej marže, možno po úprave</w:t>
      </w:r>
      <w:r w:rsidR="00F537B9" w:rsidRPr="00F537B9">
        <w:rPr>
          <w:noProof/>
          <w:spacing w:val="-4"/>
        </w:rPr>
        <w:t xml:space="preserve"> o </w:t>
      </w:r>
      <w:r w:rsidRPr="00F537B9">
        <w:rPr>
          <w:noProof/>
          <w:spacing w:val="-4"/>
        </w:rPr>
        <w:t>iné náklady spojené</w:t>
      </w:r>
      <w:r w:rsidR="00F537B9" w:rsidRPr="00F537B9">
        <w:rPr>
          <w:noProof/>
          <w:spacing w:val="-4"/>
        </w:rPr>
        <w:t xml:space="preserve"> s </w:t>
      </w:r>
      <w:r w:rsidRPr="00F537B9">
        <w:rPr>
          <w:noProof/>
          <w:spacing w:val="-4"/>
        </w:rPr>
        <w:t>nákupom výrobku (napr. clá) považovať za nezávislú trhovú cenu pôvodného prevodu majetku medzi pridruženými podnikmi.</w:t>
      </w:r>
    </w:p>
    <w:p w14:paraId="38DE2A9A" w14:textId="51A23A44" w:rsidR="00296F97" w:rsidRPr="00F537B9" w:rsidRDefault="00296F97" w:rsidP="00296F97">
      <w:pPr>
        <w:pBdr>
          <w:top w:val="nil"/>
          <w:left w:val="nil"/>
          <w:bottom w:val="nil"/>
          <w:right w:val="nil"/>
          <w:between w:val="nil"/>
          <w:bar w:val="nil"/>
        </w:pBdr>
        <w:spacing w:before="0" w:after="240"/>
        <w:rPr>
          <w:rFonts w:eastAsia="Arial Unicode MS"/>
          <w:noProof/>
          <w:spacing w:val="-4"/>
        </w:rPr>
      </w:pPr>
      <w:r w:rsidRPr="00F537B9">
        <w:rPr>
          <w:noProof/>
          <w:spacing w:val="-4"/>
        </w:rPr>
        <w:t>„Metóda zvýšených nákladov“ je metóda, pri ktorej sa používajú náklady, ktoré vznikli dodávateľovi majetku (alebo služieb)</w:t>
      </w:r>
      <w:r w:rsidR="00F537B9" w:rsidRPr="00F537B9">
        <w:rPr>
          <w:noProof/>
          <w:spacing w:val="-4"/>
        </w:rPr>
        <w:t xml:space="preserve"> v </w:t>
      </w:r>
      <w:r w:rsidRPr="00F537B9">
        <w:rPr>
          <w:noProof/>
          <w:spacing w:val="-4"/>
        </w:rPr>
        <w:t>rámci kontrolovanej transakcie za majetok prevedený alebo služby poskytnuté pridruženému podniku.</w:t>
      </w:r>
      <w:r w:rsidR="00F537B9" w:rsidRPr="00F537B9">
        <w:rPr>
          <w:noProof/>
          <w:spacing w:val="-4"/>
        </w:rPr>
        <w:t xml:space="preserve"> K </w:t>
      </w:r>
      <w:r w:rsidRPr="00F537B9">
        <w:rPr>
          <w:noProof/>
          <w:spacing w:val="-4"/>
        </w:rPr>
        <w:t>týmto nákladom sa potom pripočíta primeraná prirážka určená odkazom na prirážku dosiahnutú dodávateľmi</w:t>
      </w:r>
      <w:r w:rsidR="00F537B9" w:rsidRPr="00F537B9">
        <w:rPr>
          <w:noProof/>
          <w:spacing w:val="-4"/>
        </w:rPr>
        <w:t xml:space="preserve"> v </w:t>
      </w:r>
      <w:r w:rsidRPr="00F537B9">
        <w:rPr>
          <w:noProof/>
          <w:spacing w:val="-4"/>
        </w:rPr>
        <w:t>porovnateľných nekontrolovaných transakciách, aby sa dosiahol primeraný zisk vzhľadom na vykonávané funkcie</w:t>
      </w:r>
      <w:r w:rsidR="00F537B9" w:rsidRPr="00F537B9">
        <w:rPr>
          <w:noProof/>
          <w:spacing w:val="-4"/>
        </w:rPr>
        <w:t xml:space="preserve"> a </w:t>
      </w:r>
      <w:r w:rsidRPr="00F537B9">
        <w:rPr>
          <w:noProof/>
          <w:spacing w:val="-4"/>
        </w:rPr>
        <w:t>trhové podmienky. Takúto nezávislú prirážku možno určiť pomocou prirážky, ktorú ten istý dodávateľ dosiahne pri porovnateľných nekontrolovaných transakciách (interný porovnateľný údaj), alebo pomocou prirážky, ktorú by pri porovnateľných transakciách dosiahol nezávislý podnik (externý porovnateľný údaj). Vo všeobecnosti sa pri metóde zvýšených nákladov použijú marže vypočítané po odpočítaní priamych</w:t>
      </w:r>
      <w:r w:rsidR="00F537B9" w:rsidRPr="00F537B9">
        <w:rPr>
          <w:noProof/>
          <w:spacing w:val="-4"/>
        </w:rPr>
        <w:t xml:space="preserve"> a </w:t>
      </w:r>
      <w:r w:rsidRPr="00F537B9">
        <w:rPr>
          <w:noProof/>
          <w:spacing w:val="-4"/>
        </w:rPr>
        <w:t>nepriamych výrobných nákladov alebo nákladov na dodávku, ale pred odpočítaním prevádzkových nákladov podniku (napr. režijných nákladov).</w:t>
      </w:r>
    </w:p>
    <w:p w14:paraId="3E1529DE" w14:textId="3E9841E7" w:rsidR="00296F97" w:rsidRPr="00F537B9" w:rsidRDefault="00296F97" w:rsidP="00296F97">
      <w:pPr>
        <w:pBdr>
          <w:top w:val="nil"/>
          <w:left w:val="nil"/>
          <w:bottom w:val="nil"/>
          <w:right w:val="nil"/>
          <w:between w:val="nil"/>
          <w:bar w:val="nil"/>
        </w:pBdr>
        <w:spacing w:before="0" w:after="240"/>
        <w:rPr>
          <w:rFonts w:eastAsia="Arial Unicode MS"/>
          <w:noProof/>
        </w:rPr>
      </w:pPr>
      <w:r w:rsidRPr="00F537B9">
        <w:rPr>
          <w:noProof/>
        </w:rPr>
        <w:t>„Metóda čistého obchodného rozpätia“ porovnáva čisté ziskové rozpätie vo vzťahu</w:t>
      </w:r>
      <w:r w:rsidR="00F537B9">
        <w:rPr>
          <w:noProof/>
        </w:rPr>
        <w:t xml:space="preserve"> k </w:t>
      </w:r>
      <w:r w:rsidRPr="00F537B9">
        <w:rPr>
          <w:noProof/>
        </w:rPr>
        <w:t>primeranej základni (napr. náklady, tržby, aktíva), ktoré daňovník realizuje</w:t>
      </w:r>
      <w:r w:rsidR="00F537B9">
        <w:rPr>
          <w:noProof/>
        </w:rPr>
        <w:t xml:space="preserve"> z </w:t>
      </w:r>
      <w:r w:rsidRPr="00F537B9">
        <w:rPr>
          <w:noProof/>
        </w:rPr>
        <w:t>kontrolovanej transakcie (alebo</w:t>
      </w:r>
      <w:r w:rsidR="00F537B9">
        <w:rPr>
          <w:noProof/>
        </w:rPr>
        <w:t xml:space="preserve"> z </w:t>
      </w:r>
      <w:r w:rsidRPr="00F537B9">
        <w:rPr>
          <w:noProof/>
        </w:rPr>
        <w:t>transakcií, ktoré je vhodné agregovať</w:t>
      </w:r>
      <w:r w:rsidR="00F537B9">
        <w:rPr>
          <w:noProof/>
        </w:rPr>
        <w:t xml:space="preserve"> a </w:t>
      </w:r>
      <w:r w:rsidRPr="00F537B9">
        <w:rPr>
          <w:noProof/>
        </w:rPr>
        <w:t>posudzovať spoločne),</w:t>
      </w:r>
      <w:r w:rsidR="00F537B9">
        <w:rPr>
          <w:noProof/>
        </w:rPr>
        <w:t xml:space="preserve"> s </w:t>
      </w:r>
      <w:r w:rsidRPr="00F537B9">
        <w:rPr>
          <w:noProof/>
        </w:rPr>
        <w:t>čistým ziskovým rozpätím dosiahnutým pri porovnateľných nekontrolovaných transakciách. Čistú nezávislú maržu daňovníka pri kontrolovanej(-ých) transakcii(-iách) možno určiť pomocou čistej marže, ktorú ten istý daňovník dosiahne pri porovnateľných nekontrolovaných transakciách (interné porovnateľné údaje), alebo pomocou čistej marže dosiahnutej pri porovnateľných transakciách nezávislým podnikom (externé porovnateľné údaje).</w:t>
      </w:r>
      <w:r w:rsidR="00F537B9">
        <w:rPr>
          <w:noProof/>
        </w:rPr>
        <w:t xml:space="preserve"> V </w:t>
      </w:r>
      <w:r w:rsidRPr="00F537B9">
        <w:rPr>
          <w:noProof/>
        </w:rPr>
        <w:t>prípadoch, keď sa čisté ziskové rozpätie porovnáva</w:t>
      </w:r>
      <w:r w:rsidR="00F537B9">
        <w:rPr>
          <w:noProof/>
        </w:rPr>
        <w:t xml:space="preserve"> s </w:t>
      </w:r>
      <w:r w:rsidRPr="00F537B9">
        <w:rPr>
          <w:noProof/>
        </w:rPr>
        <w:t>nákladmi alebo tržbami, metóda čistého obchodného rozpätia funguje podobným spôsobom ako metóda zvýšených nákladov</w:t>
      </w:r>
      <w:r w:rsidR="00F537B9">
        <w:rPr>
          <w:noProof/>
        </w:rPr>
        <w:t xml:space="preserve"> a </w:t>
      </w:r>
      <w:r w:rsidRPr="00F537B9">
        <w:rPr>
          <w:noProof/>
        </w:rPr>
        <w:t>metóda následného predaja,</w:t>
      </w:r>
      <w:r w:rsidR="00F537B9">
        <w:rPr>
          <w:noProof/>
        </w:rPr>
        <w:t xml:space="preserve"> s </w:t>
      </w:r>
      <w:r w:rsidRPr="00F537B9">
        <w:rPr>
          <w:noProof/>
        </w:rPr>
        <w:t>výnimkou toho, že porovnáva čisté ziskové rozpätia vyplývajúce</w:t>
      </w:r>
      <w:r w:rsidR="00F537B9">
        <w:rPr>
          <w:noProof/>
        </w:rPr>
        <w:t xml:space="preserve"> z </w:t>
      </w:r>
      <w:r w:rsidRPr="00F537B9">
        <w:rPr>
          <w:noProof/>
        </w:rPr>
        <w:t>kontrolovaných</w:t>
      </w:r>
      <w:r w:rsidR="00F537B9">
        <w:rPr>
          <w:noProof/>
        </w:rPr>
        <w:t xml:space="preserve"> a </w:t>
      </w:r>
      <w:r w:rsidRPr="00F537B9">
        <w:rPr>
          <w:noProof/>
        </w:rPr>
        <w:t>nekontrolovaných transakcií (po odpočítaní príslušných prevádzkových nákladov) namiesto porovnávania hrubej marže pri následnom predaji alebo hrubej prirážky</w:t>
      </w:r>
      <w:r w:rsidR="00F537B9">
        <w:rPr>
          <w:noProof/>
        </w:rPr>
        <w:t xml:space="preserve"> k </w:t>
      </w:r>
      <w:r w:rsidRPr="00F537B9">
        <w:rPr>
          <w:noProof/>
        </w:rPr>
        <w:t>nákladom. Funkčná porovnateľnosť má pri uplatňovaní metódy čistého obchodného rozpätia vo všeobecnosti väčší význam ako porovnateľnosť produktov.</w:t>
      </w:r>
    </w:p>
    <w:p w14:paraId="4F1601E7" w14:textId="5648EB67" w:rsidR="00F537B9" w:rsidRPr="00F537B9" w:rsidRDefault="00296F97" w:rsidP="008B00E2">
      <w:pPr>
        <w:pBdr>
          <w:top w:val="nil"/>
          <w:left w:val="nil"/>
          <w:bottom w:val="nil"/>
          <w:right w:val="nil"/>
          <w:between w:val="nil"/>
          <w:bar w:val="nil"/>
        </w:pBdr>
        <w:spacing w:before="0" w:after="240"/>
        <w:rPr>
          <w:noProof/>
          <w:spacing w:val="-4"/>
        </w:rPr>
      </w:pPr>
      <w:r w:rsidRPr="00F537B9">
        <w:rPr>
          <w:noProof/>
          <w:spacing w:val="-4"/>
        </w:rPr>
        <w:t>Pri „metóde delenia zisku“ sa určí kombinovaný zisk</w:t>
      </w:r>
      <w:r w:rsidR="00F537B9" w:rsidRPr="00F537B9">
        <w:rPr>
          <w:noProof/>
          <w:spacing w:val="-4"/>
        </w:rPr>
        <w:t xml:space="preserve"> z </w:t>
      </w:r>
      <w:r w:rsidRPr="00F537B9">
        <w:rPr>
          <w:noProof/>
          <w:spacing w:val="-4"/>
        </w:rPr>
        <w:t>kontrolovaných transakcií, do ktorých sú zapojené pridružené podniky,</w:t>
      </w:r>
      <w:r w:rsidR="00F537B9" w:rsidRPr="00F537B9">
        <w:rPr>
          <w:noProof/>
          <w:spacing w:val="-4"/>
        </w:rPr>
        <w:t xml:space="preserve"> a </w:t>
      </w:r>
      <w:r w:rsidRPr="00F537B9">
        <w:rPr>
          <w:noProof/>
          <w:spacing w:val="-4"/>
        </w:rPr>
        <w:t>potom sa tento zisk rozdelí medzi pridružené podniky na ekonomicky prijateľnom základe</w:t>
      </w:r>
      <w:r w:rsidR="00F537B9" w:rsidRPr="00F537B9">
        <w:rPr>
          <w:noProof/>
          <w:spacing w:val="-4"/>
        </w:rPr>
        <w:t xml:space="preserve"> s </w:t>
      </w:r>
      <w:r w:rsidRPr="00F537B9">
        <w:rPr>
          <w:noProof/>
          <w:spacing w:val="-4"/>
        </w:rPr>
        <w:t>cieľom priblížiť sa rozdeleniu ziskov, ktoré by sa dohodlo na základe nezávislého vzťahu medzi nezávislými podnikmi. Tento ekonomicky prijateľný základ možno doložiť nezávislými trhovými údajmi (napr. nekontrolovanými dohodami</w:t>
      </w:r>
      <w:r w:rsidR="00F537B9" w:rsidRPr="00F537B9">
        <w:rPr>
          <w:noProof/>
          <w:spacing w:val="-4"/>
        </w:rPr>
        <w:t xml:space="preserve"> o </w:t>
      </w:r>
      <w:r w:rsidRPr="00F537B9">
        <w:rPr>
          <w:noProof/>
          <w:spacing w:val="-4"/>
        </w:rPr>
        <w:t>spoločnom podniku) alebo internými údajmi. Druhy uvedených interných údajov, ktoré sú relevantné pre rozdelenie kombinovaného zisku medzi pridružené podniky [„faktor (-y) rozdelenia“], budú závisieť od skutočností</w:t>
      </w:r>
      <w:r w:rsidR="00F537B9" w:rsidRPr="00F537B9">
        <w:rPr>
          <w:noProof/>
          <w:spacing w:val="-4"/>
        </w:rPr>
        <w:t xml:space="preserve"> a </w:t>
      </w:r>
      <w:r w:rsidRPr="00F537B9">
        <w:rPr>
          <w:noProof/>
          <w:spacing w:val="-4"/>
        </w:rPr>
        <w:t>okolností prípadu</w:t>
      </w:r>
      <w:r w:rsidR="00F537B9" w:rsidRPr="00F537B9">
        <w:rPr>
          <w:noProof/>
          <w:spacing w:val="-4"/>
        </w:rPr>
        <w:t xml:space="preserve"> a </w:t>
      </w:r>
      <w:r w:rsidRPr="00F537B9">
        <w:rPr>
          <w:noProof/>
          <w:spacing w:val="-4"/>
        </w:rPr>
        <w:t>môžu zahŕňať napríklad alokačné kľúče</w:t>
      </w:r>
      <w:r w:rsidR="00F537B9" w:rsidRPr="00F537B9">
        <w:rPr>
          <w:noProof/>
          <w:spacing w:val="-4"/>
        </w:rPr>
        <w:t xml:space="preserve"> v </w:t>
      </w:r>
      <w:r w:rsidRPr="00F537B9">
        <w:rPr>
          <w:noProof/>
          <w:spacing w:val="-4"/>
        </w:rPr>
        <w:t>súvislosti</w:t>
      </w:r>
      <w:r w:rsidR="00F537B9" w:rsidRPr="00F537B9">
        <w:rPr>
          <w:noProof/>
          <w:spacing w:val="-4"/>
        </w:rPr>
        <w:t xml:space="preserve"> s </w:t>
      </w:r>
      <w:r w:rsidRPr="00F537B9">
        <w:rPr>
          <w:noProof/>
          <w:spacing w:val="-4"/>
        </w:rPr>
        <w:t>príslušnými nákladmi na predaj, výskum</w:t>
      </w:r>
      <w:r w:rsidR="00F537B9" w:rsidRPr="00F537B9">
        <w:rPr>
          <w:noProof/>
          <w:spacing w:val="-4"/>
        </w:rPr>
        <w:t xml:space="preserve"> a </w:t>
      </w:r>
      <w:r w:rsidRPr="00F537B9">
        <w:rPr>
          <w:noProof/>
          <w:spacing w:val="-4"/>
        </w:rPr>
        <w:t>vývoj,</w:t>
      </w:r>
      <w:r w:rsidR="00F537B9" w:rsidRPr="00F537B9">
        <w:rPr>
          <w:noProof/>
          <w:spacing w:val="-4"/>
        </w:rPr>
        <w:t xml:space="preserve"> s </w:t>
      </w:r>
      <w:r w:rsidRPr="00F537B9">
        <w:rPr>
          <w:noProof/>
          <w:spacing w:val="-4"/>
        </w:rPr>
        <w:t>prevádzkovými nákladmi, aktívami alebo počtom zamestnancov pridružených podnikov. Faktor(-y) rozdelenia by mal(-i) zohľadňovať príslušné príspevky zmluvných strán</w:t>
      </w:r>
      <w:r w:rsidR="00F537B9" w:rsidRPr="00F537B9">
        <w:rPr>
          <w:noProof/>
          <w:spacing w:val="-4"/>
        </w:rPr>
        <w:t xml:space="preserve"> k </w:t>
      </w:r>
      <w:r w:rsidRPr="00F537B9">
        <w:rPr>
          <w:noProof/>
          <w:spacing w:val="-4"/>
        </w:rPr>
        <w:t>tvorbe príjmu</w:t>
      </w:r>
      <w:r w:rsidR="00F537B9" w:rsidRPr="00F537B9">
        <w:rPr>
          <w:noProof/>
          <w:spacing w:val="-4"/>
        </w:rPr>
        <w:t xml:space="preserve"> z </w:t>
      </w:r>
      <w:r w:rsidRPr="00F537B9">
        <w:rPr>
          <w:noProof/>
          <w:spacing w:val="-4"/>
        </w:rPr>
        <w:t>kontrolovanej transakcie</w:t>
      </w:r>
      <w:r w:rsidR="00F537B9" w:rsidRPr="00F537B9">
        <w:rPr>
          <w:noProof/>
          <w:spacing w:val="-4"/>
        </w:rPr>
        <w:t xml:space="preserve"> a </w:t>
      </w:r>
      <w:r w:rsidRPr="00F537B9">
        <w:rPr>
          <w:noProof/>
          <w:spacing w:val="-4"/>
        </w:rPr>
        <w:t>mali by byť primerane nezávislé od vypracovania transferového oceňovania (t. j. mali by vychádzať</w:t>
      </w:r>
      <w:r w:rsidR="00F537B9" w:rsidRPr="00F537B9">
        <w:rPr>
          <w:noProof/>
          <w:spacing w:val="-4"/>
        </w:rPr>
        <w:t xml:space="preserve"> z </w:t>
      </w:r>
      <w:r w:rsidRPr="00F537B9">
        <w:rPr>
          <w:noProof/>
          <w:spacing w:val="-4"/>
        </w:rPr>
        <w:t>objektívnych údajov, napr.</w:t>
      </w:r>
      <w:r w:rsidR="00F537B9" w:rsidRPr="00F537B9">
        <w:rPr>
          <w:noProof/>
          <w:spacing w:val="-4"/>
        </w:rPr>
        <w:t xml:space="preserve"> z </w:t>
      </w:r>
      <w:r w:rsidRPr="00F537B9">
        <w:rPr>
          <w:noProof/>
          <w:spacing w:val="-4"/>
        </w:rPr>
        <w:t>predaja nespriazneným osobám), nie</w:t>
      </w:r>
      <w:r w:rsidR="00F537B9" w:rsidRPr="00F537B9">
        <w:rPr>
          <w:noProof/>
          <w:spacing w:val="-4"/>
        </w:rPr>
        <w:t xml:space="preserve"> z </w:t>
      </w:r>
      <w:r w:rsidRPr="00F537B9">
        <w:rPr>
          <w:noProof/>
          <w:spacing w:val="-4"/>
        </w:rPr>
        <w:t>údajov týkajúcich sa protihodnôt za kontrolované transakcie (napr.</w:t>
      </w:r>
      <w:r w:rsidR="00F537B9" w:rsidRPr="00F537B9">
        <w:rPr>
          <w:noProof/>
          <w:spacing w:val="-4"/>
        </w:rPr>
        <w:t xml:space="preserve"> z </w:t>
      </w:r>
      <w:r w:rsidRPr="00F537B9">
        <w:rPr>
          <w:noProof/>
          <w:spacing w:val="-4"/>
        </w:rPr>
        <w:t>predaja pridruženým podnikom)</w:t>
      </w:r>
      <w:r w:rsidR="00F537B9" w:rsidRPr="00F537B9">
        <w:rPr>
          <w:noProof/>
          <w:spacing w:val="-4"/>
        </w:rPr>
        <w:t>.</w:t>
      </w:r>
    </w:p>
    <w:p w14:paraId="44FAC954" w14:textId="417560F9" w:rsidR="009B4BAF" w:rsidRPr="00F537B9" w:rsidRDefault="009B4BAF" w:rsidP="008B00E2">
      <w:pPr>
        <w:pBdr>
          <w:top w:val="nil"/>
          <w:left w:val="nil"/>
          <w:bottom w:val="nil"/>
          <w:right w:val="nil"/>
          <w:between w:val="nil"/>
          <w:bar w:val="nil"/>
        </w:pBdr>
        <w:spacing w:before="0" w:after="240"/>
        <w:rPr>
          <w:rFonts w:eastAsia="Arial Unicode MS"/>
          <w:noProof/>
        </w:rPr>
      </w:pPr>
      <w:r w:rsidRPr="00F537B9">
        <w:rPr>
          <w:noProof/>
        </w:rPr>
        <w:t>Kombinovaný zisk možno rozdeliť medzi pridružené podniky na základe reziduálnej alebo kontribučnej analýzy.</w:t>
      </w:r>
    </w:p>
    <w:p w14:paraId="1FA26ACB" w14:textId="11033D80" w:rsidR="00F537B9" w:rsidRPr="00F537B9" w:rsidRDefault="008B00E2" w:rsidP="008B00E2">
      <w:pPr>
        <w:pBdr>
          <w:top w:val="nil"/>
          <w:left w:val="nil"/>
          <w:bottom w:val="nil"/>
          <w:right w:val="nil"/>
          <w:between w:val="nil"/>
          <w:bar w:val="nil"/>
        </w:pBdr>
        <w:spacing w:before="0" w:after="240"/>
        <w:rPr>
          <w:noProof/>
          <w:spacing w:val="-4"/>
        </w:rPr>
      </w:pPr>
      <w:r w:rsidRPr="00F537B9">
        <w:rPr>
          <w:noProof/>
          <w:spacing w:val="-4"/>
        </w:rPr>
        <w:t>Pri reziduálnej analýze sa</w:t>
      </w:r>
      <w:r w:rsidR="00F537B9" w:rsidRPr="00F537B9">
        <w:rPr>
          <w:noProof/>
          <w:spacing w:val="-4"/>
        </w:rPr>
        <w:t xml:space="preserve"> v </w:t>
      </w:r>
      <w:r w:rsidRPr="00F537B9">
        <w:rPr>
          <w:noProof/>
          <w:spacing w:val="-4"/>
        </w:rPr>
        <w:t>prvom kroku určia bežné zisky, ktoré možno priradiť</w:t>
      </w:r>
      <w:r w:rsidR="00F537B9" w:rsidRPr="00F537B9">
        <w:rPr>
          <w:noProof/>
          <w:spacing w:val="-4"/>
        </w:rPr>
        <w:t xml:space="preserve"> k </w:t>
      </w:r>
      <w:r w:rsidRPr="00F537B9">
        <w:rPr>
          <w:noProof/>
          <w:spacing w:val="-4"/>
        </w:rPr>
        <w:t>príspevkom</w:t>
      </w:r>
      <w:r w:rsidR="00F537B9" w:rsidRPr="00F537B9">
        <w:rPr>
          <w:noProof/>
          <w:spacing w:val="-4"/>
        </w:rPr>
        <w:t xml:space="preserve"> a </w:t>
      </w:r>
      <w:r w:rsidRPr="00F537B9">
        <w:rPr>
          <w:noProof/>
          <w:spacing w:val="-4"/>
        </w:rPr>
        <w:t>pri ktorých možno spoľahlivo stanoviť referenčné hodnoty, t. j. zvyčajne menej komplexné príspevky,</w:t>
      </w:r>
      <w:r w:rsidR="00F537B9" w:rsidRPr="00F537B9">
        <w:rPr>
          <w:noProof/>
          <w:spacing w:val="-4"/>
        </w:rPr>
        <w:t xml:space="preserve"> v </w:t>
      </w:r>
      <w:r w:rsidRPr="00F537B9">
        <w:rPr>
          <w:noProof/>
          <w:spacing w:val="-4"/>
        </w:rPr>
        <w:t>prípade ktorých možno nájsť spoľahlivé porovnateľné údaje,</w:t>
      </w:r>
      <w:r w:rsidR="00F537B9" w:rsidRPr="00F537B9">
        <w:rPr>
          <w:noProof/>
          <w:spacing w:val="-4"/>
        </w:rPr>
        <w:t xml:space="preserve"> a </w:t>
      </w:r>
      <w:r w:rsidRPr="00F537B9">
        <w:rPr>
          <w:noProof/>
          <w:spacing w:val="-4"/>
        </w:rPr>
        <w:t>priradia sa pridruženým podnikom. Táto počiatočná protihodnota by sa zvyčajne určila použitím jednej</w:t>
      </w:r>
      <w:r w:rsidR="00F537B9" w:rsidRPr="00F537B9">
        <w:rPr>
          <w:noProof/>
          <w:spacing w:val="-4"/>
        </w:rPr>
        <w:t xml:space="preserve"> z </w:t>
      </w:r>
      <w:r w:rsidRPr="00F537B9">
        <w:rPr>
          <w:noProof/>
          <w:spacing w:val="-4"/>
        </w:rPr>
        <w:t>tradičných transakčných metód alebo metódy čistého obchodného rozpätia na určenie protihodnoty za porovnateľné transakcie medzi nezávislými podnikmi. Vo všeobecnosti by teda nezohľadňovala návratnosť, ktorá sa dosiahla druhou kategóriou príspevkov, ktoré môžu byť jedinečné</w:t>
      </w:r>
      <w:r w:rsidR="00F537B9" w:rsidRPr="00F537B9">
        <w:rPr>
          <w:noProof/>
          <w:spacing w:val="-4"/>
        </w:rPr>
        <w:t xml:space="preserve"> a </w:t>
      </w:r>
      <w:r w:rsidRPr="00F537B9">
        <w:rPr>
          <w:noProof/>
          <w:spacing w:val="-4"/>
        </w:rPr>
        <w:t>hodnotné a/alebo ich možno pripísať vysokej úrovni integrácie alebo spoločnému znášania ekonomicky závažných rizík.</w:t>
      </w:r>
      <w:r w:rsidR="00F537B9" w:rsidRPr="00F537B9">
        <w:rPr>
          <w:noProof/>
          <w:spacing w:val="-4"/>
        </w:rPr>
        <w:t xml:space="preserve"> V </w:t>
      </w:r>
      <w:r w:rsidRPr="00F537B9">
        <w:rPr>
          <w:noProof/>
          <w:spacing w:val="-4"/>
        </w:rPr>
        <w:t>druhom kroku by akýkoľvek zostatkový zisk (alebo strata), ktorý by ostal po odpočítaní ziskov, ktoré možno prisúdiť prvej kategórii príspevkov, vychádzal</w:t>
      </w:r>
      <w:r w:rsidR="00F537B9" w:rsidRPr="00F537B9">
        <w:rPr>
          <w:noProof/>
          <w:spacing w:val="-4"/>
        </w:rPr>
        <w:t xml:space="preserve"> z </w:t>
      </w:r>
      <w:r w:rsidRPr="00F537B9">
        <w:rPr>
          <w:noProof/>
          <w:spacing w:val="-4"/>
        </w:rPr>
        <w:t>analýzy relatívnej hodnoty druhej kategórie príspevkov zmluvných strán</w:t>
      </w:r>
      <w:r w:rsidR="00F537B9" w:rsidRPr="00F537B9">
        <w:rPr>
          <w:noProof/>
          <w:spacing w:val="-4"/>
        </w:rPr>
        <w:t>.</w:t>
      </w:r>
    </w:p>
    <w:p w14:paraId="3899116B" w14:textId="72F892EF" w:rsidR="00F537B9" w:rsidRDefault="007D2C53" w:rsidP="00296F97">
      <w:pPr>
        <w:pBdr>
          <w:top w:val="nil"/>
          <w:left w:val="nil"/>
          <w:bottom w:val="nil"/>
          <w:right w:val="nil"/>
          <w:between w:val="nil"/>
          <w:bar w:val="nil"/>
        </w:pBdr>
        <w:spacing w:before="0" w:after="240"/>
        <w:rPr>
          <w:noProof/>
        </w:rPr>
      </w:pPr>
      <w:r w:rsidRPr="00F537B9">
        <w:rPr>
          <w:noProof/>
        </w:rPr>
        <w:t>Pri kontribučnej analýze, na rozdiel od reziduálnej analýzy, sa kombinovaný zisk rozdelí medzi pridružené podniky naraz na základe relatívnej hodnoty príspevkov každého</w:t>
      </w:r>
      <w:r w:rsidR="00F537B9">
        <w:rPr>
          <w:noProof/>
        </w:rPr>
        <w:t xml:space="preserve"> z </w:t>
      </w:r>
      <w:r w:rsidRPr="00F537B9">
        <w:rPr>
          <w:noProof/>
        </w:rPr>
        <w:t>pridružených podnikov, ktoré sa zúčastňujú na kontrolovanej transakcii</w:t>
      </w:r>
      <w:r w:rsidR="00F537B9">
        <w:rPr>
          <w:noProof/>
        </w:rPr>
        <w:t>.</w:t>
      </w:r>
    </w:p>
    <w:p w14:paraId="5DBFB85E" w14:textId="05BA28B8" w:rsidR="00F537B9" w:rsidRDefault="00296F97" w:rsidP="00296F97">
      <w:pPr>
        <w:pBdr>
          <w:top w:val="nil"/>
          <w:left w:val="nil"/>
          <w:bottom w:val="nil"/>
          <w:right w:val="nil"/>
          <w:between w:val="nil"/>
          <w:bar w:val="nil"/>
        </w:pBdr>
        <w:spacing w:before="0" w:after="240"/>
        <w:rPr>
          <w:noProof/>
        </w:rPr>
      </w:pPr>
      <w:r w:rsidRPr="00F537B9">
        <w:rPr>
          <w:noProof/>
        </w:rPr>
        <w:t>V tomto návrhu sa neuprednostňuje žiadna</w:t>
      </w:r>
      <w:r w:rsidR="00F537B9">
        <w:rPr>
          <w:noProof/>
        </w:rPr>
        <w:t xml:space="preserve"> z </w:t>
      </w:r>
      <w:r w:rsidRPr="00F537B9">
        <w:rPr>
          <w:noProof/>
        </w:rPr>
        <w:t>vyššie uvedených uznaných metód transferového oceňovania. Musí sa uplatniť pravidlo stanovené</w:t>
      </w:r>
      <w:r w:rsidR="00F537B9">
        <w:rPr>
          <w:noProof/>
        </w:rPr>
        <w:t xml:space="preserve"> v </w:t>
      </w:r>
      <w:r w:rsidRPr="00F537B9">
        <w:rPr>
          <w:noProof/>
        </w:rPr>
        <w:t>článku 10,</w:t>
      </w:r>
      <w:r w:rsidR="00F537B9">
        <w:rPr>
          <w:noProof/>
        </w:rPr>
        <w:t xml:space="preserve"> a </w:t>
      </w:r>
      <w:r w:rsidRPr="00F537B9">
        <w:rPr>
          <w:noProof/>
        </w:rPr>
        <w:t>teda sa musí zvoliť najvhodnejšia metóda</w:t>
      </w:r>
      <w:r w:rsidR="00F537B9">
        <w:rPr>
          <w:noProof/>
        </w:rPr>
        <w:t xml:space="preserve"> s </w:t>
      </w:r>
      <w:r w:rsidRPr="00F537B9">
        <w:rPr>
          <w:noProof/>
        </w:rPr>
        <w:t>prihliadnutím na skutočnosti</w:t>
      </w:r>
      <w:r w:rsidR="00F537B9">
        <w:rPr>
          <w:noProof/>
        </w:rPr>
        <w:t xml:space="preserve"> a </w:t>
      </w:r>
      <w:r w:rsidRPr="00F537B9">
        <w:rPr>
          <w:noProof/>
        </w:rPr>
        <w:t>okolnosti konkrétneho prípadu</w:t>
      </w:r>
      <w:r w:rsidR="00F537B9">
        <w:rPr>
          <w:noProof/>
        </w:rPr>
        <w:t>.</w:t>
      </w:r>
    </w:p>
    <w:p w14:paraId="635ED4DD" w14:textId="3A1D8DF8" w:rsidR="00F537B9" w:rsidRDefault="00296F97" w:rsidP="00296F97">
      <w:pPr>
        <w:pBdr>
          <w:top w:val="nil"/>
          <w:left w:val="nil"/>
          <w:bottom w:val="nil"/>
          <w:right w:val="nil"/>
          <w:between w:val="nil"/>
          <w:bar w:val="nil"/>
        </w:pBdr>
        <w:spacing w:before="0" w:after="240"/>
        <w:rPr>
          <w:noProof/>
        </w:rPr>
      </w:pPr>
      <w:r w:rsidRPr="00F537B9">
        <w:rPr>
          <w:noProof/>
        </w:rPr>
        <w:t>V článku 9 ods. 2 sa ďalej stanovuje, že inú metódu transferového oceňovania ako schválené metódy uvedené</w:t>
      </w:r>
      <w:r w:rsidR="00F537B9">
        <w:rPr>
          <w:noProof/>
        </w:rPr>
        <w:t xml:space="preserve"> v </w:t>
      </w:r>
      <w:r w:rsidRPr="00F537B9">
        <w:rPr>
          <w:noProof/>
        </w:rPr>
        <w:t>odseku 1 možno použiť len vtedy, ak možno preukázať, že i) žiadnu zo schválených metód nemožno primerane použiť na určenie podmienok nezávislého vzťahu pre kontrolovanú transakciu</w:t>
      </w:r>
      <w:r w:rsidR="00F537B9">
        <w:rPr>
          <w:noProof/>
        </w:rPr>
        <w:t xml:space="preserve"> a </w:t>
      </w:r>
      <w:r w:rsidRPr="00F537B9">
        <w:rPr>
          <w:noProof/>
        </w:rPr>
        <w:t>ii) takáto iná metóda vedie</w:t>
      </w:r>
      <w:r w:rsidR="00F537B9">
        <w:rPr>
          <w:noProof/>
        </w:rPr>
        <w:t xml:space="preserve"> k </w:t>
      </w:r>
      <w:r w:rsidRPr="00F537B9">
        <w:rPr>
          <w:noProof/>
        </w:rPr>
        <w:t>výsledku, ktorý je konzistentný</w:t>
      </w:r>
      <w:r w:rsidR="00F537B9">
        <w:rPr>
          <w:noProof/>
        </w:rPr>
        <w:t xml:space="preserve"> s </w:t>
      </w:r>
      <w:r w:rsidRPr="00F537B9">
        <w:rPr>
          <w:noProof/>
        </w:rPr>
        <w:t>výsledkom, ktorý by dosiahli nezávislé podniky zapojené do porovnateľných nekontrolovaných transakcií za porovnateľných okolností. Daňovník alebo daňová správa, ktorá uplatňuje použitie inej metódy, než sú schválené metódy uvedené</w:t>
      </w:r>
      <w:r w:rsidR="00F537B9">
        <w:rPr>
          <w:noProof/>
        </w:rPr>
        <w:t xml:space="preserve"> v </w:t>
      </w:r>
      <w:r w:rsidRPr="00F537B9">
        <w:rPr>
          <w:noProof/>
        </w:rPr>
        <w:t>odseku 1, znáša bremeno preukázania, že požiadavky článku 9 ods. 2 boli splnené</w:t>
      </w:r>
      <w:r w:rsidR="00F537B9">
        <w:rPr>
          <w:noProof/>
        </w:rPr>
        <w:t>.</w:t>
      </w:r>
    </w:p>
    <w:p w14:paraId="031CB753" w14:textId="4B6BA50E" w:rsidR="00F537B9" w:rsidRDefault="00296F97" w:rsidP="00296F97">
      <w:pPr>
        <w:pBdr>
          <w:top w:val="nil"/>
          <w:left w:val="nil"/>
          <w:bottom w:val="nil"/>
          <w:right w:val="nil"/>
          <w:between w:val="nil"/>
          <w:bar w:val="nil"/>
        </w:pBdr>
        <w:spacing w:before="0" w:after="240"/>
        <w:rPr>
          <w:noProof/>
        </w:rPr>
      </w:pPr>
      <w:r w:rsidRPr="00F537B9">
        <w:rPr>
          <w:noProof/>
        </w:rPr>
        <w:t>Ak sú splnené podmienky stanovené</w:t>
      </w:r>
      <w:r w:rsidR="00F537B9">
        <w:rPr>
          <w:noProof/>
        </w:rPr>
        <w:t xml:space="preserve"> v </w:t>
      </w:r>
      <w:r w:rsidRPr="00F537B9">
        <w:rPr>
          <w:noProof/>
        </w:rPr>
        <w:t>odseku 2</w:t>
      </w:r>
      <w:r w:rsidR="00F537B9">
        <w:rPr>
          <w:noProof/>
        </w:rPr>
        <w:t xml:space="preserve"> a </w:t>
      </w:r>
      <w:r w:rsidRPr="00F537B9">
        <w:rPr>
          <w:noProof/>
        </w:rPr>
        <w:t>ak sa na zistenie nezávislej trhovej ceny použije technika ekonomického oceňovania, náležite sa zohľadní obsah</w:t>
      </w:r>
      <w:r w:rsidR="00F537B9">
        <w:rPr>
          <w:noProof/>
        </w:rPr>
        <w:t xml:space="preserve"> a </w:t>
      </w:r>
      <w:r w:rsidRPr="00F537B9">
        <w:rPr>
          <w:noProof/>
        </w:rPr>
        <w:t>odporúčania správy JTPF/003/2017/FINAL/EN</w:t>
      </w:r>
      <w:r w:rsidRPr="00F537B9">
        <w:rPr>
          <w:rStyle w:val="FootnoteReference"/>
          <w:rFonts w:eastAsia="Arial Unicode MS"/>
          <w:noProof/>
        </w:rPr>
        <w:footnoteReference w:id="27"/>
      </w:r>
      <w:r w:rsidR="00F537B9">
        <w:rPr>
          <w:noProof/>
        </w:rPr>
        <w:t xml:space="preserve"> o </w:t>
      </w:r>
      <w:r w:rsidRPr="00F537B9">
        <w:rPr>
          <w:noProof/>
        </w:rPr>
        <w:t>používaní techník ekonomického oceňovania pri transferovom oceňovaní schválenej Spoločným fórom EÚ pre transferové oceňovanie</w:t>
      </w:r>
      <w:r w:rsidR="00F537B9">
        <w:rPr>
          <w:noProof/>
        </w:rPr>
        <w:t xml:space="preserve"> v </w:t>
      </w:r>
      <w:r w:rsidRPr="00F537B9">
        <w:rPr>
          <w:noProof/>
        </w:rPr>
        <w:t>roku 2017.</w:t>
      </w:r>
      <w:r w:rsidR="00F537B9">
        <w:rPr>
          <w:noProof/>
        </w:rPr>
        <w:t xml:space="preserve"> V </w:t>
      </w:r>
      <w:r w:rsidRPr="00F537B9">
        <w:rPr>
          <w:noProof/>
        </w:rPr>
        <w:t>správe sa uvádza komplexný opis techník oceňovania</w:t>
      </w:r>
      <w:r w:rsidR="00F537B9">
        <w:rPr>
          <w:noProof/>
        </w:rPr>
        <w:t xml:space="preserve"> a </w:t>
      </w:r>
      <w:r w:rsidRPr="00F537B9">
        <w:rPr>
          <w:noProof/>
        </w:rPr>
        <w:t>konkrétne prvky, ktoré by sa mali zohľadniť pri ich používaní na účely transferového oceňovania</w:t>
      </w:r>
      <w:r w:rsidR="00F537B9">
        <w:rPr>
          <w:noProof/>
        </w:rPr>
        <w:t>.</w:t>
      </w:r>
    </w:p>
    <w:p w14:paraId="0B64C300" w14:textId="77777777" w:rsidR="00F537B9" w:rsidRDefault="000148CC" w:rsidP="00A62D61">
      <w:pPr>
        <w:pBdr>
          <w:top w:val="nil"/>
          <w:left w:val="nil"/>
          <w:bottom w:val="nil"/>
          <w:right w:val="nil"/>
          <w:between w:val="nil"/>
          <w:bar w:val="nil"/>
        </w:pBdr>
        <w:spacing w:before="0" w:after="240"/>
        <w:rPr>
          <w:i/>
          <w:noProof/>
        </w:rPr>
      </w:pPr>
      <w:r w:rsidRPr="00F537B9">
        <w:rPr>
          <w:i/>
          <w:noProof/>
        </w:rPr>
        <w:t>Výber najvhodnejšej metódy</w:t>
      </w:r>
    </w:p>
    <w:p w14:paraId="5C72B469" w14:textId="3E317BBC" w:rsidR="00F537B9" w:rsidRDefault="00A62D61" w:rsidP="00A62D61">
      <w:pPr>
        <w:pBdr>
          <w:top w:val="nil"/>
          <w:left w:val="nil"/>
          <w:bottom w:val="nil"/>
          <w:right w:val="nil"/>
          <w:between w:val="nil"/>
          <w:bar w:val="nil"/>
        </w:pBdr>
        <w:spacing w:before="0" w:after="240"/>
        <w:rPr>
          <w:noProof/>
        </w:rPr>
      </w:pPr>
      <w:r w:rsidRPr="00F537B9">
        <w:rPr>
          <w:noProof/>
        </w:rPr>
        <w:t>V článku 10 smernice sa stanovuje, že výber metódy transferového oceňovania musí vždy smerovať</w:t>
      </w:r>
      <w:r w:rsidR="00F537B9">
        <w:rPr>
          <w:noProof/>
        </w:rPr>
        <w:t xml:space="preserve"> k </w:t>
      </w:r>
      <w:r w:rsidRPr="00F537B9">
        <w:rPr>
          <w:noProof/>
        </w:rPr>
        <w:t>nájdeniu najvhodnejšej metódy</w:t>
      </w:r>
      <w:r w:rsidR="00F537B9">
        <w:rPr>
          <w:noProof/>
        </w:rPr>
        <w:t xml:space="preserve"> v </w:t>
      </w:r>
      <w:r w:rsidRPr="00F537B9">
        <w:rPr>
          <w:noProof/>
        </w:rPr>
        <w:t>danom konkrétnom prípade</w:t>
      </w:r>
      <w:r w:rsidR="00F537B9">
        <w:rPr>
          <w:noProof/>
        </w:rPr>
        <w:t>.</w:t>
      </w:r>
    </w:p>
    <w:p w14:paraId="485CE2F1" w14:textId="52B9B443" w:rsidR="00A62D61" w:rsidRPr="00F537B9" w:rsidRDefault="00A62D61" w:rsidP="00A62D61">
      <w:pPr>
        <w:pBdr>
          <w:top w:val="nil"/>
          <w:left w:val="nil"/>
          <w:bottom w:val="nil"/>
          <w:right w:val="nil"/>
          <w:between w:val="nil"/>
          <w:bar w:val="nil"/>
        </w:pBdr>
        <w:spacing w:before="0" w:after="240"/>
        <w:rPr>
          <w:rFonts w:eastAsia="Arial Unicode MS"/>
          <w:noProof/>
        </w:rPr>
      </w:pPr>
      <w:r w:rsidRPr="00F537B9">
        <w:rPr>
          <w:noProof/>
        </w:rPr>
        <w:t>Na tento účel by sa pri výberovom procese mali zohľadňovať príslušné silné</w:t>
      </w:r>
      <w:r w:rsidR="00F537B9">
        <w:rPr>
          <w:noProof/>
        </w:rPr>
        <w:t xml:space="preserve"> a </w:t>
      </w:r>
      <w:r w:rsidRPr="00F537B9">
        <w:rPr>
          <w:noProof/>
        </w:rPr>
        <w:t>slabé stránky metód transferového oceňovania; vhodnosť metódy posudzovanej vzhľadom na povahu kontrolovanej transakcie, ktorá sa určí najmä funkčnou analýzou; dostupnosť spoľahlivých informácií (najmä</w:t>
      </w:r>
      <w:r w:rsidR="00F537B9">
        <w:rPr>
          <w:noProof/>
        </w:rPr>
        <w:t xml:space="preserve"> o </w:t>
      </w:r>
      <w:r w:rsidRPr="00F537B9">
        <w:rPr>
          <w:noProof/>
        </w:rPr>
        <w:t>porovnateľných údajoch</w:t>
      </w:r>
      <w:r w:rsidR="00F537B9">
        <w:rPr>
          <w:noProof/>
        </w:rPr>
        <w:t xml:space="preserve"> z </w:t>
      </w:r>
      <w:r w:rsidRPr="00F537B9">
        <w:rPr>
          <w:noProof/>
        </w:rPr>
        <w:t>nekontrolovaných transakcií) potrebných na uplatnenie zvolenej metódy a/alebo iných metód</w:t>
      </w:r>
      <w:r w:rsidR="00F537B9">
        <w:rPr>
          <w:noProof/>
        </w:rPr>
        <w:t xml:space="preserve"> a </w:t>
      </w:r>
      <w:r w:rsidRPr="00F537B9">
        <w:rPr>
          <w:noProof/>
        </w:rPr>
        <w:t>stupeň porovnateľnosti medzi kontrolovanými</w:t>
      </w:r>
      <w:r w:rsidR="00F537B9">
        <w:rPr>
          <w:noProof/>
        </w:rPr>
        <w:t xml:space="preserve"> a </w:t>
      </w:r>
      <w:r w:rsidRPr="00F537B9">
        <w:rPr>
          <w:noProof/>
        </w:rPr>
        <w:t>nekontrolovanými transakciami vrátane spoľahlivosti úprav na účely porovnateľnosti, ktoré môžu byť potrebné na odstránenie podstatných rozdielov medzi nimi. Niet metódy, ktorá by bola vhodná</w:t>
      </w:r>
      <w:r w:rsidR="00F537B9">
        <w:rPr>
          <w:noProof/>
        </w:rPr>
        <w:t xml:space="preserve"> v </w:t>
      </w:r>
      <w:r w:rsidRPr="00F537B9">
        <w:rPr>
          <w:noProof/>
        </w:rPr>
        <w:t>každej možnej situácii, ani nie je potrebné dokazovať, že určitá metóda nie je za daných okolností vhodná.</w:t>
      </w:r>
    </w:p>
    <w:p w14:paraId="465DAAEC" w14:textId="6B70A585" w:rsidR="00F537B9" w:rsidRPr="00F537B9" w:rsidRDefault="00A62D61" w:rsidP="00A62D61">
      <w:pPr>
        <w:pBdr>
          <w:top w:val="nil"/>
          <w:left w:val="nil"/>
          <w:bottom w:val="nil"/>
          <w:right w:val="nil"/>
          <w:between w:val="nil"/>
          <w:bar w:val="nil"/>
        </w:pBdr>
        <w:spacing w:before="0" w:after="240"/>
        <w:rPr>
          <w:noProof/>
          <w:spacing w:val="-4"/>
        </w:rPr>
      </w:pPr>
      <w:r w:rsidRPr="00F537B9">
        <w:rPr>
          <w:noProof/>
          <w:spacing w:val="-4"/>
        </w:rPr>
        <w:t>Vo všeobecnosti je metóda porovnateľnej nekontrolovanej ceny metódou vhodnou na stanovenie nezávislej trhovej ceny pre a) predaj komodít,</w:t>
      </w:r>
      <w:r w:rsidR="00F537B9" w:rsidRPr="00F537B9">
        <w:rPr>
          <w:noProof/>
          <w:spacing w:val="-4"/>
        </w:rPr>
        <w:t xml:space="preserve"> s </w:t>
      </w:r>
      <w:r w:rsidRPr="00F537B9">
        <w:rPr>
          <w:noProof/>
          <w:spacing w:val="-4"/>
        </w:rPr>
        <w:t>ktorými sa obchoduje na trhu, ktoré sú predmetom kontrolovanej transakcie</w:t>
      </w:r>
      <w:r w:rsidR="00F537B9" w:rsidRPr="00F537B9">
        <w:rPr>
          <w:noProof/>
          <w:spacing w:val="-4"/>
        </w:rPr>
        <w:t xml:space="preserve"> a </w:t>
      </w:r>
      <w:r w:rsidRPr="00F537B9">
        <w:rPr>
          <w:noProof/>
          <w:spacing w:val="-4"/>
        </w:rPr>
        <w:t>porovnateľnej(-ých) nekontrolovanej(-ých) transakcie(-ií)</w:t>
      </w:r>
      <w:r w:rsidR="00F537B9" w:rsidRPr="00F537B9">
        <w:rPr>
          <w:noProof/>
          <w:spacing w:val="-4"/>
        </w:rPr>
        <w:t xml:space="preserve"> a </w:t>
      </w:r>
      <w:r w:rsidRPr="00F537B9">
        <w:rPr>
          <w:noProof/>
          <w:spacing w:val="-4"/>
        </w:rPr>
        <w:t>ktoré sa uskutočňujú za porovnateľných okolností,</w:t>
      </w:r>
      <w:r w:rsidR="00F537B9" w:rsidRPr="00F537B9">
        <w:rPr>
          <w:noProof/>
          <w:spacing w:val="-4"/>
        </w:rPr>
        <w:t xml:space="preserve"> a </w:t>
      </w:r>
      <w:r w:rsidRPr="00F537B9">
        <w:rPr>
          <w:noProof/>
          <w:spacing w:val="-4"/>
        </w:rPr>
        <w:t>to aj na rovnakej úrovni obchodného reťazca (napr. predaj druhotnému výrobcovi, distribútorovi, maloobchodníkovi atď.),</w:t>
      </w:r>
      <w:r w:rsidR="00F537B9" w:rsidRPr="00F537B9">
        <w:rPr>
          <w:noProof/>
          <w:spacing w:val="-4"/>
        </w:rPr>
        <w:t xml:space="preserve"> a </w:t>
      </w:r>
      <w:r w:rsidRPr="00F537B9">
        <w:rPr>
          <w:noProof/>
          <w:spacing w:val="-4"/>
        </w:rPr>
        <w:t>b) niektoré bežné finančné transakcie, ako sú peňažné pôžičky. Pre tieto typy transakcií môžu byť verejne prístupné trhové ceny (napríklad ceny komodít alebo úrokové sadzby)</w:t>
      </w:r>
      <w:r w:rsidR="00F537B9" w:rsidRPr="00F537B9">
        <w:rPr>
          <w:noProof/>
          <w:spacing w:val="-4"/>
        </w:rPr>
        <w:t>.</w:t>
      </w:r>
    </w:p>
    <w:p w14:paraId="44C6BEF0" w14:textId="09178D29" w:rsidR="00A62D61" w:rsidRPr="00F537B9" w:rsidRDefault="00A62D61" w:rsidP="00A62D61">
      <w:pPr>
        <w:pBdr>
          <w:top w:val="nil"/>
          <w:left w:val="nil"/>
          <w:bottom w:val="nil"/>
          <w:right w:val="nil"/>
          <w:between w:val="nil"/>
          <w:bar w:val="nil"/>
        </w:pBdr>
        <w:spacing w:before="0" w:after="240"/>
        <w:rPr>
          <w:rFonts w:eastAsia="Arial Unicode MS"/>
          <w:noProof/>
          <w:spacing w:val="-4"/>
        </w:rPr>
      </w:pPr>
      <w:r w:rsidRPr="00F537B9">
        <w:rPr>
          <w:noProof/>
          <w:spacing w:val="-4"/>
        </w:rPr>
        <w:t>Metóda následného predaja je najužitočnejšia, ak sa uplatňuje na operácie predaja</w:t>
      </w:r>
      <w:r w:rsidR="00F537B9" w:rsidRPr="00F537B9">
        <w:rPr>
          <w:noProof/>
          <w:spacing w:val="-4"/>
        </w:rPr>
        <w:t xml:space="preserve"> a </w:t>
      </w:r>
      <w:r w:rsidRPr="00F537B9">
        <w:rPr>
          <w:noProof/>
          <w:spacing w:val="-4"/>
        </w:rPr>
        <w:t>marketingové operácie, napríklad tie, ktoré zvyčajne vykonáva distribútor. Za určitých okolností možno obchodné rozpätie pri následnom predaji predajcu pri kontrolovanej transakcii určiť pomocou obchodného rozpätia pri následnom predaji, ktoré ten istý predajca dosahuje</w:t>
      </w:r>
      <w:r w:rsidR="00F537B9" w:rsidRPr="00F537B9">
        <w:rPr>
          <w:noProof/>
          <w:spacing w:val="-4"/>
        </w:rPr>
        <w:t xml:space="preserve"> v </w:t>
      </w:r>
      <w:r w:rsidRPr="00F537B9">
        <w:rPr>
          <w:noProof/>
          <w:spacing w:val="-4"/>
        </w:rPr>
        <w:t>prípade položiek nakúpených</w:t>
      </w:r>
      <w:r w:rsidR="00F537B9" w:rsidRPr="00F537B9">
        <w:rPr>
          <w:noProof/>
          <w:spacing w:val="-4"/>
        </w:rPr>
        <w:t xml:space="preserve"> a </w:t>
      </w:r>
      <w:r w:rsidRPr="00F537B9">
        <w:rPr>
          <w:noProof/>
          <w:spacing w:val="-4"/>
        </w:rPr>
        <w:t>predaných pri porovnateľných nekontrolovaných transakciách (interný porovnateľný údaj). Za iných okolností možno obchodné rozpätie pri následnom predaji určiť pomocou obchodného rozpätia pri následnom predaji, ktoré nezávislé podniky dosahujú pri porovnateľných nekontrolovaných transakciách (externé porovnateľné údaje).</w:t>
      </w:r>
    </w:p>
    <w:p w14:paraId="1797CAAB" w14:textId="2FF2A4BB" w:rsidR="00A62D61" w:rsidRPr="00F537B9" w:rsidRDefault="00A62D61" w:rsidP="00A62D61">
      <w:pPr>
        <w:pBdr>
          <w:top w:val="nil"/>
          <w:left w:val="nil"/>
          <w:bottom w:val="nil"/>
          <w:right w:val="nil"/>
          <w:between w:val="nil"/>
          <w:bar w:val="nil"/>
        </w:pBdr>
        <w:spacing w:before="0" w:after="240"/>
        <w:rPr>
          <w:rFonts w:eastAsia="Arial Unicode MS"/>
          <w:noProof/>
          <w:spacing w:val="-4"/>
        </w:rPr>
      </w:pPr>
      <w:r w:rsidRPr="00F537B9">
        <w:rPr>
          <w:noProof/>
          <w:spacing w:val="-4"/>
        </w:rPr>
        <w:t>Metóda zvýšených nákladov je najužitočnejšia, ak a) tovar predáva výrobca, ktorého príspevkom nie je hodnotný jedinečný nehmotný majetok, ani pri kontrolovanej transakcii neznáša neobvyklé riziká, ako to môže byť</w:t>
      </w:r>
      <w:r w:rsidR="00F537B9" w:rsidRPr="00F537B9">
        <w:rPr>
          <w:noProof/>
          <w:spacing w:val="-4"/>
        </w:rPr>
        <w:t xml:space="preserve"> v </w:t>
      </w:r>
      <w:r w:rsidRPr="00F537B9">
        <w:rPr>
          <w:noProof/>
          <w:spacing w:val="-4"/>
        </w:rPr>
        <w:t>prípade zmluvy alebo dohody</w:t>
      </w:r>
      <w:r w:rsidR="00F537B9" w:rsidRPr="00F537B9">
        <w:rPr>
          <w:noProof/>
          <w:spacing w:val="-4"/>
        </w:rPr>
        <w:t xml:space="preserve"> o </w:t>
      </w:r>
      <w:r w:rsidRPr="00F537B9">
        <w:rPr>
          <w:noProof/>
          <w:spacing w:val="-4"/>
        </w:rPr>
        <w:t>spracovaní, alebo b) ak je kontrolovanou transakciou poskytovanie služieb,</w:t>
      </w:r>
      <w:r w:rsidR="00F537B9" w:rsidRPr="00F537B9">
        <w:rPr>
          <w:noProof/>
          <w:spacing w:val="-4"/>
        </w:rPr>
        <w:t xml:space="preserve"> v </w:t>
      </w:r>
      <w:r w:rsidRPr="00F537B9">
        <w:rPr>
          <w:noProof/>
          <w:spacing w:val="-4"/>
        </w:rPr>
        <w:t>prípade ktorých príspevkom poskytovateľa nie je žiaden hodnotný jedinečný nehmotný majetok, ani neznáša neobvyklé riziká.</w:t>
      </w:r>
    </w:p>
    <w:p w14:paraId="5FD1CE97" w14:textId="269E69FC" w:rsidR="00F537B9" w:rsidRDefault="00A62D61" w:rsidP="00A62D61">
      <w:pPr>
        <w:pBdr>
          <w:top w:val="nil"/>
          <w:left w:val="nil"/>
          <w:bottom w:val="nil"/>
          <w:right w:val="nil"/>
          <w:between w:val="nil"/>
          <w:bar w:val="nil"/>
        </w:pBdr>
        <w:spacing w:before="0" w:after="240"/>
        <w:rPr>
          <w:noProof/>
        </w:rPr>
      </w:pPr>
      <w:r w:rsidRPr="00F537B9">
        <w:rPr>
          <w:noProof/>
        </w:rPr>
        <w:t>Metóda čistého obchodného rozpätia funguje podobným spôsobom ako metóda zvýšených nákladov</w:t>
      </w:r>
      <w:r w:rsidR="00F537B9">
        <w:rPr>
          <w:noProof/>
        </w:rPr>
        <w:t xml:space="preserve"> a </w:t>
      </w:r>
      <w:r w:rsidRPr="00F537B9">
        <w:rPr>
          <w:noProof/>
        </w:rPr>
        <w:t>metóda následného predaja,</w:t>
      </w:r>
      <w:r w:rsidR="00F537B9">
        <w:rPr>
          <w:noProof/>
        </w:rPr>
        <w:t xml:space="preserve"> s </w:t>
      </w:r>
      <w:r w:rsidRPr="00F537B9">
        <w:rPr>
          <w:noProof/>
        </w:rPr>
        <w:t>výnimkou toho, že porovnáva čisté rozpätie zisku</w:t>
      </w:r>
      <w:r w:rsidR="00F537B9">
        <w:rPr>
          <w:noProof/>
        </w:rPr>
        <w:t xml:space="preserve"> a </w:t>
      </w:r>
      <w:r w:rsidRPr="00F537B9">
        <w:rPr>
          <w:noProof/>
        </w:rPr>
        <w:t>je užitočná</w:t>
      </w:r>
      <w:r w:rsidR="00F537B9">
        <w:rPr>
          <w:noProof/>
        </w:rPr>
        <w:t xml:space="preserve"> v </w:t>
      </w:r>
      <w:r w:rsidRPr="00F537B9">
        <w:rPr>
          <w:noProof/>
        </w:rPr>
        <w:t>prípade, že nie sú</w:t>
      </w:r>
      <w:r w:rsidR="00F537B9">
        <w:rPr>
          <w:noProof/>
        </w:rPr>
        <w:t xml:space="preserve"> k </w:t>
      </w:r>
      <w:r w:rsidRPr="00F537B9">
        <w:rPr>
          <w:noProof/>
        </w:rPr>
        <w:t>dispozícii alebo sú obmedzené verejne dostupné spoľahlivé informácie</w:t>
      </w:r>
      <w:r w:rsidR="00F537B9">
        <w:rPr>
          <w:noProof/>
        </w:rPr>
        <w:t xml:space="preserve"> o </w:t>
      </w:r>
      <w:r w:rsidRPr="00F537B9">
        <w:rPr>
          <w:noProof/>
        </w:rPr>
        <w:t>hrubej marži tretích strán</w:t>
      </w:r>
      <w:r w:rsidR="00F537B9">
        <w:rPr>
          <w:noProof/>
        </w:rPr>
        <w:t xml:space="preserve"> a v </w:t>
      </w:r>
      <w:r w:rsidRPr="00F537B9">
        <w:rPr>
          <w:noProof/>
        </w:rPr>
        <w:t>dôsledku toho je ťažké uplatniť predchádzajúce tradičné transakčné metódy. Vo všeobecnosti sa konštatuje, že pri výrobe</w:t>
      </w:r>
      <w:r w:rsidR="00F537B9">
        <w:rPr>
          <w:noProof/>
        </w:rPr>
        <w:t xml:space="preserve"> a </w:t>
      </w:r>
      <w:r w:rsidRPr="00F537B9">
        <w:rPr>
          <w:noProof/>
        </w:rPr>
        <w:t>činnostiach služieb sa používajú ukazovatele čistého ziskového rozpätia, ktoré vychádzajú</w:t>
      </w:r>
      <w:r w:rsidR="00F537B9">
        <w:rPr>
          <w:noProof/>
        </w:rPr>
        <w:t xml:space="preserve"> z </w:t>
      </w:r>
      <w:r w:rsidRPr="00F537B9">
        <w:rPr>
          <w:noProof/>
        </w:rPr>
        <w:t>nákladov; ukazovatele, ktoré vychádzajú</w:t>
      </w:r>
      <w:r w:rsidR="00F537B9">
        <w:rPr>
          <w:noProof/>
        </w:rPr>
        <w:t xml:space="preserve"> z </w:t>
      </w:r>
      <w:r w:rsidRPr="00F537B9">
        <w:rPr>
          <w:noProof/>
        </w:rPr>
        <w:t>tržieb, sa používajú pri predajných činnostiach</w:t>
      </w:r>
      <w:r w:rsidR="00F537B9">
        <w:rPr>
          <w:noProof/>
        </w:rPr>
        <w:t xml:space="preserve"> a </w:t>
      </w:r>
      <w:r w:rsidRPr="00F537B9">
        <w:rPr>
          <w:noProof/>
        </w:rPr>
        <w:t>ukazovatele, ktoré vychádzajú</w:t>
      </w:r>
      <w:r w:rsidR="00F537B9">
        <w:rPr>
          <w:noProof/>
        </w:rPr>
        <w:t xml:space="preserve"> z </w:t>
      </w:r>
      <w:r w:rsidRPr="00F537B9">
        <w:rPr>
          <w:noProof/>
        </w:rPr>
        <w:t>majetku, sa používajú pri činnostiach náročných na aktíva.</w:t>
      </w:r>
      <w:r w:rsidR="00F537B9">
        <w:rPr>
          <w:noProof/>
        </w:rPr>
        <w:t xml:space="preserve"> V </w:t>
      </w:r>
      <w:r w:rsidRPr="00F537B9">
        <w:rPr>
          <w:noProof/>
        </w:rPr>
        <w:t xml:space="preserve">každom prípade by zvolený finančný ukazovateľ mal byť taký, ktorý: i) odzrkadľuje hodnotu funkcií, ktoré vykonávala testovaná strana (t. j. </w:t>
      </w:r>
      <w:bookmarkStart w:id="3" w:name="_Hlk142055715"/>
      <w:r w:rsidRPr="00F537B9">
        <w:rPr>
          <w:noProof/>
        </w:rPr>
        <w:t>strana kontrolovanej transakcie, pre ktorú je finančný ukazovateľ testovaný</w:t>
      </w:r>
      <w:bookmarkEnd w:id="3"/>
      <w:r w:rsidRPr="00F537B9">
        <w:rPr>
          <w:noProof/>
        </w:rPr>
        <w:t>), pri zohľadnení aktív</w:t>
      </w:r>
      <w:r w:rsidR="00F537B9">
        <w:rPr>
          <w:noProof/>
        </w:rPr>
        <w:t xml:space="preserve"> a </w:t>
      </w:r>
      <w:r w:rsidRPr="00F537B9">
        <w:rPr>
          <w:noProof/>
        </w:rPr>
        <w:t>rizík; ii) je primerane nezávislý od vypracovania transferového oceňovania, t. j. mal by vychádzať</w:t>
      </w:r>
      <w:r w:rsidR="00F537B9">
        <w:rPr>
          <w:noProof/>
        </w:rPr>
        <w:t xml:space="preserve"> z </w:t>
      </w:r>
      <w:r w:rsidRPr="00F537B9">
        <w:rPr>
          <w:noProof/>
        </w:rPr>
        <w:t>objektívnych údajov (napr.</w:t>
      </w:r>
      <w:r w:rsidR="00F537B9">
        <w:rPr>
          <w:noProof/>
        </w:rPr>
        <w:t xml:space="preserve"> z </w:t>
      </w:r>
      <w:r w:rsidRPr="00F537B9">
        <w:rPr>
          <w:noProof/>
        </w:rPr>
        <w:t>predaja nespriazneným osobám), nie</w:t>
      </w:r>
      <w:r w:rsidR="00F537B9">
        <w:rPr>
          <w:noProof/>
        </w:rPr>
        <w:t xml:space="preserve"> z </w:t>
      </w:r>
      <w:r w:rsidRPr="00F537B9">
        <w:rPr>
          <w:noProof/>
        </w:rPr>
        <w:t>údajov týkajúcich sa protihodnôt za kontrolované transakcie (napr.</w:t>
      </w:r>
      <w:r w:rsidR="00F537B9">
        <w:rPr>
          <w:noProof/>
        </w:rPr>
        <w:t xml:space="preserve"> z </w:t>
      </w:r>
      <w:r w:rsidRPr="00F537B9">
        <w:rPr>
          <w:noProof/>
        </w:rPr>
        <w:t>predaja pridruženým podnikom),</w:t>
      </w:r>
      <w:r w:rsidR="00F537B9">
        <w:rPr>
          <w:noProof/>
        </w:rPr>
        <w:t xml:space="preserve"> a </w:t>
      </w:r>
      <w:r w:rsidRPr="00F537B9">
        <w:rPr>
          <w:noProof/>
        </w:rPr>
        <w:t>ktorý iii) možno merať primerane spoľahlivým</w:t>
      </w:r>
      <w:r w:rsidR="00F537B9">
        <w:rPr>
          <w:noProof/>
        </w:rPr>
        <w:t xml:space="preserve"> a </w:t>
      </w:r>
      <w:r w:rsidRPr="00F537B9">
        <w:rPr>
          <w:noProof/>
        </w:rPr>
        <w:t>konzistentným spôsobom na úrovni kontrolovanej transakcie</w:t>
      </w:r>
      <w:r w:rsidR="00F537B9">
        <w:rPr>
          <w:noProof/>
        </w:rPr>
        <w:t xml:space="preserve"> a </w:t>
      </w:r>
      <w:r w:rsidRPr="00F537B9">
        <w:rPr>
          <w:noProof/>
        </w:rPr>
        <w:t>porovnateľnej(-ých) nekontrolovanej(-ých) transakcie(-ií)</w:t>
      </w:r>
      <w:r w:rsidR="00F537B9">
        <w:rPr>
          <w:noProof/>
        </w:rPr>
        <w:t>.</w:t>
      </w:r>
    </w:p>
    <w:p w14:paraId="105EB2AA" w14:textId="47DE7129" w:rsidR="00F537B9" w:rsidRDefault="00A62D61" w:rsidP="00A62D61">
      <w:pPr>
        <w:pBdr>
          <w:top w:val="nil"/>
          <w:left w:val="nil"/>
          <w:bottom w:val="nil"/>
          <w:right w:val="nil"/>
          <w:between w:val="nil"/>
          <w:bar w:val="nil"/>
        </w:pBdr>
        <w:spacing w:before="0" w:after="240"/>
        <w:rPr>
          <w:noProof/>
        </w:rPr>
      </w:pPr>
      <w:r w:rsidRPr="00F537B9">
        <w:rPr>
          <w:noProof/>
        </w:rPr>
        <w:t>Jednostranné metódy (metóda následného predaja, metóda zvýšených nákladov, metóda čistého obchodného rozpätia) nie sú spoľahlivé, ak každá strana transakcie vo vzťahu ku kontrolovanej transakcii poskytuje jedinečné</w:t>
      </w:r>
      <w:r w:rsidR="00F537B9">
        <w:rPr>
          <w:noProof/>
        </w:rPr>
        <w:t xml:space="preserve"> a </w:t>
      </w:r>
      <w:r w:rsidRPr="00F537B9">
        <w:rPr>
          <w:noProof/>
        </w:rPr>
        <w:t>hodnotné príspevky alebo ak sa strany zapájajú do vysoko integrovaných činností.</w:t>
      </w:r>
      <w:r w:rsidR="00F537B9">
        <w:rPr>
          <w:noProof/>
        </w:rPr>
        <w:t xml:space="preserve"> V </w:t>
      </w:r>
      <w:r w:rsidRPr="00F537B9">
        <w:rPr>
          <w:noProof/>
        </w:rPr>
        <w:t>takom prípade je najvhodnejšou metódou metóda delenia zisku, pretože nezávislé strany by mohli účinne oceniť transakciu</w:t>
      </w:r>
      <w:r w:rsidR="00F537B9">
        <w:rPr>
          <w:noProof/>
        </w:rPr>
        <w:t xml:space="preserve"> v </w:t>
      </w:r>
      <w:r w:rsidRPr="00F537B9">
        <w:rPr>
          <w:noProof/>
        </w:rPr>
        <w:t>pomere</w:t>
      </w:r>
      <w:r w:rsidR="00F537B9">
        <w:rPr>
          <w:noProof/>
        </w:rPr>
        <w:t xml:space="preserve"> k </w:t>
      </w:r>
      <w:r w:rsidRPr="00F537B9">
        <w:rPr>
          <w:noProof/>
        </w:rPr>
        <w:t>svojim príslušným príspevkom,</w:t>
      </w:r>
      <w:r w:rsidR="00F537B9">
        <w:rPr>
          <w:noProof/>
        </w:rPr>
        <w:t xml:space="preserve"> a </w:t>
      </w:r>
      <w:r w:rsidRPr="00F537B9">
        <w:rPr>
          <w:noProof/>
        </w:rPr>
        <w:t>tak by bola obojstranná metóda vhodnejšia. Okrem toho, keďže tieto príspevky sú jedinečné</w:t>
      </w:r>
      <w:r w:rsidR="00F537B9">
        <w:rPr>
          <w:noProof/>
        </w:rPr>
        <w:t xml:space="preserve"> a </w:t>
      </w:r>
      <w:r w:rsidRPr="00F537B9">
        <w:rPr>
          <w:noProof/>
        </w:rPr>
        <w:t>cenné, nebudú existovať žiadne spoľahlivé informácie vo forme porovnateľných údajov, ktoré by sa mohli použiť na stanovenie ceny transakcie spoľahlivejším spôsobom použitím inej metódy</w:t>
      </w:r>
      <w:r w:rsidR="00F537B9">
        <w:rPr>
          <w:noProof/>
        </w:rPr>
        <w:t>.</w:t>
      </w:r>
    </w:p>
    <w:p w14:paraId="5AB73547" w14:textId="19C64738" w:rsidR="00A62D61" w:rsidRPr="00F537B9" w:rsidRDefault="00A62D61" w:rsidP="00A62D61">
      <w:pPr>
        <w:pBdr>
          <w:top w:val="nil"/>
          <w:left w:val="nil"/>
          <w:bottom w:val="nil"/>
          <w:right w:val="nil"/>
          <w:between w:val="nil"/>
          <w:bar w:val="nil"/>
        </w:pBdr>
        <w:spacing w:before="0" w:after="240"/>
        <w:rPr>
          <w:rFonts w:eastAsia="Arial Unicode MS"/>
          <w:noProof/>
          <w:spacing w:val="-4"/>
        </w:rPr>
      </w:pPr>
      <w:r w:rsidRPr="00F537B9">
        <w:rPr>
          <w:noProof/>
          <w:spacing w:val="-4"/>
        </w:rPr>
        <w:t>Jednostranné metódy sú vhodné</w:t>
      </w:r>
      <w:r w:rsidR="00F537B9" w:rsidRPr="00F537B9">
        <w:rPr>
          <w:noProof/>
          <w:spacing w:val="-4"/>
        </w:rPr>
        <w:t xml:space="preserve"> v </w:t>
      </w:r>
      <w:r w:rsidRPr="00F537B9">
        <w:rPr>
          <w:noProof/>
          <w:spacing w:val="-4"/>
        </w:rPr>
        <w:t>prípadoch, keď jedna zo strán poskytne všetky jedinečné</w:t>
      </w:r>
      <w:r w:rsidR="00F537B9" w:rsidRPr="00F537B9">
        <w:rPr>
          <w:noProof/>
          <w:spacing w:val="-4"/>
        </w:rPr>
        <w:t xml:space="preserve"> a </w:t>
      </w:r>
      <w:r w:rsidRPr="00F537B9">
        <w:rPr>
          <w:noProof/>
          <w:spacing w:val="-4"/>
        </w:rPr>
        <w:t>hodnotné príspevky súvisiace</w:t>
      </w:r>
      <w:r w:rsidR="00F537B9" w:rsidRPr="00F537B9">
        <w:rPr>
          <w:noProof/>
          <w:spacing w:val="-4"/>
        </w:rPr>
        <w:t xml:space="preserve"> s </w:t>
      </w:r>
      <w:r w:rsidRPr="00F537B9">
        <w:rPr>
          <w:noProof/>
          <w:spacing w:val="-4"/>
        </w:rPr>
        <w:t>kontrolovanou transakciou, zatiaľ čo druhá strana neposkytne žiaden jedinečný</w:t>
      </w:r>
      <w:r w:rsidR="00F537B9" w:rsidRPr="00F537B9">
        <w:rPr>
          <w:noProof/>
          <w:spacing w:val="-4"/>
        </w:rPr>
        <w:t xml:space="preserve"> a </w:t>
      </w:r>
      <w:r w:rsidRPr="00F537B9">
        <w:rPr>
          <w:noProof/>
          <w:spacing w:val="-4"/>
        </w:rPr>
        <w:t>cenný príspevok.</w:t>
      </w:r>
      <w:r w:rsidR="00F537B9" w:rsidRPr="00F537B9">
        <w:rPr>
          <w:noProof/>
          <w:spacing w:val="-4"/>
        </w:rPr>
        <w:t xml:space="preserve"> V </w:t>
      </w:r>
      <w:r w:rsidRPr="00F537B9">
        <w:rPr>
          <w:noProof/>
          <w:spacing w:val="-4"/>
        </w:rPr>
        <w:t>takom prípade by testovanou stranou mala byť tá, na ktorú možno najspoľahlivejším spôsobom uplatniť metódu transferového oceňovania</w:t>
      </w:r>
      <w:r w:rsidR="00F537B9" w:rsidRPr="00F537B9">
        <w:rPr>
          <w:noProof/>
          <w:spacing w:val="-4"/>
        </w:rPr>
        <w:t xml:space="preserve"> a </w:t>
      </w:r>
      <w:r w:rsidRPr="00F537B9">
        <w:rPr>
          <w:noProof/>
          <w:spacing w:val="-4"/>
        </w:rPr>
        <w:t>pre ktorú možno nájsť najspoľahlivejšie porovnateľné údaje. Strana, ktorá</w:t>
      </w:r>
      <w:r w:rsidR="00F537B9" w:rsidRPr="00F537B9">
        <w:rPr>
          <w:noProof/>
          <w:spacing w:val="-4"/>
        </w:rPr>
        <w:t xml:space="preserve"> v </w:t>
      </w:r>
      <w:r w:rsidRPr="00F537B9">
        <w:rPr>
          <w:noProof/>
          <w:spacing w:val="-4"/>
        </w:rPr>
        <w:t>súvislosti</w:t>
      </w:r>
      <w:r w:rsidR="00F537B9" w:rsidRPr="00F537B9">
        <w:rPr>
          <w:noProof/>
          <w:spacing w:val="-4"/>
        </w:rPr>
        <w:t xml:space="preserve"> s </w:t>
      </w:r>
      <w:r w:rsidRPr="00F537B9">
        <w:rPr>
          <w:noProof/>
          <w:spacing w:val="-4"/>
        </w:rPr>
        <w:t>príslušnou transakciou neposkytuje žiadny jedinečný</w:t>
      </w:r>
      <w:r w:rsidR="00F537B9" w:rsidRPr="00F537B9">
        <w:rPr>
          <w:noProof/>
          <w:spacing w:val="-4"/>
        </w:rPr>
        <w:t xml:space="preserve"> a </w:t>
      </w:r>
      <w:r w:rsidRPr="00F537B9">
        <w:rPr>
          <w:noProof/>
          <w:spacing w:val="-4"/>
        </w:rPr>
        <w:t>hodnotný príspevok, bude najčastejšie tou, na ktorú možno najspoľahlivejšie uplatniť jednostrannú metódu transferového oceňovania.</w:t>
      </w:r>
    </w:p>
    <w:p w14:paraId="4183DC9B" w14:textId="77777777" w:rsidR="001B017B" w:rsidRPr="00F537B9" w:rsidRDefault="001B017B" w:rsidP="00E07B7C">
      <w:pPr>
        <w:pBdr>
          <w:top w:val="nil"/>
          <w:left w:val="nil"/>
          <w:bottom w:val="nil"/>
          <w:right w:val="nil"/>
          <w:between w:val="nil"/>
          <w:bar w:val="nil"/>
        </w:pBdr>
        <w:spacing w:before="0" w:after="240"/>
        <w:rPr>
          <w:rFonts w:eastAsia="Arial Unicode MS"/>
          <w:i/>
          <w:iCs/>
          <w:noProof/>
        </w:rPr>
      </w:pPr>
      <w:r w:rsidRPr="00F537B9">
        <w:rPr>
          <w:i/>
          <w:noProof/>
        </w:rPr>
        <w:t>Analýza porovnateľnosti</w:t>
      </w:r>
    </w:p>
    <w:p w14:paraId="7AB2EACA" w14:textId="77777777" w:rsidR="00A62D61" w:rsidRPr="00F537B9" w:rsidRDefault="007C7061" w:rsidP="00A62D61">
      <w:pPr>
        <w:pBdr>
          <w:top w:val="nil"/>
          <w:left w:val="nil"/>
          <w:bottom w:val="nil"/>
          <w:right w:val="nil"/>
          <w:between w:val="nil"/>
          <w:bar w:val="nil"/>
        </w:pBdr>
        <w:spacing w:before="0" w:after="240"/>
        <w:rPr>
          <w:rFonts w:eastAsia="Arial Unicode MS"/>
          <w:noProof/>
        </w:rPr>
      </w:pPr>
      <w:r w:rsidRPr="00F537B9">
        <w:rPr>
          <w:noProof/>
        </w:rPr>
        <w:t>Základom pre uplatňovanie princípu nezávislého vzťahu je analýza porovnateľnosti.</w:t>
      </w:r>
    </w:p>
    <w:p w14:paraId="3465EA78" w14:textId="1857311B" w:rsidR="00F537B9" w:rsidRDefault="00A62D61" w:rsidP="00A62D61">
      <w:pPr>
        <w:pBdr>
          <w:top w:val="nil"/>
          <w:left w:val="nil"/>
          <w:bottom w:val="nil"/>
          <w:right w:val="nil"/>
          <w:between w:val="nil"/>
          <w:bar w:val="nil"/>
        </w:pBdr>
        <w:spacing w:before="0" w:after="240"/>
        <w:rPr>
          <w:noProof/>
        </w:rPr>
      </w:pPr>
      <w:r w:rsidRPr="00F537B9">
        <w:rPr>
          <w:noProof/>
        </w:rPr>
        <w:t>Na uplatnenie princípu nezávislého vzťahu je potrebné vykonať analýzu porovnateľnosti, ktorá sa vo všeobecnosti skladá</w:t>
      </w:r>
      <w:r w:rsidR="00F537B9">
        <w:rPr>
          <w:noProof/>
        </w:rPr>
        <w:t xml:space="preserve"> z </w:t>
      </w:r>
      <w:r w:rsidRPr="00F537B9">
        <w:rPr>
          <w:noProof/>
        </w:rPr>
        <w:t>dvoch kľúčových aspektov: i) určenie obchodných alebo finančných vzťahov medzi pridruženými podnikmi, ako aj podmienok</w:t>
      </w:r>
      <w:r w:rsidR="00F537B9">
        <w:rPr>
          <w:noProof/>
        </w:rPr>
        <w:t xml:space="preserve"> a </w:t>
      </w:r>
      <w:r w:rsidRPr="00F537B9">
        <w:rPr>
          <w:noProof/>
        </w:rPr>
        <w:t>hospodársky významných okolností spätých</w:t>
      </w:r>
      <w:r w:rsidR="00F537B9">
        <w:rPr>
          <w:noProof/>
        </w:rPr>
        <w:t xml:space="preserve"> s </w:t>
      </w:r>
      <w:r w:rsidRPr="00F537B9">
        <w:rPr>
          <w:noProof/>
        </w:rPr>
        <w:t>týmito vzťahmi</w:t>
      </w:r>
      <w:r w:rsidR="00F537B9">
        <w:rPr>
          <w:noProof/>
        </w:rPr>
        <w:t xml:space="preserve"> a </w:t>
      </w:r>
      <w:r w:rsidRPr="00F537B9">
        <w:rPr>
          <w:noProof/>
        </w:rPr>
        <w:t>ii) porovnanie podmienok</w:t>
      </w:r>
      <w:r w:rsidR="00F537B9">
        <w:rPr>
          <w:noProof/>
        </w:rPr>
        <w:t xml:space="preserve"> a </w:t>
      </w:r>
      <w:r w:rsidRPr="00F537B9">
        <w:rPr>
          <w:noProof/>
        </w:rPr>
        <w:t>hospodársky významných okolností transakcií medzi pridruženými podnikmi (kontrolované transakcie)</w:t>
      </w:r>
      <w:r w:rsidR="00F537B9">
        <w:rPr>
          <w:noProof/>
        </w:rPr>
        <w:t xml:space="preserve"> s </w:t>
      </w:r>
      <w:r w:rsidRPr="00F537B9">
        <w:rPr>
          <w:noProof/>
        </w:rPr>
        <w:t>podmienkami</w:t>
      </w:r>
      <w:r w:rsidR="00F537B9">
        <w:rPr>
          <w:noProof/>
        </w:rPr>
        <w:t xml:space="preserve"> a </w:t>
      </w:r>
      <w:r w:rsidRPr="00F537B9">
        <w:rPr>
          <w:noProof/>
        </w:rPr>
        <w:t>hospodársky významnými okolnosťami porovnateľných transakcií medzi nezávislými podnikmi (porovnateľné nekontrolované transakcie)</w:t>
      </w:r>
      <w:r w:rsidR="00F537B9">
        <w:rPr>
          <w:noProof/>
        </w:rPr>
        <w:t>.</w:t>
      </w:r>
    </w:p>
    <w:p w14:paraId="00A44FC7" w14:textId="79A5AFE8" w:rsidR="00F537B9" w:rsidRPr="00F537B9" w:rsidRDefault="00A62D61" w:rsidP="00A62D61">
      <w:pPr>
        <w:pBdr>
          <w:top w:val="nil"/>
          <w:left w:val="nil"/>
          <w:bottom w:val="nil"/>
          <w:right w:val="nil"/>
          <w:between w:val="nil"/>
          <w:bar w:val="nil"/>
        </w:pBdr>
        <w:spacing w:before="0" w:after="240"/>
        <w:rPr>
          <w:noProof/>
          <w:spacing w:val="-4"/>
        </w:rPr>
      </w:pPr>
      <w:r w:rsidRPr="00F537B9">
        <w:rPr>
          <w:noProof/>
          <w:spacing w:val="-4"/>
        </w:rPr>
        <w:t>Pokiaľ ide</w:t>
      </w:r>
      <w:r w:rsidR="00F537B9" w:rsidRPr="00F537B9">
        <w:rPr>
          <w:noProof/>
          <w:spacing w:val="-4"/>
        </w:rPr>
        <w:t xml:space="preserve"> o </w:t>
      </w:r>
      <w:r w:rsidRPr="00F537B9">
        <w:rPr>
          <w:noProof/>
          <w:spacing w:val="-4"/>
        </w:rPr>
        <w:t>prvý aspekt,</w:t>
      </w:r>
      <w:r w:rsidR="00F537B9" w:rsidRPr="00F537B9">
        <w:rPr>
          <w:noProof/>
          <w:spacing w:val="-4"/>
        </w:rPr>
        <w:t xml:space="preserve"> v </w:t>
      </w:r>
      <w:r w:rsidRPr="00F537B9">
        <w:rPr>
          <w:noProof/>
          <w:spacing w:val="-4"/>
        </w:rPr>
        <w:t>článku 11 sa stanovujú faktory porovnateľnosti, ktoré by členské štáty mali zohľadniť pri určovaní okolností kontrolovanej transakcie. Týmito faktormi sú zmluvné podmienky transakcie, funkčná analýza (funkcie, ktoré každý podnik vykonáva,</w:t>
      </w:r>
      <w:r w:rsidR="00F537B9" w:rsidRPr="00F537B9">
        <w:rPr>
          <w:noProof/>
          <w:spacing w:val="-4"/>
        </w:rPr>
        <w:t xml:space="preserve"> s </w:t>
      </w:r>
      <w:r w:rsidRPr="00F537B9">
        <w:rPr>
          <w:noProof/>
          <w:spacing w:val="-4"/>
        </w:rPr>
        <w:t>prihliadnutím na použité aktíva</w:t>
      </w:r>
      <w:r w:rsidR="00F537B9" w:rsidRPr="00F537B9">
        <w:rPr>
          <w:noProof/>
          <w:spacing w:val="-4"/>
        </w:rPr>
        <w:t xml:space="preserve"> a </w:t>
      </w:r>
      <w:r w:rsidRPr="00F537B9">
        <w:rPr>
          <w:noProof/>
          <w:spacing w:val="-4"/>
        </w:rPr>
        <w:t>znášané riziká), charakteristické znaky produktu alebo služby, ktoré sú predmetom transakcie, hospodárske podmienky</w:t>
      </w:r>
      <w:r w:rsidR="00F537B9" w:rsidRPr="00F537B9">
        <w:rPr>
          <w:noProof/>
          <w:spacing w:val="-4"/>
        </w:rPr>
        <w:t xml:space="preserve"> a </w:t>
      </w:r>
      <w:r w:rsidRPr="00F537B9">
        <w:rPr>
          <w:noProof/>
          <w:spacing w:val="-4"/>
        </w:rPr>
        <w:t>obchodné stratégie. Po zistení okolností kontrolovanej transakcie sa musí uskutočniť samotné porovnanie</w:t>
      </w:r>
      <w:r w:rsidR="00F537B9" w:rsidRPr="00F537B9">
        <w:rPr>
          <w:noProof/>
          <w:spacing w:val="-4"/>
        </w:rPr>
        <w:t xml:space="preserve"> a </w:t>
      </w:r>
      <w:r w:rsidRPr="00F537B9">
        <w:rPr>
          <w:noProof/>
          <w:spacing w:val="-4"/>
        </w:rPr>
        <w:t>posúdenie toho, či transakcia vychádza</w:t>
      </w:r>
      <w:r w:rsidR="00F537B9" w:rsidRPr="00F537B9">
        <w:rPr>
          <w:noProof/>
          <w:spacing w:val="-4"/>
        </w:rPr>
        <w:t xml:space="preserve"> z </w:t>
      </w:r>
      <w:r w:rsidRPr="00F537B9">
        <w:rPr>
          <w:noProof/>
          <w:spacing w:val="-4"/>
        </w:rPr>
        <w:t>princípu nezávislého vzťahu. Na tento účel je potrebné určiť, aká hodnota bude predmetom porovnania (t. j. musí sa zvoliť metóda transferového oceňovania)</w:t>
      </w:r>
      <w:r w:rsidR="00F537B9" w:rsidRPr="00F537B9">
        <w:rPr>
          <w:noProof/>
          <w:spacing w:val="-4"/>
        </w:rPr>
        <w:t xml:space="preserve"> a s </w:t>
      </w:r>
      <w:r w:rsidRPr="00F537B9">
        <w:rPr>
          <w:noProof/>
          <w:spacing w:val="-4"/>
        </w:rPr>
        <w:t>čím sa bude porovnávať (t. j. treba určiť prípadnú porovnateľnú nekontrolovanú transakciu)</w:t>
      </w:r>
      <w:r w:rsidR="00F537B9" w:rsidRPr="00F537B9">
        <w:rPr>
          <w:noProof/>
          <w:spacing w:val="-4"/>
        </w:rPr>
        <w:t>.</w:t>
      </w:r>
    </w:p>
    <w:p w14:paraId="4F29826D" w14:textId="1A051E22" w:rsidR="00A62D61" w:rsidRPr="00F537B9" w:rsidRDefault="00A62D61" w:rsidP="00A62D61">
      <w:pPr>
        <w:pBdr>
          <w:top w:val="nil"/>
          <w:left w:val="nil"/>
          <w:bottom w:val="nil"/>
          <w:right w:val="nil"/>
          <w:between w:val="nil"/>
          <w:bar w:val="nil"/>
        </w:pBdr>
        <w:spacing w:before="0" w:after="240"/>
        <w:rPr>
          <w:rFonts w:eastAsia="Arial Unicode MS"/>
          <w:noProof/>
        </w:rPr>
      </w:pPr>
      <w:r w:rsidRPr="00F537B9">
        <w:rPr>
          <w:noProof/>
        </w:rPr>
        <w:t>Kontrolovaná</w:t>
      </w:r>
      <w:r w:rsidR="00F537B9">
        <w:rPr>
          <w:noProof/>
        </w:rPr>
        <w:t xml:space="preserve"> a </w:t>
      </w:r>
      <w:r w:rsidRPr="00F537B9">
        <w:rPr>
          <w:noProof/>
        </w:rPr>
        <w:t>nekontrolovaná transakcia sa považujú za porovnateľné, ak sú ekonomicky relevantné charakteristické znaky týchto dvoch transakcií</w:t>
      </w:r>
      <w:r w:rsidR="00F537B9">
        <w:rPr>
          <w:noProof/>
        </w:rPr>
        <w:t xml:space="preserve"> a </w:t>
      </w:r>
      <w:r w:rsidRPr="00F537B9">
        <w:rPr>
          <w:noProof/>
        </w:rPr>
        <w:t>ich okolnosti dostatočne podobné na to, aby umožnili spoľahlivé meranie nezávislého výsledku.</w:t>
      </w:r>
    </w:p>
    <w:p w14:paraId="067D5D74" w14:textId="5B129A9A" w:rsidR="00A62D61" w:rsidRPr="00F537B9" w:rsidRDefault="00A62D61" w:rsidP="00A62D61">
      <w:pPr>
        <w:pBdr>
          <w:top w:val="nil"/>
          <w:left w:val="nil"/>
          <w:bottom w:val="nil"/>
          <w:right w:val="nil"/>
          <w:between w:val="nil"/>
          <w:bar w:val="nil"/>
        </w:pBdr>
        <w:spacing w:before="0" w:after="240"/>
        <w:rPr>
          <w:rFonts w:eastAsia="Arial Unicode MS"/>
          <w:noProof/>
        </w:rPr>
      </w:pPr>
      <w:r w:rsidRPr="00F537B9">
        <w:rPr>
          <w:noProof/>
        </w:rPr>
        <w:t>Tieto dve transakcie nemusia byť nevyhnutne identické na to, aby boli porovnateľné. Naopak, žiadny</w:t>
      </w:r>
      <w:r w:rsidR="00F537B9">
        <w:rPr>
          <w:noProof/>
        </w:rPr>
        <w:t xml:space="preserve"> z </w:t>
      </w:r>
      <w:r w:rsidRPr="00F537B9">
        <w:rPr>
          <w:noProof/>
        </w:rPr>
        <w:t>rozdielov medzi nimi by nemal významne ovplyvniť nezávislú trhovú cenu alebo zisk; ak existujú takéto podstatné rozdiely, mali by sa vykonať dostatočne presné úpravy, aby sa odstránil ich účinok.</w:t>
      </w:r>
    </w:p>
    <w:p w14:paraId="1276D40E" w14:textId="2BBC7EFB" w:rsidR="00A62D61" w:rsidRPr="00F537B9" w:rsidRDefault="00A62D61" w:rsidP="00A62D61">
      <w:pPr>
        <w:pBdr>
          <w:top w:val="nil"/>
          <w:left w:val="nil"/>
          <w:bottom w:val="nil"/>
          <w:right w:val="nil"/>
          <w:between w:val="nil"/>
          <w:bar w:val="nil"/>
        </w:pBdr>
        <w:spacing w:before="0" w:after="240"/>
        <w:rPr>
          <w:rFonts w:eastAsia="Arial Unicode MS"/>
          <w:noProof/>
        </w:rPr>
      </w:pPr>
      <w:r w:rsidRPr="00F537B9">
        <w:rPr>
          <w:noProof/>
        </w:rPr>
        <w:t>Tieto úpravy (ktoré sa označujú ako „úpravy na účely porovnateľnosti“) sa majú vykonať len vtedy, ak je možné zistiť vplyv významných rozdielov na cenu alebo zisky</w:t>
      </w:r>
      <w:r w:rsidR="00F537B9">
        <w:rPr>
          <w:noProof/>
        </w:rPr>
        <w:t xml:space="preserve"> s </w:t>
      </w:r>
      <w:r w:rsidRPr="00F537B9">
        <w:rPr>
          <w:noProof/>
        </w:rPr>
        <w:t>dostatočnou presnosťou na zvýšenie spoľahlivosti výsledkov.</w:t>
      </w:r>
    </w:p>
    <w:p w14:paraId="0793478E" w14:textId="2E14EAFD" w:rsidR="00F537B9" w:rsidRDefault="00A62D61" w:rsidP="00A62D61">
      <w:pPr>
        <w:pBdr>
          <w:top w:val="nil"/>
          <w:left w:val="nil"/>
          <w:bottom w:val="nil"/>
          <w:right w:val="nil"/>
          <w:between w:val="nil"/>
          <w:bar w:val="nil"/>
        </w:pBdr>
        <w:spacing w:before="0" w:after="240"/>
        <w:rPr>
          <w:noProof/>
        </w:rPr>
      </w:pPr>
      <w:r w:rsidRPr="00F537B9">
        <w:rPr>
          <w:noProof/>
        </w:rPr>
        <w:t>V článku 11 sa ďalej uvádza, že by členské štáty mali zabezpečiť, aby sa pri vyhľadávaní porovnateľných nekontrolovaných transakcií vychádzalo zo zásady transparentnosti. To znamená, že daňovníci by mali odôvodniť</w:t>
      </w:r>
      <w:r w:rsidR="00F537B9">
        <w:rPr>
          <w:noProof/>
        </w:rPr>
        <w:t xml:space="preserve"> a </w:t>
      </w:r>
      <w:r w:rsidRPr="00F537B9">
        <w:rPr>
          <w:noProof/>
        </w:rPr>
        <w:t>zdokumentovať kroky vyhľadávania vo vzťahu</w:t>
      </w:r>
      <w:r w:rsidR="00F537B9">
        <w:rPr>
          <w:noProof/>
        </w:rPr>
        <w:t xml:space="preserve"> k </w:t>
      </w:r>
      <w:r w:rsidRPr="00F537B9">
        <w:rPr>
          <w:noProof/>
        </w:rPr>
        <w:t>daňovej správe a, symetricky, že daňová správa by pri príprave alebo napadnutí takýchto vyhľadávaní mala pre tieto kroky daňovníkovi poskytnúť relevantné informácie</w:t>
      </w:r>
      <w:r w:rsidR="00F537B9">
        <w:rPr>
          <w:noProof/>
        </w:rPr>
        <w:t>.</w:t>
      </w:r>
    </w:p>
    <w:p w14:paraId="089DAA59" w14:textId="017B462E" w:rsidR="001B017B" w:rsidRPr="00F537B9" w:rsidRDefault="00A62D61" w:rsidP="00A62D61">
      <w:pPr>
        <w:pBdr>
          <w:top w:val="nil"/>
          <w:left w:val="nil"/>
          <w:bottom w:val="nil"/>
          <w:right w:val="nil"/>
          <w:between w:val="nil"/>
          <w:bar w:val="nil"/>
        </w:pBdr>
        <w:spacing w:before="0" w:after="240"/>
        <w:rPr>
          <w:rFonts w:eastAsia="Arial Unicode MS"/>
          <w:noProof/>
          <w:spacing w:val="-4"/>
        </w:rPr>
      </w:pPr>
      <w:r w:rsidRPr="00F537B9">
        <w:rPr>
          <w:noProof/>
          <w:spacing w:val="-4"/>
        </w:rPr>
        <w:t>Pri vyhľadávaní porovnateľných nekontrolovaných transakcií by sa mali náležite zohľadniť odporúčania obsiahnuté</w:t>
      </w:r>
      <w:r w:rsidR="00F537B9" w:rsidRPr="00F537B9">
        <w:rPr>
          <w:noProof/>
          <w:spacing w:val="-4"/>
        </w:rPr>
        <w:t xml:space="preserve"> v </w:t>
      </w:r>
      <w:r w:rsidRPr="00F537B9">
        <w:rPr>
          <w:noProof/>
          <w:spacing w:val="-4"/>
        </w:rPr>
        <w:t>správe JTPF/007/2016/FINAL/EN</w:t>
      </w:r>
      <w:r w:rsidRPr="00F537B9">
        <w:rPr>
          <w:rStyle w:val="FootnoteReference"/>
          <w:rFonts w:eastAsia="Arial Unicode MS"/>
          <w:noProof/>
          <w:spacing w:val="-4"/>
        </w:rPr>
        <w:footnoteReference w:id="28"/>
      </w:r>
      <w:r w:rsidR="00F537B9" w:rsidRPr="00F537B9">
        <w:rPr>
          <w:noProof/>
          <w:spacing w:val="-4"/>
        </w:rPr>
        <w:t xml:space="preserve"> o </w:t>
      </w:r>
      <w:r w:rsidRPr="00F537B9">
        <w:rPr>
          <w:noProof/>
          <w:spacing w:val="-4"/>
        </w:rPr>
        <w:t>používaní porovnateľných údajov</w:t>
      </w:r>
      <w:r w:rsidR="00F537B9" w:rsidRPr="00F537B9">
        <w:rPr>
          <w:noProof/>
          <w:spacing w:val="-4"/>
        </w:rPr>
        <w:t xml:space="preserve"> v </w:t>
      </w:r>
      <w:r w:rsidRPr="00F537B9">
        <w:rPr>
          <w:noProof/>
          <w:spacing w:val="-4"/>
        </w:rPr>
        <w:t>rámci EÚ, ktorú</w:t>
      </w:r>
      <w:r w:rsidR="00F537B9" w:rsidRPr="00F537B9">
        <w:rPr>
          <w:noProof/>
          <w:spacing w:val="-4"/>
        </w:rPr>
        <w:t xml:space="preserve"> v </w:t>
      </w:r>
      <w:r w:rsidRPr="00F537B9">
        <w:rPr>
          <w:noProof/>
          <w:spacing w:val="-4"/>
        </w:rPr>
        <w:t>roku 2016 schválilo Spoločné fórum EÚ pre transferové oceňovanie.</w:t>
      </w:r>
    </w:p>
    <w:p w14:paraId="26A12221" w14:textId="77777777" w:rsidR="00F537B9" w:rsidRDefault="00F42A48" w:rsidP="00E07B7C">
      <w:pPr>
        <w:pBdr>
          <w:top w:val="nil"/>
          <w:left w:val="nil"/>
          <w:bottom w:val="nil"/>
          <w:right w:val="nil"/>
          <w:between w:val="nil"/>
          <w:bar w:val="nil"/>
        </w:pBdr>
        <w:spacing w:before="0" w:after="240"/>
        <w:rPr>
          <w:i/>
          <w:noProof/>
        </w:rPr>
      </w:pPr>
      <w:r w:rsidRPr="00F537B9">
        <w:rPr>
          <w:i/>
          <w:noProof/>
        </w:rPr>
        <w:t>Stanovenie rozpätia hodnôt</w:t>
      </w:r>
      <w:r w:rsidR="00F537B9">
        <w:rPr>
          <w:i/>
          <w:noProof/>
        </w:rPr>
        <w:t xml:space="preserve"> v </w:t>
      </w:r>
      <w:r w:rsidRPr="00F537B9">
        <w:rPr>
          <w:i/>
          <w:noProof/>
        </w:rPr>
        <w:t>rámci nezávislého vzťahu</w:t>
      </w:r>
    </w:p>
    <w:p w14:paraId="2B7D258B" w14:textId="511E03DD" w:rsidR="00F537B9" w:rsidRDefault="00AE4437" w:rsidP="00E13693">
      <w:pPr>
        <w:rPr>
          <w:noProof/>
        </w:rPr>
      </w:pPr>
      <w:r w:rsidRPr="00F537B9">
        <w:rPr>
          <w:noProof/>
        </w:rPr>
        <w:t>V niektorých prípadoch použitie metódy oceňovania prinesie jediný výsledok, ktorý predstavuje najspoľahlivejšie meranie nezávislého výsledku.</w:t>
      </w:r>
      <w:r w:rsidR="00F537B9">
        <w:rPr>
          <w:noProof/>
        </w:rPr>
        <w:t xml:space="preserve"> V </w:t>
      </w:r>
      <w:r w:rsidRPr="00F537B9">
        <w:rPr>
          <w:noProof/>
        </w:rPr>
        <w:t>iných prípadoch možno použitím metódy dospieť</w:t>
      </w:r>
      <w:r w:rsidR="00F537B9">
        <w:rPr>
          <w:noProof/>
        </w:rPr>
        <w:t xml:space="preserve"> k </w:t>
      </w:r>
      <w:r w:rsidRPr="00F537B9">
        <w:rPr>
          <w:noProof/>
        </w:rPr>
        <w:t>viacerým výsledkom,</w:t>
      </w:r>
      <w:r w:rsidR="00F537B9">
        <w:rPr>
          <w:noProof/>
        </w:rPr>
        <w:t xml:space="preserve"> z </w:t>
      </w:r>
      <w:r w:rsidRPr="00F537B9">
        <w:rPr>
          <w:noProof/>
        </w:rPr>
        <w:t>ktorých možno odvodiť celý rad spoľahlivých výsledkov.</w:t>
      </w:r>
      <w:r w:rsidR="00F537B9">
        <w:rPr>
          <w:noProof/>
        </w:rPr>
        <w:t xml:space="preserve"> V </w:t>
      </w:r>
      <w:r w:rsidRPr="00F537B9">
        <w:rPr>
          <w:noProof/>
        </w:rPr>
        <w:t>súlade</w:t>
      </w:r>
      <w:r w:rsidR="00F537B9">
        <w:rPr>
          <w:noProof/>
        </w:rPr>
        <w:t xml:space="preserve"> s </w:t>
      </w:r>
      <w:r w:rsidRPr="00F537B9">
        <w:rPr>
          <w:noProof/>
        </w:rPr>
        <w:t>najlepšími medzinárodnými postupmi sa</w:t>
      </w:r>
      <w:r w:rsidR="00F537B9">
        <w:rPr>
          <w:noProof/>
        </w:rPr>
        <w:t xml:space="preserve"> v </w:t>
      </w:r>
      <w:r w:rsidRPr="00F537B9">
        <w:rPr>
          <w:noProof/>
        </w:rPr>
        <w:t>článku 12 stanovuje, že ak sa uplatnením najvhodnejšej metódy dospeje</w:t>
      </w:r>
      <w:r w:rsidR="00F537B9">
        <w:rPr>
          <w:noProof/>
        </w:rPr>
        <w:t xml:space="preserve"> k </w:t>
      </w:r>
      <w:r w:rsidRPr="00F537B9">
        <w:rPr>
          <w:noProof/>
        </w:rPr>
        <w:t>rozpätiu hodnôt, rozpätie hodnôt</w:t>
      </w:r>
      <w:r w:rsidR="00F537B9">
        <w:rPr>
          <w:noProof/>
        </w:rPr>
        <w:t xml:space="preserve"> v </w:t>
      </w:r>
      <w:r w:rsidRPr="00F537B9">
        <w:rPr>
          <w:noProof/>
        </w:rPr>
        <w:t>rámci nezávislého vzťahu sa musí určiť pomocou medzikvartilového rozpätia. Medzikvartilové rozpätie je rozpätie medzi 25</w:t>
      </w:r>
      <w:r w:rsidR="00F537B9">
        <w:rPr>
          <w:noProof/>
        </w:rPr>
        <w:t>. a </w:t>
      </w:r>
      <w:r w:rsidRPr="00F537B9">
        <w:rPr>
          <w:noProof/>
        </w:rPr>
        <w:t>75. percentilom výsledkov získaných</w:t>
      </w:r>
      <w:r w:rsidR="00F537B9">
        <w:rPr>
          <w:noProof/>
        </w:rPr>
        <w:t xml:space="preserve"> z </w:t>
      </w:r>
      <w:r w:rsidRPr="00F537B9">
        <w:rPr>
          <w:noProof/>
        </w:rPr>
        <w:t>porovnateľných údajov</w:t>
      </w:r>
      <w:r w:rsidR="00F537B9">
        <w:rPr>
          <w:noProof/>
        </w:rPr>
        <w:t xml:space="preserve"> z </w:t>
      </w:r>
      <w:r w:rsidRPr="00F537B9">
        <w:rPr>
          <w:noProof/>
        </w:rPr>
        <w:t>nekontrolovaných transakcií</w:t>
      </w:r>
      <w:r w:rsidR="00F537B9">
        <w:rPr>
          <w:noProof/>
        </w:rPr>
        <w:t>.</w:t>
      </w:r>
    </w:p>
    <w:p w14:paraId="4DF53B78" w14:textId="0ED28451" w:rsidR="00AE4437" w:rsidRPr="00F537B9" w:rsidRDefault="00AE4437" w:rsidP="00E13693">
      <w:pPr>
        <w:rPr>
          <w:noProof/>
        </w:rPr>
      </w:pPr>
      <w:r w:rsidRPr="00F537B9">
        <w:rPr>
          <w:noProof/>
        </w:rPr>
        <w:t>V snahe minimalizovať spory</w:t>
      </w:r>
      <w:r w:rsidR="00F537B9">
        <w:rPr>
          <w:noProof/>
        </w:rPr>
        <w:t xml:space="preserve"> a </w:t>
      </w:r>
      <w:r w:rsidRPr="00F537B9">
        <w:rPr>
          <w:noProof/>
        </w:rPr>
        <w:t>zabezpečiť jednotný prístup</w:t>
      </w:r>
      <w:r w:rsidR="00F537B9">
        <w:rPr>
          <w:noProof/>
        </w:rPr>
        <w:t xml:space="preserve"> v </w:t>
      </w:r>
      <w:r w:rsidRPr="00F537B9">
        <w:rPr>
          <w:noProof/>
        </w:rPr>
        <w:t>celej Únii sa</w:t>
      </w:r>
      <w:r w:rsidR="00F537B9">
        <w:rPr>
          <w:noProof/>
        </w:rPr>
        <w:t xml:space="preserve"> v </w:t>
      </w:r>
      <w:r w:rsidRPr="00F537B9">
        <w:rPr>
          <w:noProof/>
        </w:rPr>
        <w:t>ustanovení ďalej stanovuje, že i) by sa na daňovníka nemala vzťahovať úprava, ak jeho výsledky patria do medzikvartilového rozpätia, pokiaľ daňová správa alebo daňovník nepreukáže, že určité iné umiestnenie na rozpätí je odôvodnené skutočnosťami</w:t>
      </w:r>
      <w:r w:rsidR="00F537B9">
        <w:rPr>
          <w:noProof/>
        </w:rPr>
        <w:t xml:space="preserve"> a </w:t>
      </w:r>
      <w:r w:rsidRPr="00F537B9">
        <w:rPr>
          <w:noProof/>
        </w:rPr>
        <w:t>okolnosťami konkrétneho prípadu; ii) ak výsledky kontrolovanej transakcie ležia mimo rozpätia hodnôt</w:t>
      </w:r>
      <w:r w:rsidR="00F537B9">
        <w:rPr>
          <w:noProof/>
        </w:rPr>
        <w:t xml:space="preserve"> v </w:t>
      </w:r>
      <w:r w:rsidRPr="00F537B9">
        <w:rPr>
          <w:noProof/>
        </w:rPr>
        <w:t>rámci nezávislého vzťahu, daňové správy musia vykonať úpravu na medián všetkých výsledkov, pokiaľ daňovník alebo daňová správa nepreukáže, že spoľahlivejšiu nezávislú trhovú cenu</w:t>
      </w:r>
      <w:r w:rsidR="00F537B9">
        <w:rPr>
          <w:noProof/>
        </w:rPr>
        <w:t xml:space="preserve"> v </w:t>
      </w:r>
      <w:r w:rsidRPr="00F537B9">
        <w:rPr>
          <w:noProof/>
        </w:rPr>
        <w:t>predmetnom prípade predstavuje iný bod rozpätia.</w:t>
      </w:r>
    </w:p>
    <w:p w14:paraId="53F74FE5" w14:textId="74218848" w:rsidR="00D6757A" w:rsidRPr="00F537B9" w:rsidRDefault="00D6757A" w:rsidP="00E13693">
      <w:pPr>
        <w:rPr>
          <w:i/>
          <w:iCs/>
          <w:noProof/>
        </w:rPr>
      </w:pPr>
      <w:r w:rsidRPr="00F537B9">
        <w:rPr>
          <w:i/>
          <w:noProof/>
        </w:rPr>
        <w:t>Dokumentácia</w:t>
      </w:r>
      <w:r w:rsidR="00F537B9">
        <w:rPr>
          <w:i/>
          <w:noProof/>
        </w:rPr>
        <w:t xml:space="preserve"> o </w:t>
      </w:r>
      <w:r w:rsidRPr="00F537B9">
        <w:rPr>
          <w:i/>
          <w:noProof/>
        </w:rPr>
        <w:t>transferovom oceňovaní</w:t>
      </w:r>
    </w:p>
    <w:p w14:paraId="51C0F435" w14:textId="1E3A9F99" w:rsidR="00D6757A" w:rsidRPr="00F537B9" w:rsidRDefault="001F5691" w:rsidP="00E13693">
      <w:pPr>
        <w:rPr>
          <w:noProof/>
        </w:rPr>
      </w:pPr>
      <w:r w:rsidRPr="00F537B9">
        <w:rPr>
          <w:noProof/>
        </w:rPr>
        <w:t>Hlavným prvkom dodržiavania predpisov pri transferovom oceňovaní je dokumentácia, ktorou sa preukazuje, že príslušné transakcie sú ocenené</w:t>
      </w:r>
      <w:r w:rsidR="00F537B9">
        <w:rPr>
          <w:noProof/>
        </w:rPr>
        <w:t xml:space="preserve"> v </w:t>
      </w:r>
      <w:r w:rsidRPr="00F537B9">
        <w:rPr>
          <w:noProof/>
        </w:rPr>
        <w:t>súlade</w:t>
      </w:r>
      <w:r w:rsidR="00F537B9">
        <w:rPr>
          <w:noProof/>
        </w:rPr>
        <w:t xml:space="preserve"> s </w:t>
      </w:r>
      <w:r w:rsidRPr="00F537B9">
        <w:rPr>
          <w:noProof/>
        </w:rPr>
        <w:t>princípom nezávislého vzťahu.</w:t>
      </w:r>
      <w:r w:rsidR="00F537B9">
        <w:rPr>
          <w:noProof/>
        </w:rPr>
        <w:t xml:space="preserve"> V </w:t>
      </w:r>
      <w:r w:rsidRPr="00F537B9">
        <w:rPr>
          <w:noProof/>
        </w:rPr>
        <w:t>prílohe 2 sú uvedené základné prvky pravidiel týkajúcich sa dokumentácie</w:t>
      </w:r>
      <w:r w:rsidR="00F537B9">
        <w:rPr>
          <w:noProof/>
        </w:rPr>
        <w:t xml:space="preserve"> a </w:t>
      </w:r>
      <w:r w:rsidRPr="00F537B9">
        <w:rPr>
          <w:noProof/>
        </w:rPr>
        <w:t>Komisia ich neskôr</w:t>
      </w:r>
      <w:r w:rsidR="00F537B9">
        <w:rPr>
          <w:noProof/>
        </w:rPr>
        <w:t xml:space="preserve"> v </w:t>
      </w:r>
      <w:r w:rsidRPr="00F537B9">
        <w:rPr>
          <w:noProof/>
        </w:rPr>
        <w:t>súlade</w:t>
      </w:r>
      <w:r w:rsidR="00F537B9">
        <w:rPr>
          <w:noProof/>
        </w:rPr>
        <w:t xml:space="preserve"> s </w:t>
      </w:r>
      <w:r w:rsidRPr="00F537B9">
        <w:rPr>
          <w:noProof/>
        </w:rPr>
        <w:t>ustanoveniami uvedenými</w:t>
      </w:r>
      <w:r w:rsidR="00F537B9">
        <w:rPr>
          <w:noProof/>
        </w:rPr>
        <w:t xml:space="preserve"> v </w:t>
      </w:r>
      <w:r w:rsidRPr="00F537B9">
        <w:rPr>
          <w:noProof/>
        </w:rPr>
        <w:t>článku 13 bližšie určí, aby sa prípadne doplnili také prvky, ako sú štandardné vzory, stanovenie druhu</w:t>
      </w:r>
      <w:r w:rsidR="00F537B9">
        <w:rPr>
          <w:noProof/>
        </w:rPr>
        <w:t xml:space="preserve"> a </w:t>
      </w:r>
      <w:r w:rsidRPr="00F537B9">
        <w:rPr>
          <w:noProof/>
        </w:rPr>
        <w:t>obsahu informácií</w:t>
      </w:r>
      <w:r w:rsidR="00F537B9">
        <w:rPr>
          <w:noProof/>
        </w:rPr>
        <w:t xml:space="preserve"> o </w:t>
      </w:r>
      <w:r w:rsidRPr="00F537B9">
        <w:rPr>
          <w:noProof/>
        </w:rPr>
        <w:t>transferovom oceňovaní, časové rámce, ktoré má dokumentácia pokryť, jazykové požiadavky</w:t>
      </w:r>
      <w:r w:rsidR="00F537B9">
        <w:rPr>
          <w:noProof/>
        </w:rPr>
        <w:t xml:space="preserve"> a </w:t>
      </w:r>
      <w:r w:rsidRPr="00F537B9">
        <w:rPr>
          <w:noProof/>
        </w:rPr>
        <w:t>daňovníci, na ktorých sa vzťahuje povinnosť dokumentácie.</w:t>
      </w:r>
    </w:p>
    <w:p w14:paraId="7265844B" w14:textId="692778E4" w:rsidR="005F42D4" w:rsidRPr="00F537B9" w:rsidRDefault="005F42D4" w:rsidP="00B3282D">
      <w:pPr>
        <w:pStyle w:val="Point1"/>
        <w:rPr>
          <w:b/>
          <w:bCs/>
          <w:noProof/>
        </w:rPr>
      </w:pPr>
      <w:r w:rsidRPr="00F537B9">
        <w:rPr>
          <w:b/>
          <w:noProof/>
        </w:rPr>
        <w:t>iii) Uplatňovanie princípu nezávislého vzťahu</w:t>
      </w:r>
      <w:r w:rsidR="00F537B9">
        <w:rPr>
          <w:b/>
          <w:noProof/>
        </w:rPr>
        <w:t xml:space="preserve"> a </w:t>
      </w:r>
      <w:r w:rsidRPr="00F537B9">
        <w:rPr>
          <w:b/>
          <w:noProof/>
        </w:rPr>
        <w:t>budúce spoločné pravidlá týkajúce sa konkrétnych otázok</w:t>
      </w:r>
    </w:p>
    <w:p w14:paraId="3B9138CB" w14:textId="1F342FE7" w:rsidR="00C0166C" w:rsidRPr="00F537B9" w:rsidRDefault="00C0166C" w:rsidP="00E07B7C">
      <w:pPr>
        <w:pBdr>
          <w:top w:val="nil"/>
          <w:left w:val="nil"/>
          <w:bottom w:val="nil"/>
          <w:right w:val="nil"/>
          <w:between w:val="nil"/>
          <w:bar w:val="nil"/>
        </w:pBdr>
        <w:spacing w:before="0" w:after="240"/>
        <w:rPr>
          <w:rFonts w:eastAsia="Arial Unicode MS"/>
          <w:noProof/>
        </w:rPr>
      </w:pPr>
      <w:r w:rsidRPr="00F537B9">
        <w:rPr>
          <w:noProof/>
        </w:rPr>
        <w:t>V snahe zabezpečiť spoločné uplatňovanie princípu nezávislého vzťahu bude pri uplatňovaní princípu nezávislého vzťahu</w:t>
      </w:r>
      <w:r w:rsidR="00F537B9">
        <w:rPr>
          <w:noProof/>
        </w:rPr>
        <w:t xml:space="preserve"> v </w:t>
      </w:r>
      <w:r w:rsidRPr="00F537B9">
        <w:rPr>
          <w:noProof/>
        </w:rPr>
        <w:t>členských štátoch záväzná najnovšia verzia smernice OECD</w:t>
      </w:r>
      <w:r w:rsidR="00F537B9">
        <w:rPr>
          <w:noProof/>
        </w:rPr>
        <w:t xml:space="preserve"> o </w:t>
      </w:r>
      <w:r w:rsidRPr="00F537B9">
        <w:rPr>
          <w:noProof/>
        </w:rPr>
        <w:t>transferovom oceňovaní. Keďže sa smernica OECD</w:t>
      </w:r>
      <w:r w:rsidR="00F537B9">
        <w:rPr>
          <w:noProof/>
        </w:rPr>
        <w:t xml:space="preserve"> o </w:t>
      </w:r>
      <w:r w:rsidRPr="00F537B9">
        <w:rPr>
          <w:noProof/>
        </w:rPr>
        <w:t xml:space="preserve">transferovom oceňovaní bude priebežne meniť, takáto nová smernica OECD by mala byť novým záväzným referenčným rámcom. </w:t>
      </w:r>
      <w:bookmarkStart w:id="4" w:name="_Hlk144819076"/>
      <w:r w:rsidRPr="00F537B9">
        <w:rPr>
          <w:noProof/>
        </w:rPr>
        <w:t>Aby sa zabezpečilo dodržiavanie takejto novej smernice OECD</w:t>
      </w:r>
      <w:r w:rsidR="00F537B9">
        <w:rPr>
          <w:noProof/>
        </w:rPr>
        <w:t xml:space="preserve"> v </w:t>
      </w:r>
      <w:r w:rsidRPr="00F537B9">
        <w:rPr>
          <w:noProof/>
        </w:rPr>
        <w:t>členských štátoch, mal by sa uplatňovať postup podľa článku 218 ods. 9 Zmluvy</w:t>
      </w:r>
      <w:r w:rsidR="00F537B9">
        <w:rPr>
          <w:noProof/>
        </w:rPr>
        <w:t xml:space="preserve"> o </w:t>
      </w:r>
      <w:r w:rsidRPr="00F537B9">
        <w:rPr>
          <w:noProof/>
        </w:rPr>
        <w:t>fungovaní Európskej únie. Komisia môže okrem toho takisto navrhnúť zmenu tejto smernice</w:t>
      </w:r>
      <w:r w:rsidR="00F537B9">
        <w:rPr>
          <w:noProof/>
        </w:rPr>
        <w:t xml:space="preserve"> s </w:t>
      </w:r>
      <w:r w:rsidRPr="00F537B9">
        <w:rPr>
          <w:noProof/>
        </w:rPr>
        <w:t>cieľom zohľadniť zmenu smernice OECD</w:t>
      </w:r>
      <w:r w:rsidR="00F537B9">
        <w:rPr>
          <w:noProof/>
        </w:rPr>
        <w:t xml:space="preserve"> o </w:t>
      </w:r>
      <w:r w:rsidRPr="00F537B9">
        <w:rPr>
          <w:noProof/>
        </w:rPr>
        <w:t>transferovom oceňovaní.</w:t>
      </w:r>
    </w:p>
    <w:bookmarkEnd w:id="4"/>
    <w:p w14:paraId="179AFC00" w14:textId="5757FCE5" w:rsidR="00F537B9" w:rsidRDefault="004D6462" w:rsidP="00E07B7C">
      <w:pPr>
        <w:pBdr>
          <w:top w:val="nil"/>
          <w:left w:val="nil"/>
          <w:bottom w:val="nil"/>
          <w:right w:val="nil"/>
          <w:between w:val="nil"/>
          <w:bar w:val="nil"/>
        </w:pBdr>
        <w:spacing w:before="0" w:after="240"/>
        <w:rPr>
          <w:noProof/>
        </w:rPr>
      </w:pPr>
      <w:r w:rsidRPr="00F537B9">
        <w:rPr>
          <w:noProof/>
        </w:rPr>
        <w:t>Na dosiahnutie cieľa poskytnúť väčšiu istotu daňovníkom sa navrhuje stanoviť ďalšie spoločné záväzné pravidlá</w:t>
      </w:r>
      <w:r w:rsidR="00F537B9">
        <w:rPr>
          <w:noProof/>
        </w:rPr>
        <w:t xml:space="preserve"> v </w:t>
      </w:r>
      <w:r w:rsidRPr="00F537B9">
        <w:rPr>
          <w:noProof/>
        </w:rPr>
        <w:t>oblasti transferového oceňovania prostredníctvom vykonávacích aktov. Tieto vykonávacie akty daňovníkom poskytnú jasný prehľad</w:t>
      </w:r>
      <w:r w:rsidR="00F537B9">
        <w:rPr>
          <w:noProof/>
        </w:rPr>
        <w:t xml:space="preserve"> o </w:t>
      </w:r>
      <w:r w:rsidRPr="00F537B9">
        <w:rPr>
          <w:noProof/>
        </w:rPr>
        <w:t>tom, čo by daňové orgány</w:t>
      </w:r>
      <w:r w:rsidR="00F537B9">
        <w:rPr>
          <w:noProof/>
        </w:rPr>
        <w:t xml:space="preserve"> v </w:t>
      </w:r>
      <w:r w:rsidRPr="00F537B9">
        <w:rPr>
          <w:noProof/>
        </w:rPr>
        <w:t>Únii považovali za prijateľné použiť pri určených transakciách,</w:t>
      </w:r>
      <w:r w:rsidR="00F537B9">
        <w:rPr>
          <w:noProof/>
        </w:rPr>
        <w:t xml:space="preserve"> a </w:t>
      </w:r>
      <w:r w:rsidRPr="00F537B9">
        <w:rPr>
          <w:noProof/>
        </w:rPr>
        <w:t>takisto poskytnú tzv. bezpečné prístavy, ktoré znížia regulačnú záťaž</w:t>
      </w:r>
      <w:r w:rsidR="00F537B9">
        <w:rPr>
          <w:noProof/>
        </w:rPr>
        <w:t xml:space="preserve"> a </w:t>
      </w:r>
      <w:r w:rsidRPr="00F537B9">
        <w:rPr>
          <w:noProof/>
        </w:rPr>
        <w:t>množstvo sporov</w:t>
      </w:r>
      <w:r w:rsidR="00F537B9">
        <w:rPr>
          <w:noProof/>
        </w:rPr>
        <w:t>.</w:t>
      </w:r>
    </w:p>
    <w:p w14:paraId="271AB053" w14:textId="7EA54296" w:rsidR="00C40ED4" w:rsidRPr="00F537B9" w:rsidRDefault="004D6462" w:rsidP="00E07B7C">
      <w:pPr>
        <w:pBdr>
          <w:top w:val="nil"/>
          <w:left w:val="nil"/>
          <w:bottom w:val="nil"/>
          <w:right w:val="nil"/>
          <w:between w:val="nil"/>
          <w:bar w:val="nil"/>
        </w:pBdr>
        <w:spacing w:before="0" w:after="240"/>
        <w:rPr>
          <w:rFonts w:eastAsia="Arial Unicode MS"/>
          <w:noProof/>
        </w:rPr>
      </w:pPr>
      <w:r w:rsidRPr="00F537B9">
        <w:rPr>
          <w:noProof/>
        </w:rPr>
        <w:t>Vzhľadom na citlivú povahu takýchto opatrení, ktoré súvisia</w:t>
      </w:r>
      <w:r w:rsidR="00F537B9">
        <w:rPr>
          <w:noProof/>
        </w:rPr>
        <w:t xml:space="preserve"> s </w:t>
      </w:r>
      <w:r w:rsidRPr="00F537B9">
        <w:rPr>
          <w:noProof/>
        </w:rPr>
        <w:t>vnútroštátnymi výkonnými právomocami</w:t>
      </w:r>
      <w:r w:rsidR="00F537B9">
        <w:rPr>
          <w:noProof/>
        </w:rPr>
        <w:t xml:space="preserve"> a </w:t>
      </w:r>
      <w:r w:rsidRPr="00F537B9">
        <w:rPr>
          <w:noProof/>
        </w:rPr>
        <w:t>právomocami na presadzovanie</w:t>
      </w:r>
      <w:r w:rsidR="00F537B9">
        <w:rPr>
          <w:noProof/>
        </w:rPr>
        <w:t xml:space="preserve"> v </w:t>
      </w:r>
      <w:r w:rsidRPr="00F537B9">
        <w:rPr>
          <w:noProof/>
        </w:rPr>
        <w:t>oblasti priameho zdaňovania, uplatňovania práv zdaňovať pridelených na základe dvojstranných daňových zmlúv alebo mnohostranných daňových dohovorov, ktoré zabraňujú dvojitému zdaneniu alebo dvojitému nezdaneniu,</w:t>
      </w:r>
      <w:r w:rsidR="00F537B9">
        <w:rPr>
          <w:noProof/>
        </w:rPr>
        <w:t xml:space="preserve"> a </w:t>
      </w:r>
      <w:r w:rsidRPr="00F537B9">
        <w:rPr>
          <w:noProof/>
        </w:rPr>
        <w:t>vzhľadom na potenciálne finančné dôsledky na základy dane členských štátov by sa vykonávacie právomoci na prijímanie rozhodnutí podľa tejto smernice mali preniesť na Radu, konajúcu na návrh Komisie.</w:t>
      </w:r>
    </w:p>
    <w:p w14:paraId="45EB289C" w14:textId="77777777" w:rsidR="00544811" w:rsidRPr="00F537B9" w:rsidRDefault="00544811">
      <w:pPr>
        <w:spacing w:before="0" w:after="0"/>
        <w:jc w:val="left"/>
        <w:rPr>
          <w:noProof/>
        </w:rPr>
        <w:sectPr w:rsidR="00544811" w:rsidRPr="00F537B9" w:rsidSect="004765B0">
          <w:footerReference w:type="default" r:id="rId14"/>
          <w:footerReference w:type="first" r:id="rId15"/>
          <w:pgSz w:w="11907" w:h="16839"/>
          <w:pgMar w:top="1134" w:right="1417" w:bottom="1134" w:left="1417" w:header="709" w:footer="709" w:gutter="0"/>
          <w:cols w:space="708"/>
          <w:docGrid w:linePitch="360"/>
        </w:sectPr>
      </w:pPr>
    </w:p>
    <w:p w14:paraId="6981B4F2" w14:textId="7AD27DA6" w:rsidR="00D3006A" w:rsidRPr="00F537B9" w:rsidRDefault="00756469" w:rsidP="00756469">
      <w:pPr>
        <w:pStyle w:val="Rfrenceinterinstitutionnelle"/>
        <w:rPr>
          <w:noProof/>
        </w:rPr>
      </w:pPr>
      <w:bookmarkStart w:id="5" w:name="_Hlk139039397"/>
      <w:r w:rsidRPr="00756469">
        <w:t>2023/0322 (CNS)</w:t>
      </w:r>
    </w:p>
    <w:p w14:paraId="3007A4AC" w14:textId="7A609ECC" w:rsidR="00E07B7C" w:rsidRPr="00F537B9" w:rsidRDefault="00755729" w:rsidP="00755729">
      <w:pPr>
        <w:pStyle w:val="Statut"/>
        <w:rPr>
          <w:noProof/>
        </w:rPr>
      </w:pPr>
      <w:r w:rsidRPr="00755729">
        <w:rPr>
          <w:noProof/>
        </w:rPr>
        <w:t>Návrh</w:t>
      </w:r>
    </w:p>
    <w:p w14:paraId="30451E85" w14:textId="3C603ABA" w:rsidR="00E07B7C" w:rsidRPr="00F537B9" w:rsidRDefault="00755729" w:rsidP="00755729">
      <w:pPr>
        <w:pStyle w:val="Typedudocument"/>
        <w:rPr>
          <w:noProof/>
        </w:rPr>
      </w:pPr>
      <w:r w:rsidRPr="00755729">
        <w:rPr>
          <w:noProof/>
        </w:rPr>
        <w:t>SMERNICA RADY</w:t>
      </w:r>
    </w:p>
    <w:p w14:paraId="66B0AB75" w14:textId="3B16BFD4" w:rsidR="00E07B7C" w:rsidRPr="00F537B9" w:rsidRDefault="00755729" w:rsidP="00755729">
      <w:pPr>
        <w:pStyle w:val="Titreobjet"/>
        <w:rPr>
          <w:noProof/>
        </w:rPr>
      </w:pPr>
      <w:r w:rsidRPr="00755729">
        <w:rPr>
          <w:noProof/>
        </w:rPr>
        <w:t>o transferovom oceňovaní</w:t>
      </w:r>
    </w:p>
    <w:p w14:paraId="22AE8ADC" w14:textId="77777777" w:rsidR="00E07B7C" w:rsidRPr="00F537B9" w:rsidRDefault="00E07B7C" w:rsidP="00E07B7C">
      <w:pPr>
        <w:pStyle w:val="Institutionquiagit"/>
        <w:rPr>
          <w:noProof/>
        </w:rPr>
      </w:pPr>
      <w:r w:rsidRPr="00F537B9">
        <w:rPr>
          <w:noProof/>
        </w:rPr>
        <w:t>RADA EURÓPSKEJ ÚNIE,</w:t>
      </w:r>
    </w:p>
    <w:p w14:paraId="1D11EE38" w14:textId="6B709919" w:rsidR="00E07B7C" w:rsidRPr="00F537B9" w:rsidRDefault="00E07B7C" w:rsidP="00E07B7C">
      <w:pPr>
        <w:rPr>
          <w:noProof/>
        </w:rPr>
      </w:pPr>
      <w:r w:rsidRPr="00F537B9">
        <w:rPr>
          <w:noProof/>
        </w:rPr>
        <w:t>so zreteľom na Zmluvu</w:t>
      </w:r>
      <w:r w:rsidR="00F537B9">
        <w:rPr>
          <w:noProof/>
        </w:rPr>
        <w:t xml:space="preserve"> o </w:t>
      </w:r>
      <w:r w:rsidRPr="00F537B9">
        <w:rPr>
          <w:noProof/>
        </w:rPr>
        <w:t>fungovaní Európskej únie,</w:t>
      </w:r>
      <w:r w:rsidR="00F537B9">
        <w:rPr>
          <w:noProof/>
        </w:rPr>
        <w:t xml:space="preserve"> a </w:t>
      </w:r>
      <w:r w:rsidRPr="00F537B9">
        <w:rPr>
          <w:noProof/>
        </w:rPr>
        <w:t>najmä na jej článok 115,</w:t>
      </w:r>
    </w:p>
    <w:p w14:paraId="53EC9B15" w14:textId="77777777" w:rsidR="00E07B7C" w:rsidRPr="00F537B9" w:rsidRDefault="00E07B7C" w:rsidP="00E07B7C">
      <w:pPr>
        <w:rPr>
          <w:noProof/>
        </w:rPr>
      </w:pPr>
      <w:r w:rsidRPr="00F537B9">
        <w:rPr>
          <w:noProof/>
        </w:rPr>
        <w:t>so zreteľom na návrh Európskej komisie,</w:t>
      </w:r>
    </w:p>
    <w:p w14:paraId="37064C12" w14:textId="77777777" w:rsidR="00E07B7C" w:rsidRPr="00F537B9" w:rsidRDefault="00E07B7C" w:rsidP="00E07B7C">
      <w:pPr>
        <w:rPr>
          <w:noProof/>
        </w:rPr>
      </w:pPr>
      <w:r w:rsidRPr="00F537B9">
        <w:rPr>
          <w:noProof/>
        </w:rPr>
        <w:t>po postúpení návrhu legislatívneho aktu národným parlamentom,</w:t>
      </w:r>
    </w:p>
    <w:p w14:paraId="3A88E889" w14:textId="77777777" w:rsidR="00F537B9" w:rsidRDefault="00E07B7C" w:rsidP="00E07B7C">
      <w:pPr>
        <w:rPr>
          <w:noProof/>
        </w:rPr>
      </w:pPr>
      <w:r w:rsidRPr="00F537B9">
        <w:rPr>
          <w:noProof/>
        </w:rPr>
        <w:t>so zreteľom na stanovisko Európskeho parlamentu</w:t>
      </w:r>
      <w:r w:rsidRPr="00F537B9">
        <w:rPr>
          <w:rStyle w:val="FootnoteReference"/>
          <w:noProof/>
        </w:rPr>
        <w:footnoteReference w:id="29"/>
      </w:r>
      <w:r w:rsidRPr="00F537B9">
        <w:rPr>
          <w:noProof/>
        </w:rPr>
        <w:t>,</w:t>
      </w:r>
    </w:p>
    <w:p w14:paraId="0D03053E" w14:textId="77777777" w:rsidR="00F537B9" w:rsidRDefault="00E07B7C" w:rsidP="00E07B7C">
      <w:pPr>
        <w:rPr>
          <w:noProof/>
        </w:rPr>
      </w:pPr>
      <w:r w:rsidRPr="00F537B9">
        <w:rPr>
          <w:noProof/>
        </w:rPr>
        <w:t>so zreteľom na stanovisko Európskeho hospodárskeho</w:t>
      </w:r>
      <w:r w:rsidR="00F537B9">
        <w:rPr>
          <w:noProof/>
        </w:rPr>
        <w:t xml:space="preserve"> a </w:t>
      </w:r>
      <w:r w:rsidRPr="00F537B9">
        <w:rPr>
          <w:noProof/>
        </w:rPr>
        <w:t>sociálneho výboru</w:t>
      </w:r>
      <w:r w:rsidRPr="00F537B9">
        <w:rPr>
          <w:rStyle w:val="FootnoteReference"/>
          <w:noProof/>
        </w:rPr>
        <w:footnoteReference w:id="30"/>
      </w:r>
      <w:r w:rsidRPr="00F537B9">
        <w:rPr>
          <w:noProof/>
        </w:rPr>
        <w:t>,</w:t>
      </w:r>
    </w:p>
    <w:p w14:paraId="39F87D75" w14:textId="314DB41A" w:rsidR="00E07B7C" w:rsidRPr="00F537B9" w:rsidRDefault="00E07B7C" w:rsidP="00E07B7C">
      <w:pPr>
        <w:rPr>
          <w:noProof/>
        </w:rPr>
      </w:pPr>
      <w:r w:rsidRPr="00F537B9">
        <w:rPr>
          <w:noProof/>
        </w:rPr>
        <w:t>konajúc</w:t>
      </w:r>
      <w:r w:rsidR="00F537B9">
        <w:rPr>
          <w:noProof/>
        </w:rPr>
        <w:t xml:space="preserve"> v </w:t>
      </w:r>
      <w:r w:rsidRPr="00F537B9">
        <w:rPr>
          <w:noProof/>
        </w:rPr>
        <w:t>súlade</w:t>
      </w:r>
      <w:r w:rsidR="00F537B9">
        <w:rPr>
          <w:noProof/>
        </w:rPr>
        <w:t xml:space="preserve"> s </w:t>
      </w:r>
      <w:r w:rsidRPr="00F537B9">
        <w:rPr>
          <w:noProof/>
        </w:rPr>
        <w:t>mimoriadnym legislatívnym postupom,</w:t>
      </w:r>
    </w:p>
    <w:p w14:paraId="0CF1BADD" w14:textId="77777777" w:rsidR="00E07B7C" w:rsidRPr="00F537B9" w:rsidRDefault="00E07B7C" w:rsidP="00E07B7C">
      <w:pPr>
        <w:rPr>
          <w:noProof/>
        </w:rPr>
      </w:pPr>
      <w:r w:rsidRPr="00F537B9">
        <w:rPr>
          <w:noProof/>
        </w:rPr>
        <w:t>keďže:</w:t>
      </w:r>
    </w:p>
    <w:p w14:paraId="49D07F94" w14:textId="4FFF3235" w:rsidR="00F537B9" w:rsidRDefault="002E1CE8" w:rsidP="004043D0">
      <w:pPr>
        <w:pStyle w:val="ManualConsidrant"/>
        <w:rPr>
          <w:noProof/>
        </w:rPr>
      </w:pPr>
      <w:r w:rsidRPr="00F537B9">
        <w:rPr>
          <w:noProof/>
        </w:rPr>
        <w:t>(1)</w:t>
      </w:r>
      <w:r w:rsidRPr="00F537B9">
        <w:rPr>
          <w:noProof/>
        </w:rPr>
        <w:tab/>
        <w:t>Transferové oceňovanie označuje stanovovanie cien cezhraničných transakcií medzi pridruženými podnikmi</w:t>
      </w:r>
      <w:r w:rsidR="00F537B9">
        <w:rPr>
          <w:noProof/>
        </w:rPr>
        <w:t xml:space="preserve"> v </w:t>
      </w:r>
      <w:r w:rsidRPr="00F537B9">
        <w:rPr>
          <w:noProof/>
        </w:rPr>
        <w:t>rámci nadnárodnej skupiny podnikov. Keďže daňové výpočty vo všeobecnosti vychádzajú</w:t>
      </w:r>
      <w:r w:rsidR="00F537B9">
        <w:rPr>
          <w:noProof/>
        </w:rPr>
        <w:t xml:space="preserve"> z </w:t>
      </w:r>
      <w:r w:rsidRPr="00F537B9">
        <w:rPr>
          <w:noProof/>
        </w:rPr>
        <w:t>účtov na úrovni subjektu, ceny alebo iné podmienky, pri ktorých sa uskutočňujú cezhraničné transakcie medzi pridruženými podnikmi, ovplyvnia výnosy a/alebo náklady príslušných subjektov</w:t>
      </w:r>
      <w:r w:rsidR="00F537B9">
        <w:rPr>
          <w:noProof/>
        </w:rPr>
        <w:t xml:space="preserve"> v </w:t>
      </w:r>
      <w:r w:rsidRPr="00F537B9">
        <w:rPr>
          <w:noProof/>
        </w:rPr>
        <w:t>súvislosti</w:t>
      </w:r>
      <w:r w:rsidR="00F537B9">
        <w:rPr>
          <w:noProof/>
        </w:rPr>
        <w:t xml:space="preserve"> s </w:t>
      </w:r>
      <w:r w:rsidRPr="00F537B9">
        <w:rPr>
          <w:noProof/>
        </w:rPr>
        <w:t>týmito transakciami,</w:t>
      </w:r>
      <w:r w:rsidR="00F537B9">
        <w:rPr>
          <w:noProof/>
        </w:rPr>
        <w:t xml:space="preserve"> a v </w:t>
      </w:r>
      <w:r w:rsidRPr="00F537B9">
        <w:rPr>
          <w:noProof/>
        </w:rPr>
        <w:t>dôsledku toho budú mať vplyv na výšku zisku, ktorý každý subjekt skupiny zaznamenáva na daňové účely</w:t>
      </w:r>
      <w:r w:rsidR="00F537B9">
        <w:rPr>
          <w:noProof/>
        </w:rPr>
        <w:t xml:space="preserve"> v </w:t>
      </w:r>
      <w:r w:rsidRPr="00F537B9">
        <w:rPr>
          <w:noProof/>
        </w:rPr>
        <w:t>jurisdikciách,</w:t>
      </w:r>
      <w:r w:rsidR="00F537B9">
        <w:rPr>
          <w:noProof/>
        </w:rPr>
        <w:t xml:space="preserve"> v </w:t>
      </w:r>
      <w:r w:rsidRPr="00F537B9">
        <w:rPr>
          <w:noProof/>
        </w:rPr>
        <w:t>ktorých pôsobí</w:t>
      </w:r>
      <w:r w:rsidR="00F537B9">
        <w:rPr>
          <w:noProof/>
        </w:rPr>
        <w:t>.</w:t>
      </w:r>
    </w:p>
    <w:p w14:paraId="2CF22D06" w14:textId="0E13BF5E" w:rsidR="007D1015" w:rsidRPr="00F537B9" w:rsidRDefault="006C7DD3" w:rsidP="001B7F42">
      <w:pPr>
        <w:pStyle w:val="ManualConsidrant"/>
        <w:rPr>
          <w:noProof/>
        </w:rPr>
      </w:pPr>
      <w:r w:rsidRPr="00F537B9">
        <w:rPr>
          <w:noProof/>
        </w:rPr>
        <w:t>(2)</w:t>
      </w:r>
      <w:r w:rsidRPr="00F537B9">
        <w:rPr>
          <w:noProof/>
        </w:rPr>
        <w:tab/>
        <w:t xml:space="preserve">Celosvetovo uznávaným štandardom na určovanie cien medzi pridruženými podnikmi na daňové účely je tzv. princíp nezávislého vzťahu. </w:t>
      </w:r>
      <w:bookmarkStart w:id="6" w:name="_Hlk144142696"/>
      <w:r w:rsidRPr="00F537B9">
        <w:rPr>
          <w:noProof/>
        </w:rPr>
        <w:t>„Princíp nezávislého vzťahu“ stanovuje, že jednotliví členovia nadnárodnej skupiny podnikov musia medzi sebou realizovať transakcie tak, akoby boli nezávislými tretími stranami. Inými slovami, transakcie medzi dvoma pridruženými podnikmi by mali odzrkadľovať výsledok, ktorý by sa dosiahol, ak by strany neboli spriaznené, t. j. ak by strany boli navzájom nezávislé</w:t>
      </w:r>
      <w:r w:rsidR="00F537B9">
        <w:rPr>
          <w:noProof/>
        </w:rPr>
        <w:t xml:space="preserve"> a </w:t>
      </w:r>
      <w:r w:rsidRPr="00F537B9">
        <w:rPr>
          <w:noProof/>
        </w:rPr>
        <w:t>výsledok (cenu alebo marže) by určovali trhové sily (na voľnom trhu).</w:t>
      </w:r>
    </w:p>
    <w:bookmarkEnd w:id="6"/>
    <w:p w14:paraId="61B607B5" w14:textId="1116C644" w:rsidR="002E1CE8" w:rsidRPr="00F537B9" w:rsidRDefault="007D1015" w:rsidP="002E1CE8">
      <w:pPr>
        <w:pStyle w:val="ManualConsidrant"/>
        <w:rPr>
          <w:noProof/>
        </w:rPr>
      </w:pPr>
      <w:r w:rsidRPr="00F537B9">
        <w:rPr>
          <w:noProof/>
        </w:rPr>
        <w:t>(3)</w:t>
      </w:r>
      <w:r w:rsidRPr="00F537B9">
        <w:rPr>
          <w:noProof/>
        </w:rPr>
        <w:tab/>
      </w:r>
      <w:bookmarkStart w:id="7" w:name="_Hlk143954930"/>
      <w:r w:rsidRPr="00F537B9">
        <w:rPr>
          <w:noProof/>
        </w:rPr>
        <w:t xml:space="preserve">Ak členské štáty uplatňujú alebo vykladajú princíp nezávislého vzťahu rozlične, vytvárajú situácie, ktoré by mohli poškodzovať vnútorný trh. Nekonzistentnosť uplatniteľných pravidiel transferového oceňovania </w:t>
      </w:r>
      <w:bookmarkEnd w:id="7"/>
      <w:r w:rsidRPr="00F537B9">
        <w:rPr>
          <w:noProof/>
        </w:rPr>
        <w:t>by mohla nielen viesť</w:t>
      </w:r>
      <w:r w:rsidR="00F537B9">
        <w:rPr>
          <w:noProof/>
        </w:rPr>
        <w:t xml:space="preserve"> k </w:t>
      </w:r>
      <w:r w:rsidRPr="00F537B9">
        <w:rPr>
          <w:noProof/>
        </w:rPr>
        <w:t>dvojitému zdaneniu, ale aj umožňovať presun ziskov</w:t>
      </w:r>
      <w:r w:rsidR="00F537B9">
        <w:rPr>
          <w:noProof/>
        </w:rPr>
        <w:t xml:space="preserve"> a </w:t>
      </w:r>
      <w:r w:rsidRPr="00F537B9">
        <w:rPr>
          <w:noProof/>
        </w:rPr>
        <w:t>vyhýbanie sa daňovým povinnostiam. Takáto nekonzistentnosť je vážnou daňovou prekážkou pre podniky pôsobiace cezhranične</w:t>
      </w:r>
      <w:r w:rsidR="00F537B9">
        <w:rPr>
          <w:noProof/>
        </w:rPr>
        <w:t xml:space="preserve"> a </w:t>
      </w:r>
      <w:r w:rsidRPr="00F537B9">
        <w:rPr>
          <w:noProof/>
        </w:rPr>
        <w:t>je pravdepodobné, že spôsobuje hospodárske deformácie</w:t>
      </w:r>
      <w:r w:rsidR="00F537B9">
        <w:rPr>
          <w:noProof/>
        </w:rPr>
        <w:t xml:space="preserve"> a </w:t>
      </w:r>
      <w:r w:rsidRPr="00F537B9">
        <w:rPr>
          <w:noProof/>
        </w:rPr>
        <w:t>neefektívnosť, pričom má negatívny vplyv na cezhraničné investície</w:t>
      </w:r>
      <w:r w:rsidR="00F537B9">
        <w:rPr>
          <w:noProof/>
        </w:rPr>
        <w:t xml:space="preserve"> a </w:t>
      </w:r>
      <w:r w:rsidRPr="00F537B9">
        <w:rPr>
          <w:noProof/>
        </w:rPr>
        <w:t>rast.</w:t>
      </w:r>
    </w:p>
    <w:p w14:paraId="4E2784ED" w14:textId="1C545254" w:rsidR="00F537B9" w:rsidRDefault="002E1CE8" w:rsidP="002E1CE8">
      <w:pPr>
        <w:pStyle w:val="ManualConsidrant"/>
        <w:rPr>
          <w:noProof/>
        </w:rPr>
      </w:pPr>
      <w:r w:rsidRPr="00F537B9">
        <w:rPr>
          <w:noProof/>
        </w:rPr>
        <w:t>(4)</w:t>
      </w:r>
      <w:r w:rsidRPr="00F537B9">
        <w:rPr>
          <w:noProof/>
        </w:rPr>
        <w:tab/>
        <w:t>V tejto smernici sa stanovujú pravidlá, ktoré majú zabezpečiť spoločné uplatňovanie princípu nezávislého vzťahu</w:t>
      </w:r>
      <w:r w:rsidR="00F537B9">
        <w:rPr>
          <w:noProof/>
        </w:rPr>
        <w:t xml:space="preserve"> v </w:t>
      </w:r>
      <w:r w:rsidRPr="00F537B9">
        <w:rPr>
          <w:noProof/>
        </w:rPr>
        <w:t>celej Únii</w:t>
      </w:r>
      <w:r w:rsidR="00F537B9">
        <w:rPr>
          <w:noProof/>
        </w:rPr>
        <w:t xml:space="preserve"> s </w:t>
      </w:r>
      <w:r w:rsidRPr="00F537B9">
        <w:rPr>
          <w:noProof/>
        </w:rPr>
        <w:t>cieľom zvýšiť daňovú istotu</w:t>
      </w:r>
      <w:r w:rsidR="00F537B9">
        <w:rPr>
          <w:noProof/>
        </w:rPr>
        <w:t xml:space="preserve"> a </w:t>
      </w:r>
      <w:r w:rsidRPr="00F537B9">
        <w:rPr>
          <w:noProof/>
        </w:rPr>
        <w:t>znížiť výskyt prípadov dvojitého zdanenia, ako aj dvojitého nezdanenia</w:t>
      </w:r>
      <w:r w:rsidR="00F537B9">
        <w:rPr>
          <w:noProof/>
        </w:rPr>
        <w:t>.</w:t>
      </w:r>
    </w:p>
    <w:p w14:paraId="31BD16D3" w14:textId="08B5FB06" w:rsidR="00F537B9" w:rsidRPr="00F537B9" w:rsidRDefault="00B11FA9" w:rsidP="00C4471E">
      <w:pPr>
        <w:pStyle w:val="ManualConsidrant"/>
        <w:rPr>
          <w:noProof/>
          <w:spacing w:val="-4"/>
        </w:rPr>
      </w:pPr>
      <w:r w:rsidRPr="00F537B9">
        <w:rPr>
          <w:noProof/>
        </w:rPr>
        <w:t>(5)</w:t>
      </w:r>
      <w:r w:rsidRPr="00F537B9">
        <w:rPr>
          <w:noProof/>
        </w:rPr>
        <w:tab/>
      </w:r>
      <w:r w:rsidRPr="00F537B9">
        <w:rPr>
          <w:noProof/>
          <w:spacing w:val="-4"/>
        </w:rPr>
        <w:t>S cieľom zabezpečiť jednotné uplatňovanie princípu nezávislého vzťahu</w:t>
      </w:r>
      <w:r w:rsidR="00F537B9" w:rsidRPr="00F537B9">
        <w:rPr>
          <w:noProof/>
          <w:spacing w:val="-4"/>
        </w:rPr>
        <w:t xml:space="preserve"> v </w:t>
      </w:r>
      <w:r w:rsidRPr="00F537B9">
        <w:rPr>
          <w:noProof/>
          <w:spacing w:val="-4"/>
        </w:rPr>
        <w:t>celej Únii by členské štáty mali uplatňovať spoločné vymedzenie pojmu „pridružené podniky“.</w:t>
      </w:r>
      <w:r w:rsidR="00F537B9" w:rsidRPr="00F537B9">
        <w:rPr>
          <w:noProof/>
          <w:spacing w:val="-4"/>
        </w:rPr>
        <w:t xml:space="preserve"> V </w:t>
      </w:r>
      <w:r w:rsidRPr="00F537B9">
        <w:rPr>
          <w:noProof/>
          <w:spacing w:val="-4"/>
        </w:rPr>
        <w:t>záujme rovnakého zaobchádzania by sa stála prevádzkareň mala na účely tejto smernice považovať za pridružený podnik,</w:t>
      </w:r>
      <w:r w:rsidR="00F537B9" w:rsidRPr="00F537B9">
        <w:rPr>
          <w:noProof/>
          <w:spacing w:val="-4"/>
        </w:rPr>
        <w:t xml:space="preserve"> a </w:t>
      </w:r>
      <w:r w:rsidRPr="00F537B9">
        <w:rPr>
          <w:noProof/>
          <w:spacing w:val="-4"/>
        </w:rPr>
        <w:t>preto by sa interné obchody medzi ústredím</w:t>
      </w:r>
      <w:r w:rsidR="00F537B9" w:rsidRPr="00F537B9">
        <w:rPr>
          <w:noProof/>
          <w:spacing w:val="-4"/>
        </w:rPr>
        <w:t xml:space="preserve"> a </w:t>
      </w:r>
      <w:r w:rsidRPr="00F537B9">
        <w:rPr>
          <w:noProof/>
          <w:spacing w:val="-4"/>
        </w:rPr>
        <w:t>stálou prevádzkarňou mali určovať</w:t>
      </w:r>
      <w:r w:rsidR="00F537B9" w:rsidRPr="00F537B9">
        <w:rPr>
          <w:noProof/>
          <w:spacing w:val="-4"/>
        </w:rPr>
        <w:t xml:space="preserve"> v </w:t>
      </w:r>
      <w:r w:rsidRPr="00F537B9">
        <w:rPr>
          <w:noProof/>
          <w:spacing w:val="-4"/>
        </w:rPr>
        <w:t>súlade</w:t>
      </w:r>
      <w:r w:rsidR="00F537B9" w:rsidRPr="00F537B9">
        <w:rPr>
          <w:noProof/>
          <w:spacing w:val="-4"/>
        </w:rPr>
        <w:t xml:space="preserve"> s </w:t>
      </w:r>
      <w:r w:rsidRPr="00F537B9">
        <w:rPr>
          <w:noProof/>
          <w:spacing w:val="-4"/>
        </w:rPr>
        <w:t>princípom nezávislého vzťahu</w:t>
      </w:r>
      <w:r w:rsidR="00F537B9" w:rsidRPr="00F537B9">
        <w:rPr>
          <w:noProof/>
          <w:spacing w:val="-4"/>
        </w:rPr>
        <w:t>.</w:t>
      </w:r>
    </w:p>
    <w:p w14:paraId="638A41DB" w14:textId="679C421E" w:rsidR="00CC12DE" w:rsidRPr="00F537B9" w:rsidRDefault="00C4593F" w:rsidP="008F2907">
      <w:pPr>
        <w:pStyle w:val="ManualConsidrant"/>
        <w:rPr>
          <w:noProof/>
          <w:spacing w:val="-4"/>
        </w:rPr>
      </w:pPr>
      <w:r w:rsidRPr="00F537B9">
        <w:rPr>
          <w:noProof/>
          <w:spacing w:val="-4"/>
        </w:rPr>
        <w:t>(6)</w:t>
      </w:r>
      <w:r w:rsidRPr="00F537B9">
        <w:rPr>
          <w:noProof/>
          <w:spacing w:val="-4"/>
        </w:rPr>
        <w:tab/>
        <w:t>S cieľom obmedziť výskyt dvojitého zdanenia by členské štáty mali mať zavedené primerané mechanizmy, ktoré im</w:t>
      </w:r>
      <w:r w:rsidR="00F537B9" w:rsidRPr="00F537B9">
        <w:rPr>
          <w:noProof/>
          <w:spacing w:val="-4"/>
        </w:rPr>
        <w:t xml:space="preserve"> v </w:t>
      </w:r>
      <w:r w:rsidRPr="00F537B9">
        <w:rPr>
          <w:noProof/>
          <w:spacing w:val="-4"/>
        </w:rPr>
        <w:t>prípade, že sa vykoná primárna úprava</w:t>
      </w:r>
      <w:r w:rsidR="00F537B9" w:rsidRPr="00F537B9">
        <w:rPr>
          <w:noProof/>
          <w:spacing w:val="-4"/>
        </w:rPr>
        <w:t xml:space="preserve"> v </w:t>
      </w:r>
      <w:r w:rsidRPr="00F537B9">
        <w:rPr>
          <w:noProof/>
          <w:spacing w:val="-4"/>
        </w:rPr>
        <w:t>inom členskom štáte alebo jurisdikcii tretej krajiny, umožnia vykonať korešpondujúcu úpravu. Členské štáty by konkrétne mali mať možnosť vykonávať korešpondujúce úpravy, ktorých priznanie by nemalo byť obmedzené iba na kontext postupov vzájomnej dohody, ale malo by byť možné aj</w:t>
      </w:r>
      <w:r w:rsidR="00F537B9" w:rsidRPr="00F537B9">
        <w:rPr>
          <w:noProof/>
          <w:spacing w:val="-4"/>
        </w:rPr>
        <w:t xml:space="preserve"> v </w:t>
      </w:r>
      <w:r w:rsidRPr="00F537B9">
        <w:rPr>
          <w:noProof/>
          <w:spacing w:val="-4"/>
        </w:rPr>
        <w:t>dôsledku: i) zrýchleného postupu, ktorý sa ukončí do 180 dní bez toho, aby bolo potrebné začať postup vzájomnej dohody, ak niet pochýb</w:t>
      </w:r>
      <w:r w:rsidR="00F537B9" w:rsidRPr="00F537B9">
        <w:rPr>
          <w:noProof/>
          <w:spacing w:val="-4"/>
        </w:rPr>
        <w:t xml:space="preserve"> o </w:t>
      </w:r>
      <w:r w:rsidRPr="00F537B9">
        <w:rPr>
          <w:noProof/>
          <w:spacing w:val="-4"/>
        </w:rPr>
        <w:t>tom, že primárna úprava je opodstatnená, alebo ii) spoločných kontrol alebo iných foriem medzinárodnej spolupráce, ako sú programy na mnohostranné hodnotenie rizika, napríklad európsky program ETACA (</w:t>
      </w:r>
      <w:r w:rsidRPr="00F537B9">
        <w:rPr>
          <w:i/>
          <w:iCs/>
          <w:noProof/>
          <w:spacing w:val="-4"/>
        </w:rPr>
        <w:t>European Trust and Cooperation Approach</w:t>
      </w:r>
      <w:r w:rsidRPr="00F537B9">
        <w:rPr>
          <w:noProof/>
          <w:spacing w:val="-4"/>
        </w:rPr>
        <w:t>)</w:t>
      </w:r>
      <w:r w:rsidR="00F537B9" w:rsidRPr="00F537B9">
        <w:rPr>
          <w:noProof/>
          <w:spacing w:val="-4"/>
        </w:rPr>
        <w:t xml:space="preserve"> a </w:t>
      </w:r>
      <w:r w:rsidRPr="00F537B9">
        <w:rPr>
          <w:noProof/>
          <w:spacing w:val="-4"/>
        </w:rPr>
        <w:t>medzinárodný program ICAP (</w:t>
      </w:r>
      <w:r w:rsidRPr="00F537B9">
        <w:rPr>
          <w:i/>
          <w:iCs/>
          <w:noProof/>
          <w:spacing w:val="-4"/>
        </w:rPr>
        <w:t>International Compliance Assurance Programme</w:t>
      </w:r>
      <w:r w:rsidRPr="00F537B9">
        <w:rPr>
          <w:noProof/>
          <w:spacing w:val="-4"/>
        </w:rPr>
        <w:t>).</w:t>
      </w:r>
    </w:p>
    <w:p w14:paraId="203C85F4" w14:textId="63B6914A" w:rsidR="00F537B9" w:rsidRPr="00F537B9" w:rsidRDefault="00CC12DE" w:rsidP="00AE4437">
      <w:pPr>
        <w:pStyle w:val="ManualConsidrant"/>
        <w:rPr>
          <w:noProof/>
          <w:spacing w:val="-6"/>
        </w:rPr>
      </w:pPr>
      <w:r w:rsidRPr="00F537B9">
        <w:rPr>
          <w:noProof/>
          <w:spacing w:val="-4"/>
        </w:rPr>
        <w:t>(7)</w:t>
      </w:r>
      <w:r w:rsidRPr="00F537B9">
        <w:rPr>
          <w:noProof/>
          <w:spacing w:val="-4"/>
        </w:rPr>
        <w:tab/>
      </w:r>
      <w:r w:rsidRPr="00F537B9">
        <w:rPr>
          <w:noProof/>
          <w:spacing w:val="-6"/>
        </w:rPr>
        <w:t>Môžu existovať legitímne dôvody, pre ktoré sa korešpondujúca úprava neprizná alebo je nižšia ako primárna úprava. Členské štáty by predovšetkým nemali priznávať korešpondujúce úpravy, ak: i) sa primárna úprava nepovažuje za úpravu</w:t>
      </w:r>
      <w:r w:rsidR="00F537B9" w:rsidRPr="00F537B9">
        <w:rPr>
          <w:noProof/>
          <w:spacing w:val="-6"/>
        </w:rPr>
        <w:t xml:space="preserve"> v </w:t>
      </w:r>
      <w:r w:rsidRPr="00F537B9">
        <w:rPr>
          <w:noProof/>
          <w:spacing w:val="-6"/>
        </w:rPr>
        <w:t>súlade</w:t>
      </w:r>
      <w:r w:rsidR="00F537B9" w:rsidRPr="00F537B9">
        <w:rPr>
          <w:noProof/>
          <w:spacing w:val="-6"/>
        </w:rPr>
        <w:t xml:space="preserve"> s </w:t>
      </w:r>
      <w:r w:rsidRPr="00F537B9">
        <w:rPr>
          <w:noProof/>
          <w:spacing w:val="-6"/>
        </w:rPr>
        <w:t>princípom nezávislého vzťahu; ii) primárna úprava nevedie</w:t>
      </w:r>
      <w:r w:rsidR="00F537B9" w:rsidRPr="00F537B9">
        <w:rPr>
          <w:noProof/>
          <w:spacing w:val="-6"/>
        </w:rPr>
        <w:t xml:space="preserve"> k </w:t>
      </w:r>
      <w:r w:rsidRPr="00F537B9">
        <w:rPr>
          <w:noProof/>
          <w:spacing w:val="-6"/>
        </w:rPr>
        <w:t>zdaneniu sumy ziskov</w:t>
      </w:r>
      <w:r w:rsidR="00F537B9" w:rsidRPr="00F537B9">
        <w:rPr>
          <w:noProof/>
          <w:spacing w:val="-6"/>
        </w:rPr>
        <w:t xml:space="preserve"> v </w:t>
      </w:r>
      <w:r w:rsidRPr="00F537B9">
        <w:rPr>
          <w:noProof/>
          <w:spacing w:val="-6"/>
        </w:rPr>
        <w:t>inej jurisdikcii,</w:t>
      </w:r>
      <w:r w:rsidR="00F537B9" w:rsidRPr="00F537B9">
        <w:rPr>
          <w:noProof/>
          <w:spacing w:val="-6"/>
        </w:rPr>
        <w:t xml:space="preserve"> v </w:t>
      </w:r>
      <w:r w:rsidRPr="00F537B9">
        <w:rPr>
          <w:noProof/>
          <w:spacing w:val="-6"/>
        </w:rPr>
        <w:t>súvislosti</w:t>
      </w:r>
      <w:r w:rsidR="00F537B9" w:rsidRPr="00F537B9">
        <w:rPr>
          <w:noProof/>
          <w:spacing w:val="-6"/>
        </w:rPr>
        <w:t xml:space="preserve"> s </w:t>
      </w:r>
      <w:r w:rsidRPr="00F537B9">
        <w:rPr>
          <w:noProof/>
          <w:spacing w:val="-6"/>
        </w:rPr>
        <w:t>ktorou už pridružený podnik</w:t>
      </w:r>
      <w:r w:rsidR="00F537B9" w:rsidRPr="00F537B9">
        <w:rPr>
          <w:noProof/>
          <w:spacing w:val="-6"/>
        </w:rPr>
        <w:t xml:space="preserve"> v </w:t>
      </w:r>
      <w:r w:rsidRPr="00F537B9">
        <w:rPr>
          <w:noProof/>
          <w:spacing w:val="-6"/>
        </w:rPr>
        <w:t>príslušnom členskom štáte podlieha dani,</w:t>
      </w:r>
      <w:r w:rsidR="00F537B9" w:rsidRPr="00F537B9">
        <w:rPr>
          <w:noProof/>
          <w:spacing w:val="-6"/>
        </w:rPr>
        <w:t xml:space="preserve"> a </w:t>
      </w:r>
      <w:r w:rsidRPr="00F537B9">
        <w:rPr>
          <w:noProof/>
          <w:spacing w:val="-6"/>
        </w:rPr>
        <w:t>ak iii)</w:t>
      </w:r>
      <w:r w:rsidR="00F537B9" w:rsidRPr="00F537B9">
        <w:rPr>
          <w:noProof/>
          <w:spacing w:val="-6"/>
        </w:rPr>
        <w:t xml:space="preserve"> v </w:t>
      </w:r>
      <w:r w:rsidRPr="00F537B9">
        <w:rPr>
          <w:noProof/>
          <w:spacing w:val="-6"/>
        </w:rPr>
        <w:t>prípade, že ide</w:t>
      </w:r>
      <w:r w:rsidR="00F537B9" w:rsidRPr="00F537B9">
        <w:rPr>
          <w:noProof/>
          <w:spacing w:val="-6"/>
        </w:rPr>
        <w:t xml:space="preserve"> o </w:t>
      </w:r>
      <w:r w:rsidRPr="00F537B9">
        <w:rPr>
          <w:noProof/>
          <w:spacing w:val="-6"/>
        </w:rPr>
        <w:t>jurisdikciu tretej krajiny, neexistuje žiadna daňová zmluva. Ak nedôjde</w:t>
      </w:r>
      <w:r w:rsidR="00F537B9" w:rsidRPr="00F537B9">
        <w:rPr>
          <w:noProof/>
          <w:spacing w:val="-6"/>
        </w:rPr>
        <w:t xml:space="preserve"> k </w:t>
      </w:r>
      <w:r w:rsidRPr="00F537B9">
        <w:rPr>
          <w:noProof/>
          <w:spacing w:val="-6"/>
        </w:rPr>
        <w:t>primárnej úprave, členské štáty môžu vykonať úpravu smerom nadol, len ak: i) je úprava smerom nadol</w:t>
      </w:r>
      <w:r w:rsidR="00F537B9" w:rsidRPr="00F537B9">
        <w:rPr>
          <w:noProof/>
          <w:spacing w:val="-6"/>
        </w:rPr>
        <w:t xml:space="preserve"> v </w:t>
      </w:r>
      <w:r w:rsidRPr="00F537B9">
        <w:rPr>
          <w:noProof/>
          <w:spacing w:val="-6"/>
        </w:rPr>
        <w:t>súlade</w:t>
      </w:r>
      <w:r w:rsidR="00F537B9" w:rsidRPr="00F537B9">
        <w:rPr>
          <w:noProof/>
          <w:spacing w:val="-6"/>
        </w:rPr>
        <w:t xml:space="preserve"> s </w:t>
      </w:r>
      <w:r w:rsidRPr="00F537B9">
        <w:rPr>
          <w:noProof/>
          <w:spacing w:val="-6"/>
        </w:rPr>
        <w:t>princípom nezávislého vzťahu; ii) je suma rovnajúca sa úprave smerom nadol zahrnutá do zisku pridruženého podniku</w:t>
      </w:r>
      <w:r w:rsidR="00F537B9" w:rsidRPr="00F537B9">
        <w:rPr>
          <w:noProof/>
          <w:spacing w:val="-6"/>
        </w:rPr>
        <w:t xml:space="preserve"> v </w:t>
      </w:r>
      <w:r w:rsidRPr="00F537B9">
        <w:rPr>
          <w:noProof/>
          <w:spacing w:val="-6"/>
        </w:rPr>
        <w:t>dotknutej inej jurisdikcii</w:t>
      </w:r>
      <w:r w:rsidR="00F537B9" w:rsidRPr="00F537B9">
        <w:rPr>
          <w:noProof/>
          <w:spacing w:val="-6"/>
        </w:rPr>
        <w:t xml:space="preserve"> a v </w:t>
      </w:r>
      <w:r w:rsidRPr="00F537B9">
        <w:rPr>
          <w:noProof/>
          <w:spacing w:val="-6"/>
        </w:rPr>
        <w:t>nej podlieha dani</w:t>
      </w:r>
      <w:r w:rsidR="00F537B9" w:rsidRPr="00F537B9">
        <w:rPr>
          <w:noProof/>
          <w:spacing w:val="-6"/>
        </w:rPr>
        <w:t xml:space="preserve"> a </w:t>
      </w:r>
      <w:r w:rsidRPr="00F537B9">
        <w:rPr>
          <w:noProof/>
          <w:spacing w:val="-6"/>
        </w:rPr>
        <w:t>iii) príslušnej jurisdikcii bolo zaslané oznámenie</w:t>
      </w:r>
      <w:r w:rsidR="00F537B9" w:rsidRPr="00F537B9">
        <w:rPr>
          <w:noProof/>
          <w:spacing w:val="-6"/>
        </w:rPr>
        <w:t xml:space="preserve"> o </w:t>
      </w:r>
      <w:r w:rsidRPr="00F537B9">
        <w:rPr>
          <w:noProof/>
          <w:spacing w:val="-6"/>
        </w:rPr>
        <w:t>zámere vykonať úpravu smerom nadol. Predchádzajúce ustanovenia majú zabezpečiť: i) aby si členské štáty mohli ponechať právo posúdiť, či je primárna úprava</w:t>
      </w:r>
      <w:r w:rsidR="00F537B9" w:rsidRPr="00F537B9">
        <w:rPr>
          <w:noProof/>
          <w:spacing w:val="-6"/>
        </w:rPr>
        <w:t xml:space="preserve"> v </w:t>
      </w:r>
      <w:r w:rsidRPr="00F537B9">
        <w:rPr>
          <w:noProof/>
          <w:spacing w:val="-6"/>
        </w:rPr>
        <w:t>súlade</w:t>
      </w:r>
      <w:r w:rsidR="00F537B9" w:rsidRPr="00F537B9">
        <w:rPr>
          <w:noProof/>
          <w:spacing w:val="-6"/>
        </w:rPr>
        <w:t xml:space="preserve"> s </w:t>
      </w:r>
      <w:r w:rsidRPr="00F537B9">
        <w:rPr>
          <w:noProof/>
          <w:spacing w:val="-6"/>
        </w:rPr>
        <w:t>princípom nezávislého vzťahu,</w:t>
      </w:r>
      <w:r w:rsidR="00F537B9" w:rsidRPr="00F537B9">
        <w:rPr>
          <w:noProof/>
          <w:spacing w:val="-6"/>
        </w:rPr>
        <w:t xml:space="preserve"> a </w:t>
      </w:r>
      <w:r w:rsidRPr="00F537B9">
        <w:rPr>
          <w:noProof/>
          <w:spacing w:val="-6"/>
        </w:rPr>
        <w:t>ii) aby nedochádzalo</w:t>
      </w:r>
      <w:r w:rsidR="00F537B9" w:rsidRPr="00F537B9">
        <w:rPr>
          <w:noProof/>
          <w:spacing w:val="-6"/>
        </w:rPr>
        <w:t xml:space="preserve"> k </w:t>
      </w:r>
      <w:r w:rsidRPr="00F537B9">
        <w:rPr>
          <w:noProof/>
          <w:spacing w:val="-6"/>
        </w:rPr>
        <w:t>dvojitému zdaneniu ani</w:t>
      </w:r>
      <w:r w:rsidR="00F537B9" w:rsidRPr="00F537B9">
        <w:rPr>
          <w:noProof/>
          <w:spacing w:val="-6"/>
        </w:rPr>
        <w:t xml:space="preserve"> k </w:t>
      </w:r>
      <w:r w:rsidRPr="00F537B9">
        <w:rPr>
          <w:noProof/>
          <w:spacing w:val="-6"/>
        </w:rPr>
        <w:t>dvojitému nezdaneniu. Členské štáty by nemali vytvárať situácie dvojitého nezdanenia</w:t>
      </w:r>
      <w:r w:rsidR="00F537B9" w:rsidRPr="00F537B9">
        <w:rPr>
          <w:noProof/>
          <w:spacing w:val="-6"/>
        </w:rPr>
        <w:t>.</w:t>
      </w:r>
    </w:p>
    <w:p w14:paraId="7F706B3E" w14:textId="42D13487" w:rsidR="00AE4437" w:rsidRPr="00F537B9" w:rsidRDefault="00AE4437" w:rsidP="00C4471E">
      <w:pPr>
        <w:pStyle w:val="ManualConsidrant"/>
        <w:rPr>
          <w:noProof/>
        </w:rPr>
      </w:pPr>
      <w:r w:rsidRPr="00F537B9">
        <w:rPr>
          <w:noProof/>
        </w:rPr>
        <w:t>(8)</w:t>
      </w:r>
      <w:r w:rsidRPr="00F537B9">
        <w:rPr>
          <w:noProof/>
        </w:rPr>
        <w:tab/>
        <w:t>S cieľom stanoviť spoločný prístup ku kompenzačným úpravám</w:t>
      </w:r>
      <w:r w:rsidR="00F537B9">
        <w:rPr>
          <w:noProof/>
        </w:rPr>
        <w:t xml:space="preserve"> v </w:t>
      </w:r>
      <w:r w:rsidRPr="00F537B9">
        <w:rPr>
          <w:noProof/>
        </w:rPr>
        <w:t>rámci Únie</w:t>
      </w:r>
      <w:r w:rsidR="00F537B9">
        <w:rPr>
          <w:noProof/>
        </w:rPr>
        <w:t xml:space="preserve"> a </w:t>
      </w:r>
      <w:r w:rsidRPr="00F537B9">
        <w:rPr>
          <w:noProof/>
        </w:rPr>
        <w:t>zabrániť súdnym sporom sa</w:t>
      </w:r>
      <w:r w:rsidR="00F537B9">
        <w:rPr>
          <w:noProof/>
        </w:rPr>
        <w:t xml:space="preserve"> v </w:t>
      </w:r>
      <w:r w:rsidRPr="00F537B9">
        <w:rPr>
          <w:noProof/>
        </w:rPr>
        <w:t>tejto smernici stanovujú podmienky, za ktorých by členské štáty mali uznať kompenzačné úpravy. Toto ustanovenie by sa malo vykladať</w:t>
      </w:r>
      <w:r w:rsidR="00F537B9">
        <w:rPr>
          <w:noProof/>
        </w:rPr>
        <w:t xml:space="preserve"> v </w:t>
      </w:r>
      <w:r w:rsidRPr="00F537B9">
        <w:rPr>
          <w:noProof/>
        </w:rPr>
        <w:t>spojení so správou Komisie</w:t>
      </w:r>
      <w:r w:rsidR="00F537B9">
        <w:rPr>
          <w:noProof/>
        </w:rPr>
        <w:t xml:space="preserve"> z </w:t>
      </w:r>
      <w:r w:rsidRPr="00F537B9">
        <w:rPr>
          <w:noProof/>
        </w:rPr>
        <w:t>roku 2013</w:t>
      </w:r>
      <w:r w:rsidR="00F537B9">
        <w:rPr>
          <w:noProof/>
        </w:rPr>
        <w:t xml:space="preserve"> s </w:t>
      </w:r>
      <w:r w:rsidRPr="00F537B9">
        <w:rPr>
          <w:noProof/>
        </w:rPr>
        <w:t>názvom Spoločné fórum EÚ pre transferové oceňovanie – správa</w:t>
      </w:r>
      <w:r w:rsidR="00F537B9">
        <w:rPr>
          <w:noProof/>
        </w:rPr>
        <w:t xml:space="preserve"> o </w:t>
      </w:r>
      <w:r w:rsidRPr="00F537B9">
        <w:rPr>
          <w:noProof/>
        </w:rPr>
        <w:t>kompenzačných úpravách</w:t>
      </w:r>
      <w:r w:rsidRPr="00F537B9">
        <w:rPr>
          <w:rStyle w:val="FootnoteReference"/>
          <w:noProof/>
        </w:rPr>
        <w:footnoteReference w:id="31"/>
      </w:r>
      <w:r w:rsidRPr="00F537B9">
        <w:rPr>
          <w:noProof/>
        </w:rPr>
        <w:t>.</w:t>
      </w:r>
    </w:p>
    <w:p w14:paraId="16CF260F" w14:textId="12192713" w:rsidR="00CC12DE" w:rsidRPr="00F537B9" w:rsidRDefault="00AE4437" w:rsidP="00CC12DE">
      <w:pPr>
        <w:pStyle w:val="ManualConsidrant"/>
        <w:rPr>
          <w:noProof/>
          <w:spacing w:val="-6"/>
        </w:rPr>
      </w:pPr>
      <w:r w:rsidRPr="00F537B9">
        <w:rPr>
          <w:noProof/>
        </w:rPr>
        <w:t>(9)</w:t>
      </w:r>
      <w:r w:rsidRPr="00F537B9">
        <w:rPr>
          <w:noProof/>
        </w:rPr>
        <w:tab/>
      </w:r>
      <w:r w:rsidRPr="00F537B9">
        <w:rPr>
          <w:noProof/>
          <w:spacing w:val="-6"/>
        </w:rPr>
        <w:t>S cieľom zabezpečiť, aby sa výsledky transferového oceňovania určovali</w:t>
      </w:r>
      <w:r w:rsidR="00F537B9" w:rsidRPr="00F537B9">
        <w:rPr>
          <w:noProof/>
          <w:spacing w:val="-6"/>
        </w:rPr>
        <w:t xml:space="preserve"> v </w:t>
      </w:r>
      <w:r w:rsidRPr="00F537B9">
        <w:rPr>
          <w:noProof/>
          <w:spacing w:val="-6"/>
        </w:rPr>
        <w:t>súlade so skutočným konaním spriaznených osôb, táto smernica vyžaduje dôkladné vymedzenie skutočnej transakcie medzi pridruženými podnikmi pomocou analýzy zmluvných vzťahov medzi stranami</w:t>
      </w:r>
      <w:r w:rsidR="00F537B9" w:rsidRPr="00F537B9">
        <w:rPr>
          <w:noProof/>
          <w:spacing w:val="-6"/>
        </w:rPr>
        <w:t xml:space="preserve"> v </w:t>
      </w:r>
      <w:r w:rsidRPr="00F537B9">
        <w:rPr>
          <w:noProof/>
          <w:spacing w:val="-6"/>
        </w:rPr>
        <w:t>kombinácii so správaním strán.</w:t>
      </w:r>
      <w:r w:rsidR="00F537B9" w:rsidRPr="00F537B9">
        <w:rPr>
          <w:noProof/>
          <w:spacing w:val="-6"/>
        </w:rPr>
        <w:t xml:space="preserve"> V </w:t>
      </w:r>
      <w:r w:rsidRPr="00F537B9">
        <w:rPr>
          <w:noProof/>
          <w:spacing w:val="-6"/>
        </w:rPr>
        <w:t>tejto súvislosti by rozhodujúcim prvým krokom analýzy transferového oceňovania malo byť presné zadefinovanie medzipodnikových transakcií prostredníctvom analýzy ich ekonomicky relevantných charakteristických znakov, ktoré sa odrážajú nielen</w:t>
      </w:r>
      <w:r w:rsidR="00F537B9" w:rsidRPr="00F537B9">
        <w:rPr>
          <w:noProof/>
          <w:spacing w:val="-6"/>
        </w:rPr>
        <w:t xml:space="preserve"> v </w:t>
      </w:r>
      <w:r w:rsidRPr="00F537B9">
        <w:rPr>
          <w:noProof/>
          <w:spacing w:val="-6"/>
        </w:rPr>
        <w:t>zmluvách medzi zmluvnými stranami, ale aj</w:t>
      </w:r>
      <w:r w:rsidR="00F537B9" w:rsidRPr="00F537B9">
        <w:rPr>
          <w:noProof/>
          <w:spacing w:val="-6"/>
        </w:rPr>
        <w:t xml:space="preserve"> v </w:t>
      </w:r>
      <w:r w:rsidRPr="00F537B9">
        <w:rPr>
          <w:noProof/>
          <w:spacing w:val="-6"/>
        </w:rPr>
        <w:t>ich konaní</w:t>
      </w:r>
      <w:r w:rsidR="00F537B9" w:rsidRPr="00F537B9">
        <w:rPr>
          <w:noProof/>
          <w:spacing w:val="-6"/>
        </w:rPr>
        <w:t xml:space="preserve"> a </w:t>
      </w:r>
      <w:r w:rsidRPr="00F537B9">
        <w:rPr>
          <w:noProof/>
          <w:spacing w:val="-6"/>
        </w:rPr>
        <w:t>akýchkoľvek iných relevantných skutočnostiach. Zmluvné podmienky by mali byť východiskom pre analýzu, pričom pokiaľ konanie strán alebo iné skutočnosti nie sú</w:t>
      </w:r>
      <w:r w:rsidR="00F537B9" w:rsidRPr="00F537B9">
        <w:rPr>
          <w:noProof/>
          <w:spacing w:val="-6"/>
        </w:rPr>
        <w:t xml:space="preserve"> v </w:t>
      </w:r>
      <w:r w:rsidRPr="00F537B9">
        <w:rPr>
          <w:noProof/>
          <w:spacing w:val="-6"/>
        </w:rPr>
        <w:t>súlade</w:t>
      </w:r>
      <w:r w:rsidR="00F537B9" w:rsidRPr="00F537B9">
        <w:rPr>
          <w:noProof/>
          <w:spacing w:val="-6"/>
        </w:rPr>
        <w:t xml:space="preserve"> s </w:t>
      </w:r>
      <w:r w:rsidRPr="00F537B9">
        <w:rPr>
          <w:noProof/>
          <w:spacing w:val="-6"/>
        </w:rPr>
        <w:t>písomnou zmluvou, za najlepší dôkaz skutočne vykonanej transakcie (transakcií) by sa malo považovať správanie strán (a nie podmienky písomnej zmluvy).</w:t>
      </w:r>
    </w:p>
    <w:p w14:paraId="0839C9BE" w14:textId="7D03582A" w:rsidR="00F537B9" w:rsidRDefault="00CC12DE" w:rsidP="0028383F">
      <w:pPr>
        <w:pStyle w:val="ManualConsidrant"/>
        <w:rPr>
          <w:noProof/>
        </w:rPr>
      </w:pPr>
      <w:r w:rsidRPr="00F537B9">
        <w:rPr>
          <w:noProof/>
        </w:rPr>
        <w:t>(10)</w:t>
      </w:r>
      <w:r w:rsidRPr="00F537B9">
        <w:rPr>
          <w:noProof/>
        </w:rPr>
        <w:tab/>
        <w:t>Metódy transferového oceňovania sa používajú na stanovenie nezávislých trhových cien pre transakcie medzi pridruženými podnikmi. Metódy uvedené</w:t>
      </w:r>
      <w:r w:rsidR="00F537B9">
        <w:rPr>
          <w:noProof/>
        </w:rPr>
        <w:t xml:space="preserve"> v </w:t>
      </w:r>
      <w:r w:rsidRPr="00F537B9">
        <w:rPr>
          <w:noProof/>
        </w:rPr>
        <w:t>tejto smernici sú</w:t>
      </w:r>
      <w:r w:rsidR="00F537B9">
        <w:rPr>
          <w:noProof/>
        </w:rPr>
        <w:t xml:space="preserve"> v </w:t>
      </w:r>
      <w:r w:rsidRPr="00F537B9">
        <w:rPr>
          <w:noProof/>
        </w:rPr>
        <w:t>súlade</w:t>
      </w:r>
      <w:r w:rsidR="00F537B9">
        <w:rPr>
          <w:noProof/>
        </w:rPr>
        <w:t xml:space="preserve"> s </w:t>
      </w:r>
      <w:r w:rsidRPr="00F537B9">
        <w:rPr>
          <w:noProof/>
        </w:rPr>
        <w:t>kapitolou III smernice Organizácie pre hospodársku spoluprácu</w:t>
      </w:r>
      <w:r w:rsidR="00F537B9">
        <w:rPr>
          <w:noProof/>
        </w:rPr>
        <w:t xml:space="preserve"> a </w:t>
      </w:r>
      <w:r w:rsidRPr="00F537B9">
        <w:rPr>
          <w:noProof/>
        </w:rPr>
        <w:t>rozvoj (OECD)</w:t>
      </w:r>
      <w:r w:rsidR="00F537B9">
        <w:rPr>
          <w:noProof/>
        </w:rPr>
        <w:t xml:space="preserve"> o </w:t>
      </w:r>
      <w:r w:rsidRPr="00F537B9">
        <w:rPr>
          <w:noProof/>
        </w:rPr>
        <w:t>transferovom oceňovaní pre nadnárodné spoločnosti</w:t>
      </w:r>
      <w:r w:rsidR="00F537B9">
        <w:rPr>
          <w:noProof/>
        </w:rPr>
        <w:t xml:space="preserve"> a </w:t>
      </w:r>
      <w:r w:rsidRPr="00F537B9">
        <w:rPr>
          <w:noProof/>
        </w:rPr>
        <w:t>správu daní</w:t>
      </w:r>
      <w:r w:rsidR="00F537B9">
        <w:rPr>
          <w:noProof/>
        </w:rPr>
        <w:t xml:space="preserve"> z </w:t>
      </w:r>
      <w:r w:rsidRPr="00F537B9">
        <w:rPr>
          <w:noProof/>
        </w:rPr>
        <w:t>roku 2022 (ďalej len „smernica OECD</w:t>
      </w:r>
      <w:r w:rsidR="00F537B9">
        <w:rPr>
          <w:noProof/>
        </w:rPr>
        <w:t xml:space="preserve"> o </w:t>
      </w:r>
      <w:r w:rsidRPr="00F537B9">
        <w:rPr>
          <w:noProof/>
        </w:rPr>
        <w:t>transferovom oceňovaní“).</w:t>
      </w:r>
      <w:r w:rsidR="00F537B9">
        <w:rPr>
          <w:noProof/>
        </w:rPr>
        <w:t xml:space="preserve"> V </w:t>
      </w:r>
      <w:r w:rsidRPr="00F537B9">
        <w:rPr>
          <w:noProof/>
        </w:rPr>
        <w:t>tejto smernici Rady sa neuprednostňuje žiadna</w:t>
      </w:r>
      <w:r w:rsidR="00F537B9">
        <w:rPr>
          <w:noProof/>
        </w:rPr>
        <w:t xml:space="preserve"> z </w:t>
      </w:r>
      <w:r w:rsidRPr="00F537B9">
        <w:rPr>
          <w:noProof/>
        </w:rPr>
        <w:t>týchto uznaných metód transferového oceňovania. Namiesto toho by sa malo uplatňovať pravidlo najvhodnejšej metódy stanovené</w:t>
      </w:r>
      <w:r w:rsidR="00F537B9">
        <w:rPr>
          <w:noProof/>
        </w:rPr>
        <w:t xml:space="preserve"> v </w:t>
      </w:r>
      <w:r w:rsidRPr="00F537B9">
        <w:rPr>
          <w:noProof/>
        </w:rPr>
        <w:t>tejto smernici,</w:t>
      </w:r>
      <w:r w:rsidR="00F537B9">
        <w:rPr>
          <w:noProof/>
        </w:rPr>
        <w:t xml:space="preserve"> a </w:t>
      </w:r>
      <w:r w:rsidRPr="00F537B9">
        <w:rPr>
          <w:noProof/>
        </w:rPr>
        <w:t>teda by sa mala zvoliť metóda, ktorá je najvhodnejšia</w:t>
      </w:r>
      <w:r w:rsidR="00F537B9">
        <w:rPr>
          <w:noProof/>
        </w:rPr>
        <w:t xml:space="preserve"> s </w:t>
      </w:r>
      <w:r w:rsidRPr="00F537B9">
        <w:rPr>
          <w:noProof/>
        </w:rPr>
        <w:t>prihliadnutím na skutočnosti</w:t>
      </w:r>
      <w:r w:rsidR="00F537B9">
        <w:rPr>
          <w:noProof/>
        </w:rPr>
        <w:t xml:space="preserve"> a </w:t>
      </w:r>
      <w:r w:rsidRPr="00F537B9">
        <w:rPr>
          <w:noProof/>
        </w:rPr>
        <w:t>okolnosti konkrétneho prípadu.</w:t>
      </w:r>
      <w:r w:rsidR="00F537B9">
        <w:rPr>
          <w:noProof/>
        </w:rPr>
        <w:t xml:space="preserve"> V </w:t>
      </w:r>
      <w:r w:rsidRPr="00F537B9">
        <w:rPr>
          <w:noProof/>
        </w:rPr>
        <w:t>tejto smernici sa ďalej stanovuje, že inú metódu transferového oceňovania než metódy uznané podľa OECD možno uplatniť len vtedy, ak je možné preukázať, že: i) žiadnu</w:t>
      </w:r>
      <w:r w:rsidR="00F537B9">
        <w:rPr>
          <w:noProof/>
        </w:rPr>
        <w:t xml:space="preserve"> z </w:t>
      </w:r>
      <w:r w:rsidRPr="00F537B9">
        <w:rPr>
          <w:noProof/>
        </w:rPr>
        <w:t>metód uznaných podľa OECD nemožno primerane uplatniť na určenie podmienok nezávislého vzťahu pre kontrolovanú transakciu (t. j. transakciu medzi pridruženými podnikmi)</w:t>
      </w:r>
      <w:r w:rsidR="00F537B9">
        <w:rPr>
          <w:noProof/>
        </w:rPr>
        <w:t xml:space="preserve"> a </w:t>
      </w:r>
      <w:r w:rsidRPr="00F537B9">
        <w:rPr>
          <w:noProof/>
        </w:rPr>
        <w:t>ii) takáto iná metóda vedie</w:t>
      </w:r>
      <w:r w:rsidR="00F537B9">
        <w:rPr>
          <w:noProof/>
        </w:rPr>
        <w:t xml:space="preserve"> k </w:t>
      </w:r>
      <w:r w:rsidRPr="00F537B9">
        <w:rPr>
          <w:noProof/>
        </w:rPr>
        <w:t>výsledku, ktorý je konzistentný</w:t>
      </w:r>
      <w:r w:rsidR="00F537B9">
        <w:rPr>
          <w:noProof/>
        </w:rPr>
        <w:t xml:space="preserve"> s </w:t>
      </w:r>
      <w:r w:rsidRPr="00F537B9">
        <w:rPr>
          <w:noProof/>
        </w:rPr>
        <w:t>výsledkom, ktorý by dosiahli nezávislé podniky zapojené do porovnateľných nekontrolovaných transakcií za porovnateľných okolností. Bremeno preukázania toho, že boli splnené uvedené požiadavky, by mal niesť daňovník alebo daňová správa, ktorý(-á) použije inú metódu než jednu</w:t>
      </w:r>
      <w:r w:rsidR="00F537B9">
        <w:rPr>
          <w:noProof/>
        </w:rPr>
        <w:t xml:space="preserve"> z </w:t>
      </w:r>
      <w:r w:rsidRPr="00F537B9">
        <w:rPr>
          <w:noProof/>
        </w:rPr>
        <w:t>metód uznaných podľa OECD. Ak sú splnené podmienky</w:t>
      </w:r>
      <w:r w:rsidR="00F537B9">
        <w:rPr>
          <w:noProof/>
        </w:rPr>
        <w:t xml:space="preserve"> a </w:t>
      </w:r>
      <w:r w:rsidRPr="00F537B9">
        <w:rPr>
          <w:noProof/>
        </w:rPr>
        <w:t>na určenie nezávislej trhovej ceny sa použije technika ekonomického oceňovania, mal by sa náležite zohľadniť obsah</w:t>
      </w:r>
      <w:r w:rsidR="00F537B9">
        <w:rPr>
          <w:noProof/>
        </w:rPr>
        <w:t xml:space="preserve"> a </w:t>
      </w:r>
      <w:r w:rsidRPr="00F537B9">
        <w:rPr>
          <w:noProof/>
        </w:rPr>
        <w:t>odporúčania uvedené</w:t>
      </w:r>
      <w:r w:rsidR="00F537B9">
        <w:rPr>
          <w:noProof/>
        </w:rPr>
        <w:t xml:space="preserve"> v </w:t>
      </w:r>
      <w:r w:rsidRPr="00F537B9">
        <w:rPr>
          <w:noProof/>
        </w:rPr>
        <w:t>správe Komisie</w:t>
      </w:r>
      <w:r w:rsidR="00F537B9">
        <w:rPr>
          <w:noProof/>
        </w:rPr>
        <w:t xml:space="preserve"> z </w:t>
      </w:r>
      <w:r w:rsidRPr="00F537B9">
        <w:rPr>
          <w:noProof/>
        </w:rPr>
        <w:t>roku 2017</w:t>
      </w:r>
      <w:r w:rsidR="00F537B9">
        <w:rPr>
          <w:noProof/>
        </w:rPr>
        <w:t xml:space="preserve"> s </w:t>
      </w:r>
      <w:r w:rsidRPr="00F537B9">
        <w:rPr>
          <w:noProof/>
        </w:rPr>
        <w:t xml:space="preserve">názvom </w:t>
      </w:r>
      <w:bookmarkStart w:id="8" w:name="_Hlk144012919"/>
      <w:r w:rsidRPr="00F537B9">
        <w:rPr>
          <w:noProof/>
        </w:rPr>
        <w:t>Spoločné fórum EÚ pre transferové oceňovanie</w:t>
      </w:r>
      <w:bookmarkEnd w:id="8"/>
      <w:r w:rsidRPr="00F537B9">
        <w:rPr>
          <w:noProof/>
        </w:rPr>
        <w:t xml:space="preserve"> – správa</w:t>
      </w:r>
      <w:r w:rsidR="00F537B9">
        <w:rPr>
          <w:noProof/>
        </w:rPr>
        <w:t xml:space="preserve"> o </w:t>
      </w:r>
      <w:r w:rsidRPr="00F537B9">
        <w:rPr>
          <w:noProof/>
        </w:rPr>
        <w:t>používaní techník ekonomického oceňovania pri transferovom oceňovaní</w:t>
      </w:r>
      <w:r w:rsidRPr="00F537B9">
        <w:rPr>
          <w:rStyle w:val="FootnoteReference"/>
          <w:noProof/>
        </w:rPr>
        <w:footnoteReference w:id="32"/>
      </w:r>
      <w:r w:rsidR="00F537B9">
        <w:rPr>
          <w:noProof/>
        </w:rPr>
        <w:t>.</w:t>
      </w:r>
    </w:p>
    <w:p w14:paraId="589C1D03" w14:textId="1F9813D6" w:rsidR="00CC12DE" w:rsidRPr="00F537B9" w:rsidRDefault="00CC12DE" w:rsidP="0028383F">
      <w:pPr>
        <w:pStyle w:val="ManualConsidrant"/>
        <w:rPr>
          <w:noProof/>
          <w:spacing w:val="-4"/>
        </w:rPr>
      </w:pPr>
      <w:r w:rsidRPr="00F537B9">
        <w:rPr>
          <w:noProof/>
        </w:rPr>
        <w:t>(11)</w:t>
      </w:r>
      <w:r w:rsidRPr="00F537B9">
        <w:rPr>
          <w:noProof/>
        </w:rPr>
        <w:tab/>
      </w:r>
      <w:bookmarkStart w:id="10" w:name="_Hlk139218630"/>
      <w:r w:rsidRPr="00F537B9">
        <w:rPr>
          <w:noProof/>
          <w:spacing w:val="-4"/>
        </w:rPr>
        <w:t>Výber metódy transferového oceňovania by mal byť vždy zameraný na nájdenie najvhodnejšej metódy pre konkrétny prípad. Pri procese výberu najvhodnejšej metódy transferového oceňovania by sa mali zohľadňovať i) silné</w:t>
      </w:r>
      <w:r w:rsidR="00F537B9" w:rsidRPr="00F537B9">
        <w:rPr>
          <w:noProof/>
          <w:spacing w:val="-4"/>
        </w:rPr>
        <w:t xml:space="preserve"> a </w:t>
      </w:r>
      <w:r w:rsidRPr="00F537B9">
        <w:rPr>
          <w:noProof/>
          <w:spacing w:val="-4"/>
        </w:rPr>
        <w:t>slabé stránky jednotlivých metód transferového oceňovania; ii) vhodnosť zvažovanej metódy vzhľadom na povahu kontrolovanej transakcie, stanovená najmä prostredníctvom funkčnej analýzy; iii) dostupnosť spoľahlivých informácií (najmä</w:t>
      </w:r>
      <w:r w:rsidR="00F537B9" w:rsidRPr="00F537B9">
        <w:rPr>
          <w:noProof/>
          <w:spacing w:val="-4"/>
        </w:rPr>
        <w:t xml:space="preserve"> o </w:t>
      </w:r>
      <w:r w:rsidRPr="00F537B9">
        <w:rPr>
          <w:noProof/>
          <w:spacing w:val="-4"/>
        </w:rPr>
        <w:t>porovnateľných údajoch</w:t>
      </w:r>
      <w:r w:rsidR="00F537B9" w:rsidRPr="00F537B9">
        <w:rPr>
          <w:noProof/>
          <w:spacing w:val="-4"/>
        </w:rPr>
        <w:t xml:space="preserve"> z </w:t>
      </w:r>
      <w:r w:rsidRPr="00F537B9">
        <w:rPr>
          <w:noProof/>
          <w:spacing w:val="-4"/>
        </w:rPr>
        <w:t>nekontrolovaných transakcií) potrebných na uplatnenie zvolenej metódy alebo iných metód</w:t>
      </w:r>
      <w:r w:rsidR="00F537B9" w:rsidRPr="00F537B9">
        <w:rPr>
          <w:noProof/>
          <w:spacing w:val="-4"/>
        </w:rPr>
        <w:t xml:space="preserve"> a </w:t>
      </w:r>
      <w:r w:rsidRPr="00F537B9">
        <w:rPr>
          <w:noProof/>
          <w:spacing w:val="-4"/>
        </w:rPr>
        <w:t>iv) miera porovnateľnosti medzi kontrolovanými</w:t>
      </w:r>
      <w:r w:rsidR="00F537B9" w:rsidRPr="00F537B9">
        <w:rPr>
          <w:noProof/>
          <w:spacing w:val="-4"/>
        </w:rPr>
        <w:t xml:space="preserve"> a </w:t>
      </w:r>
      <w:r w:rsidRPr="00F537B9">
        <w:rPr>
          <w:noProof/>
          <w:spacing w:val="-4"/>
        </w:rPr>
        <w:t>nekontrolovanými transakciami, zohľadňujúc aj spoľahlivosť úprav na účely porovnateľnosti, ktoré môžu byť potrebné na odstránenie podstatných rozdielov medzi nimi. Žiadna metóda nie je vhodná</w:t>
      </w:r>
      <w:r w:rsidR="00F537B9" w:rsidRPr="00F537B9">
        <w:rPr>
          <w:noProof/>
          <w:spacing w:val="-4"/>
        </w:rPr>
        <w:t xml:space="preserve"> v </w:t>
      </w:r>
      <w:r w:rsidRPr="00F537B9">
        <w:rPr>
          <w:noProof/>
          <w:spacing w:val="-4"/>
        </w:rPr>
        <w:t>každej možnej situácii</w:t>
      </w:r>
      <w:r w:rsidR="00F537B9" w:rsidRPr="00F537B9">
        <w:rPr>
          <w:noProof/>
          <w:spacing w:val="-4"/>
        </w:rPr>
        <w:t xml:space="preserve"> a </w:t>
      </w:r>
      <w:r w:rsidRPr="00F537B9">
        <w:rPr>
          <w:noProof/>
          <w:spacing w:val="-4"/>
        </w:rPr>
        <w:t>nie je ani potrebné preukázať, že konkrétna metóda nie je za daných okolností vhodná. Treba poznamenať, že jednostranné metódy, ako sú metóda následného predaja, metóda zvýšených nákladov</w:t>
      </w:r>
      <w:r w:rsidR="00F537B9" w:rsidRPr="00F537B9">
        <w:rPr>
          <w:noProof/>
          <w:spacing w:val="-4"/>
        </w:rPr>
        <w:t xml:space="preserve"> a </w:t>
      </w:r>
      <w:r w:rsidRPr="00F537B9">
        <w:rPr>
          <w:noProof/>
          <w:spacing w:val="-4"/>
        </w:rPr>
        <w:t>metóda čistého obchodného rozpätia, sa nepovažujú za spoľahlivé, ak každá zo strán transakcie poskytuje jedinečné</w:t>
      </w:r>
      <w:r w:rsidR="00F537B9" w:rsidRPr="00F537B9">
        <w:rPr>
          <w:noProof/>
          <w:spacing w:val="-4"/>
        </w:rPr>
        <w:t xml:space="preserve"> a </w:t>
      </w:r>
      <w:r w:rsidRPr="00F537B9">
        <w:rPr>
          <w:noProof/>
          <w:spacing w:val="-4"/>
        </w:rPr>
        <w:t>hodnotné príspevky</w:t>
      </w:r>
      <w:r w:rsidR="00F537B9" w:rsidRPr="00F537B9">
        <w:rPr>
          <w:noProof/>
          <w:spacing w:val="-4"/>
        </w:rPr>
        <w:t xml:space="preserve"> v </w:t>
      </w:r>
      <w:r w:rsidRPr="00F537B9">
        <w:rPr>
          <w:noProof/>
          <w:spacing w:val="-4"/>
        </w:rPr>
        <w:t>rámci kontrolovanej transakcie alebo ak sú strany zapojené do vysoko integrovaných činností.</w:t>
      </w:r>
      <w:r w:rsidR="00F537B9" w:rsidRPr="00F537B9">
        <w:rPr>
          <w:noProof/>
          <w:spacing w:val="-4"/>
        </w:rPr>
        <w:t xml:space="preserve"> V </w:t>
      </w:r>
      <w:r w:rsidRPr="00F537B9">
        <w:rPr>
          <w:noProof/>
          <w:spacing w:val="-4"/>
        </w:rPr>
        <w:t>takom prípade je najvhodnejšou metódou metóda delenia zisku, keďže nezávislé strany by zrejme</w:t>
      </w:r>
      <w:r w:rsidR="00F537B9" w:rsidRPr="00F537B9">
        <w:rPr>
          <w:noProof/>
          <w:spacing w:val="-4"/>
        </w:rPr>
        <w:t xml:space="preserve"> v </w:t>
      </w:r>
      <w:r w:rsidRPr="00F537B9">
        <w:rPr>
          <w:noProof/>
          <w:spacing w:val="-4"/>
        </w:rPr>
        <w:t>skutočnosti ocenili transakciu úmerne</w:t>
      </w:r>
      <w:r w:rsidR="00F537B9" w:rsidRPr="00F537B9">
        <w:rPr>
          <w:noProof/>
          <w:spacing w:val="-4"/>
        </w:rPr>
        <w:t xml:space="preserve"> k </w:t>
      </w:r>
      <w:r w:rsidRPr="00F537B9">
        <w:rPr>
          <w:noProof/>
          <w:spacing w:val="-4"/>
        </w:rPr>
        <w:t>svojim príslušným príspevkom, pričom</w:t>
      </w:r>
      <w:r w:rsidR="00F537B9" w:rsidRPr="00F537B9">
        <w:rPr>
          <w:noProof/>
          <w:spacing w:val="-4"/>
        </w:rPr>
        <w:t xml:space="preserve"> v </w:t>
      </w:r>
      <w:r w:rsidRPr="00F537B9">
        <w:rPr>
          <w:noProof/>
          <w:spacing w:val="-4"/>
        </w:rPr>
        <w:t>takom prípade by bola vhodnejšia dvojstranná metóda. Jednostranné metódy sú vhodné vtedy, keď jedna zo strán poskytuje všetky jedinečné</w:t>
      </w:r>
      <w:r w:rsidR="00F537B9" w:rsidRPr="00F537B9">
        <w:rPr>
          <w:noProof/>
          <w:spacing w:val="-4"/>
        </w:rPr>
        <w:t xml:space="preserve"> a </w:t>
      </w:r>
      <w:r w:rsidRPr="00F537B9">
        <w:rPr>
          <w:noProof/>
          <w:spacing w:val="-4"/>
        </w:rPr>
        <w:t>hodnotné príspevky zahrnuté do kontrolovanej transakcie, zatiaľ čo druhá strana neposkytuje žiadny jedinečný</w:t>
      </w:r>
      <w:r w:rsidR="00F537B9" w:rsidRPr="00F537B9">
        <w:rPr>
          <w:noProof/>
          <w:spacing w:val="-4"/>
        </w:rPr>
        <w:t xml:space="preserve"> a </w:t>
      </w:r>
      <w:r w:rsidRPr="00F537B9">
        <w:rPr>
          <w:noProof/>
          <w:spacing w:val="-4"/>
        </w:rPr>
        <w:t>hodnotný príspevok.</w:t>
      </w:r>
      <w:r w:rsidR="00F537B9" w:rsidRPr="00F537B9">
        <w:rPr>
          <w:noProof/>
          <w:spacing w:val="-4"/>
        </w:rPr>
        <w:t xml:space="preserve"> V </w:t>
      </w:r>
      <w:r w:rsidRPr="00F537B9">
        <w:rPr>
          <w:noProof/>
          <w:spacing w:val="-4"/>
        </w:rPr>
        <w:t>takom prípade by testovanou stranou, t. j. stranou kontrolovanej transakcie, pri ktorej sa testuje finančný ukazovateľ, mala byť tá strana,</w:t>
      </w:r>
      <w:r w:rsidR="00F537B9" w:rsidRPr="00F537B9">
        <w:rPr>
          <w:noProof/>
          <w:spacing w:val="-4"/>
        </w:rPr>
        <w:t xml:space="preserve"> v </w:t>
      </w:r>
      <w:r w:rsidRPr="00F537B9">
        <w:rPr>
          <w:noProof/>
          <w:spacing w:val="-4"/>
        </w:rPr>
        <w:t>prípade ktorej možno najspoľahlivejšie uplatniť metódu transferového oceňovania</w:t>
      </w:r>
      <w:r w:rsidR="00F537B9" w:rsidRPr="00F537B9">
        <w:rPr>
          <w:noProof/>
          <w:spacing w:val="-4"/>
        </w:rPr>
        <w:t xml:space="preserve"> a </w:t>
      </w:r>
      <w:r w:rsidRPr="00F537B9">
        <w:rPr>
          <w:noProof/>
          <w:spacing w:val="-4"/>
        </w:rPr>
        <w:t>pre ktorú možno nájsť najspoľahlivejšie porovnateľné údaje. Stranou, ktorá neposkytuje žiadne jedinečné</w:t>
      </w:r>
      <w:r w:rsidR="00F537B9" w:rsidRPr="00F537B9">
        <w:rPr>
          <w:noProof/>
          <w:spacing w:val="-4"/>
        </w:rPr>
        <w:t xml:space="preserve"> a </w:t>
      </w:r>
      <w:r w:rsidRPr="00F537B9">
        <w:rPr>
          <w:noProof/>
          <w:spacing w:val="-4"/>
        </w:rPr>
        <w:t>hodnotné príspevky</w:t>
      </w:r>
      <w:r w:rsidR="00F537B9" w:rsidRPr="00F537B9">
        <w:rPr>
          <w:noProof/>
          <w:spacing w:val="-4"/>
        </w:rPr>
        <w:t xml:space="preserve"> v </w:t>
      </w:r>
      <w:r w:rsidRPr="00F537B9">
        <w:rPr>
          <w:noProof/>
          <w:spacing w:val="-4"/>
        </w:rPr>
        <w:t>súvislosti</w:t>
      </w:r>
      <w:r w:rsidR="00F537B9" w:rsidRPr="00F537B9">
        <w:rPr>
          <w:noProof/>
          <w:spacing w:val="-4"/>
        </w:rPr>
        <w:t xml:space="preserve"> s </w:t>
      </w:r>
      <w:r w:rsidRPr="00F537B9">
        <w:rPr>
          <w:noProof/>
          <w:spacing w:val="-4"/>
        </w:rPr>
        <w:t>transakciou, bude najčastejšie tá strana,</w:t>
      </w:r>
      <w:r w:rsidR="00F537B9" w:rsidRPr="00F537B9">
        <w:rPr>
          <w:noProof/>
          <w:spacing w:val="-4"/>
        </w:rPr>
        <w:t xml:space="preserve"> v </w:t>
      </w:r>
      <w:r w:rsidRPr="00F537B9">
        <w:rPr>
          <w:noProof/>
          <w:spacing w:val="-4"/>
        </w:rPr>
        <w:t>prípade ktorej možno najspoľahlivejšie uplatniť jednostrannú metódu transferového oceňovania.</w:t>
      </w:r>
    </w:p>
    <w:bookmarkEnd w:id="10"/>
    <w:p w14:paraId="7811D613" w14:textId="5B30A5F7" w:rsidR="007419EF" w:rsidRPr="00F537B9" w:rsidRDefault="00CC12DE" w:rsidP="00F350E8">
      <w:pPr>
        <w:pStyle w:val="ManualConsidrant"/>
        <w:rPr>
          <w:noProof/>
        </w:rPr>
      </w:pPr>
      <w:r w:rsidRPr="00F537B9">
        <w:rPr>
          <w:noProof/>
        </w:rPr>
        <w:t>(12)</w:t>
      </w:r>
      <w:r w:rsidRPr="00F537B9">
        <w:rPr>
          <w:noProof/>
        </w:rPr>
        <w:tab/>
        <w:t>Na uplatnenie princípu nezávislého vzťahu treba vykonať analýzu porovnateľnosti, ktorá vo všeobecnosti pozostáva</w:t>
      </w:r>
      <w:r w:rsidR="00F537B9">
        <w:rPr>
          <w:noProof/>
        </w:rPr>
        <w:t xml:space="preserve"> z </w:t>
      </w:r>
      <w:r w:rsidRPr="00F537B9">
        <w:rPr>
          <w:noProof/>
        </w:rPr>
        <w:t>dvoch kľúčových aspektov: i) identifikovanie obchodných alebo finančných vzťahov medzi pridruženými podnikmi</w:t>
      </w:r>
      <w:r w:rsidR="00F537B9">
        <w:rPr>
          <w:noProof/>
        </w:rPr>
        <w:t xml:space="preserve"> a </w:t>
      </w:r>
      <w:r w:rsidRPr="00F537B9">
        <w:rPr>
          <w:noProof/>
        </w:rPr>
        <w:t>podmienok</w:t>
      </w:r>
      <w:r w:rsidR="00F537B9">
        <w:rPr>
          <w:noProof/>
        </w:rPr>
        <w:t xml:space="preserve"> a </w:t>
      </w:r>
      <w:r w:rsidRPr="00F537B9">
        <w:rPr>
          <w:noProof/>
        </w:rPr>
        <w:t>ekonomicky relevantných okolností spojených</w:t>
      </w:r>
      <w:r w:rsidR="00F537B9">
        <w:rPr>
          <w:noProof/>
        </w:rPr>
        <w:t xml:space="preserve"> s </w:t>
      </w:r>
      <w:r w:rsidRPr="00F537B9">
        <w:rPr>
          <w:noProof/>
        </w:rPr>
        <w:t>týmito vzťahmi</w:t>
      </w:r>
      <w:r w:rsidR="00F537B9">
        <w:rPr>
          <w:noProof/>
        </w:rPr>
        <w:t xml:space="preserve"> a </w:t>
      </w:r>
      <w:r w:rsidRPr="00F537B9">
        <w:rPr>
          <w:noProof/>
        </w:rPr>
        <w:t>ii) porovnanie podmienok</w:t>
      </w:r>
      <w:r w:rsidR="00F537B9">
        <w:rPr>
          <w:noProof/>
        </w:rPr>
        <w:t xml:space="preserve"> a </w:t>
      </w:r>
      <w:r w:rsidRPr="00F537B9">
        <w:rPr>
          <w:noProof/>
        </w:rPr>
        <w:t>ekonomicky relevantných okolností transakcií medzi pridruženými podnikmi (kontrolované transakcie)</w:t>
      </w:r>
      <w:r w:rsidR="00F537B9">
        <w:rPr>
          <w:noProof/>
        </w:rPr>
        <w:t xml:space="preserve"> s </w:t>
      </w:r>
      <w:r w:rsidRPr="00F537B9">
        <w:rPr>
          <w:noProof/>
        </w:rPr>
        <w:t>podmienkami</w:t>
      </w:r>
      <w:r w:rsidR="00F537B9">
        <w:rPr>
          <w:noProof/>
        </w:rPr>
        <w:t xml:space="preserve"> a </w:t>
      </w:r>
      <w:r w:rsidRPr="00F537B9">
        <w:rPr>
          <w:noProof/>
        </w:rPr>
        <w:t>ekonomicky relevantnými okolnosťami porovnateľných transakcií medzi nezávislými podnikmi (porovnateľné nekontrolované transakcie). Faktormi porovnateľnosti, ktoré sa majú zohľadniť, sú i) zmluvné podmienky transakcie; ii) funkčná analýza (funkcie, ktoré každý podnik vykonáva,</w:t>
      </w:r>
      <w:r w:rsidR="00F537B9">
        <w:rPr>
          <w:noProof/>
        </w:rPr>
        <w:t xml:space="preserve"> s </w:t>
      </w:r>
      <w:r w:rsidRPr="00F537B9">
        <w:rPr>
          <w:noProof/>
        </w:rPr>
        <w:t>prihliadnutím na použité aktíva</w:t>
      </w:r>
      <w:r w:rsidR="00F537B9">
        <w:rPr>
          <w:noProof/>
        </w:rPr>
        <w:t xml:space="preserve"> a </w:t>
      </w:r>
      <w:r w:rsidRPr="00F537B9">
        <w:rPr>
          <w:noProof/>
        </w:rPr>
        <w:t>znášané riziká); iii) charakteristické znaky produktu alebo služby, ktoré sú predmetom transakcie; iv) hospodárska situácia</w:t>
      </w:r>
      <w:r w:rsidR="00F537B9">
        <w:rPr>
          <w:noProof/>
        </w:rPr>
        <w:t xml:space="preserve"> a </w:t>
      </w:r>
      <w:r w:rsidRPr="00F537B9">
        <w:rPr>
          <w:noProof/>
        </w:rPr>
        <w:t>v) obchodné stratégie. Po zistení okolností kontrolovanej transakcie by sa malo uskutočniť samotné porovnanie</w:t>
      </w:r>
      <w:r w:rsidR="00F537B9">
        <w:rPr>
          <w:noProof/>
        </w:rPr>
        <w:t xml:space="preserve"> a </w:t>
      </w:r>
      <w:r w:rsidRPr="00F537B9">
        <w:rPr>
          <w:noProof/>
        </w:rPr>
        <w:t>posúdenie toho, či je transakcia</w:t>
      </w:r>
      <w:r w:rsidR="00F537B9">
        <w:rPr>
          <w:noProof/>
        </w:rPr>
        <w:t xml:space="preserve"> v </w:t>
      </w:r>
      <w:r w:rsidRPr="00F537B9">
        <w:rPr>
          <w:noProof/>
        </w:rPr>
        <w:t>súlade</w:t>
      </w:r>
      <w:r w:rsidR="00F537B9">
        <w:rPr>
          <w:noProof/>
        </w:rPr>
        <w:t xml:space="preserve"> s </w:t>
      </w:r>
      <w:r w:rsidRPr="00F537B9">
        <w:rPr>
          <w:noProof/>
        </w:rPr>
        <w:t>princípom nezávislého vzťahu. Na tento účel by sa podmienky skúmanej kontrolovanej transakcie mali porovnať</w:t>
      </w:r>
      <w:r w:rsidR="00F537B9">
        <w:rPr>
          <w:noProof/>
        </w:rPr>
        <w:t xml:space="preserve"> s </w:t>
      </w:r>
      <w:r w:rsidRPr="00F537B9">
        <w:rPr>
          <w:noProof/>
        </w:rPr>
        <w:t>podmienkami porovnateľnej nekontrolovanej transakcie. Kontrolovaná</w:t>
      </w:r>
      <w:r w:rsidR="00F537B9">
        <w:rPr>
          <w:noProof/>
        </w:rPr>
        <w:t xml:space="preserve"> a </w:t>
      </w:r>
      <w:r w:rsidRPr="00F537B9">
        <w:rPr>
          <w:noProof/>
        </w:rPr>
        <w:t>nekontrolovaná transakcia sa považujú za porovnateľné, ak sú ekonomicky relevantné charakteristické znaky obidvoch transakcií</w:t>
      </w:r>
      <w:r w:rsidR="00F537B9">
        <w:rPr>
          <w:noProof/>
        </w:rPr>
        <w:t xml:space="preserve"> a </w:t>
      </w:r>
      <w:r w:rsidRPr="00F537B9">
        <w:rPr>
          <w:noProof/>
        </w:rPr>
        <w:t>okolnosti, ktoré ich sprevádzajú, dostatočne podobné na to, aby umožňovali spoľahlivé meranie nezávislého výsledku. Na to, aby boli dve transakcie porovnateľné, nemusia byť identické. Žiadny</w:t>
      </w:r>
      <w:r w:rsidR="00F537B9">
        <w:rPr>
          <w:noProof/>
        </w:rPr>
        <w:t xml:space="preserve"> z </w:t>
      </w:r>
      <w:r w:rsidRPr="00F537B9">
        <w:rPr>
          <w:noProof/>
        </w:rPr>
        <w:t>rozdielov medzi nimi by ale nemal podstatne ovplyvniť nezávislú trhovú cenu alebo zisk; ak takéto podstatné rozdiely existujú, mali by sa vykonať primerane presné úpravy, aby sa odstránil ich účinok. Pri hľadaní porovnateľných nekontrolovaných transakcií by sa mali náležite zohľadniť odporúčania uvedené</w:t>
      </w:r>
      <w:r w:rsidR="00F537B9">
        <w:rPr>
          <w:noProof/>
        </w:rPr>
        <w:t xml:space="preserve"> v </w:t>
      </w:r>
      <w:r w:rsidRPr="00F537B9">
        <w:rPr>
          <w:noProof/>
        </w:rPr>
        <w:t>správe Komisie</w:t>
      </w:r>
      <w:r w:rsidR="00F537B9">
        <w:rPr>
          <w:noProof/>
        </w:rPr>
        <w:t xml:space="preserve"> z </w:t>
      </w:r>
      <w:r w:rsidRPr="00F537B9">
        <w:rPr>
          <w:noProof/>
        </w:rPr>
        <w:t>roku 2016</w:t>
      </w:r>
      <w:r w:rsidR="00F537B9">
        <w:rPr>
          <w:noProof/>
        </w:rPr>
        <w:t xml:space="preserve"> s </w:t>
      </w:r>
      <w:r w:rsidRPr="00F537B9">
        <w:rPr>
          <w:noProof/>
        </w:rPr>
        <w:t>názvom Spoločné fórum EÚ pre transferové oceňovanie – správa</w:t>
      </w:r>
      <w:r w:rsidR="00F537B9">
        <w:rPr>
          <w:noProof/>
        </w:rPr>
        <w:t xml:space="preserve"> o </w:t>
      </w:r>
      <w:r w:rsidRPr="00F537B9">
        <w:rPr>
          <w:noProof/>
        </w:rPr>
        <w:t>používaní porovnateľných údajov</w:t>
      </w:r>
      <w:r w:rsidR="00F537B9">
        <w:rPr>
          <w:noProof/>
        </w:rPr>
        <w:t xml:space="preserve"> v </w:t>
      </w:r>
      <w:r w:rsidRPr="00F537B9">
        <w:rPr>
          <w:noProof/>
        </w:rPr>
        <w:t>EÚ</w:t>
      </w:r>
      <w:r w:rsidRPr="00F537B9">
        <w:rPr>
          <w:rStyle w:val="FootnoteReference"/>
          <w:rFonts w:eastAsia="Arial Unicode MS"/>
          <w:noProof/>
        </w:rPr>
        <w:footnoteReference w:id="33"/>
      </w:r>
      <w:r w:rsidRPr="00F537B9">
        <w:rPr>
          <w:noProof/>
        </w:rPr>
        <w:t>.</w:t>
      </w:r>
    </w:p>
    <w:p w14:paraId="2AD113A4" w14:textId="471CD40C" w:rsidR="00F537B9" w:rsidRPr="00F537B9" w:rsidRDefault="00CC12DE" w:rsidP="00AE4437">
      <w:pPr>
        <w:pStyle w:val="ManualConsidrant"/>
        <w:rPr>
          <w:noProof/>
          <w:spacing w:val="-4"/>
        </w:rPr>
      </w:pPr>
      <w:r w:rsidRPr="00F537B9">
        <w:rPr>
          <w:noProof/>
        </w:rPr>
        <w:t>(13)</w:t>
      </w:r>
      <w:r w:rsidRPr="00F537B9">
        <w:rPr>
          <w:noProof/>
        </w:rPr>
        <w:tab/>
      </w:r>
      <w:r w:rsidRPr="00F537B9">
        <w:rPr>
          <w:noProof/>
          <w:spacing w:val="-4"/>
        </w:rPr>
        <w:t>S cieľom minimalizovať spory</w:t>
      </w:r>
      <w:r w:rsidR="00F537B9" w:rsidRPr="00F537B9">
        <w:rPr>
          <w:noProof/>
          <w:spacing w:val="-4"/>
        </w:rPr>
        <w:t xml:space="preserve"> a </w:t>
      </w:r>
      <w:r w:rsidRPr="00F537B9">
        <w:rPr>
          <w:noProof/>
          <w:spacing w:val="-4"/>
        </w:rPr>
        <w:t>zabezpečiť spoločný prístup</w:t>
      </w:r>
      <w:r w:rsidR="00F537B9" w:rsidRPr="00F537B9">
        <w:rPr>
          <w:noProof/>
          <w:spacing w:val="-4"/>
        </w:rPr>
        <w:t xml:space="preserve"> v </w:t>
      </w:r>
      <w:r w:rsidRPr="00F537B9">
        <w:rPr>
          <w:noProof/>
          <w:spacing w:val="-4"/>
        </w:rPr>
        <w:t>celej Únii sa</w:t>
      </w:r>
      <w:r w:rsidR="00F537B9" w:rsidRPr="00F537B9">
        <w:rPr>
          <w:noProof/>
          <w:spacing w:val="-4"/>
        </w:rPr>
        <w:t xml:space="preserve"> v </w:t>
      </w:r>
      <w:r w:rsidRPr="00F537B9">
        <w:rPr>
          <w:noProof/>
          <w:spacing w:val="-4"/>
        </w:rPr>
        <w:t>tejto smernici ďalej stanovuje, že pri daňovníkovi by sa nemala uplatniť úprava, ak jeho výsledky patria do medzikvartilového rozpätia, pokiaľ daňová správa alebo daňovník nepreukáže, že určité iné umiestnenie na rozpätí je odôvodnené skutočnosťami</w:t>
      </w:r>
      <w:r w:rsidR="00F537B9" w:rsidRPr="00F537B9">
        <w:rPr>
          <w:noProof/>
          <w:spacing w:val="-4"/>
        </w:rPr>
        <w:t xml:space="preserve"> a </w:t>
      </w:r>
      <w:r w:rsidRPr="00F537B9">
        <w:rPr>
          <w:noProof/>
          <w:spacing w:val="-4"/>
        </w:rPr>
        <w:t>okolnosťami konkrétneho prípadu. Ak výsledky kontrolovanej transakcie ležia mimo rozpätia hodnôt</w:t>
      </w:r>
      <w:r w:rsidR="00F537B9" w:rsidRPr="00F537B9">
        <w:rPr>
          <w:noProof/>
          <w:spacing w:val="-4"/>
        </w:rPr>
        <w:t xml:space="preserve"> v </w:t>
      </w:r>
      <w:r w:rsidRPr="00F537B9">
        <w:rPr>
          <w:noProof/>
          <w:spacing w:val="-4"/>
        </w:rPr>
        <w:t>rámci nezávislého vzťahu, daňové správy by mali byť povinné vykonať úpravu na medián všetkých výsledkov, pokiaľ daňovník alebo daňová správa nepreukážu, že spoľahlivejšiu nezávislú trhovú cenu</w:t>
      </w:r>
      <w:r w:rsidR="00F537B9" w:rsidRPr="00F537B9">
        <w:rPr>
          <w:noProof/>
          <w:spacing w:val="-4"/>
        </w:rPr>
        <w:t xml:space="preserve"> v </w:t>
      </w:r>
      <w:r w:rsidRPr="00F537B9">
        <w:rPr>
          <w:noProof/>
          <w:spacing w:val="-4"/>
        </w:rPr>
        <w:t>danom prípade predstavuje iný bod rozpätia</w:t>
      </w:r>
      <w:r w:rsidR="00F537B9" w:rsidRPr="00F537B9">
        <w:rPr>
          <w:noProof/>
          <w:spacing w:val="-4"/>
        </w:rPr>
        <w:t>.</w:t>
      </w:r>
    </w:p>
    <w:p w14:paraId="286388F7" w14:textId="32C03EC0" w:rsidR="00F537B9" w:rsidRPr="00F537B9" w:rsidRDefault="00B11FA9" w:rsidP="00FB06E2">
      <w:pPr>
        <w:pStyle w:val="ManualConsidrant"/>
        <w:rPr>
          <w:noProof/>
          <w:spacing w:val="-4"/>
        </w:rPr>
      </w:pPr>
      <w:r w:rsidRPr="00F537B9">
        <w:rPr>
          <w:noProof/>
          <w:spacing w:val="-4"/>
        </w:rPr>
        <w:t>(14)</w:t>
      </w:r>
      <w:r w:rsidRPr="00F537B9">
        <w:rPr>
          <w:noProof/>
          <w:spacing w:val="-4"/>
        </w:rPr>
        <w:tab/>
      </w:r>
      <w:bookmarkStart w:id="11" w:name="_Hlk139470297"/>
      <w:r w:rsidRPr="00F537B9">
        <w:rPr>
          <w:noProof/>
          <w:spacing w:val="-4"/>
        </w:rPr>
        <w:t>S cieľom znížiť regulačné zaťaženie daňovníkov, ktorí pôsobia cezhranične</w:t>
      </w:r>
      <w:r w:rsidR="00F537B9" w:rsidRPr="00F537B9">
        <w:rPr>
          <w:noProof/>
          <w:spacing w:val="-4"/>
        </w:rPr>
        <w:t xml:space="preserve"> v </w:t>
      </w:r>
      <w:r w:rsidRPr="00F537B9">
        <w:rPr>
          <w:noProof/>
          <w:spacing w:val="-4"/>
        </w:rPr>
        <w:t>rámci Únie, by sa mal ďalej zaviesť spoločný prístup</w:t>
      </w:r>
      <w:r w:rsidR="00F537B9" w:rsidRPr="00F537B9">
        <w:rPr>
          <w:noProof/>
          <w:spacing w:val="-4"/>
        </w:rPr>
        <w:t xml:space="preserve"> k </w:t>
      </w:r>
      <w:r w:rsidRPr="00F537B9">
        <w:rPr>
          <w:noProof/>
          <w:spacing w:val="-4"/>
        </w:rPr>
        <w:t>dokumentácii</w:t>
      </w:r>
      <w:r w:rsidR="00F537B9" w:rsidRPr="00F537B9">
        <w:rPr>
          <w:noProof/>
          <w:spacing w:val="-4"/>
        </w:rPr>
        <w:t xml:space="preserve"> o </w:t>
      </w:r>
      <w:r w:rsidRPr="00F537B9">
        <w:rPr>
          <w:noProof/>
          <w:spacing w:val="-4"/>
        </w:rPr>
        <w:t>transferovom oceňovaní. Ak by bol stanovený jeden štandardný vzor, pravidlá týkajúce sa obsahu</w:t>
      </w:r>
      <w:r w:rsidR="00F537B9" w:rsidRPr="00F537B9">
        <w:rPr>
          <w:noProof/>
          <w:spacing w:val="-4"/>
        </w:rPr>
        <w:t xml:space="preserve"> a </w:t>
      </w:r>
      <w:r w:rsidRPr="00F537B9">
        <w:rPr>
          <w:noProof/>
          <w:spacing w:val="-4"/>
        </w:rPr>
        <w:t>jazykového režimu, lehoty</w:t>
      </w:r>
      <w:r w:rsidR="00F537B9" w:rsidRPr="00F537B9">
        <w:rPr>
          <w:noProof/>
          <w:spacing w:val="-4"/>
        </w:rPr>
        <w:t xml:space="preserve"> a </w:t>
      </w:r>
      <w:r w:rsidRPr="00F537B9">
        <w:rPr>
          <w:noProof/>
          <w:spacing w:val="-4"/>
        </w:rPr>
        <w:t>daňovníci, ktorí by mali patriť do rozsahu pôsobnosti, prinieslo by to jednoduchosť</w:t>
      </w:r>
      <w:r w:rsidR="00F537B9" w:rsidRPr="00F537B9">
        <w:rPr>
          <w:noProof/>
          <w:spacing w:val="-4"/>
        </w:rPr>
        <w:t xml:space="preserve"> a </w:t>
      </w:r>
      <w:r w:rsidRPr="00F537B9">
        <w:rPr>
          <w:noProof/>
          <w:spacing w:val="-4"/>
        </w:rPr>
        <w:t>potenciálne úspory nákladov, pričom by sa zohľadnila kapitola</w:t>
      </w:r>
      <w:r w:rsidR="00F537B9" w:rsidRPr="00F537B9">
        <w:rPr>
          <w:noProof/>
          <w:spacing w:val="-4"/>
        </w:rPr>
        <w:t xml:space="preserve"> V </w:t>
      </w:r>
      <w:r w:rsidRPr="00F537B9">
        <w:rPr>
          <w:noProof/>
          <w:spacing w:val="-4"/>
        </w:rPr>
        <w:t>„Dokumentácia“ smernice OECD</w:t>
      </w:r>
      <w:r w:rsidR="00F537B9" w:rsidRPr="00F537B9">
        <w:rPr>
          <w:noProof/>
          <w:spacing w:val="-4"/>
        </w:rPr>
        <w:t xml:space="preserve"> o </w:t>
      </w:r>
      <w:r w:rsidRPr="00F537B9">
        <w:rPr>
          <w:noProof/>
          <w:spacing w:val="-4"/>
        </w:rPr>
        <w:t>transferovom oceňovaní</w:t>
      </w:r>
      <w:r w:rsidR="00F537B9" w:rsidRPr="00F537B9">
        <w:rPr>
          <w:noProof/>
          <w:spacing w:val="-4"/>
        </w:rPr>
        <w:t xml:space="preserve"> a </w:t>
      </w:r>
      <w:r w:rsidRPr="00F537B9">
        <w:rPr>
          <w:noProof/>
          <w:spacing w:val="-4"/>
        </w:rPr>
        <w:t>kódex správania pre dokumentáciu</w:t>
      </w:r>
      <w:r w:rsidR="00F537B9" w:rsidRPr="00F537B9">
        <w:rPr>
          <w:noProof/>
          <w:spacing w:val="-4"/>
        </w:rPr>
        <w:t xml:space="preserve"> o </w:t>
      </w:r>
      <w:r w:rsidRPr="00F537B9">
        <w:rPr>
          <w:noProof/>
          <w:spacing w:val="-4"/>
        </w:rPr>
        <w:t>transferovom oceňovaní pre pridružené podniky</w:t>
      </w:r>
      <w:r w:rsidR="00F537B9" w:rsidRPr="00F537B9">
        <w:rPr>
          <w:noProof/>
          <w:spacing w:val="-4"/>
        </w:rPr>
        <w:t xml:space="preserve"> v </w:t>
      </w:r>
      <w:r w:rsidRPr="00F537B9">
        <w:rPr>
          <w:noProof/>
          <w:spacing w:val="-4"/>
        </w:rPr>
        <w:t>Európskej únii</w:t>
      </w:r>
      <w:r w:rsidRPr="00F537B9">
        <w:rPr>
          <w:rStyle w:val="FootnoteReference"/>
          <w:noProof/>
          <w:spacing w:val="-4"/>
        </w:rPr>
        <w:footnoteReference w:id="34"/>
      </w:r>
      <w:r w:rsidR="00F537B9" w:rsidRPr="00F537B9">
        <w:rPr>
          <w:noProof/>
          <w:spacing w:val="-4"/>
        </w:rPr>
        <w:t>.</w:t>
      </w:r>
    </w:p>
    <w:p w14:paraId="0823B730" w14:textId="139F4791" w:rsidR="00F537B9" w:rsidRDefault="001C59A7" w:rsidP="00FB06E2">
      <w:pPr>
        <w:pStyle w:val="ManualConsidrant"/>
        <w:rPr>
          <w:noProof/>
        </w:rPr>
      </w:pPr>
      <w:r w:rsidRPr="00F537B9">
        <w:rPr>
          <w:noProof/>
        </w:rPr>
        <w:t>(15)</w:t>
      </w:r>
      <w:r w:rsidRPr="00F537B9">
        <w:rPr>
          <w:noProof/>
        </w:rPr>
        <w:tab/>
        <w:t>Pravidlá stanovené</w:t>
      </w:r>
      <w:r w:rsidR="00F537B9">
        <w:rPr>
          <w:noProof/>
        </w:rPr>
        <w:t xml:space="preserve"> v </w:t>
      </w:r>
      <w:r w:rsidRPr="00F537B9">
        <w:rPr>
          <w:noProof/>
        </w:rPr>
        <w:t>tejto smernici by sa mali uplatňovať spôsobom, ktorý je</w:t>
      </w:r>
      <w:r w:rsidR="00F537B9">
        <w:rPr>
          <w:noProof/>
        </w:rPr>
        <w:t xml:space="preserve"> v </w:t>
      </w:r>
      <w:r w:rsidRPr="00F537B9">
        <w:rPr>
          <w:noProof/>
        </w:rPr>
        <w:t>súlade so smernicou OECD</w:t>
      </w:r>
      <w:r w:rsidR="00F537B9">
        <w:rPr>
          <w:noProof/>
        </w:rPr>
        <w:t xml:space="preserve"> o </w:t>
      </w:r>
      <w:r w:rsidRPr="00F537B9">
        <w:rPr>
          <w:noProof/>
        </w:rPr>
        <w:t>transferovom oceňovaní</w:t>
      </w:r>
      <w:r w:rsidR="00F537B9">
        <w:rPr>
          <w:noProof/>
        </w:rPr>
        <w:t>.</w:t>
      </w:r>
    </w:p>
    <w:p w14:paraId="65F866BD" w14:textId="2E977C7A" w:rsidR="00E07B7C" w:rsidRPr="00F537B9" w:rsidRDefault="00175D21" w:rsidP="00FB06E2">
      <w:pPr>
        <w:pStyle w:val="ManualConsidrant"/>
        <w:rPr>
          <w:noProof/>
          <w:spacing w:val="-4"/>
        </w:rPr>
      </w:pPr>
      <w:r w:rsidRPr="00F537B9">
        <w:rPr>
          <w:noProof/>
        </w:rPr>
        <w:t>(16)</w:t>
      </w:r>
      <w:bookmarkStart w:id="12" w:name="_Hlk144226695"/>
      <w:r w:rsidRPr="00F537B9">
        <w:rPr>
          <w:noProof/>
        </w:rPr>
        <w:tab/>
      </w:r>
      <w:r w:rsidRPr="00F537B9">
        <w:rPr>
          <w:noProof/>
          <w:spacing w:val="-4"/>
        </w:rPr>
        <w:t>S cieľom priniesť väčšiu istotu pre daňovníkov</w:t>
      </w:r>
      <w:r w:rsidR="00F537B9" w:rsidRPr="00F537B9">
        <w:rPr>
          <w:noProof/>
          <w:spacing w:val="-4"/>
        </w:rPr>
        <w:t xml:space="preserve"> a </w:t>
      </w:r>
      <w:r w:rsidRPr="00F537B9">
        <w:rPr>
          <w:noProof/>
          <w:spacing w:val="-4"/>
        </w:rPr>
        <w:t>zmierniť riziko dvojitého zdanenia táto smernica umožňuje stanoviť ďalšie spoločné záväzné pravidlá transferového oceňovania prostredníctvom vykonávacích aktov. Takéto vykonávacie akty by mali daňovníkom poskytovať jasný prehľad</w:t>
      </w:r>
      <w:r w:rsidR="00F537B9" w:rsidRPr="00F537B9">
        <w:rPr>
          <w:noProof/>
          <w:spacing w:val="-4"/>
        </w:rPr>
        <w:t xml:space="preserve"> o </w:t>
      </w:r>
      <w:r w:rsidRPr="00F537B9">
        <w:rPr>
          <w:noProof/>
          <w:spacing w:val="-4"/>
        </w:rPr>
        <w:t>tom, čo by daňové orgány</w:t>
      </w:r>
      <w:r w:rsidR="00F537B9" w:rsidRPr="00F537B9">
        <w:rPr>
          <w:noProof/>
          <w:spacing w:val="-4"/>
        </w:rPr>
        <w:t xml:space="preserve"> v </w:t>
      </w:r>
      <w:r w:rsidRPr="00F537B9">
        <w:rPr>
          <w:noProof/>
          <w:spacing w:val="-4"/>
        </w:rPr>
        <w:t>Únii považovali za prijateľné použiť pri určených transakciách,</w:t>
      </w:r>
      <w:r w:rsidR="00F537B9" w:rsidRPr="00F537B9">
        <w:rPr>
          <w:noProof/>
          <w:spacing w:val="-4"/>
        </w:rPr>
        <w:t xml:space="preserve"> a </w:t>
      </w:r>
      <w:r w:rsidRPr="00F537B9">
        <w:rPr>
          <w:noProof/>
          <w:spacing w:val="-4"/>
        </w:rPr>
        <w:t>poskytovali by tzv. bezpečné prístavy, ktoré znižujú regulačnú záťaž</w:t>
      </w:r>
      <w:r w:rsidR="00F537B9" w:rsidRPr="00F537B9">
        <w:rPr>
          <w:noProof/>
          <w:spacing w:val="-4"/>
        </w:rPr>
        <w:t xml:space="preserve"> a </w:t>
      </w:r>
      <w:r w:rsidRPr="00F537B9">
        <w:rPr>
          <w:noProof/>
          <w:spacing w:val="-4"/>
        </w:rPr>
        <w:t>počet sporov. Vzhľadom na potenciálny vplyv takýchto opatrení na výkonnú</w:t>
      </w:r>
      <w:r w:rsidR="00F537B9" w:rsidRPr="00F537B9">
        <w:rPr>
          <w:noProof/>
          <w:spacing w:val="-4"/>
        </w:rPr>
        <w:t xml:space="preserve"> a </w:t>
      </w:r>
      <w:r w:rsidRPr="00F537B9">
        <w:rPr>
          <w:noProof/>
          <w:spacing w:val="-4"/>
        </w:rPr>
        <w:t>presadzovaciu právomoc členských štátov, pokiaľ ide</w:t>
      </w:r>
      <w:r w:rsidR="00F537B9" w:rsidRPr="00F537B9">
        <w:rPr>
          <w:noProof/>
          <w:spacing w:val="-4"/>
        </w:rPr>
        <w:t xml:space="preserve"> o </w:t>
      </w:r>
      <w:r w:rsidRPr="00F537B9">
        <w:rPr>
          <w:noProof/>
          <w:spacing w:val="-4"/>
        </w:rPr>
        <w:t>priame zdaňovanie, na uplatňovanie práv zdaňovať pridelených na základe dvojstranných daňových zmlúv alebo mnohostranných daňových dohovorov, ktoré zabraňujú dvojitému zdaneniu alebo dvojitému nezdaneniu,</w:t>
      </w:r>
      <w:r w:rsidR="00F537B9" w:rsidRPr="00F537B9">
        <w:rPr>
          <w:noProof/>
          <w:spacing w:val="-4"/>
        </w:rPr>
        <w:t xml:space="preserve"> a </w:t>
      </w:r>
      <w:r w:rsidRPr="00F537B9">
        <w:rPr>
          <w:noProof/>
          <w:spacing w:val="-4"/>
        </w:rPr>
        <w:t>vzhľadom na potenciálny vplyv na základy dane členských štátov by sa vykonávacie právomoci na prijímanie rozhodnutí podľa tejto smernice mali preniesť na Radu, konajúcu na návrh Komisie.</w:t>
      </w:r>
      <w:bookmarkEnd w:id="11"/>
    </w:p>
    <w:bookmarkEnd w:id="12"/>
    <w:p w14:paraId="2EEBF6C1" w14:textId="02D828EC" w:rsidR="00F537B9" w:rsidRDefault="00D15F2B" w:rsidP="00D15F2B">
      <w:pPr>
        <w:pStyle w:val="ManualConsidrant"/>
        <w:rPr>
          <w:noProof/>
        </w:rPr>
      </w:pPr>
      <w:r w:rsidRPr="00F537B9">
        <w:rPr>
          <w:noProof/>
        </w:rPr>
        <w:t xml:space="preserve">(17) </w:t>
      </w:r>
      <w:r w:rsidRPr="00F537B9">
        <w:rPr>
          <w:noProof/>
        </w:rPr>
        <w:tab/>
      </w:r>
      <w:r w:rsidRPr="00F537B9">
        <w:rPr>
          <w:noProof/>
        </w:rPr>
        <w:tab/>
        <w:t>S cieľom vyhodnotiť účinnosť nových pravidiel stanovených</w:t>
      </w:r>
      <w:r w:rsidR="00F537B9">
        <w:rPr>
          <w:noProof/>
        </w:rPr>
        <w:t xml:space="preserve"> v </w:t>
      </w:r>
      <w:r w:rsidRPr="00F537B9">
        <w:rPr>
          <w:noProof/>
        </w:rPr>
        <w:t>tejto smernici by Komisia mala vypracovať hodnotenie na základe informácií poskytnutých členskými štátmi</w:t>
      </w:r>
      <w:r w:rsidR="00F537B9">
        <w:rPr>
          <w:noProof/>
        </w:rPr>
        <w:t xml:space="preserve"> a </w:t>
      </w:r>
      <w:r w:rsidRPr="00F537B9">
        <w:rPr>
          <w:noProof/>
        </w:rPr>
        <w:t>ďalších dostupných údajov</w:t>
      </w:r>
      <w:r w:rsidR="00F537B9">
        <w:rPr>
          <w:noProof/>
        </w:rPr>
        <w:t>.</w:t>
      </w:r>
    </w:p>
    <w:p w14:paraId="2631CCCC" w14:textId="45DC3F0A" w:rsidR="00724804" w:rsidRPr="00F537B9" w:rsidRDefault="00C20927" w:rsidP="00D911A1">
      <w:pPr>
        <w:pStyle w:val="ManualConsidrant"/>
        <w:rPr>
          <w:noProof/>
          <w:spacing w:val="-8"/>
        </w:rPr>
      </w:pPr>
      <w:bookmarkStart w:id="13" w:name="_Hlk144199830"/>
      <w:r w:rsidRPr="00F537B9">
        <w:rPr>
          <w:noProof/>
        </w:rPr>
        <w:t>(18)</w:t>
      </w:r>
      <w:r w:rsidRPr="00F537B9">
        <w:rPr>
          <w:noProof/>
        </w:rPr>
        <w:tab/>
      </w:r>
      <w:r w:rsidRPr="00F537B9">
        <w:rPr>
          <w:noProof/>
          <w:spacing w:val="-8"/>
        </w:rPr>
        <w:t>V záujme toho, aby podniky mohli priamo využívať výhody vnútorného trhu bez zbytočného dodatočného administratívneho zaťaženia, by sa informácie</w:t>
      </w:r>
      <w:r w:rsidR="00F537B9" w:rsidRPr="00F537B9">
        <w:rPr>
          <w:noProof/>
          <w:spacing w:val="-8"/>
        </w:rPr>
        <w:t xml:space="preserve"> o </w:t>
      </w:r>
      <w:r w:rsidRPr="00F537B9">
        <w:rPr>
          <w:noProof/>
          <w:spacing w:val="-8"/>
        </w:rPr>
        <w:t>daňových ustanoveniach uvedených</w:t>
      </w:r>
      <w:r w:rsidR="00F537B9" w:rsidRPr="00F537B9">
        <w:rPr>
          <w:noProof/>
          <w:spacing w:val="-8"/>
        </w:rPr>
        <w:t xml:space="preserve"> v </w:t>
      </w:r>
      <w:r w:rsidRPr="00F537B9">
        <w:rPr>
          <w:noProof/>
          <w:spacing w:val="-8"/>
        </w:rPr>
        <w:t>tejto smernici mali sprístupniť prostredníctvom jednotnej digitálnej brány</w:t>
      </w:r>
      <w:r w:rsidR="00F537B9" w:rsidRPr="00F537B9">
        <w:rPr>
          <w:noProof/>
          <w:spacing w:val="-8"/>
        </w:rPr>
        <w:t xml:space="preserve"> v </w:t>
      </w:r>
      <w:r w:rsidRPr="00F537B9">
        <w:rPr>
          <w:noProof/>
          <w:spacing w:val="-8"/>
        </w:rPr>
        <w:t>súlade</w:t>
      </w:r>
      <w:r w:rsidR="00F537B9" w:rsidRPr="00F537B9">
        <w:rPr>
          <w:noProof/>
          <w:spacing w:val="-8"/>
        </w:rPr>
        <w:t xml:space="preserve"> s </w:t>
      </w:r>
      <w:r w:rsidRPr="00F537B9">
        <w:rPr>
          <w:noProof/>
          <w:spacing w:val="-8"/>
        </w:rPr>
        <w:t>nariadením (EÚ) 2018/1724</w:t>
      </w:r>
      <w:r w:rsidRPr="00F537B9">
        <w:rPr>
          <w:rStyle w:val="FootnoteReference"/>
          <w:noProof/>
          <w:spacing w:val="-8"/>
        </w:rPr>
        <w:footnoteReference w:id="35"/>
      </w:r>
      <w:r w:rsidRPr="00F537B9">
        <w:rPr>
          <w:noProof/>
          <w:spacing w:val="-8"/>
        </w:rPr>
        <w:t>. Jednotná digitálna brána je jednotným kontaktným miestom pre cezhraničných používateľov na poskytovanie informácií, postupov</w:t>
      </w:r>
      <w:r w:rsidR="00F537B9" w:rsidRPr="00F537B9">
        <w:rPr>
          <w:noProof/>
          <w:spacing w:val="-8"/>
        </w:rPr>
        <w:t xml:space="preserve"> a </w:t>
      </w:r>
      <w:r w:rsidRPr="00F537B9">
        <w:rPr>
          <w:noProof/>
          <w:spacing w:val="-8"/>
        </w:rPr>
        <w:t>asistenčných služieb online, ktoré sú relevantné pre fungovanie vnútorného trhu.</w:t>
      </w:r>
    </w:p>
    <w:p w14:paraId="3DB59068" w14:textId="05F8DFC3" w:rsidR="00F537B9" w:rsidRPr="00F537B9" w:rsidRDefault="00724804" w:rsidP="00D911A1">
      <w:pPr>
        <w:pStyle w:val="ManualConsidrant"/>
        <w:rPr>
          <w:noProof/>
          <w:spacing w:val="-8"/>
        </w:rPr>
      </w:pPr>
      <w:r w:rsidRPr="00F537B9">
        <w:rPr>
          <w:noProof/>
          <w:spacing w:val="-8"/>
        </w:rPr>
        <w:t>(19)</w:t>
      </w:r>
      <w:r w:rsidRPr="00F537B9">
        <w:rPr>
          <w:noProof/>
          <w:spacing w:val="-8"/>
        </w:rPr>
        <w:tab/>
        <w:t>Spracúvanie osobných údajov vykonávané</w:t>
      </w:r>
      <w:r w:rsidR="00F537B9" w:rsidRPr="00F537B9">
        <w:rPr>
          <w:noProof/>
          <w:spacing w:val="-8"/>
        </w:rPr>
        <w:t xml:space="preserve"> v </w:t>
      </w:r>
      <w:r w:rsidRPr="00F537B9">
        <w:rPr>
          <w:noProof/>
          <w:spacing w:val="-8"/>
        </w:rPr>
        <w:t>rámci tejto smernice by malo byť</w:t>
      </w:r>
      <w:r w:rsidR="00F537B9" w:rsidRPr="00F537B9">
        <w:rPr>
          <w:noProof/>
          <w:spacing w:val="-8"/>
        </w:rPr>
        <w:t xml:space="preserve"> v </w:t>
      </w:r>
      <w:r w:rsidRPr="00F537B9">
        <w:rPr>
          <w:noProof/>
          <w:spacing w:val="-8"/>
        </w:rPr>
        <w:t>súlade</w:t>
      </w:r>
      <w:r w:rsidR="00F537B9" w:rsidRPr="00F537B9">
        <w:rPr>
          <w:noProof/>
          <w:spacing w:val="-8"/>
        </w:rPr>
        <w:t xml:space="preserve"> s </w:t>
      </w:r>
      <w:r w:rsidRPr="00F537B9">
        <w:rPr>
          <w:noProof/>
          <w:spacing w:val="-8"/>
        </w:rPr>
        <w:t>nariadením Európskeho parlamentu</w:t>
      </w:r>
      <w:r w:rsidR="00F537B9" w:rsidRPr="00F537B9">
        <w:rPr>
          <w:noProof/>
          <w:spacing w:val="-8"/>
        </w:rPr>
        <w:t xml:space="preserve"> a </w:t>
      </w:r>
      <w:r w:rsidRPr="00F537B9">
        <w:rPr>
          <w:noProof/>
          <w:spacing w:val="-8"/>
        </w:rPr>
        <w:t>Rady (EÚ) 2016/679</w:t>
      </w:r>
      <w:r w:rsidRPr="00F537B9">
        <w:rPr>
          <w:rStyle w:val="FootnoteReference"/>
          <w:noProof/>
          <w:spacing w:val="-8"/>
        </w:rPr>
        <w:footnoteReference w:id="36"/>
      </w:r>
      <w:r w:rsidRPr="00F537B9">
        <w:rPr>
          <w:noProof/>
          <w:spacing w:val="-8"/>
        </w:rPr>
        <w:t>. Členské štáty môžu spracúvať osobné údaje podľa tejto smernice na účely určenia pridružených podnikov podľa článku 5</w:t>
      </w:r>
      <w:r w:rsidR="00F537B9" w:rsidRPr="00F537B9">
        <w:rPr>
          <w:noProof/>
          <w:spacing w:val="-8"/>
        </w:rPr>
        <w:t>.</w:t>
      </w:r>
    </w:p>
    <w:p w14:paraId="25751216" w14:textId="77777777" w:rsidR="00523180" w:rsidRDefault="00D911A1" w:rsidP="0028383F">
      <w:pPr>
        <w:pStyle w:val="ManualConsidrant"/>
        <w:rPr>
          <w:noProof/>
        </w:rPr>
      </w:pPr>
      <w:r w:rsidRPr="00F537B9">
        <w:rPr>
          <w:noProof/>
        </w:rPr>
        <w:t>(20)</w:t>
      </w:r>
      <w:r w:rsidRPr="00F537B9">
        <w:rPr>
          <w:noProof/>
        </w:rPr>
        <w:tab/>
        <w:t>Obdobie uchovávania 10 rokov je odôvodnené tým, aby sa členským štátom umožnilo dodržiavať väčšinu pravidiel týkajúcich sa premlčania.</w:t>
      </w:r>
    </w:p>
    <w:p w14:paraId="603AEAB3" w14:textId="4C1D91F4" w:rsidR="00A41106" w:rsidRPr="00F537B9" w:rsidRDefault="00D911A1" w:rsidP="0028383F">
      <w:pPr>
        <w:pStyle w:val="ManualConsidrant"/>
        <w:rPr>
          <w:noProof/>
        </w:rPr>
      </w:pPr>
      <w:r w:rsidRPr="00F537B9">
        <w:rPr>
          <w:noProof/>
        </w:rPr>
        <w:t xml:space="preserve">(21) </w:t>
      </w:r>
      <w:r w:rsidRPr="00F537B9">
        <w:rPr>
          <w:noProof/>
        </w:rPr>
        <w:tab/>
        <w:t>S cieľom znížiť administratívne zaťaženie daňovníkov by sa mala na Komisiu delegovať právomoc prijímať akty</w:t>
      </w:r>
      <w:r w:rsidR="00F537B9">
        <w:rPr>
          <w:noProof/>
        </w:rPr>
        <w:t xml:space="preserve"> v </w:t>
      </w:r>
      <w:r w:rsidRPr="00F537B9">
        <w:rPr>
          <w:noProof/>
        </w:rPr>
        <w:t>súlade</w:t>
      </w:r>
      <w:r w:rsidR="00F537B9">
        <w:rPr>
          <w:noProof/>
        </w:rPr>
        <w:t xml:space="preserve"> s </w:t>
      </w:r>
      <w:r w:rsidRPr="00F537B9">
        <w:rPr>
          <w:noProof/>
        </w:rPr>
        <w:t>článkom 290 Zmluvy</w:t>
      </w:r>
      <w:r w:rsidR="00F537B9">
        <w:rPr>
          <w:noProof/>
        </w:rPr>
        <w:t xml:space="preserve"> o </w:t>
      </w:r>
      <w:r w:rsidRPr="00F537B9">
        <w:rPr>
          <w:noProof/>
        </w:rPr>
        <w:t>fungovaní Európskej únie, pokiaľ ide</w:t>
      </w:r>
      <w:r w:rsidR="00F537B9">
        <w:rPr>
          <w:noProof/>
        </w:rPr>
        <w:t xml:space="preserve"> o </w:t>
      </w:r>
      <w:r w:rsidRPr="00F537B9">
        <w:rPr>
          <w:noProof/>
        </w:rPr>
        <w:t>dokumentáciu</w:t>
      </w:r>
      <w:r w:rsidR="00F537B9">
        <w:rPr>
          <w:noProof/>
        </w:rPr>
        <w:t xml:space="preserve"> o </w:t>
      </w:r>
      <w:r w:rsidRPr="00F537B9">
        <w:rPr>
          <w:noProof/>
        </w:rPr>
        <w:t>transferovom oceňovaní,</w:t>
      </w:r>
      <w:r w:rsidR="00F537B9">
        <w:rPr>
          <w:noProof/>
        </w:rPr>
        <w:t xml:space="preserve"> a </w:t>
      </w:r>
      <w:r w:rsidRPr="00F537B9">
        <w:rPr>
          <w:noProof/>
        </w:rPr>
        <w:t>to stanovením spoločných vzorov, nastavením jazykových požiadaviek, vymedzením typu daňovníka, ktorý sa má týmito vzormi riadiť,</w:t>
      </w:r>
      <w:r w:rsidR="00F537B9">
        <w:rPr>
          <w:noProof/>
        </w:rPr>
        <w:t xml:space="preserve"> a </w:t>
      </w:r>
      <w:r w:rsidRPr="00F537B9">
        <w:rPr>
          <w:noProof/>
        </w:rPr>
        <w:t>časových rámcov, na ktoré sa má dokumentácia vzťahovať. Je osobitne dôležité, aby Komisia počas prípravných prác uskutočnila príslušné konzultácie,</w:t>
      </w:r>
      <w:r w:rsidR="00F537B9">
        <w:rPr>
          <w:noProof/>
        </w:rPr>
        <w:t xml:space="preserve"> a </w:t>
      </w:r>
      <w:r w:rsidRPr="00F537B9">
        <w:rPr>
          <w:noProof/>
        </w:rPr>
        <w:t>to aj na úrovni expertov,</w:t>
      </w:r>
      <w:r w:rsidR="00F537B9">
        <w:rPr>
          <w:noProof/>
        </w:rPr>
        <w:t xml:space="preserve"> a </w:t>
      </w:r>
      <w:r w:rsidRPr="00F537B9">
        <w:rPr>
          <w:noProof/>
        </w:rPr>
        <w:t>aby tieto konzultácie vykonávala</w:t>
      </w:r>
      <w:r w:rsidR="00F537B9">
        <w:rPr>
          <w:noProof/>
        </w:rPr>
        <w:t xml:space="preserve"> v </w:t>
      </w:r>
      <w:r w:rsidRPr="00F537B9">
        <w:rPr>
          <w:noProof/>
        </w:rPr>
        <w:t>súlade so zásadami stanovenými</w:t>
      </w:r>
      <w:r w:rsidR="00F537B9">
        <w:rPr>
          <w:noProof/>
        </w:rPr>
        <w:t xml:space="preserve"> v </w:t>
      </w:r>
      <w:r w:rsidRPr="00F537B9">
        <w:rPr>
          <w:noProof/>
        </w:rPr>
        <w:t>Medziinštitucionálnej dohode</w:t>
      </w:r>
      <w:r w:rsidR="00F537B9">
        <w:rPr>
          <w:noProof/>
        </w:rPr>
        <w:t xml:space="preserve"> o </w:t>
      </w:r>
      <w:r w:rsidRPr="00F537B9">
        <w:rPr>
          <w:noProof/>
        </w:rPr>
        <w:t>lepšej tvorbe práva</w:t>
      </w:r>
      <w:r w:rsidR="00F537B9">
        <w:rPr>
          <w:noProof/>
        </w:rPr>
        <w:t xml:space="preserve"> z </w:t>
      </w:r>
      <w:r w:rsidRPr="00F537B9">
        <w:rPr>
          <w:noProof/>
        </w:rPr>
        <w:t>13</w:t>
      </w:r>
      <w:r w:rsidR="00F537B9">
        <w:rPr>
          <w:noProof/>
        </w:rPr>
        <w:t>. apríla</w:t>
      </w:r>
      <w:r w:rsidRPr="00F537B9">
        <w:rPr>
          <w:noProof/>
        </w:rPr>
        <w:t xml:space="preserve"> 2016. Predovšetkým,</w:t>
      </w:r>
      <w:r w:rsidR="00F537B9">
        <w:rPr>
          <w:noProof/>
        </w:rPr>
        <w:t xml:space="preserve"> v </w:t>
      </w:r>
      <w:r w:rsidRPr="00F537B9">
        <w:rPr>
          <w:noProof/>
        </w:rPr>
        <w:t>záujme rovnakého zastúpenia pri príprave delegovaných aktov, sa všetky dokumenty doručujú Európskemu parlamentu</w:t>
      </w:r>
      <w:r w:rsidR="00F537B9">
        <w:rPr>
          <w:noProof/>
        </w:rPr>
        <w:t xml:space="preserve"> a </w:t>
      </w:r>
      <w:r w:rsidRPr="00F537B9">
        <w:rPr>
          <w:noProof/>
        </w:rPr>
        <w:t>Rade</w:t>
      </w:r>
      <w:r w:rsidR="00F537B9">
        <w:rPr>
          <w:noProof/>
        </w:rPr>
        <w:t xml:space="preserve"> v </w:t>
      </w:r>
      <w:r w:rsidRPr="00F537B9">
        <w:rPr>
          <w:noProof/>
        </w:rPr>
        <w:t>rovnakom čase ako expertom</w:t>
      </w:r>
      <w:r w:rsidR="00F537B9">
        <w:rPr>
          <w:noProof/>
        </w:rPr>
        <w:t xml:space="preserve"> z </w:t>
      </w:r>
      <w:r w:rsidRPr="00F537B9">
        <w:rPr>
          <w:noProof/>
        </w:rPr>
        <w:t>členských štátov,</w:t>
      </w:r>
      <w:r w:rsidR="00F537B9">
        <w:rPr>
          <w:noProof/>
        </w:rPr>
        <w:t xml:space="preserve"> a </w:t>
      </w:r>
      <w:r w:rsidRPr="00F537B9">
        <w:rPr>
          <w:noProof/>
        </w:rPr>
        <w:t>experti Európskeho parlamentu</w:t>
      </w:r>
      <w:r w:rsidR="00F537B9">
        <w:rPr>
          <w:noProof/>
        </w:rPr>
        <w:t xml:space="preserve"> a </w:t>
      </w:r>
      <w:r w:rsidRPr="00F537B9">
        <w:rPr>
          <w:noProof/>
        </w:rPr>
        <w:t>Rady majú systematický prístup na zasadnutia skupín expertov Komisie, ktoré sa zaoberajú prípravou delegovaných aktov.</w:t>
      </w:r>
    </w:p>
    <w:p w14:paraId="4F4AB2D6" w14:textId="0C3F5735" w:rsidR="00C12853" w:rsidRPr="00F537B9" w:rsidRDefault="00A41106" w:rsidP="0028383F">
      <w:pPr>
        <w:pStyle w:val="ManualConsidrant"/>
        <w:rPr>
          <w:noProof/>
        </w:rPr>
      </w:pPr>
      <w:r w:rsidRPr="00F537B9">
        <w:rPr>
          <w:noProof/>
        </w:rPr>
        <w:t>(22)</w:t>
      </w:r>
      <w:r w:rsidRPr="00F537B9">
        <w:rPr>
          <w:noProof/>
        </w:rPr>
        <w:tab/>
        <w:t>Keďže cieľ tejto smernice nie je možné uspokojivo dosiahnuť na úrovni členských štátov, ale</w:t>
      </w:r>
      <w:r w:rsidR="00F537B9">
        <w:rPr>
          <w:noProof/>
        </w:rPr>
        <w:t xml:space="preserve"> z </w:t>
      </w:r>
      <w:r w:rsidRPr="00F537B9">
        <w:rPr>
          <w:noProof/>
        </w:rPr>
        <w:t>dôvodu cezhraničnej povahy pravidiel cezhraničného oceňovania</w:t>
      </w:r>
      <w:r w:rsidR="00F537B9">
        <w:rPr>
          <w:noProof/>
        </w:rPr>
        <w:t xml:space="preserve"> a </w:t>
      </w:r>
      <w:r w:rsidRPr="00F537B9">
        <w:rPr>
          <w:noProof/>
        </w:rPr>
        <w:t>potreby znížiť náklady na dodržiavanie predpisov na vnútornom trhu ako celku ho možno lepšie dosiahnuť na úrovni Únie, môže Únia prijať opatrenia</w:t>
      </w:r>
      <w:r w:rsidR="00F537B9">
        <w:rPr>
          <w:noProof/>
        </w:rPr>
        <w:t xml:space="preserve"> v </w:t>
      </w:r>
      <w:r w:rsidRPr="00F537B9">
        <w:rPr>
          <w:noProof/>
        </w:rPr>
        <w:t>súlade so zásadou subsidiarity podľa článku 5 Zmluvy</w:t>
      </w:r>
      <w:r w:rsidR="00F537B9">
        <w:rPr>
          <w:noProof/>
        </w:rPr>
        <w:t xml:space="preserve"> o </w:t>
      </w:r>
      <w:r w:rsidRPr="00F537B9">
        <w:rPr>
          <w:noProof/>
        </w:rPr>
        <w:t>Európskej únii.</w:t>
      </w:r>
      <w:r w:rsidR="00F537B9">
        <w:rPr>
          <w:noProof/>
        </w:rPr>
        <w:t xml:space="preserve"> V </w:t>
      </w:r>
      <w:r w:rsidRPr="00F537B9">
        <w:rPr>
          <w:noProof/>
        </w:rPr>
        <w:t>súlade so zásadou proporcionality podľa uvedeného článku táto smernica neprekračuje rámec nevyhnutný na dosiahnutie tohto cieľa.</w:t>
      </w:r>
    </w:p>
    <w:p w14:paraId="62834808" w14:textId="77777777" w:rsidR="00F537B9" w:rsidRDefault="00C12853" w:rsidP="0028383F">
      <w:pPr>
        <w:pStyle w:val="ManualConsidrant"/>
        <w:rPr>
          <w:noProof/>
        </w:rPr>
      </w:pPr>
      <w:r w:rsidRPr="00F537B9">
        <w:rPr>
          <w:noProof/>
        </w:rPr>
        <w:t>(23)</w:t>
      </w:r>
      <w:r w:rsidRPr="00F537B9">
        <w:rPr>
          <w:noProof/>
        </w:rPr>
        <w:tab/>
        <w:t>V súlade</w:t>
      </w:r>
      <w:r w:rsidR="00F537B9">
        <w:rPr>
          <w:noProof/>
        </w:rPr>
        <w:t xml:space="preserve"> s </w:t>
      </w:r>
      <w:r w:rsidRPr="00F537B9">
        <w:rPr>
          <w:noProof/>
        </w:rPr>
        <w:t>článkom 42 ods. 1 nariadenia Európskeho parlamentu</w:t>
      </w:r>
      <w:r w:rsidR="00F537B9">
        <w:rPr>
          <w:noProof/>
        </w:rPr>
        <w:t xml:space="preserve"> a </w:t>
      </w:r>
      <w:r w:rsidRPr="00F537B9">
        <w:rPr>
          <w:noProof/>
        </w:rPr>
        <w:t>Rady (EÚ) 2018/1725 sa konzultovalo</w:t>
      </w:r>
      <w:r w:rsidR="00F537B9">
        <w:rPr>
          <w:noProof/>
        </w:rPr>
        <w:t xml:space="preserve"> s </w:t>
      </w:r>
      <w:r w:rsidRPr="00F537B9">
        <w:rPr>
          <w:noProof/>
        </w:rPr>
        <w:t xml:space="preserve">európskym dozorným úradníkom pre ochranu údajov, ktorý doručil svoje stanovisko </w:t>
      </w:r>
      <w:r w:rsidRPr="00F537B9">
        <w:rPr>
          <w:noProof/>
          <w:highlight w:val="yellow"/>
        </w:rPr>
        <w:t>[to be inserted]</w:t>
      </w:r>
      <w:r w:rsidRPr="00F537B9">
        <w:rPr>
          <w:noProof/>
        </w:rPr>
        <w:t>,</w:t>
      </w:r>
    </w:p>
    <w:bookmarkEnd w:id="13"/>
    <w:p w14:paraId="5CC7AB62" w14:textId="47ECCD0D" w:rsidR="00FC06E5" w:rsidRPr="00F537B9" w:rsidRDefault="00FC06E5" w:rsidP="0028383F">
      <w:pPr>
        <w:pStyle w:val="ManualConsidrant"/>
        <w:rPr>
          <w:noProof/>
        </w:rPr>
      </w:pPr>
    </w:p>
    <w:p w14:paraId="7306B0D4" w14:textId="77777777" w:rsidR="00584D60" w:rsidRPr="00F537B9" w:rsidRDefault="00584D60" w:rsidP="00584D60">
      <w:pPr>
        <w:pStyle w:val="Formuledadoption"/>
        <w:rPr>
          <w:noProof/>
        </w:rPr>
      </w:pPr>
      <w:bookmarkStart w:id="14" w:name="_Hlk139453749"/>
      <w:r w:rsidRPr="00F537B9">
        <w:rPr>
          <w:noProof/>
        </w:rPr>
        <w:t>PRIJALA TÚTO SMERNICU:</w:t>
      </w:r>
    </w:p>
    <w:p w14:paraId="62BABA3D" w14:textId="77777777" w:rsidR="00E07B7C" w:rsidRPr="00F537B9" w:rsidRDefault="00E07B7C" w:rsidP="00C40ED4">
      <w:pPr>
        <w:jc w:val="center"/>
        <w:rPr>
          <w:b/>
          <w:bCs/>
          <w:i/>
          <w:noProof/>
        </w:rPr>
      </w:pPr>
      <w:r w:rsidRPr="00F537B9">
        <w:rPr>
          <w:b/>
          <w:noProof/>
        </w:rPr>
        <w:t>KAPITOLA I</w:t>
      </w:r>
    </w:p>
    <w:p w14:paraId="30878E80" w14:textId="77777777" w:rsidR="00C40ED4" w:rsidRPr="00F537B9" w:rsidRDefault="00C40ED4" w:rsidP="00C40ED4">
      <w:pPr>
        <w:jc w:val="center"/>
        <w:rPr>
          <w:b/>
          <w:bCs/>
          <w:noProof/>
        </w:rPr>
      </w:pPr>
      <w:r w:rsidRPr="00F537B9">
        <w:rPr>
          <w:b/>
          <w:noProof/>
        </w:rPr>
        <w:t>VŠEOBECNÉ USTANOVENIA</w:t>
      </w:r>
    </w:p>
    <w:p w14:paraId="5B72A442" w14:textId="77777777" w:rsidR="00E07B7C" w:rsidRPr="00F537B9" w:rsidRDefault="00E07B7C" w:rsidP="00E07B7C">
      <w:pPr>
        <w:pStyle w:val="Titrearticle"/>
        <w:rPr>
          <w:noProof/>
        </w:rPr>
      </w:pPr>
      <w:r w:rsidRPr="00F537B9">
        <w:rPr>
          <w:noProof/>
        </w:rPr>
        <w:t xml:space="preserve">Článok 1 </w:t>
      </w:r>
      <w:r w:rsidRPr="00F537B9">
        <w:rPr>
          <w:noProof/>
        </w:rPr>
        <w:br/>
      </w:r>
      <w:r w:rsidRPr="00F537B9">
        <w:rPr>
          <w:b/>
          <w:i w:val="0"/>
          <w:noProof/>
        </w:rPr>
        <w:t>Predmet úpravy</w:t>
      </w:r>
    </w:p>
    <w:p w14:paraId="5814570F" w14:textId="550F8996" w:rsidR="00E07B7C" w:rsidRPr="00F537B9" w:rsidRDefault="00E07B7C" w:rsidP="00E07B7C">
      <w:pPr>
        <w:rPr>
          <w:noProof/>
        </w:rPr>
      </w:pPr>
      <w:r w:rsidRPr="00F537B9">
        <w:rPr>
          <w:noProof/>
        </w:rPr>
        <w:t>Touto smernicou sa stanovujú pravidlá na harmonizáciu pravidiel členských štátov</w:t>
      </w:r>
      <w:r w:rsidR="00F537B9">
        <w:rPr>
          <w:noProof/>
        </w:rPr>
        <w:t xml:space="preserve"> v </w:t>
      </w:r>
      <w:r w:rsidRPr="00F537B9">
        <w:rPr>
          <w:noProof/>
        </w:rPr>
        <w:t>oblasti transferového oceňovania</w:t>
      </w:r>
      <w:r w:rsidR="00F537B9">
        <w:rPr>
          <w:noProof/>
        </w:rPr>
        <w:t xml:space="preserve"> a </w:t>
      </w:r>
      <w:r w:rsidRPr="00F537B9">
        <w:rPr>
          <w:noProof/>
        </w:rPr>
        <w:t>na zabezpečenie spoločného uplatňovania princípu nezávislého vzťahu</w:t>
      </w:r>
      <w:r w:rsidR="00F537B9">
        <w:rPr>
          <w:noProof/>
        </w:rPr>
        <w:t xml:space="preserve"> v </w:t>
      </w:r>
      <w:r w:rsidRPr="00F537B9">
        <w:rPr>
          <w:noProof/>
        </w:rPr>
        <w:t>rámci Únie.</w:t>
      </w:r>
    </w:p>
    <w:p w14:paraId="1F5CC78C" w14:textId="77777777" w:rsidR="00E07B7C" w:rsidRPr="00F537B9" w:rsidRDefault="00E07B7C" w:rsidP="00E07B7C">
      <w:pPr>
        <w:pStyle w:val="Titrearticle"/>
        <w:rPr>
          <w:noProof/>
        </w:rPr>
      </w:pPr>
      <w:r w:rsidRPr="00F537B9">
        <w:rPr>
          <w:noProof/>
        </w:rPr>
        <w:t xml:space="preserve">Článok 2 </w:t>
      </w:r>
      <w:r w:rsidRPr="00F537B9">
        <w:rPr>
          <w:noProof/>
        </w:rPr>
        <w:br/>
      </w:r>
      <w:r w:rsidRPr="00F537B9">
        <w:rPr>
          <w:b/>
          <w:i w:val="0"/>
          <w:noProof/>
        </w:rPr>
        <w:t>Rozsah pôsobnosti</w:t>
      </w:r>
    </w:p>
    <w:p w14:paraId="45600B51" w14:textId="6B5BCDB1" w:rsidR="001007ED" w:rsidRPr="00F537B9" w:rsidRDefault="001007ED" w:rsidP="001007ED">
      <w:pPr>
        <w:rPr>
          <w:noProof/>
        </w:rPr>
      </w:pPr>
      <w:r w:rsidRPr="00F537B9">
        <w:rPr>
          <w:noProof/>
        </w:rPr>
        <w:t>Táto smernica sa uplatňuje na daňovníkov, ktorí sú registrovaní</w:t>
      </w:r>
      <w:r w:rsidR="00F537B9">
        <w:rPr>
          <w:noProof/>
        </w:rPr>
        <w:t xml:space="preserve"> v </w:t>
      </w:r>
      <w:r w:rsidRPr="00F537B9">
        <w:rPr>
          <w:noProof/>
        </w:rPr>
        <w:t>jednom alebo vo viacerých členských štátoch alebo ktorí podliehajú dani</w:t>
      </w:r>
      <w:r w:rsidR="00F537B9">
        <w:rPr>
          <w:noProof/>
        </w:rPr>
        <w:t xml:space="preserve"> v </w:t>
      </w:r>
      <w:r w:rsidRPr="00F537B9">
        <w:rPr>
          <w:noProof/>
        </w:rPr>
        <w:t>jednom alebo vo viacerých členských štátoch, vrátane stálych prevádzkarní</w:t>
      </w:r>
      <w:r w:rsidR="00F537B9">
        <w:rPr>
          <w:noProof/>
        </w:rPr>
        <w:t xml:space="preserve"> v </w:t>
      </w:r>
      <w:r w:rsidRPr="00F537B9">
        <w:rPr>
          <w:noProof/>
        </w:rPr>
        <w:t>jednom alebo vo viacerých členských štátoch.</w:t>
      </w:r>
    </w:p>
    <w:p w14:paraId="109F0AE1" w14:textId="77777777" w:rsidR="00E07B7C" w:rsidRPr="00F537B9" w:rsidRDefault="00E07B7C" w:rsidP="00E07B7C">
      <w:pPr>
        <w:pStyle w:val="Titrearticle"/>
        <w:rPr>
          <w:b/>
          <w:bCs/>
          <w:i w:val="0"/>
          <w:iCs/>
          <w:noProof/>
        </w:rPr>
      </w:pPr>
      <w:bookmarkStart w:id="15" w:name="_Hlk144199276"/>
      <w:r w:rsidRPr="00F537B9">
        <w:rPr>
          <w:noProof/>
        </w:rPr>
        <w:t xml:space="preserve">Článok 3 </w:t>
      </w:r>
      <w:r w:rsidRPr="00F537B9">
        <w:rPr>
          <w:noProof/>
        </w:rPr>
        <w:br/>
      </w:r>
      <w:r w:rsidRPr="00F537B9">
        <w:rPr>
          <w:b/>
          <w:i w:val="0"/>
          <w:noProof/>
        </w:rPr>
        <w:t>Vymedzenie pojmov</w:t>
      </w:r>
    </w:p>
    <w:p w14:paraId="40711528" w14:textId="77777777" w:rsidR="00E07B7C" w:rsidRPr="00F537B9" w:rsidRDefault="00E07B7C" w:rsidP="00E07B7C">
      <w:pPr>
        <w:rPr>
          <w:noProof/>
        </w:rPr>
      </w:pPr>
      <w:r w:rsidRPr="00F537B9">
        <w:rPr>
          <w:noProof/>
        </w:rPr>
        <w:t>Na účely tejto smernice sa uplatňuje toto vymedzenie pojmov:</w:t>
      </w:r>
    </w:p>
    <w:p w14:paraId="4D457AF1" w14:textId="3161F9A6" w:rsidR="00F9520B" w:rsidRPr="00523180" w:rsidRDefault="00E07B7C" w:rsidP="00E150C6">
      <w:pPr>
        <w:pStyle w:val="Point0"/>
        <w:rPr>
          <w:noProof/>
          <w:spacing w:val="-4"/>
        </w:rPr>
      </w:pPr>
      <w:bookmarkStart w:id="16" w:name="_Hlk144226570"/>
      <w:bookmarkEnd w:id="15"/>
      <w:r w:rsidRPr="00F537B9">
        <w:rPr>
          <w:noProof/>
        </w:rPr>
        <w:t>1.</w:t>
      </w:r>
      <w:r w:rsidRPr="00F537B9">
        <w:rPr>
          <w:noProof/>
        </w:rPr>
        <w:tab/>
      </w:r>
      <w:r w:rsidRPr="00523180">
        <w:rPr>
          <w:noProof/>
          <w:spacing w:val="-4"/>
        </w:rPr>
        <w:t>„princíp nezávislého vzťahu“ je medzinárodná norma, ktorá stanovuje, že pridružené podniky musia medzi sebou realizovať transakcie tak, akoby boli nezávislými tretími stranami. Inými slovami, transakcie medzi dvoma pridruženými podnikmi by mali odzrkadľovať výsledok, ktorý by sa dosiahol, ak by strany neboli spriaznené, t. j. ak by strany boli navzájom nezávislé</w:t>
      </w:r>
      <w:r w:rsidR="00F537B9" w:rsidRPr="00523180">
        <w:rPr>
          <w:noProof/>
          <w:spacing w:val="-4"/>
        </w:rPr>
        <w:t xml:space="preserve"> a </w:t>
      </w:r>
      <w:r w:rsidRPr="00523180">
        <w:rPr>
          <w:noProof/>
          <w:spacing w:val="-4"/>
        </w:rPr>
        <w:t>výsledok (cenu alebo marže) by určovali trhové sily (na voľnom trhu);</w:t>
      </w:r>
    </w:p>
    <w:bookmarkEnd w:id="16"/>
    <w:p w14:paraId="7D8A6077" w14:textId="597C78D1" w:rsidR="003F3BD3" w:rsidRPr="00523180" w:rsidRDefault="003F3BD3" w:rsidP="003F3BD3">
      <w:pPr>
        <w:pStyle w:val="Point0"/>
        <w:rPr>
          <w:noProof/>
          <w:spacing w:val="-4"/>
        </w:rPr>
      </w:pPr>
      <w:r w:rsidRPr="00523180">
        <w:rPr>
          <w:noProof/>
          <w:spacing w:val="-4"/>
        </w:rPr>
        <w:t>2.</w:t>
      </w:r>
      <w:r w:rsidRPr="00523180">
        <w:rPr>
          <w:noProof/>
          <w:spacing w:val="-4"/>
        </w:rPr>
        <w:tab/>
        <w:t>„nezávislý výsledok“ je výsledok kontrolovanej transakcie, ak by podmienky, ktoré boli vytvorené alebo uložené medzi pridruženými podnikmi</w:t>
      </w:r>
      <w:r w:rsidR="00F537B9" w:rsidRPr="00523180">
        <w:rPr>
          <w:noProof/>
          <w:spacing w:val="-4"/>
        </w:rPr>
        <w:t xml:space="preserve"> v </w:t>
      </w:r>
      <w:r w:rsidRPr="00523180">
        <w:rPr>
          <w:noProof/>
          <w:spacing w:val="-4"/>
        </w:rPr>
        <w:t>rámci ich obchodných alebo finančných vzťahov, boli také, aké by sa vytvorili medzi nezávislými podnikmi;</w:t>
      </w:r>
    </w:p>
    <w:p w14:paraId="40A3AB2B" w14:textId="7432A3F4" w:rsidR="003F3BD3" w:rsidRPr="00F537B9" w:rsidRDefault="003F3BD3" w:rsidP="004379CE">
      <w:pPr>
        <w:pStyle w:val="Point0"/>
        <w:rPr>
          <w:noProof/>
        </w:rPr>
      </w:pPr>
      <w:r w:rsidRPr="00F537B9">
        <w:rPr>
          <w:noProof/>
        </w:rPr>
        <w:t xml:space="preserve">3. </w:t>
      </w:r>
      <w:r w:rsidRPr="00F537B9">
        <w:rPr>
          <w:noProof/>
        </w:rPr>
        <w:tab/>
        <w:t>„rozpätie hodnôt</w:t>
      </w:r>
      <w:r w:rsidR="00F537B9">
        <w:rPr>
          <w:noProof/>
        </w:rPr>
        <w:t xml:space="preserve"> v </w:t>
      </w:r>
      <w:r w:rsidRPr="00F537B9">
        <w:rPr>
          <w:noProof/>
        </w:rPr>
        <w:t>rámci nezávislého vzťahu“ je rozpätie hodnôt, ktoré sú prijateľné na stanovenie toho, či sú podmienky kontrolovanej transakcie nezávislé,</w:t>
      </w:r>
      <w:r w:rsidR="00F537B9">
        <w:rPr>
          <w:noProof/>
        </w:rPr>
        <w:t xml:space="preserve"> a </w:t>
      </w:r>
      <w:r w:rsidRPr="00F537B9">
        <w:rPr>
          <w:noProof/>
        </w:rPr>
        <w:t>ktoré vychádzajú</w:t>
      </w:r>
      <w:r w:rsidR="00F537B9">
        <w:rPr>
          <w:noProof/>
        </w:rPr>
        <w:t xml:space="preserve"> z </w:t>
      </w:r>
      <w:r w:rsidRPr="00F537B9">
        <w:rPr>
          <w:noProof/>
        </w:rPr>
        <w:t>uplatnenia rovnakej metódy transferového oceňovania na viaceré porovnateľné údaje;</w:t>
      </w:r>
    </w:p>
    <w:p w14:paraId="617B5155" w14:textId="3E74561E" w:rsidR="00F537B9" w:rsidRDefault="00E07B7C" w:rsidP="00E07B7C">
      <w:pPr>
        <w:pStyle w:val="Point0"/>
        <w:rPr>
          <w:noProof/>
        </w:rPr>
      </w:pPr>
      <w:r w:rsidRPr="00F537B9">
        <w:rPr>
          <w:noProof/>
        </w:rPr>
        <w:t>4.</w:t>
      </w:r>
      <w:r w:rsidRPr="00F537B9">
        <w:rPr>
          <w:noProof/>
        </w:rPr>
        <w:tab/>
        <w:t>„stála prevádzkareň“ je stále miesto podnikania, ako je vymedzené</w:t>
      </w:r>
      <w:r w:rsidR="00F537B9">
        <w:rPr>
          <w:noProof/>
        </w:rPr>
        <w:t xml:space="preserve"> v </w:t>
      </w:r>
      <w:r w:rsidRPr="00F537B9">
        <w:rPr>
          <w:noProof/>
        </w:rPr>
        <w:t>príslušnej dvojstrannej zmluve</w:t>
      </w:r>
      <w:r w:rsidR="00F537B9">
        <w:rPr>
          <w:noProof/>
        </w:rPr>
        <w:t xml:space="preserve"> o </w:t>
      </w:r>
      <w:r w:rsidRPr="00F537B9">
        <w:rPr>
          <w:noProof/>
        </w:rPr>
        <w:t>zamedzení dvojitého zdanenia, alebo ak takáto zmluva neexistuje, vo vnútroštátnom práve</w:t>
      </w:r>
      <w:r w:rsidR="00F537B9">
        <w:rPr>
          <w:noProof/>
        </w:rPr>
        <w:t>;</w:t>
      </w:r>
    </w:p>
    <w:p w14:paraId="787908BE" w14:textId="16E64A2B" w:rsidR="00E73845" w:rsidRPr="00F537B9" w:rsidRDefault="00C51020" w:rsidP="00E07B7C">
      <w:pPr>
        <w:pStyle w:val="Point0"/>
        <w:rPr>
          <w:noProof/>
        </w:rPr>
      </w:pPr>
      <w:r w:rsidRPr="00F537B9">
        <w:rPr>
          <w:noProof/>
        </w:rPr>
        <w:t>5.</w:t>
      </w:r>
      <w:r w:rsidRPr="00F537B9">
        <w:rPr>
          <w:noProof/>
        </w:rPr>
        <w:tab/>
        <w:t>„nezávislé podniky“ sú podniky, ktoré nie sú pridruženými podnikmi</w:t>
      </w:r>
      <w:r w:rsidR="00F537B9">
        <w:rPr>
          <w:noProof/>
        </w:rPr>
        <w:t xml:space="preserve"> v </w:t>
      </w:r>
      <w:r w:rsidRPr="00F537B9">
        <w:rPr>
          <w:noProof/>
        </w:rPr>
        <w:t>zmysle článku 5;</w:t>
      </w:r>
    </w:p>
    <w:p w14:paraId="565166C5" w14:textId="05633B7D" w:rsidR="002C3ADF" w:rsidRPr="00F537B9" w:rsidRDefault="00E73845" w:rsidP="00E07B7C">
      <w:pPr>
        <w:pStyle w:val="Point0"/>
        <w:rPr>
          <w:noProof/>
        </w:rPr>
      </w:pPr>
      <w:r w:rsidRPr="00F537B9">
        <w:rPr>
          <w:noProof/>
        </w:rPr>
        <w:t>6.</w:t>
      </w:r>
      <w:r w:rsidRPr="00F537B9">
        <w:rPr>
          <w:noProof/>
        </w:rPr>
        <w:tab/>
        <w:t>„primárna úprava“ je úprava zdaniteľných ziskov spoločnosti smerom nahor, ktorú vykonáva daňová správa</w:t>
      </w:r>
      <w:r w:rsidR="00F537B9">
        <w:rPr>
          <w:noProof/>
        </w:rPr>
        <w:t xml:space="preserve"> v </w:t>
      </w:r>
      <w:r w:rsidRPr="00F537B9">
        <w:rPr>
          <w:noProof/>
        </w:rPr>
        <w:t>prvej jurisdikcii</w:t>
      </w:r>
      <w:r w:rsidR="00F537B9">
        <w:rPr>
          <w:noProof/>
        </w:rPr>
        <w:t xml:space="preserve"> v </w:t>
      </w:r>
      <w:r w:rsidRPr="00F537B9">
        <w:rPr>
          <w:noProof/>
        </w:rPr>
        <w:t>dôsledku uplatnenia princípu nezávislého vzťahu na transakcie zahŕňajúce pridružený podnik</w:t>
      </w:r>
      <w:r w:rsidR="00F537B9">
        <w:rPr>
          <w:noProof/>
        </w:rPr>
        <w:t xml:space="preserve"> v </w:t>
      </w:r>
      <w:r w:rsidRPr="00F537B9">
        <w:rPr>
          <w:noProof/>
        </w:rPr>
        <w:t>druhej daňovej jurisdikcii;</w:t>
      </w:r>
    </w:p>
    <w:p w14:paraId="0BE07640" w14:textId="6FCB9CD1" w:rsidR="00AF3BD0" w:rsidRPr="00F537B9" w:rsidRDefault="007C101C" w:rsidP="00E07B7C">
      <w:pPr>
        <w:pStyle w:val="Point0"/>
        <w:rPr>
          <w:noProof/>
        </w:rPr>
      </w:pPr>
      <w:r w:rsidRPr="00F537B9">
        <w:rPr>
          <w:noProof/>
        </w:rPr>
        <w:t xml:space="preserve">7. </w:t>
      </w:r>
      <w:r w:rsidRPr="00F537B9">
        <w:rPr>
          <w:noProof/>
        </w:rPr>
        <w:tab/>
        <w:t>„korešpondujúca úprava“ je úprava zdaniteľných ziskov spoločnosti smerom nadol, ktorú vykonáva daňová správa</w:t>
      </w:r>
      <w:r w:rsidR="00F537B9">
        <w:rPr>
          <w:noProof/>
        </w:rPr>
        <w:t xml:space="preserve"> v </w:t>
      </w:r>
      <w:r w:rsidRPr="00F537B9">
        <w:rPr>
          <w:noProof/>
        </w:rPr>
        <w:t>druhej jurisdikcii</w:t>
      </w:r>
      <w:r w:rsidR="00F537B9">
        <w:rPr>
          <w:noProof/>
        </w:rPr>
        <w:t xml:space="preserve"> v </w:t>
      </w:r>
      <w:r w:rsidRPr="00F537B9">
        <w:rPr>
          <w:noProof/>
        </w:rPr>
        <w:t>dôsledku primárnej úpravy vykonanej daňovou správou</w:t>
      </w:r>
      <w:r w:rsidR="00F537B9">
        <w:rPr>
          <w:noProof/>
        </w:rPr>
        <w:t xml:space="preserve"> v </w:t>
      </w:r>
      <w:r w:rsidRPr="00F537B9">
        <w:rPr>
          <w:noProof/>
        </w:rPr>
        <w:t>prvej jurisdikcii tak, aby rozdelenie ziskov medzi týmito dvoma jurisdikciami bolo konzistentné;</w:t>
      </w:r>
    </w:p>
    <w:p w14:paraId="3D253131" w14:textId="12068276" w:rsidR="00AF3BD0" w:rsidRPr="00F537B9" w:rsidRDefault="00E07B7C" w:rsidP="00080896">
      <w:pPr>
        <w:pStyle w:val="Point0"/>
        <w:rPr>
          <w:noProof/>
        </w:rPr>
      </w:pPr>
      <w:r w:rsidRPr="00F537B9">
        <w:rPr>
          <w:noProof/>
        </w:rPr>
        <w:t xml:space="preserve">8. </w:t>
      </w:r>
      <w:r w:rsidRPr="00F537B9">
        <w:rPr>
          <w:noProof/>
        </w:rPr>
        <w:tab/>
        <w:t>„kompenzačná úprava“ je úprava, pri ktorej daňovník vykazuje na daňové účely transferovú cenu, ktorá je podľa názoru daňovníka nezávislou trhovou cenou kontrolovanej transakcie,</w:t>
      </w:r>
      <w:r w:rsidR="00F537B9">
        <w:rPr>
          <w:noProof/>
        </w:rPr>
        <w:t xml:space="preserve"> a </w:t>
      </w:r>
      <w:r w:rsidRPr="00F537B9">
        <w:rPr>
          <w:noProof/>
        </w:rPr>
        <w:t>to aj napriek tomu, že táto cena sa líši od sumy, ktorá bola medzi pridruženými podnikmi skutočne účtovaná;</w:t>
      </w:r>
    </w:p>
    <w:p w14:paraId="56DD0AA1" w14:textId="5B0A200D" w:rsidR="001D73EC" w:rsidRPr="00F537B9" w:rsidRDefault="00E07B7C" w:rsidP="001D73EC">
      <w:pPr>
        <w:pStyle w:val="Point0"/>
        <w:rPr>
          <w:noProof/>
        </w:rPr>
      </w:pPr>
      <w:r w:rsidRPr="00F537B9">
        <w:rPr>
          <w:noProof/>
        </w:rPr>
        <w:t xml:space="preserve">9. </w:t>
      </w:r>
      <w:r w:rsidRPr="00F537B9">
        <w:rPr>
          <w:noProof/>
        </w:rPr>
        <w:tab/>
        <w:t>„metóda porovnateľnej nekontrolovanej ceny“ je metóda transferového oceňovania, pri ktorej sa porovnáva cena za majetok alebo služby prevedené</w:t>
      </w:r>
      <w:r w:rsidR="00F537B9">
        <w:rPr>
          <w:noProof/>
        </w:rPr>
        <w:t xml:space="preserve"> v </w:t>
      </w:r>
      <w:r w:rsidRPr="00F537B9">
        <w:rPr>
          <w:noProof/>
        </w:rPr>
        <w:t>kontrolovanej transakcii</w:t>
      </w:r>
      <w:r w:rsidR="00F537B9">
        <w:rPr>
          <w:noProof/>
        </w:rPr>
        <w:t xml:space="preserve"> s </w:t>
      </w:r>
      <w:r w:rsidRPr="00F537B9">
        <w:rPr>
          <w:noProof/>
        </w:rPr>
        <w:t>cenou účtovanou za majetok alebo služby prevedené</w:t>
      </w:r>
      <w:r w:rsidR="00F537B9">
        <w:rPr>
          <w:noProof/>
        </w:rPr>
        <w:t xml:space="preserve"> v </w:t>
      </w:r>
      <w:r w:rsidRPr="00F537B9">
        <w:rPr>
          <w:noProof/>
        </w:rPr>
        <w:t>porovnateľnej nekontrolovanej transakcii za porovnateľných okolností;</w:t>
      </w:r>
    </w:p>
    <w:p w14:paraId="78ED968E" w14:textId="6BD6C15A" w:rsidR="002C3ADF" w:rsidRPr="00F537B9" w:rsidRDefault="00C52D7E" w:rsidP="00C52D7E">
      <w:pPr>
        <w:pStyle w:val="Point0"/>
        <w:rPr>
          <w:noProof/>
        </w:rPr>
      </w:pPr>
      <w:r w:rsidRPr="00F537B9">
        <w:rPr>
          <w:noProof/>
        </w:rPr>
        <w:t xml:space="preserve">10. </w:t>
      </w:r>
      <w:r w:rsidRPr="00F537B9">
        <w:rPr>
          <w:noProof/>
        </w:rPr>
        <w:tab/>
        <w:t>„metóda následného predaja“ je metóda transferového oceňovania založená na cene, za ktorú sa produkt zakúpený od pridruženého podniku ďalej predáva nezávislému podniku; táto cena následného predaja sa zníži</w:t>
      </w:r>
      <w:r w:rsidR="00F537B9">
        <w:rPr>
          <w:noProof/>
        </w:rPr>
        <w:t xml:space="preserve"> o </w:t>
      </w:r>
      <w:r w:rsidRPr="00F537B9">
        <w:rPr>
          <w:noProof/>
        </w:rPr>
        <w:t>obchodné rozpätie pri následnom predaji</w:t>
      </w:r>
      <w:r w:rsidR="00F537B9">
        <w:rPr>
          <w:noProof/>
        </w:rPr>
        <w:t xml:space="preserve"> a </w:t>
      </w:r>
      <w:r w:rsidRPr="00F537B9">
        <w:rPr>
          <w:noProof/>
        </w:rPr>
        <w:t>výsledok po odpočítaní obchodného rozpätia pri následnom predaji možno po úprave</w:t>
      </w:r>
      <w:r w:rsidR="00F537B9">
        <w:rPr>
          <w:noProof/>
        </w:rPr>
        <w:t xml:space="preserve"> o </w:t>
      </w:r>
      <w:r w:rsidRPr="00F537B9">
        <w:rPr>
          <w:noProof/>
        </w:rPr>
        <w:t>ostatné náklady spojené</w:t>
      </w:r>
      <w:r w:rsidR="00F537B9">
        <w:rPr>
          <w:noProof/>
        </w:rPr>
        <w:t xml:space="preserve"> s </w:t>
      </w:r>
      <w:r w:rsidRPr="00F537B9">
        <w:rPr>
          <w:noProof/>
        </w:rPr>
        <w:t>nákupom výrobku, napr. clá, považovať za nezávislú trhovú cenu pôvodného prevodu majetku medzi pridruženými podnikmi;</w:t>
      </w:r>
    </w:p>
    <w:p w14:paraId="4DB5BE25" w14:textId="6CBB2695" w:rsidR="00E07B7C" w:rsidRPr="00523180" w:rsidRDefault="007C101C" w:rsidP="007C101C">
      <w:pPr>
        <w:pStyle w:val="Point0"/>
        <w:ind w:left="840" w:hanging="840"/>
        <w:rPr>
          <w:noProof/>
          <w:spacing w:val="-6"/>
        </w:rPr>
      </w:pPr>
      <w:r w:rsidRPr="00F537B9">
        <w:rPr>
          <w:noProof/>
        </w:rPr>
        <w:t>11.</w:t>
      </w:r>
      <w:r w:rsidRPr="00F537B9">
        <w:rPr>
          <w:noProof/>
        </w:rPr>
        <w:tab/>
      </w:r>
      <w:r w:rsidRPr="00523180">
        <w:rPr>
          <w:noProof/>
          <w:spacing w:val="-6"/>
        </w:rPr>
        <w:t>„metóda zvýšených nákladov“ je metóda transferového oceňovania, pri ktorej sa používajú náklady, ktoré vznikli dodávateľovi majetku (alebo služieb)</w:t>
      </w:r>
      <w:r w:rsidR="00F537B9" w:rsidRPr="00523180">
        <w:rPr>
          <w:noProof/>
          <w:spacing w:val="-6"/>
        </w:rPr>
        <w:t xml:space="preserve"> v </w:t>
      </w:r>
      <w:r w:rsidRPr="00523180">
        <w:rPr>
          <w:noProof/>
          <w:spacing w:val="-6"/>
        </w:rPr>
        <w:t>rámci kontrolovanej transakcie;</w:t>
      </w:r>
      <w:r w:rsidR="00F537B9" w:rsidRPr="00523180">
        <w:rPr>
          <w:noProof/>
          <w:spacing w:val="-6"/>
        </w:rPr>
        <w:t xml:space="preserve"> k </w:t>
      </w:r>
      <w:r w:rsidRPr="00523180">
        <w:rPr>
          <w:noProof/>
          <w:spacing w:val="-6"/>
        </w:rPr>
        <w:t>týmto nákladom sa pripočíta primeraná prirážka, aby sa dosiahol primeraný zisk vzhľadom na vykonávané funkcie (s prihliadnutím na použité aktíva</w:t>
      </w:r>
      <w:r w:rsidR="00F537B9" w:rsidRPr="00523180">
        <w:rPr>
          <w:noProof/>
          <w:spacing w:val="-6"/>
        </w:rPr>
        <w:t xml:space="preserve"> a </w:t>
      </w:r>
      <w:r w:rsidRPr="00523180">
        <w:rPr>
          <w:noProof/>
          <w:spacing w:val="-6"/>
        </w:rPr>
        <w:t>znášané riziká)</w:t>
      </w:r>
      <w:r w:rsidR="00F537B9" w:rsidRPr="00523180">
        <w:rPr>
          <w:noProof/>
          <w:spacing w:val="-6"/>
        </w:rPr>
        <w:t xml:space="preserve"> a </w:t>
      </w:r>
      <w:r w:rsidRPr="00523180">
        <w:rPr>
          <w:noProof/>
          <w:spacing w:val="-6"/>
        </w:rPr>
        <w:t>trhové podmienky; danú cenu po pripočítaní prirážky</w:t>
      </w:r>
      <w:r w:rsidR="00F537B9" w:rsidRPr="00523180">
        <w:rPr>
          <w:noProof/>
          <w:spacing w:val="-6"/>
        </w:rPr>
        <w:t xml:space="preserve"> k </w:t>
      </w:r>
      <w:r w:rsidRPr="00523180">
        <w:rPr>
          <w:noProof/>
          <w:spacing w:val="-6"/>
        </w:rPr>
        <w:t>správnej nákladovej základni možno považovať za nezávislú cenu pôvodnej kontrolovanej transakcie;</w:t>
      </w:r>
    </w:p>
    <w:p w14:paraId="504C7552" w14:textId="35FE383F" w:rsidR="00943554" w:rsidRPr="00523180" w:rsidRDefault="00E07B7C" w:rsidP="00E07B7C">
      <w:pPr>
        <w:pStyle w:val="Point0"/>
        <w:rPr>
          <w:noProof/>
          <w:spacing w:val="-4"/>
        </w:rPr>
      </w:pPr>
      <w:r w:rsidRPr="00523180">
        <w:rPr>
          <w:noProof/>
          <w:spacing w:val="-4"/>
        </w:rPr>
        <w:t>12.</w:t>
      </w:r>
      <w:r w:rsidRPr="00523180">
        <w:rPr>
          <w:noProof/>
          <w:spacing w:val="-4"/>
        </w:rPr>
        <w:tab/>
        <w:t>„metóda čistého obchodného rozpätia“ je transakčná zisková metóda, pri ktorej sa skúma čisté ziskové rozpätie vo vzťahu</w:t>
      </w:r>
      <w:r w:rsidR="00F537B9" w:rsidRPr="00523180">
        <w:rPr>
          <w:noProof/>
          <w:spacing w:val="-4"/>
        </w:rPr>
        <w:t xml:space="preserve"> k </w:t>
      </w:r>
      <w:r w:rsidRPr="00523180">
        <w:rPr>
          <w:noProof/>
          <w:spacing w:val="-4"/>
        </w:rPr>
        <w:t>primeranej základni, napr. nákladom, tržbám, aktívam, ktoré daňovník realizuje</w:t>
      </w:r>
      <w:r w:rsidR="00F537B9" w:rsidRPr="00523180">
        <w:rPr>
          <w:noProof/>
          <w:spacing w:val="-4"/>
        </w:rPr>
        <w:t xml:space="preserve"> z </w:t>
      </w:r>
      <w:r w:rsidRPr="00523180">
        <w:rPr>
          <w:noProof/>
          <w:spacing w:val="-4"/>
        </w:rPr>
        <w:t>kontrolovanej transakcie, ktorú je vhodné agregovať;</w:t>
      </w:r>
    </w:p>
    <w:p w14:paraId="203DA980" w14:textId="1BB6FC30" w:rsidR="00E07B7C" w:rsidRPr="00F537B9" w:rsidRDefault="00E07B7C" w:rsidP="00E07B7C">
      <w:pPr>
        <w:pStyle w:val="Point0"/>
        <w:rPr>
          <w:noProof/>
        </w:rPr>
      </w:pPr>
      <w:r w:rsidRPr="00F537B9">
        <w:rPr>
          <w:noProof/>
        </w:rPr>
        <w:t>13.</w:t>
      </w:r>
      <w:r w:rsidRPr="00F537B9">
        <w:rPr>
          <w:noProof/>
        </w:rPr>
        <w:tab/>
        <w:t>„metóda delenia zisku“ je transakčná metóda delenia zisku, ktorá ukazuje príslušné zisky</w:t>
      </w:r>
      <w:r w:rsidR="00F537B9">
        <w:rPr>
          <w:noProof/>
        </w:rPr>
        <w:t xml:space="preserve"> z </w:t>
      </w:r>
      <w:r w:rsidRPr="00F537B9">
        <w:rPr>
          <w:noProof/>
        </w:rPr>
        <w:t>kontrolovanej transakcie (alebo kontrolovaných transakcií, ktoré je vhodné agregovať), ktoré sa majú rozdeliť medzi pridružené podniky, pričom následne sa tieto zisky rozdelia medzi pridružené podniky na ekonomicky prijateľnom základe, ktorý sa približuje rozdeleniu ziskov, ktoré by bolo dohodnuté na základe nezávislého vzťahu;</w:t>
      </w:r>
    </w:p>
    <w:p w14:paraId="44D5CA51" w14:textId="54AF916B" w:rsidR="00F537B9" w:rsidRDefault="00E07B7C" w:rsidP="001D73EC">
      <w:pPr>
        <w:pStyle w:val="Point0"/>
        <w:rPr>
          <w:noProof/>
        </w:rPr>
      </w:pPr>
      <w:r w:rsidRPr="00F537B9">
        <w:rPr>
          <w:noProof/>
        </w:rPr>
        <w:t>14.</w:t>
      </w:r>
      <w:r w:rsidRPr="00F537B9">
        <w:rPr>
          <w:noProof/>
        </w:rPr>
        <w:tab/>
        <w:t>„analýza porovnateľnosti“ je porovnanie kontrolovanej transakcie</w:t>
      </w:r>
      <w:r w:rsidR="00F537B9">
        <w:rPr>
          <w:noProof/>
        </w:rPr>
        <w:t xml:space="preserve"> s </w:t>
      </w:r>
      <w:r w:rsidRPr="00F537B9">
        <w:rPr>
          <w:noProof/>
        </w:rPr>
        <w:t>nekontrolovanou transakciou</w:t>
      </w:r>
      <w:r w:rsidR="00F537B9">
        <w:rPr>
          <w:noProof/>
        </w:rPr>
        <w:t>;</w:t>
      </w:r>
    </w:p>
    <w:p w14:paraId="21C58F2E" w14:textId="52EC0DAF" w:rsidR="00E07B7C" w:rsidRPr="00F537B9" w:rsidRDefault="00E07B7C" w:rsidP="00E07B7C">
      <w:pPr>
        <w:pStyle w:val="Point0"/>
        <w:rPr>
          <w:noProof/>
        </w:rPr>
      </w:pPr>
      <w:r w:rsidRPr="00F537B9">
        <w:rPr>
          <w:noProof/>
        </w:rPr>
        <w:t>15.</w:t>
      </w:r>
      <w:r w:rsidRPr="00F537B9">
        <w:rPr>
          <w:noProof/>
        </w:rPr>
        <w:tab/>
        <w:t>„kontrolovaná transakcia“ je transakcia medzi dvoma pridruženými podnikmi;</w:t>
      </w:r>
    </w:p>
    <w:p w14:paraId="3EFEB92A" w14:textId="77777777" w:rsidR="00F537B9" w:rsidRDefault="00E07B7C" w:rsidP="00E73845">
      <w:pPr>
        <w:pStyle w:val="Point0"/>
        <w:rPr>
          <w:noProof/>
        </w:rPr>
      </w:pPr>
      <w:r w:rsidRPr="00F537B9">
        <w:rPr>
          <w:noProof/>
        </w:rPr>
        <w:t>16.</w:t>
      </w:r>
      <w:r w:rsidRPr="00F537B9">
        <w:rPr>
          <w:noProof/>
        </w:rPr>
        <w:tab/>
        <w:t>„porovnateľná nekontrolovaná transakcia“ je transakcia medzi nezávislými podnikmi, ktorá je porovnateľná so skúmanou kontrolovanou transakciou</w:t>
      </w:r>
      <w:r w:rsidR="00F537B9">
        <w:rPr>
          <w:noProof/>
        </w:rPr>
        <w:t>;</w:t>
      </w:r>
    </w:p>
    <w:p w14:paraId="6B60EBDD" w14:textId="42FAF2DB" w:rsidR="00D6757A" w:rsidRPr="00F537B9" w:rsidRDefault="00E07B7C" w:rsidP="00D35B21">
      <w:pPr>
        <w:pStyle w:val="Point0"/>
        <w:rPr>
          <w:noProof/>
        </w:rPr>
      </w:pPr>
      <w:r w:rsidRPr="00F537B9">
        <w:rPr>
          <w:noProof/>
        </w:rPr>
        <w:t xml:space="preserve">17. </w:t>
      </w:r>
      <w:r w:rsidRPr="00F537B9">
        <w:rPr>
          <w:noProof/>
        </w:rPr>
        <w:tab/>
        <w:t>„nadnárodná skupina podnikov“ je nadnárodná skupina pridružených podnikov sídlom ekonomickej činnosti</w:t>
      </w:r>
      <w:r w:rsidR="00F537B9">
        <w:rPr>
          <w:noProof/>
        </w:rPr>
        <w:t xml:space="preserve"> v </w:t>
      </w:r>
      <w:r w:rsidRPr="00F537B9">
        <w:rPr>
          <w:noProof/>
        </w:rPr>
        <w:t>dvoch alebo vo viacerých jurisdikciách;</w:t>
      </w:r>
    </w:p>
    <w:p w14:paraId="50C748E8" w14:textId="67ABA7DE" w:rsidR="00F537B9" w:rsidRDefault="00A01883" w:rsidP="00C93E77">
      <w:pPr>
        <w:pStyle w:val="Point0"/>
        <w:rPr>
          <w:noProof/>
        </w:rPr>
      </w:pPr>
      <w:bookmarkStart w:id="17" w:name="_Hlk144199330"/>
      <w:r w:rsidRPr="00F537B9">
        <w:rPr>
          <w:noProof/>
        </w:rPr>
        <w:t>18.</w:t>
      </w:r>
      <w:r w:rsidRPr="00F537B9">
        <w:rPr>
          <w:noProof/>
        </w:rPr>
        <w:tab/>
      </w:r>
      <w:bookmarkStart w:id="18" w:name="_Hlk144226643"/>
      <w:r w:rsidRPr="00F537B9">
        <w:rPr>
          <w:noProof/>
        </w:rPr>
        <w:t>„smernica OECD</w:t>
      </w:r>
      <w:r w:rsidR="00F537B9">
        <w:rPr>
          <w:noProof/>
        </w:rPr>
        <w:t xml:space="preserve"> o </w:t>
      </w:r>
      <w:r w:rsidRPr="00F537B9">
        <w:rPr>
          <w:noProof/>
        </w:rPr>
        <w:t>transferovom oceňovaní“ je smernica OECD</w:t>
      </w:r>
      <w:r w:rsidR="00F537B9">
        <w:rPr>
          <w:noProof/>
        </w:rPr>
        <w:t xml:space="preserve"> o </w:t>
      </w:r>
      <w:r w:rsidRPr="00F537B9">
        <w:rPr>
          <w:noProof/>
        </w:rPr>
        <w:t>transferovom oceňovaní pre nadnárodné spoločnosti</w:t>
      </w:r>
      <w:r w:rsidR="00F537B9">
        <w:rPr>
          <w:noProof/>
        </w:rPr>
        <w:t xml:space="preserve"> a </w:t>
      </w:r>
      <w:r w:rsidRPr="00F537B9">
        <w:rPr>
          <w:noProof/>
        </w:rPr>
        <w:t>správu daní</w:t>
      </w:r>
      <w:r w:rsidR="00F537B9">
        <w:rPr>
          <w:noProof/>
        </w:rPr>
        <w:t xml:space="preserve"> z </w:t>
      </w:r>
      <w:r w:rsidRPr="00F537B9">
        <w:rPr>
          <w:noProof/>
        </w:rPr>
        <w:t>roku 2022, ktorú schválila Rada OECD podľa odporúčania Rady OECD</w:t>
      </w:r>
      <w:r w:rsidR="00F537B9">
        <w:rPr>
          <w:noProof/>
        </w:rPr>
        <w:t xml:space="preserve"> o </w:t>
      </w:r>
      <w:r w:rsidRPr="00F537B9">
        <w:rPr>
          <w:noProof/>
        </w:rPr>
        <w:t>určovaní transferového oceňovania medzi pridruženými podnikmi [C(95)126/final], zmenená 20</w:t>
      </w:r>
      <w:r w:rsidR="00F537B9">
        <w:rPr>
          <w:noProof/>
        </w:rPr>
        <w:t>. januára</w:t>
      </w:r>
      <w:r w:rsidRPr="00F537B9">
        <w:rPr>
          <w:noProof/>
        </w:rPr>
        <w:t xml:space="preserve"> 2022</w:t>
      </w:r>
      <w:r w:rsidR="00F537B9">
        <w:rPr>
          <w:noProof/>
        </w:rPr>
        <w:t xml:space="preserve"> a </w:t>
      </w:r>
      <w:r w:rsidRPr="00F537B9">
        <w:rPr>
          <w:noProof/>
        </w:rPr>
        <w:t>zahrnutá do prílohy I, ako aj akékoľvek ďalšie zmeny tejto smernice OECD</w:t>
      </w:r>
      <w:r w:rsidR="00F537B9">
        <w:rPr>
          <w:noProof/>
        </w:rPr>
        <w:t xml:space="preserve"> o </w:t>
      </w:r>
      <w:r w:rsidRPr="00F537B9">
        <w:rPr>
          <w:noProof/>
        </w:rPr>
        <w:t>transferovom oceňovaní, ktoré Únia schválila</w:t>
      </w:r>
      <w:r w:rsidR="00F537B9">
        <w:rPr>
          <w:noProof/>
        </w:rPr>
        <w:t xml:space="preserve"> v </w:t>
      </w:r>
      <w:r w:rsidRPr="00F537B9">
        <w:rPr>
          <w:noProof/>
        </w:rPr>
        <w:t>kontexte Výboru OECD pre daňové záležitosti prijatím pozície Únie podľa článku 218 ods. 9 ZFEÚ</w:t>
      </w:r>
      <w:bookmarkEnd w:id="18"/>
      <w:bookmarkEnd w:id="17"/>
      <w:r w:rsidR="00F537B9">
        <w:rPr>
          <w:noProof/>
        </w:rPr>
        <w:t>;</w:t>
      </w:r>
    </w:p>
    <w:p w14:paraId="1A6118FD" w14:textId="53997B7C" w:rsidR="00F537B9" w:rsidRDefault="00D35B21" w:rsidP="00C93E77">
      <w:pPr>
        <w:pStyle w:val="Point0"/>
        <w:rPr>
          <w:noProof/>
        </w:rPr>
      </w:pPr>
      <w:r w:rsidRPr="00F537B9">
        <w:rPr>
          <w:noProof/>
        </w:rPr>
        <w:t>19.</w:t>
      </w:r>
      <w:r w:rsidRPr="00F537B9">
        <w:rPr>
          <w:noProof/>
        </w:rPr>
        <w:tab/>
        <w:t>„dohoda</w:t>
      </w:r>
      <w:r w:rsidR="00F537B9">
        <w:rPr>
          <w:noProof/>
        </w:rPr>
        <w:t xml:space="preserve"> o </w:t>
      </w:r>
      <w:r w:rsidRPr="00F537B9">
        <w:rPr>
          <w:noProof/>
        </w:rPr>
        <w:t>príspevkoch na náklady“ je zmluvná dohoda medzi podnikmi</w:t>
      </w:r>
      <w:r w:rsidR="00F537B9">
        <w:rPr>
          <w:noProof/>
        </w:rPr>
        <w:t xml:space="preserve"> o </w:t>
      </w:r>
      <w:r w:rsidRPr="00F537B9">
        <w:rPr>
          <w:noProof/>
        </w:rPr>
        <w:t>podieľaní sa na príspevkoch</w:t>
      </w:r>
      <w:r w:rsidR="00F537B9">
        <w:rPr>
          <w:noProof/>
        </w:rPr>
        <w:t xml:space="preserve"> a </w:t>
      </w:r>
      <w:r w:rsidRPr="00F537B9">
        <w:rPr>
          <w:noProof/>
        </w:rPr>
        <w:t>rizikách spojených so spoločným vývojom, výrobou alebo získavaním nehmotného majetku, hmotného majetku alebo služieb</w:t>
      </w:r>
      <w:r w:rsidR="00F537B9">
        <w:rPr>
          <w:noProof/>
        </w:rPr>
        <w:t xml:space="preserve"> s </w:t>
      </w:r>
      <w:r w:rsidRPr="00F537B9">
        <w:rPr>
          <w:noProof/>
        </w:rPr>
        <w:t>tým, že sa očakáva, že takýto nehmotný majetok, hmotný majetok alebo služby vytvoria výhody pre jednotlivé podniky každého</w:t>
      </w:r>
      <w:r w:rsidR="00F537B9">
        <w:rPr>
          <w:noProof/>
        </w:rPr>
        <w:t xml:space="preserve"> z </w:t>
      </w:r>
      <w:r w:rsidRPr="00F537B9">
        <w:rPr>
          <w:noProof/>
        </w:rPr>
        <w:t>účastníkov</w:t>
      </w:r>
      <w:r w:rsidR="00F537B9">
        <w:rPr>
          <w:noProof/>
        </w:rPr>
        <w:t>.</w:t>
      </w:r>
    </w:p>
    <w:p w14:paraId="3A8BD43A" w14:textId="7971B607" w:rsidR="00A957B3" w:rsidRPr="00F537B9" w:rsidRDefault="00A957B3" w:rsidP="00E07B7C">
      <w:pPr>
        <w:rPr>
          <w:noProof/>
        </w:rPr>
      </w:pPr>
    </w:p>
    <w:p w14:paraId="21597C9E" w14:textId="77777777" w:rsidR="00E07B7C" w:rsidRPr="00F537B9" w:rsidRDefault="00E07B7C" w:rsidP="00E07B7C">
      <w:pPr>
        <w:jc w:val="center"/>
        <w:rPr>
          <w:b/>
          <w:bCs/>
          <w:noProof/>
        </w:rPr>
      </w:pPr>
      <w:r w:rsidRPr="00F537B9">
        <w:rPr>
          <w:b/>
          <w:noProof/>
        </w:rPr>
        <w:t>KAPITOLA II</w:t>
      </w:r>
    </w:p>
    <w:p w14:paraId="010E7EDC" w14:textId="77777777" w:rsidR="00E07B7C" w:rsidRPr="00F537B9" w:rsidRDefault="00E07B7C" w:rsidP="00E07B7C">
      <w:pPr>
        <w:jc w:val="center"/>
        <w:rPr>
          <w:b/>
          <w:bCs/>
          <w:noProof/>
        </w:rPr>
      </w:pPr>
      <w:r w:rsidRPr="00F537B9">
        <w:rPr>
          <w:b/>
          <w:noProof/>
        </w:rPr>
        <w:t>PRAVIDLÁ TRANSFEROVÉHO OCEŇOVANIA</w:t>
      </w:r>
    </w:p>
    <w:p w14:paraId="24258003" w14:textId="43663D9D" w:rsidR="00C52D7E" w:rsidRPr="00F537B9" w:rsidRDefault="00E07B7C" w:rsidP="008F598B">
      <w:pPr>
        <w:pStyle w:val="Titrearticle"/>
        <w:rPr>
          <w:b/>
          <w:i w:val="0"/>
          <w:noProof/>
        </w:rPr>
      </w:pPr>
      <w:bookmarkStart w:id="19" w:name="_Hlk137976083"/>
      <w:bookmarkStart w:id="20" w:name="_Hlk144226883"/>
      <w:r w:rsidRPr="00F537B9">
        <w:rPr>
          <w:noProof/>
        </w:rPr>
        <w:t xml:space="preserve">Článok 4 </w:t>
      </w:r>
      <w:r w:rsidRPr="00F537B9">
        <w:rPr>
          <w:noProof/>
        </w:rPr>
        <w:br/>
      </w:r>
      <w:r w:rsidRPr="00F537B9">
        <w:rPr>
          <w:b/>
          <w:i w:val="0"/>
          <w:noProof/>
        </w:rPr>
        <w:t>Všeobecné pravidlo</w:t>
      </w:r>
      <w:r w:rsidR="00F537B9">
        <w:rPr>
          <w:b/>
          <w:i w:val="0"/>
          <w:noProof/>
        </w:rPr>
        <w:t xml:space="preserve"> o </w:t>
      </w:r>
      <w:r w:rsidRPr="00F537B9">
        <w:rPr>
          <w:b/>
          <w:i w:val="0"/>
          <w:noProof/>
        </w:rPr>
        <w:t>uplatňovaní princípu nezávislého vzťahu</w:t>
      </w:r>
      <w:bookmarkEnd w:id="19"/>
    </w:p>
    <w:p w14:paraId="5104D77E" w14:textId="0D5DA139" w:rsidR="00F537B9" w:rsidRDefault="00545434" w:rsidP="00545434">
      <w:pPr>
        <w:pStyle w:val="ManualNumPar1"/>
        <w:rPr>
          <w:noProof/>
        </w:rPr>
      </w:pPr>
      <w:bookmarkStart w:id="21" w:name="_Hlk139036274"/>
      <w:r w:rsidRPr="00545434">
        <w:t>1.</w:t>
      </w:r>
      <w:r w:rsidRPr="00545434">
        <w:tab/>
      </w:r>
      <w:r w:rsidR="00910FDE" w:rsidRPr="00F537B9">
        <w:rPr>
          <w:noProof/>
        </w:rPr>
        <w:t>Členské štáty zabezpečia, aby</w:t>
      </w:r>
      <w:r w:rsidR="00F537B9">
        <w:rPr>
          <w:noProof/>
        </w:rPr>
        <w:t xml:space="preserve"> v </w:t>
      </w:r>
      <w:r w:rsidR="00910FDE" w:rsidRPr="00F537B9">
        <w:rPr>
          <w:noProof/>
        </w:rPr>
        <w:t>prípade, že sa podnik zapája do jednej či viacerých obchodných alebo finančných cezhraničných transakcií</w:t>
      </w:r>
      <w:r w:rsidR="00F537B9">
        <w:rPr>
          <w:noProof/>
        </w:rPr>
        <w:t xml:space="preserve"> s </w:t>
      </w:r>
      <w:r w:rsidR="00910FDE" w:rsidRPr="00F537B9">
        <w:rPr>
          <w:noProof/>
        </w:rPr>
        <w:t>pridruženým podnikom, tento podnik určil výšku svojich zdaniteľných ziskov spôsobom, ktorý je</w:t>
      </w:r>
      <w:r w:rsidR="00F537B9">
        <w:rPr>
          <w:noProof/>
        </w:rPr>
        <w:t xml:space="preserve"> v </w:t>
      </w:r>
      <w:r w:rsidR="00910FDE" w:rsidRPr="00F537B9">
        <w:rPr>
          <w:noProof/>
        </w:rPr>
        <w:t>súlade</w:t>
      </w:r>
      <w:r w:rsidR="00F537B9">
        <w:rPr>
          <w:noProof/>
        </w:rPr>
        <w:t xml:space="preserve"> s </w:t>
      </w:r>
      <w:r w:rsidR="00910FDE" w:rsidRPr="00F537B9">
        <w:rPr>
          <w:noProof/>
        </w:rPr>
        <w:t>princípom nezávislého vzťahu</w:t>
      </w:r>
      <w:r w:rsidR="00F537B9">
        <w:rPr>
          <w:noProof/>
        </w:rPr>
        <w:t>.</w:t>
      </w:r>
    </w:p>
    <w:p w14:paraId="74AF9823" w14:textId="161DB962" w:rsidR="003F7D2E" w:rsidRPr="00F537B9" w:rsidRDefault="00545434" w:rsidP="00545434">
      <w:pPr>
        <w:pStyle w:val="ManualNumPar1"/>
        <w:rPr>
          <w:noProof/>
        </w:rPr>
      </w:pPr>
      <w:bookmarkStart w:id="22" w:name="_Hlk138260290"/>
      <w:bookmarkEnd w:id="21"/>
      <w:bookmarkEnd w:id="20"/>
      <w:r w:rsidRPr="00545434">
        <w:t>2.</w:t>
      </w:r>
      <w:r w:rsidRPr="00545434">
        <w:tab/>
      </w:r>
      <w:r w:rsidR="003F7D2E" w:rsidRPr="00F537B9">
        <w:rPr>
          <w:noProof/>
        </w:rPr>
        <w:t>Členské štáty zabezpečia, aby</w:t>
      </w:r>
      <w:r w:rsidR="00F537B9">
        <w:rPr>
          <w:noProof/>
        </w:rPr>
        <w:t xml:space="preserve"> v </w:t>
      </w:r>
      <w:r w:rsidR="003F7D2E" w:rsidRPr="00F537B9">
        <w:rPr>
          <w:noProof/>
        </w:rPr>
        <w:t>prípade, že podmienky vytvorené alebo uložené</w:t>
      </w:r>
      <w:r w:rsidR="00F537B9">
        <w:rPr>
          <w:noProof/>
        </w:rPr>
        <w:t xml:space="preserve"> v </w:t>
      </w:r>
      <w:r w:rsidR="003F7D2E" w:rsidRPr="00F537B9">
        <w:rPr>
          <w:noProof/>
        </w:rPr>
        <w:t>obchodných alebo finančných cezhraničných transakciách medzi pridruženými podnikmi nie sú</w:t>
      </w:r>
      <w:r w:rsidR="00F537B9">
        <w:rPr>
          <w:noProof/>
        </w:rPr>
        <w:t xml:space="preserve"> v </w:t>
      </w:r>
      <w:r w:rsidR="003F7D2E" w:rsidRPr="00F537B9">
        <w:rPr>
          <w:noProof/>
        </w:rPr>
        <w:t>súlade</w:t>
      </w:r>
      <w:r w:rsidR="00F537B9">
        <w:rPr>
          <w:noProof/>
        </w:rPr>
        <w:t xml:space="preserve"> s </w:t>
      </w:r>
      <w:r w:rsidR="003F7D2E" w:rsidRPr="00F537B9">
        <w:rPr>
          <w:noProof/>
        </w:rPr>
        <w:t>princípom nezávislého vzťahu, akákoľvek suma ziskov, ktorá by vznikla jednému</w:t>
      </w:r>
      <w:r w:rsidR="00F537B9">
        <w:rPr>
          <w:noProof/>
        </w:rPr>
        <w:t xml:space="preserve"> z </w:t>
      </w:r>
      <w:r w:rsidR="003F7D2E" w:rsidRPr="00F537B9">
        <w:rPr>
          <w:noProof/>
        </w:rPr>
        <w:t>podnikov</w:t>
      </w:r>
      <w:r w:rsidR="00F537B9">
        <w:rPr>
          <w:noProof/>
        </w:rPr>
        <w:t xml:space="preserve"> a </w:t>
      </w:r>
      <w:r w:rsidR="003F7D2E" w:rsidRPr="00F537B9">
        <w:rPr>
          <w:noProof/>
        </w:rPr>
        <w:t>bola by pre tento podnik zdaniteľná</w:t>
      </w:r>
      <w:r w:rsidR="00F537B9">
        <w:rPr>
          <w:noProof/>
        </w:rPr>
        <w:t xml:space="preserve"> v </w:t>
      </w:r>
      <w:r w:rsidR="003F7D2E" w:rsidRPr="00F537B9">
        <w:rPr>
          <w:noProof/>
        </w:rPr>
        <w:t>členskom štáte, ak by podmienky transakcií boli</w:t>
      </w:r>
      <w:r w:rsidR="00F537B9">
        <w:rPr>
          <w:noProof/>
        </w:rPr>
        <w:t xml:space="preserve"> v </w:t>
      </w:r>
      <w:r w:rsidR="003F7D2E" w:rsidRPr="00F537B9">
        <w:rPr>
          <w:noProof/>
        </w:rPr>
        <w:t>súlade</w:t>
      </w:r>
      <w:r w:rsidR="00F537B9">
        <w:rPr>
          <w:noProof/>
        </w:rPr>
        <w:t xml:space="preserve"> s </w:t>
      </w:r>
      <w:r w:rsidR="003F7D2E" w:rsidRPr="00F537B9">
        <w:rPr>
          <w:noProof/>
        </w:rPr>
        <w:t>princípom nezávislého vzťahu, avšak tomuto podniku nevznikla pre neexistenciu podmienok nezávislého vzťahu, bola zahrnutá do zdaniteľných ziskov tohto podniku</w:t>
      </w:r>
      <w:r w:rsidR="00F537B9">
        <w:rPr>
          <w:noProof/>
        </w:rPr>
        <w:t xml:space="preserve"> a </w:t>
      </w:r>
      <w:r w:rsidR="003F7D2E" w:rsidRPr="00F537B9">
        <w:rPr>
          <w:noProof/>
        </w:rPr>
        <w:t>zodpovedajúcim spôsobom zdanená.</w:t>
      </w:r>
    </w:p>
    <w:p w14:paraId="06C52155" w14:textId="77777777" w:rsidR="00F537B9" w:rsidRDefault="00E07B7C" w:rsidP="00052383">
      <w:pPr>
        <w:pStyle w:val="Titrearticle"/>
        <w:rPr>
          <w:b/>
          <w:i w:val="0"/>
          <w:noProof/>
        </w:rPr>
      </w:pPr>
      <w:r w:rsidRPr="00F537B9">
        <w:rPr>
          <w:noProof/>
        </w:rPr>
        <w:t xml:space="preserve">Článok 5 </w:t>
      </w:r>
      <w:r w:rsidRPr="00F537B9">
        <w:rPr>
          <w:noProof/>
        </w:rPr>
        <w:br/>
      </w:r>
      <w:r w:rsidRPr="00F537B9">
        <w:rPr>
          <w:b/>
          <w:i w:val="0"/>
          <w:noProof/>
        </w:rPr>
        <w:t>Pridružené podniky</w:t>
      </w:r>
    </w:p>
    <w:bookmarkEnd w:id="22"/>
    <w:p w14:paraId="1F82093C" w14:textId="494278B6" w:rsidR="00F537B9" w:rsidRDefault="00545434" w:rsidP="00545434">
      <w:pPr>
        <w:pStyle w:val="ManualNumPar1"/>
        <w:rPr>
          <w:noProof/>
        </w:rPr>
      </w:pPr>
      <w:r w:rsidRPr="00545434">
        <w:t>1.</w:t>
      </w:r>
      <w:r w:rsidRPr="00545434">
        <w:tab/>
      </w:r>
      <w:r w:rsidR="00E07B7C" w:rsidRPr="00F537B9">
        <w:rPr>
          <w:noProof/>
        </w:rPr>
        <w:t>„Pridružený podnik“ na účely tejto smernice je osoba, ktorá je prepojená</w:t>
      </w:r>
      <w:r w:rsidR="00F537B9">
        <w:rPr>
          <w:noProof/>
        </w:rPr>
        <w:t xml:space="preserve"> s </w:t>
      </w:r>
      <w:r w:rsidR="00E07B7C" w:rsidRPr="00F537B9">
        <w:rPr>
          <w:noProof/>
        </w:rPr>
        <w:t>inou osobou ktorýmkoľvek</w:t>
      </w:r>
      <w:r w:rsidR="00F537B9">
        <w:rPr>
          <w:noProof/>
        </w:rPr>
        <w:t xml:space="preserve"> z </w:t>
      </w:r>
      <w:r w:rsidR="00E07B7C" w:rsidRPr="00F537B9">
        <w:rPr>
          <w:noProof/>
        </w:rPr>
        <w:t>týchto spôsobov</w:t>
      </w:r>
      <w:r w:rsidR="00F537B9">
        <w:rPr>
          <w:noProof/>
        </w:rPr>
        <w:t>:</w:t>
      </w:r>
    </w:p>
    <w:p w14:paraId="4F971A46" w14:textId="3FAD926E" w:rsidR="00F537B9" w:rsidRDefault="00523180" w:rsidP="00523180">
      <w:pPr>
        <w:pStyle w:val="Point1"/>
        <w:rPr>
          <w:noProof/>
        </w:rPr>
      </w:pPr>
      <w:r>
        <w:rPr>
          <w:noProof/>
        </w:rPr>
        <w:t>a)</w:t>
      </w:r>
      <w:r>
        <w:rPr>
          <w:noProof/>
        </w:rPr>
        <w:tab/>
      </w:r>
      <w:r w:rsidR="00E07B7C" w:rsidRPr="00F537B9">
        <w:rPr>
          <w:noProof/>
        </w:rPr>
        <w:t>daná osoba sa zúčastňuje na riadení inej osoby tak, že je</w:t>
      </w:r>
      <w:r w:rsidR="00F537B9">
        <w:rPr>
          <w:noProof/>
        </w:rPr>
        <w:t xml:space="preserve"> v </w:t>
      </w:r>
      <w:r w:rsidR="00E07B7C" w:rsidRPr="00F537B9">
        <w:rPr>
          <w:noProof/>
        </w:rPr>
        <w:t>postavení uplatňovať na túto inú osobu významný vplyv</w:t>
      </w:r>
      <w:r w:rsidR="00F537B9">
        <w:rPr>
          <w:noProof/>
        </w:rPr>
        <w:t>;</w:t>
      </w:r>
    </w:p>
    <w:p w14:paraId="59AAA0BF" w14:textId="1EF3492E" w:rsidR="00F537B9" w:rsidRDefault="00523180" w:rsidP="00523180">
      <w:pPr>
        <w:pStyle w:val="Point1"/>
        <w:rPr>
          <w:noProof/>
        </w:rPr>
      </w:pPr>
      <w:r>
        <w:rPr>
          <w:noProof/>
        </w:rPr>
        <w:t>b)</w:t>
      </w:r>
      <w:r>
        <w:rPr>
          <w:noProof/>
        </w:rPr>
        <w:tab/>
      </w:r>
      <w:r w:rsidR="001007ED" w:rsidRPr="00F537B9">
        <w:rPr>
          <w:noProof/>
        </w:rPr>
        <w:t xml:space="preserve"> daná osoba sa zúčastňuje na kontrole inej osoby prostredníctvom účasti, ktorá predstavuje viac ako 25</w:t>
      </w:r>
      <w:r w:rsidR="00F537B9">
        <w:rPr>
          <w:noProof/>
        </w:rPr>
        <w:t> %</w:t>
      </w:r>
      <w:r w:rsidR="001007ED" w:rsidRPr="00F537B9">
        <w:rPr>
          <w:noProof/>
        </w:rPr>
        <w:t xml:space="preserve"> hlasovacích práv</w:t>
      </w:r>
      <w:r w:rsidR="00F537B9">
        <w:rPr>
          <w:noProof/>
        </w:rPr>
        <w:t>;</w:t>
      </w:r>
    </w:p>
    <w:p w14:paraId="64B1E403" w14:textId="09438984" w:rsidR="00F537B9" w:rsidRDefault="00523180" w:rsidP="00523180">
      <w:pPr>
        <w:pStyle w:val="Point1"/>
        <w:rPr>
          <w:noProof/>
        </w:rPr>
      </w:pPr>
      <w:r>
        <w:rPr>
          <w:noProof/>
        </w:rPr>
        <w:t>c)</w:t>
      </w:r>
      <w:r>
        <w:rPr>
          <w:noProof/>
        </w:rPr>
        <w:tab/>
      </w:r>
      <w:r w:rsidR="00E07B7C" w:rsidRPr="00F537B9">
        <w:rPr>
          <w:noProof/>
        </w:rPr>
        <w:t>daná osoba má účasť na kapitále inej osoby prostredníctvom vlastníckeho práva, ktoré predstavuje priamo alebo nepriamo viac ako 25</w:t>
      </w:r>
      <w:r w:rsidR="00F537B9">
        <w:rPr>
          <w:noProof/>
        </w:rPr>
        <w:t> %</w:t>
      </w:r>
      <w:r w:rsidR="00E07B7C" w:rsidRPr="00F537B9">
        <w:rPr>
          <w:noProof/>
        </w:rPr>
        <w:t xml:space="preserve"> kapitálu</w:t>
      </w:r>
      <w:r w:rsidR="00F537B9">
        <w:rPr>
          <w:noProof/>
        </w:rPr>
        <w:t>;</w:t>
      </w:r>
    </w:p>
    <w:p w14:paraId="44EC4B96" w14:textId="775BA040" w:rsidR="00F537B9" w:rsidRDefault="00523180" w:rsidP="00523180">
      <w:pPr>
        <w:pStyle w:val="Point1"/>
        <w:rPr>
          <w:noProof/>
        </w:rPr>
      </w:pPr>
      <w:r>
        <w:rPr>
          <w:noProof/>
        </w:rPr>
        <w:t>d)</w:t>
      </w:r>
      <w:r>
        <w:rPr>
          <w:noProof/>
        </w:rPr>
        <w:tab/>
      </w:r>
      <w:r w:rsidR="00E07B7C" w:rsidRPr="00F537B9">
        <w:rPr>
          <w:noProof/>
        </w:rPr>
        <w:t>daná osoba má nárok na 25</w:t>
      </w:r>
      <w:r w:rsidR="00F537B9">
        <w:rPr>
          <w:noProof/>
        </w:rPr>
        <w:t> %</w:t>
      </w:r>
      <w:r w:rsidR="00E07B7C" w:rsidRPr="00F537B9">
        <w:rPr>
          <w:noProof/>
        </w:rPr>
        <w:t xml:space="preserve"> alebo viac zisku inej osoby</w:t>
      </w:r>
      <w:r w:rsidR="00F537B9">
        <w:rPr>
          <w:noProof/>
        </w:rPr>
        <w:t>.</w:t>
      </w:r>
    </w:p>
    <w:p w14:paraId="39DD061B" w14:textId="076F05E9" w:rsidR="00F537B9" w:rsidRDefault="00545434" w:rsidP="00545434">
      <w:pPr>
        <w:pStyle w:val="ManualNumPar1"/>
        <w:rPr>
          <w:noProof/>
        </w:rPr>
      </w:pPr>
      <w:r w:rsidRPr="00545434">
        <w:t>2.</w:t>
      </w:r>
      <w:r w:rsidRPr="00545434">
        <w:tab/>
      </w:r>
      <w:r w:rsidR="00E07B7C" w:rsidRPr="00F537B9">
        <w:rPr>
          <w:noProof/>
        </w:rPr>
        <w:t>Ak sa na riadení, kontrole, kapitále alebo zisku tej istej osoby zúčastňuje viac ako jedna osoba, ako sa uvádza</w:t>
      </w:r>
      <w:r w:rsidR="00F537B9">
        <w:rPr>
          <w:noProof/>
        </w:rPr>
        <w:t xml:space="preserve"> v </w:t>
      </w:r>
      <w:r w:rsidR="00E07B7C" w:rsidRPr="00F537B9">
        <w:rPr>
          <w:noProof/>
        </w:rPr>
        <w:t>odseku 1, všetky dotknuté osoby sa považujú za pridružené podniky</w:t>
      </w:r>
      <w:r w:rsidR="00F537B9">
        <w:rPr>
          <w:noProof/>
        </w:rPr>
        <w:t>.</w:t>
      </w:r>
    </w:p>
    <w:p w14:paraId="04F13B5B" w14:textId="45C3E683" w:rsidR="00E07B7C" w:rsidRPr="00F537B9" w:rsidRDefault="00545434" w:rsidP="00545434">
      <w:pPr>
        <w:pStyle w:val="ManualNumPar1"/>
        <w:rPr>
          <w:noProof/>
        </w:rPr>
      </w:pPr>
      <w:r w:rsidRPr="00545434">
        <w:t>3.</w:t>
      </w:r>
      <w:r w:rsidRPr="00545434">
        <w:tab/>
      </w:r>
      <w:r w:rsidR="00E07B7C" w:rsidRPr="00F537B9">
        <w:rPr>
          <w:noProof/>
        </w:rPr>
        <w:t>Ak sa tie isté osoby zúčastňujú na riadení, kontrole, kapitále alebo zisku viac ako jednej osoby, ako sa uvádza</w:t>
      </w:r>
      <w:r w:rsidR="00F537B9">
        <w:rPr>
          <w:noProof/>
        </w:rPr>
        <w:t xml:space="preserve"> v </w:t>
      </w:r>
      <w:r w:rsidR="00E07B7C" w:rsidRPr="00F537B9">
        <w:rPr>
          <w:noProof/>
        </w:rPr>
        <w:t>odseku 1, všetky dotknuté osoby sa považujú za pridružené podniky.</w:t>
      </w:r>
    </w:p>
    <w:p w14:paraId="06BD6A4F" w14:textId="5273F67C" w:rsidR="00F537B9" w:rsidRDefault="00545434" w:rsidP="00545434">
      <w:pPr>
        <w:pStyle w:val="ManualNumPar1"/>
        <w:rPr>
          <w:noProof/>
        </w:rPr>
      </w:pPr>
      <w:r w:rsidRPr="00545434">
        <w:t>4.</w:t>
      </w:r>
      <w:r w:rsidRPr="00545434">
        <w:tab/>
      </w:r>
      <w:r w:rsidR="001007ED" w:rsidRPr="00F537B9">
        <w:rPr>
          <w:noProof/>
        </w:rPr>
        <w:t>Na účely odsekov 1</w:t>
      </w:r>
      <w:r w:rsidR="00F537B9">
        <w:rPr>
          <w:noProof/>
        </w:rPr>
        <w:t xml:space="preserve"> a </w:t>
      </w:r>
      <w:r w:rsidR="001007ED" w:rsidRPr="00F537B9">
        <w:rPr>
          <w:noProof/>
        </w:rPr>
        <w:t>2 je osobou právnická aj fyzická osoba. Osoba, ktorá koná spoločne</w:t>
      </w:r>
      <w:r w:rsidR="00F537B9">
        <w:rPr>
          <w:noProof/>
        </w:rPr>
        <w:t xml:space="preserve"> s </w:t>
      </w:r>
      <w:r w:rsidR="001007ED" w:rsidRPr="00F537B9">
        <w:rPr>
          <w:noProof/>
        </w:rPr>
        <w:t>inou osobou, pokiaľ ide</w:t>
      </w:r>
      <w:r w:rsidR="00F537B9">
        <w:rPr>
          <w:noProof/>
        </w:rPr>
        <w:t xml:space="preserve"> o </w:t>
      </w:r>
      <w:r w:rsidR="001007ED" w:rsidRPr="00F537B9">
        <w:rPr>
          <w:noProof/>
        </w:rPr>
        <w:t>hlasovacie práva alebo vlastníctvo kapitálu subjektu, sa považuje za osobu, ktorá má účasť na všetkých hlasovacích právach alebo vlastníctve kapitálu daného subjektu, ktoré má</w:t>
      </w:r>
      <w:r w:rsidR="00F537B9">
        <w:rPr>
          <w:noProof/>
        </w:rPr>
        <w:t xml:space="preserve"> v </w:t>
      </w:r>
      <w:r w:rsidR="001007ED" w:rsidRPr="00F537B9">
        <w:rPr>
          <w:noProof/>
        </w:rPr>
        <w:t>držbe táto iná osoba</w:t>
      </w:r>
      <w:r w:rsidR="00F537B9">
        <w:rPr>
          <w:noProof/>
        </w:rPr>
        <w:t>.</w:t>
      </w:r>
    </w:p>
    <w:p w14:paraId="51A752AC" w14:textId="28514FED" w:rsidR="00F537B9" w:rsidRDefault="00545434" w:rsidP="00545434">
      <w:pPr>
        <w:pStyle w:val="ManualNumPar1"/>
        <w:rPr>
          <w:noProof/>
        </w:rPr>
      </w:pPr>
      <w:r w:rsidRPr="00545434">
        <w:t>5.</w:t>
      </w:r>
      <w:r w:rsidRPr="00545434">
        <w:tab/>
      </w:r>
      <w:r w:rsidR="00E07B7C" w:rsidRPr="00F537B9">
        <w:rPr>
          <w:noProof/>
        </w:rPr>
        <w:t>Pri nepriamej účasti sa splnenie kritérií stanovených</w:t>
      </w:r>
      <w:r w:rsidR="00F537B9">
        <w:rPr>
          <w:noProof/>
        </w:rPr>
        <w:t xml:space="preserve"> v </w:t>
      </w:r>
      <w:r w:rsidR="00E07B7C" w:rsidRPr="00F537B9">
        <w:rPr>
          <w:noProof/>
        </w:rPr>
        <w:t>odseku 1 písm. b)</w:t>
      </w:r>
      <w:r w:rsidR="00F537B9">
        <w:rPr>
          <w:noProof/>
        </w:rPr>
        <w:t xml:space="preserve"> a </w:t>
      </w:r>
      <w:r w:rsidR="00E07B7C" w:rsidRPr="00F537B9">
        <w:rPr>
          <w:noProof/>
        </w:rPr>
        <w:t>c) určuje vynásobením podielov účasti</w:t>
      </w:r>
      <w:r w:rsidR="00F537B9">
        <w:rPr>
          <w:noProof/>
        </w:rPr>
        <w:t xml:space="preserve"> v </w:t>
      </w:r>
      <w:r w:rsidR="00E07B7C" w:rsidRPr="00F537B9">
        <w:rPr>
          <w:noProof/>
        </w:rPr>
        <w:t>spoločnostiach nižších úrovní. Osoba</w:t>
      </w:r>
      <w:r w:rsidR="00F537B9">
        <w:rPr>
          <w:noProof/>
        </w:rPr>
        <w:t xml:space="preserve"> s </w:t>
      </w:r>
      <w:r w:rsidR="00E07B7C" w:rsidRPr="00F537B9">
        <w:rPr>
          <w:noProof/>
        </w:rPr>
        <w:t>viac ako 50</w:t>
      </w:r>
      <w:r w:rsidR="00F537B9">
        <w:rPr>
          <w:noProof/>
        </w:rPr>
        <w:t> %</w:t>
      </w:r>
      <w:r w:rsidR="00E07B7C" w:rsidRPr="00F537B9">
        <w:rPr>
          <w:noProof/>
        </w:rPr>
        <w:t xml:space="preserve"> hlasovacích práv sa považuje za držiteľa 100</w:t>
      </w:r>
      <w:r w:rsidR="00F537B9">
        <w:rPr>
          <w:noProof/>
        </w:rPr>
        <w:t> %</w:t>
      </w:r>
      <w:r w:rsidR="00E07B7C" w:rsidRPr="00F537B9">
        <w:rPr>
          <w:noProof/>
        </w:rPr>
        <w:t xml:space="preserve"> hlasovacích práv</w:t>
      </w:r>
      <w:r w:rsidR="00F537B9">
        <w:rPr>
          <w:noProof/>
        </w:rPr>
        <w:t>.</w:t>
      </w:r>
    </w:p>
    <w:p w14:paraId="1823494D" w14:textId="33D25D48" w:rsidR="00E07B7C" w:rsidRPr="00F537B9" w:rsidRDefault="00545434" w:rsidP="00545434">
      <w:pPr>
        <w:pStyle w:val="ManualNumPar1"/>
        <w:rPr>
          <w:noProof/>
        </w:rPr>
      </w:pPr>
      <w:r w:rsidRPr="00545434">
        <w:t>6.</w:t>
      </w:r>
      <w:r w:rsidRPr="00545434">
        <w:tab/>
      </w:r>
      <w:r w:rsidR="00E07B7C" w:rsidRPr="00F537B9">
        <w:rPr>
          <w:noProof/>
        </w:rPr>
        <w:t>Fyzická osoba, jej manžel/manželka alebo uznaný partner</w:t>
      </w:r>
      <w:r w:rsidR="00F537B9">
        <w:rPr>
          <w:noProof/>
        </w:rPr>
        <w:t xml:space="preserve"> v </w:t>
      </w:r>
      <w:r w:rsidR="00E07B7C" w:rsidRPr="00F537B9">
        <w:rPr>
          <w:noProof/>
        </w:rPr>
        <w:t>súlade</w:t>
      </w:r>
      <w:r w:rsidR="00F537B9">
        <w:rPr>
          <w:noProof/>
        </w:rPr>
        <w:t xml:space="preserve"> s </w:t>
      </w:r>
      <w:r w:rsidR="00E07B7C" w:rsidRPr="00F537B9">
        <w:rPr>
          <w:noProof/>
        </w:rPr>
        <w:t>uplatniteľným vnútroštátnym právom</w:t>
      </w:r>
      <w:r w:rsidR="00F537B9">
        <w:rPr>
          <w:noProof/>
        </w:rPr>
        <w:t xml:space="preserve"> a </w:t>
      </w:r>
      <w:r w:rsidR="00E07B7C" w:rsidRPr="00F537B9">
        <w:rPr>
          <w:noProof/>
        </w:rPr>
        <w:t>jej priami predkovia alebo potomkovia</w:t>
      </w:r>
      <w:r w:rsidR="00F537B9">
        <w:rPr>
          <w:noProof/>
        </w:rPr>
        <w:t xml:space="preserve"> a </w:t>
      </w:r>
      <w:r w:rsidR="00E07B7C" w:rsidRPr="00F537B9">
        <w:rPr>
          <w:noProof/>
        </w:rPr>
        <w:t>jej súrodenci sa považujú za jednu osobu.</w:t>
      </w:r>
    </w:p>
    <w:p w14:paraId="0569083A" w14:textId="6AF0D2C2" w:rsidR="00F537B9" w:rsidRDefault="00545434" w:rsidP="00545434">
      <w:pPr>
        <w:pStyle w:val="ManualNumPar1"/>
        <w:rPr>
          <w:noProof/>
        </w:rPr>
      </w:pPr>
      <w:r w:rsidRPr="00545434">
        <w:t>7.</w:t>
      </w:r>
      <w:r w:rsidRPr="00545434">
        <w:tab/>
      </w:r>
      <w:r w:rsidR="00762461" w:rsidRPr="00F537B9">
        <w:rPr>
          <w:noProof/>
        </w:rPr>
        <w:t>Stála prevádzkareň sa považuje za pridružený podnik podniku, ktorého je súčasťou</w:t>
      </w:r>
      <w:r w:rsidR="00F537B9">
        <w:rPr>
          <w:noProof/>
        </w:rPr>
        <w:t>.</w:t>
      </w:r>
    </w:p>
    <w:p w14:paraId="03098DA9" w14:textId="1B1B67C7" w:rsidR="00713658" w:rsidRPr="00F537B9" w:rsidRDefault="00713658" w:rsidP="00713658">
      <w:pPr>
        <w:pStyle w:val="Titrearticle"/>
        <w:rPr>
          <w:b/>
          <w:bCs/>
          <w:i w:val="0"/>
          <w:iCs/>
          <w:noProof/>
        </w:rPr>
      </w:pPr>
      <w:bookmarkStart w:id="23" w:name="_Hlk139003974"/>
      <w:bookmarkStart w:id="24" w:name="_Hlk144226950"/>
      <w:r w:rsidRPr="00F537B9">
        <w:rPr>
          <w:noProof/>
        </w:rPr>
        <w:t xml:space="preserve">Článok 6 </w:t>
      </w:r>
      <w:r w:rsidRPr="00F537B9">
        <w:rPr>
          <w:noProof/>
        </w:rPr>
        <w:br/>
      </w:r>
      <w:r w:rsidRPr="00F537B9">
        <w:rPr>
          <w:b/>
          <w:i w:val="0"/>
          <w:noProof/>
        </w:rPr>
        <w:t>Korešpondujúce úpravy</w:t>
      </w:r>
    </w:p>
    <w:p w14:paraId="1F614894" w14:textId="20A81315" w:rsidR="00F537B9" w:rsidRDefault="00545434" w:rsidP="00545434">
      <w:pPr>
        <w:pStyle w:val="ManualNumPar1"/>
        <w:rPr>
          <w:noProof/>
        </w:rPr>
      </w:pPr>
      <w:bookmarkStart w:id="25" w:name="_Hlk139442317"/>
      <w:bookmarkEnd w:id="23"/>
      <w:r w:rsidRPr="00545434">
        <w:t>1.</w:t>
      </w:r>
      <w:r w:rsidRPr="00545434">
        <w:tab/>
      </w:r>
      <w:r w:rsidR="00044BCA" w:rsidRPr="00F537B9">
        <w:rPr>
          <w:noProof/>
        </w:rPr>
        <w:t>Ak sa vykoná primárna úprava, členské štáty zabezpečia, aby vykonali korešpondujúcu úpravu</w:t>
      </w:r>
      <w:r w:rsidR="00F537B9">
        <w:rPr>
          <w:noProof/>
        </w:rPr>
        <w:t xml:space="preserve"> s </w:t>
      </w:r>
      <w:r w:rsidR="00044BCA" w:rsidRPr="00F537B9">
        <w:rPr>
          <w:noProof/>
        </w:rPr>
        <w:t>cieľom zabrániť dvojitému zdaneniu,</w:t>
      </w:r>
      <w:bookmarkEnd w:id="25"/>
      <w:r w:rsidR="00044BCA" w:rsidRPr="00F537B9">
        <w:rPr>
          <w:noProof/>
        </w:rPr>
        <w:t xml:space="preserve"> ak sú splnené tieto podmienky</w:t>
      </w:r>
      <w:r w:rsidR="00F537B9">
        <w:rPr>
          <w:noProof/>
        </w:rPr>
        <w:t>:</w:t>
      </w:r>
    </w:p>
    <w:p w14:paraId="404FD61E" w14:textId="69C7E35F" w:rsidR="00044BCA" w:rsidRPr="00F537B9" w:rsidRDefault="00523180" w:rsidP="00523180">
      <w:pPr>
        <w:pStyle w:val="Point1"/>
        <w:rPr>
          <w:noProof/>
        </w:rPr>
      </w:pPr>
      <w:bookmarkStart w:id="26" w:name="_Hlk139190386"/>
      <w:r>
        <w:rPr>
          <w:noProof/>
        </w:rPr>
        <w:t>a)</w:t>
      </w:r>
      <w:r>
        <w:rPr>
          <w:noProof/>
        </w:rPr>
        <w:tab/>
      </w:r>
      <w:r w:rsidR="00044BCA" w:rsidRPr="00F537B9">
        <w:rPr>
          <w:noProof/>
        </w:rPr>
        <w:t>členský štát, ktorý bol požiadaný</w:t>
      </w:r>
      <w:r w:rsidR="00F537B9">
        <w:rPr>
          <w:noProof/>
        </w:rPr>
        <w:t xml:space="preserve"> o </w:t>
      </w:r>
      <w:r w:rsidR="00044BCA" w:rsidRPr="00F537B9">
        <w:rPr>
          <w:noProof/>
        </w:rPr>
        <w:t>vykonanie korešpondujúcej úpravy, súhlasí</w:t>
      </w:r>
      <w:r w:rsidR="00F537B9">
        <w:rPr>
          <w:noProof/>
        </w:rPr>
        <w:t xml:space="preserve"> s </w:t>
      </w:r>
      <w:r w:rsidR="00044BCA" w:rsidRPr="00F537B9">
        <w:rPr>
          <w:noProof/>
        </w:rPr>
        <w:t>tým, že primárna úprava je</w:t>
      </w:r>
      <w:r w:rsidR="00F537B9">
        <w:rPr>
          <w:noProof/>
        </w:rPr>
        <w:t xml:space="preserve"> v </w:t>
      </w:r>
      <w:r w:rsidR="00044BCA" w:rsidRPr="00F537B9">
        <w:rPr>
          <w:noProof/>
        </w:rPr>
        <w:t>súlade</w:t>
      </w:r>
      <w:r w:rsidR="00F537B9">
        <w:rPr>
          <w:noProof/>
        </w:rPr>
        <w:t xml:space="preserve"> s </w:t>
      </w:r>
      <w:r w:rsidR="00044BCA" w:rsidRPr="00F537B9">
        <w:rPr>
          <w:noProof/>
        </w:rPr>
        <w:t>princípom nezávislého vzťahu,</w:t>
      </w:r>
      <w:r w:rsidR="00F537B9">
        <w:rPr>
          <w:noProof/>
        </w:rPr>
        <w:t xml:space="preserve"> a </w:t>
      </w:r>
      <w:r w:rsidR="00044BCA" w:rsidRPr="00F537B9">
        <w:rPr>
          <w:noProof/>
        </w:rPr>
        <w:t>to tak</w:t>
      </w:r>
      <w:r w:rsidR="00F537B9">
        <w:rPr>
          <w:noProof/>
        </w:rPr>
        <w:t xml:space="preserve"> v </w:t>
      </w:r>
      <w:r w:rsidR="00044BCA" w:rsidRPr="00F537B9">
        <w:rPr>
          <w:noProof/>
        </w:rPr>
        <w:t>zásade, ako aj vo vzťahu</w:t>
      </w:r>
      <w:r w:rsidR="00F537B9">
        <w:rPr>
          <w:noProof/>
        </w:rPr>
        <w:t xml:space="preserve"> k </w:t>
      </w:r>
      <w:r w:rsidR="00044BCA" w:rsidRPr="00F537B9">
        <w:rPr>
          <w:noProof/>
        </w:rPr>
        <w:t>danej sume;</w:t>
      </w:r>
    </w:p>
    <w:p w14:paraId="6969F1D7" w14:textId="45510104" w:rsidR="00F537B9" w:rsidRDefault="00523180" w:rsidP="00523180">
      <w:pPr>
        <w:pStyle w:val="Point1"/>
        <w:rPr>
          <w:noProof/>
        </w:rPr>
      </w:pPr>
      <w:bookmarkStart w:id="27" w:name="_Hlk140484520"/>
      <w:r>
        <w:rPr>
          <w:noProof/>
        </w:rPr>
        <w:t>b)</w:t>
      </w:r>
      <w:r>
        <w:rPr>
          <w:noProof/>
        </w:rPr>
        <w:tab/>
      </w:r>
      <w:r w:rsidR="00044BCA" w:rsidRPr="00F537B9">
        <w:rPr>
          <w:noProof/>
        </w:rPr>
        <w:t>primárna úprava vedie</w:t>
      </w:r>
      <w:r w:rsidR="00F537B9">
        <w:rPr>
          <w:noProof/>
        </w:rPr>
        <w:t xml:space="preserve"> k </w:t>
      </w:r>
      <w:r w:rsidR="00044BCA" w:rsidRPr="00F537B9">
        <w:rPr>
          <w:noProof/>
        </w:rPr>
        <w:t>zdaneniu sumy ziskov</w:t>
      </w:r>
      <w:r w:rsidR="00F537B9">
        <w:rPr>
          <w:noProof/>
        </w:rPr>
        <w:t xml:space="preserve"> v </w:t>
      </w:r>
      <w:r w:rsidR="00044BCA" w:rsidRPr="00F537B9">
        <w:rPr>
          <w:noProof/>
        </w:rPr>
        <w:t>inej jurisdikcii,</w:t>
      </w:r>
      <w:r w:rsidR="00F537B9">
        <w:rPr>
          <w:noProof/>
        </w:rPr>
        <w:t xml:space="preserve"> v </w:t>
      </w:r>
      <w:r w:rsidR="00044BCA" w:rsidRPr="00F537B9">
        <w:rPr>
          <w:noProof/>
        </w:rPr>
        <w:t>súvislosti</w:t>
      </w:r>
      <w:r w:rsidR="00F537B9">
        <w:rPr>
          <w:noProof/>
        </w:rPr>
        <w:t xml:space="preserve"> s </w:t>
      </w:r>
      <w:r w:rsidR="00044BCA" w:rsidRPr="00F537B9">
        <w:rPr>
          <w:noProof/>
        </w:rPr>
        <w:t>ktorou pridružený podnik</w:t>
      </w:r>
      <w:r w:rsidR="00F537B9">
        <w:rPr>
          <w:noProof/>
        </w:rPr>
        <w:t xml:space="preserve"> v </w:t>
      </w:r>
      <w:r w:rsidR="00044BCA" w:rsidRPr="00F537B9">
        <w:rPr>
          <w:noProof/>
        </w:rPr>
        <w:t>členskom štáte, ktorý bol požiadaný</w:t>
      </w:r>
      <w:r w:rsidR="00F537B9">
        <w:rPr>
          <w:noProof/>
        </w:rPr>
        <w:t xml:space="preserve"> o </w:t>
      </w:r>
      <w:r w:rsidR="00044BCA" w:rsidRPr="00F537B9">
        <w:rPr>
          <w:noProof/>
        </w:rPr>
        <w:t>vykonanie korešpondujúcej úpravy, už podlieha dani</w:t>
      </w:r>
      <w:r w:rsidR="00F537B9">
        <w:rPr>
          <w:noProof/>
        </w:rPr>
        <w:t xml:space="preserve"> v </w:t>
      </w:r>
      <w:r w:rsidR="00044BCA" w:rsidRPr="00F537B9">
        <w:rPr>
          <w:noProof/>
        </w:rPr>
        <w:t>tomto členskom štáte</w:t>
      </w:r>
      <w:bookmarkEnd w:id="26"/>
      <w:bookmarkEnd w:id="27"/>
      <w:r w:rsidR="00F537B9">
        <w:rPr>
          <w:noProof/>
        </w:rPr>
        <w:t>;</w:t>
      </w:r>
    </w:p>
    <w:p w14:paraId="1B1F5A43" w14:textId="43A76EFB" w:rsidR="00044BCA" w:rsidRPr="00F537B9" w:rsidRDefault="00523180" w:rsidP="00523180">
      <w:pPr>
        <w:pStyle w:val="Point1"/>
        <w:rPr>
          <w:noProof/>
        </w:rPr>
      </w:pPr>
      <w:r>
        <w:rPr>
          <w:noProof/>
        </w:rPr>
        <w:t>c)</w:t>
      </w:r>
      <w:r>
        <w:rPr>
          <w:noProof/>
        </w:rPr>
        <w:tab/>
      </w:r>
      <w:r w:rsidR="00044BCA" w:rsidRPr="00F537B9">
        <w:rPr>
          <w:noProof/>
        </w:rPr>
        <w:t>ak ide</w:t>
      </w:r>
      <w:r w:rsidR="00F537B9">
        <w:rPr>
          <w:noProof/>
        </w:rPr>
        <w:t xml:space="preserve"> o </w:t>
      </w:r>
      <w:r w:rsidR="00044BCA" w:rsidRPr="00F537B9">
        <w:rPr>
          <w:noProof/>
        </w:rPr>
        <w:t>jurisdikciu tretej krajiny, existuje platná daňová zmluva, aby sa predišlo ekonomickému dvojitému zdaneniu.</w:t>
      </w:r>
    </w:p>
    <w:p w14:paraId="5F0D8053" w14:textId="203B5E94" w:rsidR="00F537B9" w:rsidRDefault="00545434" w:rsidP="00545434">
      <w:pPr>
        <w:pStyle w:val="ManualNumPar1"/>
        <w:rPr>
          <w:noProof/>
        </w:rPr>
      </w:pPr>
      <w:r w:rsidRPr="00545434">
        <w:t>2.</w:t>
      </w:r>
      <w:r w:rsidRPr="00545434">
        <w:tab/>
      </w:r>
      <w:r w:rsidR="00044BCA" w:rsidRPr="00F537B9">
        <w:rPr>
          <w:noProof/>
        </w:rPr>
        <w:t>Členské štáty môžu priznať korešpondujúcu úpravu</w:t>
      </w:r>
      <w:r w:rsidR="00F537B9">
        <w:rPr>
          <w:noProof/>
        </w:rPr>
        <w:t xml:space="preserve"> v </w:t>
      </w:r>
      <w:r w:rsidR="00044BCA" w:rsidRPr="00F537B9">
        <w:rPr>
          <w:noProof/>
        </w:rPr>
        <w:t>dôsledku postupu vzájomnej dohody podľa zmluvy</w:t>
      </w:r>
      <w:r w:rsidR="00F537B9">
        <w:rPr>
          <w:noProof/>
        </w:rPr>
        <w:t xml:space="preserve"> o </w:t>
      </w:r>
      <w:r w:rsidR="00044BCA" w:rsidRPr="00F537B9">
        <w:rPr>
          <w:noProof/>
        </w:rPr>
        <w:t>zamedzení dvojitého zdanenia na základe medzivládneho dohovoru</w:t>
      </w:r>
      <w:r w:rsidR="00F537B9">
        <w:rPr>
          <w:noProof/>
        </w:rPr>
        <w:t xml:space="preserve"> z </w:t>
      </w:r>
      <w:r w:rsidR="00044BCA" w:rsidRPr="00F537B9">
        <w:rPr>
          <w:noProof/>
        </w:rPr>
        <w:t>roku 1990</w:t>
      </w:r>
      <w:r w:rsidR="00F537B9">
        <w:rPr>
          <w:noProof/>
        </w:rPr>
        <w:t xml:space="preserve"> o </w:t>
      </w:r>
      <w:r w:rsidR="00044BCA" w:rsidRPr="00F537B9">
        <w:rPr>
          <w:noProof/>
        </w:rPr>
        <w:t>zamedzení dvojitého zdanenia (ďalej len „arbitrážny dohovor“)</w:t>
      </w:r>
      <w:r w:rsidR="00044BCA" w:rsidRPr="00F537B9">
        <w:rPr>
          <w:rStyle w:val="FootnoteReference"/>
          <w:noProof/>
        </w:rPr>
        <w:footnoteReference w:id="37"/>
      </w:r>
      <w:r w:rsidR="00044BCA" w:rsidRPr="00F537B9">
        <w:rPr>
          <w:noProof/>
        </w:rPr>
        <w:t xml:space="preserve"> alebo podľa smernice </w:t>
      </w:r>
      <w:bookmarkStart w:id="28" w:name="_Hlk142293416"/>
      <w:r w:rsidR="00044BCA" w:rsidRPr="00F537B9">
        <w:rPr>
          <w:noProof/>
        </w:rPr>
        <w:t>(EÚ) 2017/1852</w:t>
      </w:r>
      <w:r w:rsidR="00044BCA" w:rsidRPr="00F537B9">
        <w:rPr>
          <w:rStyle w:val="FootnoteReference"/>
          <w:noProof/>
        </w:rPr>
        <w:footnoteReference w:id="38"/>
      </w:r>
      <w:bookmarkEnd w:id="28"/>
      <w:r w:rsidR="00F537B9">
        <w:rPr>
          <w:noProof/>
        </w:rPr>
        <w:t>.</w:t>
      </w:r>
    </w:p>
    <w:p w14:paraId="68C05FC7" w14:textId="68159D2B" w:rsidR="00044BCA" w:rsidRPr="00F537B9" w:rsidRDefault="00545434" w:rsidP="00545434">
      <w:pPr>
        <w:pStyle w:val="ManualNumPar1"/>
        <w:rPr>
          <w:noProof/>
        </w:rPr>
      </w:pPr>
      <w:r w:rsidRPr="00545434">
        <w:t>3.</w:t>
      </w:r>
      <w:r w:rsidRPr="00545434">
        <w:tab/>
      </w:r>
      <w:r w:rsidR="00044BCA" w:rsidRPr="00F537B9">
        <w:rPr>
          <w:noProof/>
        </w:rPr>
        <w:t xml:space="preserve">Bez ohľadu na odsek 2 členské štáty zabezpečia, aby korešpondujúcu úpravu bolo možné vykonať na žiadosť daňovníka </w:t>
      </w:r>
      <w:bookmarkStart w:id="29" w:name="_Hlk139443328"/>
      <w:r w:rsidR="00044BCA" w:rsidRPr="00F537B9">
        <w:rPr>
          <w:noProof/>
        </w:rPr>
        <w:t>vzhľadom na primárnu úpravu vykonanú</w:t>
      </w:r>
      <w:r w:rsidR="00F537B9">
        <w:rPr>
          <w:noProof/>
        </w:rPr>
        <w:t xml:space="preserve"> v </w:t>
      </w:r>
      <w:r w:rsidR="00044BCA" w:rsidRPr="00F537B9">
        <w:rPr>
          <w:noProof/>
        </w:rPr>
        <w:t>inej</w:t>
      </w:r>
      <w:bookmarkEnd w:id="29"/>
      <w:r w:rsidR="00044BCA" w:rsidRPr="00F537B9">
        <w:rPr>
          <w:noProof/>
        </w:rPr>
        <w:t xml:space="preserve"> jurisdikcii. Na korešpondujúce úpravy vykonávané podľa tohto odseku sa uplatňuje tento postup:</w:t>
      </w:r>
    </w:p>
    <w:p w14:paraId="372746BC" w14:textId="2086569E" w:rsidR="00044BCA" w:rsidRPr="00F537B9" w:rsidRDefault="00523180" w:rsidP="00523180">
      <w:pPr>
        <w:pStyle w:val="Point1"/>
        <w:rPr>
          <w:noProof/>
        </w:rPr>
      </w:pPr>
      <w:bookmarkStart w:id="30" w:name="_Hlk139443429"/>
      <w:r>
        <w:rPr>
          <w:noProof/>
        </w:rPr>
        <w:t>a)</w:t>
      </w:r>
      <w:r>
        <w:rPr>
          <w:noProof/>
        </w:rPr>
        <w:tab/>
      </w:r>
      <w:r w:rsidR="00044BCA" w:rsidRPr="00F537B9">
        <w:rPr>
          <w:noProof/>
        </w:rPr>
        <w:t>v žiadosti daňovníka sa:</w:t>
      </w:r>
    </w:p>
    <w:p w14:paraId="78D17448" w14:textId="3A146A61" w:rsidR="00044BCA" w:rsidRPr="00F537B9" w:rsidRDefault="00BD2045" w:rsidP="00BD2045">
      <w:pPr>
        <w:pStyle w:val="Point2"/>
        <w:rPr>
          <w:noProof/>
        </w:rPr>
      </w:pPr>
      <w:r w:rsidRPr="00F537B9">
        <w:rPr>
          <w:noProof/>
        </w:rPr>
        <w:t>i)</w:t>
      </w:r>
      <w:r w:rsidRPr="00F537B9">
        <w:rPr>
          <w:noProof/>
        </w:rPr>
        <w:tab/>
        <w:t>uvedú všetky skutkové</w:t>
      </w:r>
      <w:r w:rsidR="00F537B9">
        <w:rPr>
          <w:noProof/>
        </w:rPr>
        <w:t xml:space="preserve"> a </w:t>
      </w:r>
      <w:r w:rsidRPr="00F537B9">
        <w:rPr>
          <w:noProof/>
        </w:rPr>
        <w:t>právne okolnosti potrebné na vyhodnotenie primárnej úpravy vykonanej</w:t>
      </w:r>
      <w:r w:rsidR="00F537B9">
        <w:rPr>
          <w:noProof/>
        </w:rPr>
        <w:t xml:space="preserve"> v </w:t>
      </w:r>
      <w:r w:rsidRPr="00F537B9">
        <w:rPr>
          <w:noProof/>
        </w:rPr>
        <w:t>dotknutej inej jurisdikcii,</w:t>
      </w:r>
      <w:r w:rsidR="00F537B9">
        <w:rPr>
          <w:noProof/>
        </w:rPr>
        <w:t xml:space="preserve"> a </w:t>
      </w:r>
      <w:r w:rsidRPr="00F537B9">
        <w:rPr>
          <w:noProof/>
        </w:rPr>
        <w:t>to na základe princípu nezávislého vzťahu;</w:t>
      </w:r>
    </w:p>
    <w:p w14:paraId="1666F422" w14:textId="47FDF3BB" w:rsidR="00044BCA" w:rsidRPr="00523180" w:rsidRDefault="00BD2045" w:rsidP="00BD2045">
      <w:pPr>
        <w:pStyle w:val="Point2"/>
        <w:rPr>
          <w:noProof/>
          <w:spacing w:val="-4"/>
        </w:rPr>
      </w:pPr>
      <w:r w:rsidRPr="00F537B9">
        <w:rPr>
          <w:noProof/>
        </w:rPr>
        <w:t>ii)</w:t>
      </w:r>
      <w:r w:rsidRPr="00F537B9">
        <w:rPr>
          <w:noProof/>
        </w:rPr>
        <w:tab/>
      </w:r>
      <w:r w:rsidRPr="00523180">
        <w:rPr>
          <w:noProof/>
          <w:spacing w:val="-4"/>
        </w:rPr>
        <w:t>predloží osvedčenie (alebo rovnocenný doklad) potvrdzujúce konečnú povahu primárnej úpravy</w:t>
      </w:r>
      <w:r w:rsidR="00F537B9" w:rsidRPr="00523180">
        <w:rPr>
          <w:noProof/>
          <w:spacing w:val="-4"/>
        </w:rPr>
        <w:t xml:space="preserve"> v </w:t>
      </w:r>
      <w:r w:rsidRPr="00523180">
        <w:rPr>
          <w:noProof/>
          <w:spacing w:val="-4"/>
        </w:rPr>
        <w:t>zahraničí; ak primárna úprava ku dňu predloženia žiadosti ešte nie je konečná, uvedie sa táto skutočnosť spolu</w:t>
      </w:r>
      <w:r w:rsidR="00F537B9" w:rsidRPr="00523180">
        <w:rPr>
          <w:noProof/>
          <w:spacing w:val="-4"/>
        </w:rPr>
        <w:t xml:space="preserve"> s </w:t>
      </w:r>
      <w:r w:rsidRPr="00523180">
        <w:rPr>
          <w:noProof/>
          <w:spacing w:val="-4"/>
        </w:rPr>
        <w:t>podmienkami na to, aby sa úpravy stali konečnými; osvedčenie</w:t>
      </w:r>
      <w:r w:rsidR="00F537B9" w:rsidRPr="00523180">
        <w:rPr>
          <w:noProof/>
          <w:spacing w:val="-4"/>
        </w:rPr>
        <w:t xml:space="preserve"> o </w:t>
      </w:r>
      <w:r w:rsidRPr="00523180">
        <w:rPr>
          <w:noProof/>
          <w:spacing w:val="-4"/>
        </w:rPr>
        <w:t>konečnej povahe primárnej úpravy sa však napriek tomu musí dotknutému členskému štátu predložiť pred tým, ako sa prizná korešpondujúca úprava.</w:t>
      </w:r>
    </w:p>
    <w:p w14:paraId="7916EEB5" w14:textId="2716594C" w:rsidR="00F537B9" w:rsidRDefault="00523180" w:rsidP="00523180">
      <w:pPr>
        <w:pStyle w:val="Point1"/>
        <w:rPr>
          <w:noProof/>
        </w:rPr>
      </w:pPr>
      <w:r>
        <w:rPr>
          <w:noProof/>
        </w:rPr>
        <w:t>b)</w:t>
      </w:r>
      <w:r>
        <w:rPr>
          <w:noProof/>
        </w:rPr>
        <w:tab/>
      </w:r>
      <w:r w:rsidR="00044BCA" w:rsidRPr="00F537B9">
        <w:rPr>
          <w:noProof/>
        </w:rPr>
        <w:t>členské štáty vyhlásia žiadosť za prípustnú do 30 dní prostredníctvom oznámenia daňovníkovi, ak boli predložené všetky informácie uvedené</w:t>
      </w:r>
      <w:r w:rsidR="00F537B9">
        <w:rPr>
          <w:noProof/>
        </w:rPr>
        <w:t xml:space="preserve"> v </w:t>
      </w:r>
      <w:r w:rsidR="00044BCA" w:rsidRPr="00F537B9">
        <w:rPr>
          <w:noProof/>
        </w:rPr>
        <w:t>odseku 3 písm. a).</w:t>
      </w:r>
      <w:r w:rsidR="00F537B9">
        <w:rPr>
          <w:noProof/>
        </w:rPr>
        <w:t xml:space="preserve"> V </w:t>
      </w:r>
      <w:r w:rsidR="00044BCA" w:rsidRPr="00F537B9">
        <w:rPr>
          <w:noProof/>
        </w:rPr>
        <w:t>rovnakej lehote členské štáty oznámia daňovníkovi akékoľvek chýbajúce potrebné informácie</w:t>
      </w:r>
      <w:r w:rsidR="00F537B9">
        <w:rPr>
          <w:noProof/>
        </w:rPr>
        <w:t xml:space="preserve"> a </w:t>
      </w:r>
      <w:r w:rsidR="00044BCA" w:rsidRPr="00F537B9">
        <w:rPr>
          <w:noProof/>
        </w:rPr>
        <w:t>poskytnú mu aspoň 30 dní na ich predloženie. Ak daňovník požadované informácie nepredloží</w:t>
      </w:r>
      <w:r w:rsidR="00F537B9">
        <w:rPr>
          <w:noProof/>
        </w:rPr>
        <w:t xml:space="preserve"> v </w:t>
      </w:r>
      <w:r w:rsidR="00044BCA" w:rsidRPr="00F537B9">
        <w:rPr>
          <w:noProof/>
        </w:rPr>
        <w:t>stanovenej lehote, žiadosť sa môže zamietnuť ako neprípustná</w:t>
      </w:r>
      <w:r w:rsidR="00F537B9">
        <w:rPr>
          <w:noProof/>
        </w:rPr>
        <w:t>;</w:t>
      </w:r>
    </w:p>
    <w:p w14:paraId="7E6F1CAF" w14:textId="72E9B864" w:rsidR="00F537B9" w:rsidRPr="00523180" w:rsidRDefault="00523180" w:rsidP="00523180">
      <w:pPr>
        <w:pStyle w:val="Point1"/>
        <w:rPr>
          <w:noProof/>
          <w:spacing w:val="-6"/>
        </w:rPr>
      </w:pPr>
      <w:bookmarkStart w:id="31" w:name="_Hlk139377165"/>
      <w:r>
        <w:rPr>
          <w:noProof/>
        </w:rPr>
        <w:t>c)</w:t>
      </w:r>
      <w:r>
        <w:rPr>
          <w:noProof/>
        </w:rPr>
        <w:tab/>
      </w:r>
      <w:r w:rsidR="00044BCA" w:rsidRPr="00523180">
        <w:rPr>
          <w:noProof/>
          <w:spacing w:val="-6"/>
        </w:rPr>
        <w:t>členské štáty zabezpečia, aby sa tento postup</w:t>
      </w:r>
      <w:r w:rsidR="00F537B9" w:rsidRPr="00523180">
        <w:rPr>
          <w:noProof/>
          <w:spacing w:val="-6"/>
        </w:rPr>
        <w:t xml:space="preserve"> v </w:t>
      </w:r>
      <w:r w:rsidR="00044BCA" w:rsidRPr="00523180">
        <w:rPr>
          <w:noProof/>
          <w:spacing w:val="-6"/>
        </w:rPr>
        <w:t>prípade, keď primárna úprava vykonaná</w:t>
      </w:r>
      <w:r w:rsidR="00F537B9" w:rsidRPr="00523180">
        <w:rPr>
          <w:noProof/>
          <w:spacing w:val="-6"/>
        </w:rPr>
        <w:t xml:space="preserve"> v </w:t>
      </w:r>
      <w:r w:rsidR="00044BCA" w:rsidRPr="00523180">
        <w:rPr>
          <w:noProof/>
          <w:spacing w:val="-6"/>
        </w:rPr>
        <w:t>inom členskom štáte vedie</w:t>
      </w:r>
      <w:r w:rsidR="00F537B9" w:rsidRPr="00523180">
        <w:rPr>
          <w:noProof/>
          <w:spacing w:val="-6"/>
        </w:rPr>
        <w:t xml:space="preserve"> k </w:t>
      </w:r>
      <w:r w:rsidR="00044BCA" w:rsidRPr="00523180">
        <w:rPr>
          <w:noProof/>
          <w:spacing w:val="-6"/>
        </w:rPr>
        <w:t>dvojitému zdaneniu, ukončil do 180 dní od doručenia žiadosti daňovníka odôvodneným prijatím alebo zamietnutím žiadosti</w:t>
      </w:r>
      <w:r w:rsidR="00F537B9" w:rsidRPr="00523180">
        <w:rPr>
          <w:noProof/>
          <w:spacing w:val="-6"/>
        </w:rPr>
        <w:t>;</w:t>
      </w:r>
    </w:p>
    <w:p w14:paraId="7A876385" w14:textId="73B1741F" w:rsidR="00F537B9" w:rsidRDefault="00523180" w:rsidP="00523180">
      <w:pPr>
        <w:pStyle w:val="Point1"/>
        <w:rPr>
          <w:noProof/>
        </w:rPr>
      </w:pPr>
      <w:r>
        <w:rPr>
          <w:noProof/>
        </w:rPr>
        <w:t>d)</w:t>
      </w:r>
      <w:r>
        <w:rPr>
          <w:noProof/>
        </w:rPr>
        <w:tab/>
      </w:r>
      <w:r w:rsidR="00044BCA" w:rsidRPr="00F537B9">
        <w:rPr>
          <w:noProof/>
        </w:rPr>
        <w:t>v prípade prijatia žiadosti členské štáty oznámia daňovému orgánu druhej dotknutej jurisdikcie uznanie korešpondujúcej úpravy</w:t>
      </w:r>
      <w:r w:rsidR="00F537B9">
        <w:rPr>
          <w:noProof/>
        </w:rPr>
        <w:t>;</w:t>
      </w:r>
    </w:p>
    <w:p w14:paraId="51A77506" w14:textId="1E09E780" w:rsidR="00F537B9" w:rsidRPr="00523180" w:rsidRDefault="00523180" w:rsidP="00523180">
      <w:pPr>
        <w:pStyle w:val="Point1"/>
        <w:rPr>
          <w:noProof/>
          <w:spacing w:val="-6"/>
        </w:rPr>
      </w:pPr>
      <w:r>
        <w:rPr>
          <w:noProof/>
        </w:rPr>
        <w:t>e)</w:t>
      </w:r>
      <w:r>
        <w:rPr>
          <w:noProof/>
        </w:rPr>
        <w:tab/>
      </w:r>
      <w:r w:rsidR="00044BCA" w:rsidRPr="00523180">
        <w:rPr>
          <w:noProof/>
          <w:spacing w:val="-6"/>
        </w:rPr>
        <w:t>členské štáty zabezpečia, aby</w:t>
      </w:r>
      <w:r w:rsidR="00F537B9" w:rsidRPr="00523180">
        <w:rPr>
          <w:noProof/>
          <w:spacing w:val="-6"/>
        </w:rPr>
        <w:t xml:space="preserve"> v </w:t>
      </w:r>
      <w:r w:rsidR="00044BCA" w:rsidRPr="00523180">
        <w:rPr>
          <w:noProof/>
          <w:spacing w:val="-6"/>
        </w:rPr>
        <w:t>prípade nepriznania korešpondujúcej úpravy daňovník stále mohol využiť postupy vzájomnej dohody podľa zmluvy</w:t>
      </w:r>
      <w:r w:rsidR="00F537B9" w:rsidRPr="00523180">
        <w:rPr>
          <w:noProof/>
          <w:spacing w:val="-6"/>
        </w:rPr>
        <w:t xml:space="preserve"> o </w:t>
      </w:r>
      <w:r w:rsidR="00044BCA" w:rsidRPr="00523180">
        <w:rPr>
          <w:noProof/>
          <w:spacing w:val="-6"/>
        </w:rPr>
        <w:t>zamedzení dvojitého zdanenia, arbitrážneho dohovoru alebo smernice (EÚ) 2017/1852</w:t>
      </w:r>
      <w:bookmarkEnd w:id="30"/>
      <w:bookmarkEnd w:id="31"/>
      <w:r w:rsidR="00F537B9" w:rsidRPr="00523180">
        <w:rPr>
          <w:noProof/>
          <w:spacing w:val="-6"/>
        </w:rPr>
        <w:t>.</w:t>
      </w:r>
    </w:p>
    <w:p w14:paraId="56FC4FF9" w14:textId="36D0172B" w:rsidR="00044BCA" w:rsidRPr="00F537B9" w:rsidRDefault="00545434" w:rsidP="00545434">
      <w:pPr>
        <w:pStyle w:val="ManualNumPar1"/>
        <w:rPr>
          <w:noProof/>
        </w:rPr>
      </w:pPr>
      <w:r w:rsidRPr="00545434">
        <w:t>4.</w:t>
      </w:r>
      <w:r w:rsidRPr="00545434">
        <w:tab/>
      </w:r>
      <w:r w:rsidR="00044BCA" w:rsidRPr="00F537B9">
        <w:rPr>
          <w:noProof/>
        </w:rPr>
        <w:t>Bez ohľadu na odseky 2</w:t>
      </w:r>
      <w:r w:rsidR="00F537B9">
        <w:rPr>
          <w:noProof/>
        </w:rPr>
        <w:t xml:space="preserve"> a </w:t>
      </w:r>
      <w:r w:rsidR="00044BCA" w:rsidRPr="00F537B9">
        <w:rPr>
          <w:noProof/>
        </w:rPr>
        <w:t>3 členské štáty zabezpečia, aby bolo možné vykonať korešpondujúcu úpravu</w:t>
      </w:r>
      <w:r w:rsidR="00F537B9">
        <w:rPr>
          <w:noProof/>
        </w:rPr>
        <w:t xml:space="preserve"> v </w:t>
      </w:r>
      <w:r w:rsidR="00044BCA" w:rsidRPr="00F537B9">
        <w:rPr>
          <w:noProof/>
        </w:rPr>
        <w:t>dôsledku spoločných daňových kontrol alebo iných foriem medzinárodnej administratívnej spolupráce, ak sú splnené tieto podmienky:</w:t>
      </w:r>
    </w:p>
    <w:p w14:paraId="2894DB33" w14:textId="039FBA7B" w:rsidR="00044BCA" w:rsidRPr="00F537B9" w:rsidRDefault="00523180" w:rsidP="00523180">
      <w:pPr>
        <w:pStyle w:val="Point1"/>
        <w:rPr>
          <w:noProof/>
        </w:rPr>
      </w:pPr>
      <w:r>
        <w:rPr>
          <w:noProof/>
        </w:rPr>
        <w:t>a)</w:t>
      </w:r>
      <w:r>
        <w:rPr>
          <w:noProof/>
        </w:rPr>
        <w:tab/>
      </w:r>
      <w:r w:rsidR="00044BCA" w:rsidRPr="00F537B9">
        <w:rPr>
          <w:noProof/>
        </w:rPr>
        <w:t>príslušné daňové správy sa dohodnú na stanovení nezávislej trhovej ceny;</w:t>
      </w:r>
    </w:p>
    <w:p w14:paraId="056A8BD5" w14:textId="0819EA32" w:rsidR="00F537B9" w:rsidRDefault="00523180" w:rsidP="00523180">
      <w:pPr>
        <w:pStyle w:val="Point1"/>
        <w:rPr>
          <w:noProof/>
        </w:rPr>
      </w:pPr>
      <w:r>
        <w:rPr>
          <w:noProof/>
        </w:rPr>
        <w:t>b)</w:t>
      </w:r>
      <w:r>
        <w:rPr>
          <w:noProof/>
        </w:rPr>
        <w:tab/>
      </w:r>
      <w:r w:rsidR="00044BCA" w:rsidRPr="00F537B9">
        <w:rPr>
          <w:noProof/>
        </w:rPr>
        <w:t>primárna úprava</w:t>
      </w:r>
      <w:r w:rsidR="00F537B9">
        <w:rPr>
          <w:noProof/>
        </w:rPr>
        <w:t xml:space="preserve"> a </w:t>
      </w:r>
      <w:r w:rsidR="00044BCA" w:rsidRPr="00F537B9">
        <w:rPr>
          <w:noProof/>
        </w:rPr>
        <w:t>korešpondujúca úprava sa priznajú symetricky</w:t>
      </w:r>
      <w:r w:rsidR="00F537B9">
        <w:rPr>
          <w:noProof/>
        </w:rPr>
        <w:t xml:space="preserve"> v </w:t>
      </w:r>
      <w:r w:rsidR="00044BCA" w:rsidRPr="00F537B9">
        <w:rPr>
          <w:noProof/>
        </w:rPr>
        <w:t>tej istej sume vo všetkých príslušných jurisdikciách</w:t>
      </w:r>
      <w:r w:rsidR="00F537B9">
        <w:rPr>
          <w:noProof/>
        </w:rPr>
        <w:t>.</w:t>
      </w:r>
    </w:p>
    <w:p w14:paraId="2217D49C" w14:textId="6AD63585" w:rsidR="00044BCA" w:rsidRPr="00F537B9" w:rsidRDefault="00545434" w:rsidP="00545434">
      <w:pPr>
        <w:pStyle w:val="ManualNumPar1"/>
        <w:rPr>
          <w:noProof/>
        </w:rPr>
      </w:pPr>
      <w:r w:rsidRPr="00545434">
        <w:t>5.</w:t>
      </w:r>
      <w:r w:rsidRPr="00545434">
        <w:tab/>
      </w:r>
      <w:r w:rsidR="00044BCA" w:rsidRPr="00F537B9">
        <w:rPr>
          <w:noProof/>
        </w:rPr>
        <w:t>Bez ohľadu na odsek 1, ak nedôjde</w:t>
      </w:r>
      <w:r w:rsidR="00F537B9">
        <w:rPr>
          <w:noProof/>
        </w:rPr>
        <w:t xml:space="preserve"> k </w:t>
      </w:r>
      <w:r w:rsidR="00044BCA" w:rsidRPr="00F537B9">
        <w:rPr>
          <w:noProof/>
        </w:rPr>
        <w:t>primárnej úprave, členské štáty môžu vykonať úpravu smerom nadol, len ak sú splnené tieto podmienky:</w:t>
      </w:r>
    </w:p>
    <w:p w14:paraId="0744287C" w14:textId="5726179B" w:rsidR="00044BCA" w:rsidRPr="00F537B9" w:rsidRDefault="00523180" w:rsidP="00523180">
      <w:pPr>
        <w:pStyle w:val="Point1"/>
        <w:rPr>
          <w:noProof/>
        </w:rPr>
      </w:pPr>
      <w:r>
        <w:rPr>
          <w:noProof/>
        </w:rPr>
        <w:t>a)</w:t>
      </w:r>
      <w:r>
        <w:rPr>
          <w:noProof/>
        </w:rPr>
        <w:tab/>
      </w:r>
      <w:r w:rsidR="00044BCA" w:rsidRPr="00F537B9">
        <w:rPr>
          <w:noProof/>
        </w:rPr>
        <w:t>úprava smerom nadol je</w:t>
      </w:r>
      <w:r w:rsidR="00F537B9">
        <w:rPr>
          <w:noProof/>
        </w:rPr>
        <w:t xml:space="preserve"> v </w:t>
      </w:r>
      <w:r w:rsidR="00044BCA" w:rsidRPr="00F537B9">
        <w:rPr>
          <w:noProof/>
        </w:rPr>
        <w:t>súlade</w:t>
      </w:r>
      <w:r w:rsidR="00F537B9">
        <w:rPr>
          <w:noProof/>
        </w:rPr>
        <w:t xml:space="preserve"> s </w:t>
      </w:r>
      <w:r w:rsidR="00044BCA" w:rsidRPr="00F537B9">
        <w:rPr>
          <w:noProof/>
        </w:rPr>
        <w:t>princípom nezávislého vzťahu,</w:t>
      </w:r>
      <w:r w:rsidR="00F537B9">
        <w:rPr>
          <w:noProof/>
        </w:rPr>
        <w:t xml:space="preserve"> a </w:t>
      </w:r>
      <w:r w:rsidR="00044BCA" w:rsidRPr="00F537B9">
        <w:rPr>
          <w:noProof/>
        </w:rPr>
        <w:t>to tak</w:t>
      </w:r>
      <w:r w:rsidR="00F537B9">
        <w:rPr>
          <w:noProof/>
        </w:rPr>
        <w:t xml:space="preserve"> v </w:t>
      </w:r>
      <w:r w:rsidR="00044BCA" w:rsidRPr="00F537B9">
        <w:rPr>
          <w:noProof/>
        </w:rPr>
        <w:t>zásade, ako aj vo vzťahu</w:t>
      </w:r>
      <w:r w:rsidR="00F537B9">
        <w:rPr>
          <w:noProof/>
        </w:rPr>
        <w:t xml:space="preserve"> k </w:t>
      </w:r>
      <w:r w:rsidR="00044BCA" w:rsidRPr="00F537B9">
        <w:rPr>
          <w:noProof/>
        </w:rPr>
        <w:t>danej sume;</w:t>
      </w:r>
    </w:p>
    <w:p w14:paraId="5CD1DF48" w14:textId="6D7B2AEA" w:rsidR="00044BCA" w:rsidRPr="00F537B9" w:rsidRDefault="00523180" w:rsidP="00523180">
      <w:pPr>
        <w:pStyle w:val="Point1"/>
        <w:rPr>
          <w:noProof/>
        </w:rPr>
      </w:pPr>
      <w:r>
        <w:rPr>
          <w:noProof/>
        </w:rPr>
        <w:t>b)</w:t>
      </w:r>
      <w:r>
        <w:rPr>
          <w:noProof/>
        </w:rPr>
        <w:tab/>
      </w:r>
      <w:r w:rsidR="00044BCA" w:rsidRPr="00F537B9">
        <w:rPr>
          <w:noProof/>
        </w:rPr>
        <w:t>suma rovnajúca sa úprave smerom nadol je zahrnutá do zisku pridruženého podniku</w:t>
      </w:r>
      <w:r w:rsidR="00F537B9">
        <w:rPr>
          <w:noProof/>
        </w:rPr>
        <w:t xml:space="preserve"> v </w:t>
      </w:r>
      <w:r w:rsidR="00044BCA" w:rsidRPr="00F537B9">
        <w:rPr>
          <w:noProof/>
        </w:rPr>
        <w:t>dotknutej inej jurisdikcii</w:t>
      </w:r>
      <w:r w:rsidR="00F537B9">
        <w:rPr>
          <w:noProof/>
        </w:rPr>
        <w:t xml:space="preserve"> a </w:t>
      </w:r>
      <w:r w:rsidR="00044BCA" w:rsidRPr="00F537B9">
        <w:rPr>
          <w:noProof/>
        </w:rPr>
        <w:t>zdaňuje sa tak</w:t>
      </w:r>
      <w:r w:rsidR="00F537B9">
        <w:rPr>
          <w:noProof/>
        </w:rPr>
        <w:t xml:space="preserve"> v </w:t>
      </w:r>
      <w:r w:rsidR="00044BCA" w:rsidRPr="00F537B9">
        <w:rPr>
          <w:noProof/>
        </w:rPr>
        <w:t>danom členskom štáte, ako aj</w:t>
      </w:r>
      <w:r w:rsidR="00F537B9">
        <w:rPr>
          <w:noProof/>
        </w:rPr>
        <w:t xml:space="preserve"> v </w:t>
      </w:r>
      <w:r w:rsidR="00044BCA" w:rsidRPr="00F537B9">
        <w:rPr>
          <w:noProof/>
        </w:rPr>
        <w:t>tejto inej jurisdikcii,</w:t>
      </w:r>
      <w:r w:rsidR="00F537B9">
        <w:rPr>
          <w:noProof/>
        </w:rPr>
        <w:t xml:space="preserve"> a </w:t>
      </w:r>
      <w:r w:rsidR="00044BCA" w:rsidRPr="00F537B9">
        <w:rPr>
          <w:noProof/>
        </w:rPr>
        <w:t>preto podlieha dvojitému zdaneniu;</w:t>
      </w:r>
    </w:p>
    <w:p w14:paraId="7A6FBCDF" w14:textId="50108BEC" w:rsidR="00044BCA" w:rsidRPr="00F537B9" w:rsidRDefault="00523180" w:rsidP="00523180">
      <w:pPr>
        <w:pStyle w:val="Point1"/>
        <w:rPr>
          <w:noProof/>
        </w:rPr>
      </w:pPr>
      <w:r>
        <w:rPr>
          <w:noProof/>
        </w:rPr>
        <w:t>c)</w:t>
      </w:r>
      <w:r>
        <w:rPr>
          <w:noProof/>
        </w:rPr>
        <w:tab/>
      </w:r>
      <w:r w:rsidR="00044BCA" w:rsidRPr="00F537B9">
        <w:rPr>
          <w:noProof/>
        </w:rPr>
        <w:t>členský štát, ktorý bol požiadaný</w:t>
      </w:r>
      <w:r w:rsidR="00F537B9">
        <w:rPr>
          <w:noProof/>
        </w:rPr>
        <w:t xml:space="preserve"> o </w:t>
      </w:r>
      <w:r w:rsidR="00044BCA" w:rsidRPr="00F537B9">
        <w:rPr>
          <w:noProof/>
        </w:rPr>
        <w:t>vykonanie úpravy smerom nadol, oznámil daňovej správe príslušnej jurisdikcie svoj zámer vykonať úpravu smerom nadol, pričom uviedol všetky skutkové</w:t>
      </w:r>
      <w:r w:rsidR="00F537B9">
        <w:rPr>
          <w:noProof/>
        </w:rPr>
        <w:t xml:space="preserve"> a </w:t>
      </w:r>
      <w:r w:rsidR="00044BCA" w:rsidRPr="00F537B9">
        <w:rPr>
          <w:noProof/>
        </w:rPr>
        <w:t>právne okolnosti potrebné na vyhodnotenie úpravy smerom nadol podľa princípu nezávislého vzťahu.</w:t>
      </w:r>
      <w:bookmarkEnd w:id="24"/>
    </w:p>
    <w:p w14:paraId="2BADB08C" w14:textId="77777777" w:rsidR="00713658" w:rsidRPr="00F537B9" w:rsidRDefault="00713658" w:rsidP="00713658">
      <w:pPr>
        <w:pStyle w:val="Titrearticle"/>
        <w:rPr>
          <w:b/>
          <w:bCs/>
          <w:i w:val="0"/>
          <w:iCs/>
          <w:noProof/>
        </w:rPr>
      </w:pPr>
      <w:r w:rsidRPr="00F537B9">
        <w:rPr>
          <w:noProof/>
        </w:rPr>
        <w:t xml:space="preserve">Článok 7 </w:t>
      </w:r>
      <w:r w:rsidRPr="00F537B9">
        <w:rPr>
          <w:noProof/>
        </w:rPr>
        <w:br/>
      </w:r>
      <w:r w:rsidRPr="00F537B9">
        <w:rPr>
          <w:b/>
          <w:i w:val="0"/>
          <w:noProof/>
        </w:rPr>
        <w:t>Kompenzačná úprava</w:t>
      </w:r>
    </w:p>
    <w:p w14:paraId="415AB650" w14:textId="77777777" w:rsidR="00F74A2E" w:rsidRPr="00F537B9" w:rsidRDefault="00713658" w:rsidP="005E15E6">
      <w:pPr>
        <w:rPr>
          <w:noProof/>
        </w:rPr>
      </w:pPr>
      <w:r w:rsidRPr="00F537B9">
        <w:rPr>
          <w:noProof/>
        </w:rPr>
        <w:t>Členské štáty zabezpečia, aby sa akceptovala kompenzačná úprava vo forme koncoročnej úpravy iniciovanej daňovníkom, ak sú splnené tieto podmienky:</w:t>
      </w:r>
    </w:p>
    <w:p w14:paraId="5010F187" w14:textId="098734AE" w:rsidR="00713658" w:rsidRPr="00F537B9" w:rsidRDefault="00523180" w:rsidP="00523180">
      <w:pPr>
        <w:pStyle w:val="Point0"/>
        <w:rPr>
          <w:noProof/>
        </w:rPr>
      </w:pPr>
      <w:r>
        <w:rPr>
          <w:noProof/>
        </w:rPr>
        <w:t>a)</w:t>
      </w:r>
      <w:r>
        <w:rPr>
          <w:noProof/>
        </w:rPr>
        <w:tab/>
      </w:r>
      <w:r w:rsidR="00713658" w:rsidRPr="00F537B9">
        <w:rPr>
          <w:noProof/>
        </w:rPr>
        <w:t>daňovník pred zaznamenaním príslušnej transakcie alebo série transakcií vynaložil primerané úsilie na dosiahnutie nezávislého výsledku;</w:t>
      </w:r>
    </w:p>
    <w:p w14:paraId="58DCD399" w14:textId="631F0FA7" w:rsidR="00F537B9" w:rsidRDefault="00523180" w:rsidP="00523180">
      <w:pPr>
        <w:pStyle w:val="Point0"/>
        <w:rPr>
          <w:noProof/>
        </w:rPr>
      </w:pPr>
      <w:r>
        <w:rPr>
          <w:noProof/>
        </w:rPr>
        <w:t>b)</w:t>
      </w:r>
      <w:r>
        <w:rPr>
          <w:noProof/>
        </w:rPr>
        <w:tab/>
      </w:r>
      <w:r w:rsidR="00713658" w:rsidRPr="00F537B9">
        <w:rPr>
          <w:noProof/>
        </w:rPr>
        <w:t>daňovník vykoná túto úpravu symetricky</w:t>
      </w:r>
      <w:r w:rsidR="00F537B9">
        <w:rPr>
          <w:noProof/>
        </w:rPr>
        <w:t xml:space="preserve"> v </w:t>
      </w:r>
      <w:r w:rsidR="00713658" w:rsidRPr="00F537B9">
        <w:rPr>
          <w:noProof/>
        </w:rPr>
        <w:t>účtovných závierkach vo všetkých dotknutých členských štátoch</w:t>
      </w:r>
      <w:r w:rsidR="00F537B9">
        <w:rPr>
          <w:noProof/>
        </w:rPr>
        <w:t>;</w:t>
      </w:r>
    </w:p>
    <w:p w14:paraId="10EBC42B" w14:textId="0B8B0C6B" w:rsidR="00713658" w:rsidRPr="00F537B9" w:rsidRDefault="00523180" w:rsidP="00523180">
      <w:pPr>
        <w:pStyle w:val="Point0"/>
        <w:rPr>
          <w:noProof/>
        </w:rPr>
      </w:pPr>
      <w:r>
        <w:rPr>
          <w:noProof/>
        </w:rPr>
        <w:t>c)</w:t>
      </w:r>
      <w:r>
        <w:rPr>
          <w:noProof/>
        </w:rPr>
        <w:tab/>
      </w:r>
      <w:r w:rsidR="00713658" w:rsidRPr="00F537B9">
        <w:rPr>
          <w:noProof/>
        </w:rPr>
        <w:t>daňovník uplatňuje rovnaký prístup konzistentne</w:t>
      </w:r>
      <w:r w:rsidR="00F537B9">
        <w:rPr>
          <w:noProof/>
        </w:rPr>
        <w:t xml:space="preserve"> v </w:t>
      </w:r>
      <w:r w:rsidR="00713658" w:rsidRPr="00F537B9">
        <w:rPr>
          <w:noProof/>
        </w:rPr>
        <w:t>priebehu času;</w:t>
      </w:r>
    </w:p>
    <w:p w14:paraId="3FD162FD" w14:textId="74E858FE" w:rsidR="00713658" w:rsidRPr="00F537B9" w:rsidRDefault="00523180" w:rsidP="00523180">
      <w:pPr>
        <w:pStyle w:val="Point0"/>
        <w:rPr>
          <w:noProof/>
        </w:rPr>
      </w:pPr>
      <w:r>
        <w:rPr>
          <w:noProof/>
        </w:rPr>
        <w:t>d)</w:t>
      </w:r>
      <w:r>
        <w:rPr>
          <w:noProof/>
        </w:rPr>
        <w:tab/>
      </w:r>
      <w:r w:rsidR="00713658" w:rsidRPr="00F537B9">
        <w:rPr>
          <w:noProof/>
        </w:rPr>
        <w:t>daňovník vykoná úpravu pred podaním daňového priznania;</w:t>
      </w:r>
    </w:p>
    <w:p w14:paraId="5ECF54AE" w14:textId="3E8C91B4" w:rsidR="00713658" w:rsidRPr="00F537B9" w:rsidRDefault="00523180" w:rsidP="00523180">
      <w:pPr>
        <w:pStyle w:val="Point0"/>
        <w:rPr>
          <w:noProof/>
        </w:rPr>
      </w:pPr>
      <w:r>
        <w:rPr>
          <w:noProof/>
        </w:rPr>
        <w:t>e)</w:t>
      </w:r>
      <w:r>
        <w:rPr>
          <w:noProof/>
        </w:rPr>
        <w:tab/>
      </w:r>
      <w:r w:rsidR="00713658" w:rsidRPr="00F537B9">
        <w:rPr>
          <w:noProof/>
        </w:rPr>
        <w:t>daňovník je schopný vysvetliť, prečo ním prognózované údaje nezodpovedali dosiahnutému výsledku.</w:t>
      </w:r>
    </w:p>
    <w:p w14:paraId="52F09012" w14:textId="77777777" w:rsidR="00DC5C81" w:rsidRPr="00F537B9" w:rsidRDefault="00DC5C81" w:rsidP="00DC5C81">
      <w:pPr>
        <w:pStyle w:val="Titrearticle"/>
        <w:rPr>
          <w:b/>
          <w:i w:val="0"/>
          <w:noProof/>
        </w:rPr>
      </w:pPr>
      <w:r w:rsidRPr="00F537B9">
        <w:rPr>
          <w:noProof/>
        </w:rPr>
        <w:t xml:space="preserve">Článok 8 </w:t>
      </w:r>
      <w:r w:rsidRPr="00F537B9">
        <w:rPr>
          <w:noProof/>
        </w:rPr>
        <w:br/>
      </w:r>
      <w:r w:rsidRPr="00F537B9">
        <w:rPr>
          <w:b/>
          <w:i w:val="0"/>
          <w:noProof/>
        </w:rPr>
        <w:t>Identifikácia obchodných alebo finančných vzťahov</w:t>
      </w:r>
    </w:p>
    <w:p w14:paraId="39425F0A" w14:textId="564687D7" w:rsidR="00F537B9" w:rsidRPr="00523180" w:rsidRDefault="00545434" w:rsidP="00545434">
      <w:pPr>
        <w:pStyle w:val="ManualNumPar1"/>
        <w:rPr>
          <w:noProof/>
        </w:rPr>
      </w:pPr>
      <w:r w:rsidRPr="00545434">
        <w:t>1.</w:t>
      </w:r>
      <w:r w:rsidRPr="00545434">
        <w:tab/>
      </w:r>
      <w:r w:rsidR="00DC5C81" w:rsidRPr="00523180">
        <w:rPr>
          <w:noProof/>
        </w:rPr>
        <w:t>Členské štáty zabezpečia, aby sa uplatňovanie princípu nezávislého vzťahu začalo identifikovaním</w:t>
      </w:r>
      <w:r w:rsidR="00F537B9" w:rsidRPr="00523180">
        <w:rPr>
          <w:noProof/>
        </w:rPr>
        <w:t xml:space="preserve"> a </w:t>
      </w:r>
      <w:r w:rsidR="00DC5C81" w:rsidRPr="00523180">
        <w:rPr>
          <w:noProof/>
        </w:rPr>
        <w:t>presným vymedzením jednak obchodných</w:t>
      </w:r>
      <w:r w:rsidR="00F537B9" w:rsidRPr="00523180">
        <w:rPr>
          <w:noProof/>
        </w:rPr>
        <w:t xml:space="preserve"> a </w:t>
      </w:r>
      <w:r w:rsidR="00DC5C81" w:rsidRPr="00523180">
        <w:rPr>
          <w:noProof/>
        </w:rPr>
        <w:t>finančných vzťahov pridružených podnikov</w:t>
      </w:r>
      <w:r w:rsidR="00F537B9" w:rsidRPr="00523180">
        <w:rPr>
          <w:noProof/>
        </w:rPr>
        <w:t xml:space="preserve"> a </w:t>
      </w:r>
      <w:r w:rsidR="00DC5C81" w:rsidRPr="00523180">
        <w:rPr>
          <w:noProof/>
        </w:rPr>
        <w:t>jednak samotnej transakcie alebo transakcií medzi pridruženými podnikmi</w:t>
      </w:r>
      <w:r w:rsidR="00F537B9" w:rsidRPr="00523180">
        <w:rPr>
          <w:noProof/>
        </w:rPr>
        <w:t>.</w:t>
      </w:r>
    </w:p>
    <w:p w14:paraId="67A627D0" w14:textId="6E01CDF1" w:rsidR="00614A4E" w:rsidRPr="00F537B9" w:rsidRDefault="00545434" w:rsidP="00545434">
      <w:pPr>
        <w:pStyle w:val="ManualNumPar1"/>
        <w:rPr>
          <w:noProof/>
        </w:rPr>
      </w:pPr>
      <w:r w:rsidRPr="00545434">
        <w:t>2.</w:t>
      </w:r>
      <w:r w:rsidRPr="00545434">
        <w:tab/>
      </w:r>
      <w:r w:rsidR="00DC5C81" w:rsidRPr="00F537B9">
        <w:rPr>
          <w:noProof/>
        </w:rPr>
        <w:t>Identifikácia</w:t>
      </w:r>
      <w:r w:rsidR="00F537B9">
        <w:rPr>
          <w:noProof/>
        </w:rPr>
        <w:t xml:space="preserve"> a </w:t>
      </w:r>
      <w:r w:rsidR="00DC5C81" w:rsidRPr="00F537B9">
        <w:rPr>
          <w:noProof/>
        </w:rPr>
        <w:t>presné vymedzenie obchodných</w:t>
      </w:r>
      <w:r w:rsidR="00F537B9">
        <w:rPr>
          <w:noProof/>
        </w:rPr>
        <w:t xml:space="preserve"> a </w:t>
      </w:r>
      <w:r w:rsidR="00DC5C81" w:rsidRPr="00F537B9">
        <w:rPr>
          <w:noProof/>
        </w:rPr>
        <w:t>finančných vzťahov pridružených podnikov</w:t>
      </w:r>
      <w:r w:rsidR="00F537B9">
        <w:rPr>
          <w:noProof/>
        </w:rPr>
        <w:t xml:space="preserve"> a </w:t>
      </w:r>
      <w:r w:rsidR="00DC5C81" w:rsidRPr="00F537B9">
        <w:rPr>
          <w:noProof/>
        </w:rPr>
        <w:t>samotnej transakcie (transakcií) sú založené na týchto aspektoch:</w:t>
      </w:r>
    </w:p>
    <w:p w14:paraId="6C524CDF" w14:textId="6E9FC331" w:rsidR="00DC5C81" w:rsidRPr="00523180" w:rsidRDefault="00523180" w:rsidP="00523180">
      <w:pPr>
        <w:pStyle w:val="Point1"/>
        <w:rPr>
          <w:noProof/>
          <w:spacing w:val="-6"/>
        </w:rPr>
      </w:pPr>
      <w:r>
        <w:rPr>
          <w:noProof/>
        </w:rPr>
        <w:t>a)</w:t>
      </w:r>
      <w:r>
        <w:rPr>
          <w:noProof/>
        </w:rPr>
        <w:tab/>
      </w:r>
      <w:r w:rsidR="00DC5C81" w:rsidRPr="00523180">
        <w:rPr>
          <w:noProof/>
          <w:spacing w:val="-6"/>
        </w:rPr>
        <w:t>predbežná rozsiahla znalosť daného odvetvia,</w:t>
      </w:r>
      <w:r w:rsidR="00F537B9" w:rsidRPr="00523180">
        <w:rPr>
          <w:noProof/>
          <w:spacing w:val="-6"/>
        </w:rPr>
        <w:t xml:space="preserve"> v </w:t>
      </w:r>
      <w:r w:rsidR="00DC5C81" w:rsidRPr="00523180">
        <w:rPr>
          <w:noProof/>
          <w:spacing w:val="-6"/>
        </w:rPr>
        <w:t>ktorom pridružené podniky pôsobia,</w:t>
      </w:r>
      <w:r w:rsidR="00F537B9" w:rsidRPr="00523180">
        <w:rPr>
          <w:noProof/>
          <w:spacing w:val="-6"/>
        </w:rPr>
        <w:t xml:space="preserve"> a </w:t>
      </w:r>
      <w:r w:rsidR="00DC5C81" w:rsidRPr="00523180">
        <w:rPr>
          <w:noProof/>
          <w:spacing w:val="-6"/>
        </w:rPr>
        <w:t>faktorov, ktoré ovplyvňujú výkonnosť podnikov pôsobiacich</w:t>
      </w:r>
      <w:r w:rsidR="00F537B9" w:rsidRPr="00523180">
        <w:rPr>
          <w:noProof/>
          <w:spacing w:val="-6"/>
        </w:rPr>
        <w:t xml:space="preserve"> v </w:t>
      </w:r>
      <w:r w:rsidR="00DC5C81" w:rsidRPr="00523180">
        <w:rPr>
          <w:noProof/>
          <w:spacing w:val="-6"/>
        </w:rPr>
        <w:t>tomto odvetví;</w:t>
      </w:r>
    </w:p>
    <w:p w14:paraId="01D76B03" w14:textId="754AC150" w:rsidR="00F537B9" w:rsidRDefault="00523180" w:rsidP="00523180">
      <w:pPr>
        <w:pStyle w:val="Point1"/>
        <w:rPr>
          <w:noProof/>
        </w:rPr>
      </w:pPr>
      <w:r>
        <w:rPr>
          <w:noProof/>
        </w:rPr>
        <w:t>b)</w:t>
      </w:r>
      <w:r>
        <w:rPr>
          <w:noProof/>
        </w:rPr>
        <w:tab/>
      </w:r>
      <w:r w:rsidR="00DC5C81" w:rsidRPr="00F537B9">
        <w:rPr>
          <w:noProof/>
        </w:rPr>
        <w:t>analýza fungovania každého pridruženého podniku</w:t>
      </w:r>
      <w:r w:rsidR="00F537B9">
        <w:rPr>
          <w:noProof/>
        </w:rPr>
        <w:t xml:space="preserve"> s </w:t>
      </w:r>
      <w:r w:rsidR="00DC5C81" w:rsidRPr="00F537B9">
        <w:rPr>
          <w:noProof/>
        </w:rPr>
        <w:t>cieľom identifikovať jeho obchodné alebo finančné vzťahy</w:t>
      </w:r>
      <w:r w:rsidR="00F537B9">
        <w:rPr>
          <w:noProof/>
        </w:rPr>
        <w:t xml:space="preserve"> s </w:t>
      </w:r>
      <w:r w:rsidR="00DC5C81" w:rsidRPr="00F537B9">
        <w:rPr>
          <w:noProof/>
        </w:rPr>
        <w:t>pridruženými podnikmi</w:t>
      </w:r>
      <w:r w:rsidR="00F537B9">
        <w:rPr>
          <w:noProof/>
        </w:rPr>
        <w:t>;</w:t>
      </w:r>
    </w:p>
    <w:p w14:paraId="66F8DD8F" w14:textId="69A29D58" w:rsidR="00F537B9" w:rsidRDefault="00523180" w:rsidP="00523180">
      <w:pPr>
        <w:pStyle w:val="Point1"/>
        <w:rPr>
          <w:noProof/>
        </w:rPr>
      </w:pPr>
      <w:r>
        <w:rPr>
          <w:noProof/>
        </w:rPr>
        <w:t>c)</w:t>
      </w:r>
      <w:r>
        <w:rPr>
          <w:noProof/>
        </w:rPr>
        <w:tab/>
      </w:r>
      <w:r w:rsidR="009D2702" w:rsidRPr="00F537B9">
        <w:rPr>
          <w:noProof/>
        </w:rPr>
        <w:t>analýza ekonomicky relevantných charakteristických znakov kontrolovaných transakcií</w:t>
      </w:r>
      <w:r w:rsidR="00F537B9">
        <w:rPr>
          <w:noProof/>
        </w:rPr>
        <w:t xml:space="preserve"> z </w:t>
      </w:r>
      <w:r w:rsidR="009D2702" w:rsidRPr="00F537B9">
        <w:rPr>
          <w:noProof/>
        </w:rPr>
        <w:t>hľadiska ich formy aj podstaty</w:t>
      </w:r>
      <w:r w:rsidR="00F537B9">
        <w:rPr>
          <w:noProof/>
        </w:rPr>
        <w:t>.</w:t>
      </w:r>
    </w:p>
    <w:p w14:paraId="47CA7267" w14:textId="4244DDAC" w:rsidR="0083611C" w:rsidRPr="00F537B9" w:rsidRDefault="00E07B7C" w:rsidP="000D5346">
      <w:pPr>
        <w:pStyle w:val="Titrearticle"/>
        <w:rPr>
          <w:b/>
          <w:i w:val="0"/>
          <w:noProof/>
        </w:rPr>
      </w:pPr>
      <w:bookmarkStart w:id="32" w:name="_Hlk136435594"/>
      <w:r w:rsidRPr="00F537B9">
        <w:rPr>
          <w:noProof/>
        </w:rPr>
        <w:t xml:space="preserve">Článok 9 </w:t>
      </w:r>
      <w:r w:rsidRPr="00F537B9">
        <w:rPr>
          <w:noProof/>
        </w:rPr>
        <w:br/>
      </w:r>
      <w:r w:rsidRPr="00F537B9">
        <w:rPr>
          <w:b/>
          <w:i w:val="0"/>
          <w:noProof/>
        </w:rPr>
        <w:t>Metódy transferového oceňovania</w:t>
      </w:r>
      <w:bookmarkEnd w:id="32"/>
    </w:p>
    <w:p w14:paraId="3C93C7CA" w14:textId="4B2538D3" w:rsidR="00253FB3" w:rsidRPr="00F537B9" w:rsidRDefault="00545434" w:rsidP="00545434">
      <w:pPr>
        <w:pStyle w:val="ManualNumPar1"/>
        <w:rPr>
          <w:noProof/>
        </w:rPr>
      </w:pPr>
      <w:r w:rsidRPr="00545434">
        <w:t>1.</w:t>
      </w:r>
      <w:r w:rsidRPr="00545434">
        <w:tab/>
      </w:r>
      <w:r w:rsidR="00253FB3" w:rsidRPr="00F537B9">
        <w:rPr>
          <w:noProof/>
        </w:rPr>
        <w:t>Členské štáty zabezpečia, aby sa nezávislá trhová cena účtovaná</w:t>
      </w:r>
      <w:r w:rsidR="00F537B9">
        <w:rPr>
          <w:noProof/>
        </w:rPr>
        <w:t xml:space="preserve"> v </w:t>
      </w:r>
      <w:r w:rsidR="00253FB3" w:rsidRPr="00F537B9">
        <w:rPr>
          <w:noProof/>
        </w:rPr>
        <w:t>rámci kontrolovanej transakcie medzi pridruženými podnikmi stanovila</w:t>
      </w:r>
      <w:r w:rsidR="00F537B9">
        <w:rPr>
          <w:noProof/>
        </w:rPr>
        <w:t xml:space="preserve"> s </w:t>
      </w:r>
      <w:r w:rsidR="00253FB3" w:rsidRPr="00F537B9">
        <w:rPr>
          <w:noProof/>
        </w:rPr>
        <w:t>použitím jednej</w:t>
      </w:r>
      <w:r w:rsidR="00F537B9">
        <w:rPr>
          <w:noProof/>
        </w:rPr>
        <w:t xml:space="preserve"> z </w:t>
      </w:r>
      <w:r w:rsidR="00253FB3" w:rsidRPr="00F537B9">
        <w:rPr>
          <w:noProof/>
        </w:rPr>
        <w:t>týchto metód transferového oceňovania:</w:t>
      </w:r>
    </w:p>
    <w:p w14:paraId="0C645937" w14:textId="4AEDE400" w:rsidR="00253FB3" w:rsidRPr="00F537B9" w:rsidRDefault="00523180" w:rsidP="00523180">
      <w:pPr>
        <w:pStyle w:val="Point1"/>
        <w:rPr>
          <w:noProof/>
        </w:rPr>
      </w:pPr>
      <w:r>
        <w:rPr>
          <w:noProof/>
        </w:rPr>
        <w:t>a)</w:t>
      </w:r>
      <w:r>
        <w:rPr>
          <w:noProof/>
        </w:rPr>
        <w:tab/>
      </w:r>
      <w:r w:rsidR="00253FB3" w:rsidRPr="00F537B9">
        <w:rPr>
          <w:noProof/>
        </w:rPr>
        <w:tab/>
        <w:t>metóda porovnateľnej nekontrolovanej ceny;</w:t>
      </w:r>
    </w:p>
    <w:p w14:paraId="00BF5BBD" w14:textId="1AC3FCA7" w:rsidR="00253FB3" w:rsidRPr="00F537B9" w:rsidRDefault="00523180" w:rsidP="00523180">
      <w:pPr>
        <w:pStyle w:val="Point1"/>
        <w:rPr>
          <w:noProof/>
        </w:rPr>
      </w:pPr>
      <w:r>
        <w:rPr>
          <w:noProof/>
        </w:rPr>
        <w:t>b)</w:t>
      </w:r>
      <w:r>
        <w:rPr>
          <w:noProof/>
        </w:rPr>
        <w:tab/>
      </w:r>
      <w:r w:rsidR="00253FB3" w:rsidRPr="00F537B9">
        <w:rPr>
          <w:noProof/>
        </w:rPr>
        <w:tab/>
        <w:t>metóda následného predaja;</w:t>
      </w:r>
    </w:p>
    <w:p w14:paraId="482F2372" w14:textId="72D276A4" w:rsidR="00253FB3" w:rsidRPr="00F537B9" w:rsidRDefault="00523180" w:rsidP="00523180">
      <w:pPr>
        <w:pStyle w:val="Point1"/>
        <w:rPr>
          <w:noProof/>
        </w:rPr>
      </w:pPr>
      <w:r>
        <w:rPr>
          <w:noProof/>
        </w:rPr>
        <w:t>c)</w:t>
      </w:r>
      <w:r>
        <w:rPr>
          <w:noProof/>
        </w:rPr>
        <w:tab/>
      </w:r>
      <w:r w:rsidR="00253FB3" w:rsidRPr="00F537B9">
        <w:rPr>
          <w:noProof/>
        </w:rPr>
        <w:tab/>
        <w:t>metóda zvýšených nákladov;</w:t>
      </w:r>
    </w:p>
    <w:p w14:paraId="536FB8B0" w14:textId="646B0E39" w:rsidR="00253FB3" w:rsidRPr="00F537B9" w:rsidRDefault="00523180" w:rsidP="00523180">
      <w:pPr>
        <w:pStyle w:val="Point1"/>
        <w:rPr>
          <w:noProof/>
        </w:rPr>
      </w:pPr>
      <w:r>
        <w:rPr>
          <w:noProof/>
        </w:rPr>
        <w:t>d)</w:t>
      </w:r>
      <w:r>
        <w:rPr>
          <w:noProof/>
        </w:rPr>
        <w:tab/>
      </w:r>
      <w:r w:rsidR="00253FB3" w:rsidRPr="00F537B9">
        <w:rPr>
          <w:noProof/>
        </w:rPr>
        <w:tab/>
        <w:t>metóda čistého obchodného rozpätia;</w:t>
      </w:r>
    </w:p>
    <w:p w14:paraId="000D08F0" w14:textId="00D762CD" w:rsidR="00253FB3" w:rsidRPr="00F537B9" w:rsidRDefault="00523180" w:rsidP="00523180">
      <w:pPr>
        <w:pStyle w:val="Point1"/>
        <w:rPr>
          <w:noProof/>
        </w:rPr>
      </w:pPr>
      <w:r>
        <w:rPr>
          <w:noProof/>
        </w:rPr>
        <w:t>e)</w:t>
      </w:r>
      <w:r>
        <w:rPr>
          <w:noProof/>
        </w:rPr>
        <w:tab/>
      </w:r>
      <w:r w:rsidR="00253FB3" w:rsidRPr="00F537B9">
        <w:rPr>
          <w:noProof/>
        </w:rPr>
        <w:t>metóda delenia zisku.</w:t>
      </w:r>
    </w:p>
    <w:p w14:paraId="662D89F1" w14:textId="6AEE1840" w:rsidR="00F537B9" w:rsidRDefault="00545434" w:rsidP="00545434">
      <w:pPr>
        <w:pStyle w:val="ManualNumPar1"/>
        <w:rPr>
          <w:noProof/>
        </w:rPr>
      </w:pPr>
      <w:bookmarkStart w:id="33" w:name="_Hlk138331028"/>
      <w:r w:rsidRPr="00545434">
        <w:t>2.</w:t>
      </w:r>
      <w:r w:rsidRPr="00545434">
        <w:tab/>
      </w:r>
      <w:r w:rsidR="00D06AF7" w:rsidRPr="00F537B9">
        <w:rPr>
          <w:noProof/>
        </w:rPr>
        <w:t>Popri metódach uvedených</w:t>
      </w:r>
      <w:r w:rsidR="00F537B9">
        <w:rPr>
          <w:noProof/>
        </w:rPr>
        <w:t xml:space="preserve"> v </w:t>
      </w:r>
      <w:r w:rsidR="00D06AF7" w:rsidRPr="00F537B9">
        <w:rPr>
          <w:noProof/>
        </w:rPr>
        <w:t>odseku 1 členské štáty povolia uplatňovanie akýchkoľvek iných metód</w:t>
      </w:r>
      <w:r w:rsidR="00F537B9">
        <w:rPr>
          <w:noProof/>
        </w:rPr>
        <w:t xml:space="preserve"> a </w:t>
      </w:r>
      <w:r w:rsidR="00D06AF7" w:rsidRPr="00F537B9">
        <w:rPr>
          <w:noProof/>
        </w:rPr>
        <w:t>techník oceňovania na odhadnutie nezávislej trhovej ceny iba vtedy, ak je možné uspokojivo preukázať, že</w:t>
      </w:r>
      <w:bookmarkEnd w:id="33"/>
      <w:r w:rsidR="00F537B9">
        <w:rPr>
          <w:noProof/>
        </w:rPr>
        <w:t>:</w:t>
      </w:r>
    </w:p>
    <w:p w14:paraId="344A965E" w14:textId="4302A6A8" w:rsidR="00F537B9" w:rsidRDefault="00523180" w:rsidP="00523180">
      <w:pPr>
        <w:pStyle w:val="Point1"/>
        <w:rPr>
          <w:noProof/>
        </w:rPr>
      </w:pPr>
      <w:r>
        <w:rPr>
          <w:noProof/>
        </w:rPr>
        <w:t>a)</w:t>
      </w:r>
      <w:r>
        <w:rPr>
          <w:noProof/>
        </w:rPr>
        <w:tab/>
      </w:r>
      <w:r w:rsidR="00253FB3" w:rsidRPr="00F537B9">
        <w:rPr>
          <w:noProof/>
        </w:rPr>
        <w:t>žiadna</w:t>
      </w:r>
      <w:r w:rsidR="00F537B9">
        <w:rPr>
          <w:noProof/>
        </w:rPr>
        <w:t xml:space="preserve"> z </w:t>
      </w:r>
      <w:r w:rsidR="00253FB3" w:rsidRPr="00F537B9">
        <w:rPr>
          <w:noProof/>
        </w:rPr>
        <w:t>metód uvedených</w:t>
      </w:r>
      <w:r w:rsidR="00F537B9">
        <w:rPr>
          <w:noProof/>
        </w:rPr>
        <w:t xml:space="preserve"> v </w:t>
      </w:r>
      <w:r w:rsidR="00253FB3" w:rsidRPr="00F537B9">
        <w:rPr>
          <w:noProof/>
        </w:rPr>
        <w:t>odseku 1 nie je vhodná ani realizovateľná za okolností daného prípadu</w:t>
      </w:r>
      <w:r w:rsidR="00F537B9">
        <w:rPr>
          <w:noProof/>
        </w:rPr>
        <w:t>;</w:t>
      </w:r>
    </w:p>
    <w:p w14:paraId="06441536" w14:textId="6BB3A83D" w:rsidR="00F537B9" w:rsidRDefault="00523180" w:rsidP="00523180">
      <w:pPr>
        <w:pStyle w:val="Point1"/>
        <w:rPr>
          <w:noProof/>
        </w:rPr>
      </w:pPr>
      <w:r>
        <w:rPr>
          <w:noProof/>
        </w:rPr>
        <w:t>b)</w:t>
      </w:r>
      <w:r>
        <w:rPr>
          <w:noProof/>
        </w:rPr>
        <w:tab/>
      </w:r>
      <w:r w:rsidR="00253FB3" w:rsidRPr="00F537B9">
        <w:rPr>
          <w:noProof/>
        </w:rPr>
        <w:t>zvolená metóda alebo technika oceňovania je</w:t>
      </w:r>
      <w:r w:rsidR="00F537B9">
        <w:rPr>
          <w:noProof/>
        </w:rPr>
        <w:t xml:space="preserve"> v </w:t>
      </w:r>
      <w:r w:rsidR="00253FB3" w:rsidRPr="00F537B9">
        <w:rPr>
          <w:noProof/>
        </w:rPr>
        <w:t>súlade</w:t>
      </w:r>
      <w:r w:rsidR="00F537B9">
        <w:rPr>
          <w:noProof/>
        </w:rPr>
        <w:t xml:space="preserve"> s </w:t>
      </w:r>
      <w:r w:rsidR="00253FB3" w:rsidRPr="00F537B9">
        <w:rPr>
          <w:noProof/>
        </w:rPr>
        <w:t>princípom nezávislého vzťahu</w:t>
      </w:r>
      <w:r w:rsidR="00F537B9">
        <w:rPr>
          <w:noProof/>
        </w:rPr>
        <w:t xml:space="preserve"> a </w:t>
      </w:r>
      <w:r w:rsidR="00253FB3" w:rsidRPr="00F537B9">
        <w:rPr>
          <w:noProof/>
        </w:rPr>
        <w:t>poskytuje spoľahlivejší odhad nezávislého výsledku než metódy uvedené</w:t>
      </w:r>
      <w:r w:rsidR="00F537B9">
        <w:rPr>
          <w:noProof/>
        </w:rPr>
        <w:t xml:space="preserve"> v </w:t>
      </w:r>
      <w:r w:rsidR="00253FB3" w:rsidRPr="00F537B9">
        <w:rPr>
          <w:noProof/>
        </w:rPr>
        <w:t>odseku 1</w:t>
      </w:r>
      <w:r w:rsidR="00F537B9">
        <w:rPr>
          <w:noProof/>
        </w:rPr>
        <w:t>.</w:t>
      </w:r>
    </w:p>
    <w:p w14:paraId="256F7E09" w14:textId="74589B20" w:rsidR="003A0053" w:rsidRPr="00F537B9" w:rsidRDefault="003A0053" w:rsidP="003A0053">
      <w:pPr>
        <w:pStyle w:val="Titrearticle"/>
        <w:rPr>
          <w:noProof/>
        </w:rPr>
      </w:pPr>
      <w:r w:rsidRPr="00F537B9">
        <w:rPr>
          <w:noProof/>
        </w:rPr>
        <w:t xml:space="preserve">Článok 10 </w:t>
      </w:r>
      <w:r w:rsidRPr="00F537B9">
        <w:rPr>
          <w:noProof/>
        </w:rPr>
        <w:br/>
      </w:r>
      <w:r w:rsidRPr="00F537B9">
        <w:rPr>
          <w:b/>
          <w:i w:val="0"/>
          <w:noProof/>
        </w:rPr>
        <w:t>Pravidlo najvhodnejšej metódy</w:t>
      </w:r>
    </w:p>
    <w:p w14:paraId="62A71B87" w14:textId="1BFD9948" w:rsidR="00F537B9" w:rsidRPr="00523180" w:rsidRDefault="00545434" w:rsidP="00545434">
      <w:pPr>
        <w:pStyle w:val="ManualNumPar1"/>
        <w:rPr>
          <w:noProof/>
        </w:rPr>
      </w:pPr>
      <w:r w:rsidRPr="00545434">
        <w:t>1.</w:t>
      </w:r>
      <w:r w:rsidRPr="00545434">
        <w:tab/>
      </w:r>
      <w:r w:rsidR="003A0053" w:rsidRPr="00523180">
        <w:rPr>
          <w:noProof/>
        </w:rPr>
        <w:t>Členské štáty zabezpečia, aby sa nezávislá trhová cena stanovila uplatnením najvhodnejšej metódy transferového oceňovania vzhľadom na okolnosti daného prípadu</w:t>
      </w:r>
      <w:r w:rsidR="00F537B9" w:rsidRPr="00523180">
        <w:rPr>
          <w:noProof/>
        </w:rPr>
        <w:t>.</w:t>
      </w:r>
    </w:p>
    <w:p w14:paraId="519181B0" w14:textId="134011F5" w:rsidR="00F537B9" w:rsidRPr="00523180" w:rsidRDefault="00545434" w:rsidP="00545434">
      <w:pPr>
        <w:pStyle w:val="ManualNumPar1"/>
        <w:rPr>
          <w:noProof/>
        </w:rPr>
      </w:pPr>
      <w:r w:rsidRPr="00545434">
        <w:t>2.</w:t>
      </w:r>
      <w:r w:rsidRPr="00545434">
        <w:tab/>
      </w:r>
      <w:r w:rsidR="003A0053" w:rsidRPr="00523180">
        <w:rPr>
          <w:noProof/>
        </w:rPr>
        <w:t>Najvhodnejšia metóda transferového oceňovania sa vyberá spomedzi metód transferového oceňovania stanovených</w:t>
      </w:r>
      <w:r w:rsidR="00F537B9" w:rsidRPr="00523180">
        <w:rPr>
          <w:noProof/>
        </w:rPr>
        <w:t xml:space="preserve"> v </w:t>
      </w:r>
      <w:r w:rsidR="003A0053" w:rsidRPr="00523180">
        <w:rPr>
          <w:noProof/>
        </w:rPr>
        <w:t>článku 9, pričom sa zohľadňujú tieto kritériá</w:t>
      </w:r>
      <w:r w:rsidR="00F537B9" w:rsidRPr="00523180">
        <w:rPr>
          <w:noProof/>
        </w:rPr>
        <w:t>:</w:t>
      </w:r>
    </w:p>
    <w:p w14:paraId="67660E0C" w14:textId="55D78525" w:rsidR="003A0053" w:rsidRPr="00F537B9" w:rsidRDefault="00523180" w:rsidP="00523180">
      <w:pPr>
        <w:pStyle w:val="Point1"/>
        <w:rPr>
          <w:noProof/>
        </w:rPr>
      </w:pPr>
      <w:r>
        <w:rPr>
          <w:noProof/>
        </w:rPr>
        <w:t>a)</w:t>
      </w:r>
      <w:r>
        <w:rPr>
          <w:noProof/>
        </w:rPr>
        <w:tab/>
      </w:r>
      <w:r w:rsidR="003A0053" w:rsidRPr="00F537B9">
        <w:rPr>
          <w:noProof/>
        </w:rPr>
        <w:t>silné</w:t>
      </w:r>
      <w:r w:rsidR="00F537B9">
        <w:rPr>
          <w:noProof/>
        </w:rPr>
        <w:t xml:space="preserve"> a </w:t>
      </w:r>
      <w:r w:rsidR="003A0053" w:rsidRPr="00F537B9">
        <w:rPr>
          <w:noProof/>
        </w:rPr>
        <w:t>slabé stránky jednotlivých metód transferového oceňovania;</w:t>
      </w:r>
    </w:p>
    <w:p w14:paraId="5135D6B9" w14:textId="20ABA718" w:rsidR="003A0053" w:rsidRPr="00F537B9" w:rsidRDefault="00523180" w:rsidP="00523180">
      <w:pPr>
        <w:pStyle w:val="Point1"/>
        <w:rPr>
          <w:noProof/>
        </w:rPr>
      </w:pPr>
      <w:r>
        <w:rPr>
          <w:noProof/>
        </w:rPr>
        <w:t>b)</w:t>
      </w:r>
      <w:r>
        <w:rPr>
          <w:noProof/>
        </w:rPr>
        <w:tab/>
      </w:r>
      <w:r w:rsidR="003A0053" w:rsidRPr="00F537B9">
        <w:rPr>
          <w:noProof/>
        </w:rPr>
        <w:t>vhodnosť metódy transferového oceňovania vzhľadom na povahu kontrolovanej transakcie, stanovená najmä prostredníctvom analýzy funkcií vykonávaných každým podnikom</w:t>
      </w:r>
      <w:r w:rsidR="00F537B9">
        <w:rPr>
          <w:noProof/>
        </w:rPr>
        <w:t xml:space="preserve"> v </w:t>
      </w:r>
      <w:r w:rsidR="003A0053" w:rsidRPr="00F537B9">
        <w:rPr>
          <w:noProof/>
        </w:rPr>
        <w:t>kontrolovanej transakcii,</w:t>
      </w:r>
      <w:r w:rsidR="00F537B9">
        <w:rPr>
          <w:noProof/>
        </w:rPr>
        <w:t xml:space="preserve"> s </w:t>
      </w:r>
      <w:r w:rsidR="003A0053" w:rsidRPr="00F537B9">
        <w:rPr>
          <w:noProof/>
        </w:rPr>
        <w:t>prihliadnutím na použité aktíva</w:t>
      </w:r>
      <w:r w:rsidR="00F537B9">
        <w:rPr>
          <w:noProof/>
        </w:rPr>
        <w:t xml:space="preserve"> a </w:t>
      </w:r>
      <w:r w:rsidR="003A0053" w:rsidRPr="00F537B9">
        <w:rPr>
          <w:noProof/>
        </w:rPr>
        <w:t>znášané riziká;</w:t>
      </w:r>
    </w:p>
    <w:p w14:paraId="197B546C" w14:textId="0BCF0EE9" w:rsidR="003A0053" w:rsidRPr="00F537B9" w:rsidRDefault="00523180" w:rsidP="00523180">
      <w:pPr>
        <w:pStyle w:val="Point1"/>
        <w:rPr>
          <w:noProof/>
        </w:rPr>
      </w:pPr>
      <w:r>
        <w:rPr>
          <w:noProof/>
        </w:rPr>
        <w:t>c)</w:t>
      </w:r>
      <w:r>
        <w:rPr>
          <w:noProof/>
        </w:rPr>
        <w:tab/>
      </w:r>
      <w:r w:rsidR="003A0053" w:rsidRPr="00F537B9">
        <w:rPr>
          <w:noProof/>
        </w:rPr>
        <w:t>miera porovnateľnosti medzi kontrolovanými</w:t>
      </w:r>
      <w:r w:rsidR="00F537B9">
        <w:rPr>
          <w:noProof/>
        </w:rPr>
        <w:t xml:space="preserve"> a </w:t>
      </w:r>
      <w:r w:rsidR="003A0053" w:rsidRPr="00F537B9">
        <w:rPr>
          <w:noProof/>
        </w:rPr>
        <w:t>nekontrolovanými transakciami, zohľadňujúc aj spoľahlivosť prípadných úprav na účely porovnateľnosti, ktoré môžu byť nutné na odstránenie rozdielov medzi nimi;</w:t>
      </w:r>
    </w:p>
    <w:p w14:paraId="2B626537" w14:textId="2FCF8AF5" w:rsidR="003A0053" w:rsidRPr="00F537B9" w:rsidRDefault="00523180" w:rsidP="00523180">
      <w:pPr>
        <w:pStyle w:val="Point1"/>
        <w:rPr>
          <w:noProof/>
        </w:rPr>
      </w:pPr>
      <w:r>
        <w:rPr>
          <w:noProof/>
        </w:rPr>
        <w:t>d)</w:t>
      </w:r>
      <w:r>
        <w:rPr>
          <w:noProof/>
        </w:rPr>
        <w:tab/>
      </w:r>
      <w:r w:rsidR="003A0053" w:rsidRPr="00F537B9">
        <w:rPr>
          <w:noProof/>
        </w:rPr>
        <w:t>dostupnosť spoľahlivých informácií potrebných na uplatnenie zvolenej metódy transferového oceňovania.</w:t>
      </w:r>
    </w:p>
    <w:p w14:paraId="78D1A85F" w14:textId="77777777" w:rsidR="00E07B7C" w:rsidRPr="00F537B9" w:rsidRDefault="00E07B7C" w:rsidP="00E07B7C">
      <w:pPr>
        <w:pStyle w:val="Titrearticle"/>
        <w:rPr>
          <w:b/>
          <w:i w:val="0"/>
          <w:noProof/>
        </w:rPr>
      </w:pPr>
      <w:bookmarkStart w:id="34" w:name="_Hlk137991210"/>
      <w:r w:rsidRPr="00F537B9">
        <w:rPr>
          <w:noProof/>
        </w:rPr>
        <w:t xml:space="preserve">Článok 11 </w:t>
      </w:r>
      <w:r w:rsidRPr="00F537B9">
        <w:rPr>
          <w:noProof/>
        </w:rPr>
        <w:br/>
      </w:r>
      <w:r w:rsidRPr="00F537B9">
        <w:rPr>
          <w:b/>
          <w:i w:val="0"/>
          <w:noProof/>
        </w:rPr>
        <w:t>Analýza porovnateľnosti</w:t>
      </w:r>
    </w:p>
    <w:bookmarkEnd w:id="34"/>
    <w:p w14:paraId="1E3549F6" w14:textId="7769070A" w:rsidR="001117BD" w:rsidRPr="00F537B9" w:rsidRDefault="00545434" w:rsidP="00545434">
      <w:pPr>
        <w:pStyle w:val="ManualNumPar1"/>
        <w:rPr>
          <w:noProof/>
        </w:rPr>
      </w:pPr>
      <w:r w:rsidRPr="00545434">
        <w:t>1.</w:t>
      </w:r>
      <w:r w:rsidRPr="00545434">
        <w:tab/>
      </w:r>
      <w:r w:rsidR="005C0FB0" w:rsidRPr="00F537B9">
        <w:rPr>
          <w:noProof/>
        </w:rPr>
        <w:t>Členské štáty vyhodnotia, či kontrolovaná transakcia vedie</w:t>
      </w:r>
      <w:r w:rsidR="00F537B9">
        <w:rPr>
          <w:noProof/>
        </w:rPr>
        <w:t xml:space="preserve"> k </w:t>
      </w:r>
      <w:r w:rsidR="005C0FB0" w:rsidRPr="00F537B9">
        <w:rPr>
          <w:noProof/>
        </w:rPr>
        <w:t>nezávislému výsledku, tak, že porovnajú podmienky kontrolovanej transakcie</w:t>
      </w:r>
      <w:r w:rsidR="00F537B9">
        <w:rPr>
          <w:noProof/>
        </w:rPr>
        <w:t xml:space="preserve"> s </w:t>
      </w:r>
      <w:r w:rsidR="005C0FB0" w:rsidRPr="00F537B9">
        <w:rPr>
          <w:noProof/>
        </w:rPr>
        <w:t>podmienkami, ktoré by existovali, ak by pridružené podniky boli nezávislé</w:t>
      </w:r>
      <w:r w:rsidR="00F537B9">
        <w:rPr>
          <w:noProof/>
        </w:rPr>
        <w:t xml:space="preserve"> a </w:t>
      </w:r>
      <w:r w:rsidR="005C0FB0" w:rsidRPr="00F537B9">
        <w:rPr>
          <w:noProof/>
        </w:rPr>
        <w:t>ak by uskutočnili porovnateľnú transakciu za porovnateľných okolností.</w:t>
      </w:r>
    </w:p>
    <w:p w14:paraId="7D63292C" w14:textId="135D2534" w:rsidR="00E07B7C" w:rsidRPr="00523180" w:rsidRDefault="00545434" w:rsidP="00545434">
      <w:pPr>
        <w:pStyle w:val="ManualNumPar1"/>
        <w:rPr>
          <w:noProof/>
        </w:rPr>
      </w:pPr>
      <w:r w:rsidRPr="00545434">
        <w:t>2.</w:t>
      </w:r>
      <w:r w:rsidRPr="00545434">
        <w:tab/>
      </w:r>
      <w:r w:rsidR="00175F05" w:rsidRPr="00523180">
        <w:rPr>
          <w:noProof/>
        </w:rPr>
        <w:t>Členské štáty zabezpečia, aby analyzované transakcie boli porovnateľné.</w:t>
      </w:r>
      <w:r w:rsidR="00F537B9" w:rsidRPr="00523180">
        <w:rPr>
          <w:noProof/>
        </w:rPr>
        <w:t xml:space="preserve"> S </w:t>
      </w:r>
      <w:r w:rsidR="00175F05" w:rsidRPr="00523180">
        <w:rPr>
          <w:noProof/>
        </w:rPr>
        <w:t>cieľom určiť, či sú dve alebo viaceré transakcie porovnateľné, sa zohľadnia nasledujúce faktory,</w:t>
      </w:r>
      <w:r w:rsidR="00F537B9" w:rsidRPr="00523180">
        <w:rPr>
          <w:noProof/>
        </w:rPr>
        <w:t xml:space="preserve"> a </w:t>
      </w:r>
      <w:r w:rsidR="00175F05" w:rsidRPr="00523180">
        <w:rPr>
          <w:noProof/>
        </w:rPr>
        <w:t>to</w:t>
      </w:r>
      <w:r w:rsidR="00F537B9" w:rsidRPr="00523180">
        <w:rPr>
          <w:noProof/>
        </w:rPr>
        <w:t xml:space="preserve"> v </w:t>
      </w:r>
      <w:r w:rsidR="00175F05" w:rsidRPr="00523180">
        <w:rPr>
          <w:noProof/>
        </w:rPr>
        <w:t>rozsahu,</w:t>
      </w:r>
      <w:r w:rsidR="00F537B9" w:rsidRPr="00523180">
        <w:rPr>
          <w:noProof/>
        </w:rPr>
        <w:t xml:space="preserve"> v </w:t>
      </w:r>
      <w:r w:rsidR="00175F05" w:rsidRPr="00523180">
        <w:rPr>
          <w:noProof/>
        </w:rPr>
        <w:t>akom sú ekonomicky relevantné pre skutočnosti</w:t>
      </w:r>
      <w:r w:rsidR="00F537B9" w:rsidRPr="00523180">
        <w:rPr>
          <w:noProof/>
        </w:rPr>
        <w:t xml:space="preserve"> a </w:t>
      </w:r>
      <w:r w:rsidR="00175F05" w:rsidRPr="00523180">
        <w:rPr>
          <w:noProof/>
        </w:rPr>
        <w:t>okolnosti transakcie:</w:t>
      </w:r>
    </w:p>
    <w:p w14:paraId="602F6FC6" w14:textId="3FD58B27" w:rsidR="00E07B7C" w:rsidRPr="00F537B9" w:rsidRDefault="00523180" w:rsidP="00523180">
      <w:pPr>
        <w:pStyle w:val="Point1"/>
        <w:rPr>
          <w:noProof/>
        </w:rPr>
      </w:pPr>
      <w:r>
        <w:rPr>
          <w:noProof/>
        </w:rPr>
        <w:t>a)</w:t>
      </w:r>
      <w:r>
        <w:rPr>
          <w:noProof/>
        </w:rPr>
        <w:tab/>
      </w:r>
      <w:r w:rsidR="003E6DF9" w:rsidRPr="00F537B9">
        <w:rPr>
          <w:noProof/>
        </w:rPr>
        <w:t>zmluvné podmienky transakcie;</w:t>
      </w:r>
    </w:p>
    <w:p w14:paraId="7B8A02AD" w14:textId="5DB45A87" w:rsidR="00F537B9" w:rsidRDefault="00523180" w:rsidP="00523180">
      <w:pPr>
        <w:pStyle w:val="Point1"/>
        <w:rPr>
          <w:noProof/>
        </w:rPr>
      </w:pPr>
      <w:r>
        <w:rPr>
          <w:noProof/>
        </w:rPr>
        <w:t>b)</w:t>
      </w:r>
      <w:r>
        <w:rPr>
          <w:noProof/>
        </w:rPr>
        <w:tab/>
      </w:r>
      <w:r w:rsidR="003E6DF9" w:rsidRPr="00F537B9">
        <w:rPr>
          <w:noProof/>
        </w:rPr>
        <w:t>funkcie, ktoré vykonáva každá zo strán transakcie,</w:t>
      </w:r>
      <w:r w:rsidR="00F537B9">
        <w:rPr>
          <w:noProof/>
        </w:rPr>
        <w:t xml:space="preserve"> s </w:t>
      </w:r>
      <w:r w:rsidR="003E6DF9" w:rsidRPr="00F537B9">
        <w:rPr>
          <w:noProof/>
        </w:rPr>
        <w:t>prihliadnutím na použité aktíva</w:t>
      </w:r>
      <w:r w:rsidR="00F537B9">
        <w:rPr>
          <w:noProof/>
        </w:rPr>
        <w:t xml:space="preserve"> a </w:t>
      </w:r>
      <w:r w:rsidR="003E6DF9" w:rsidRPr="00F537B9">
        <w:rPr>
          <w:noProof/>
        </w:rPr>
        <w:t>znášané riziká, vrátane toho, ako tieto funkcie súvisia so širšou tvorbou hodnoty nadnárodnou skupinou podnikov, do ktorej strany patria, okolností transakcie</w:t>
      </w:r>
      <w:r w:rsidR="00F537B9">
        <w:rPr>
          <w:noProof/>
        </w:rPr>
        <w:t xml:space="preserve"> a </w:t>
      </w:r>
      <w:r w:rsidR="003E6DF9" w:rsidRPr="00F537B9">
        <w:rPr>
          <w:noProof/>
        </w:rPr>
        <w:t>praxe</w:t>
      </w:r>
      <w:r w:rsidR="00F537B9">
        <w:rPr>
          <w:noProof/>
        </w:rPr>
        <w:t xml:space="preserve"> v </w:t>
      </w:r>
      <w:r w:rsidR="003E6DF9" w:rsidRPr="00F537B9">
        <w:rPr>
          <w:noProof/>
        </w:rPr>
        <w:t>odvetví</w:t>
      </w:r>
      <w:r w:rsidR="00F537B9">
        <w:rPr>
          <w:noProof/>
        </w:rPr>
        <w:t>;</w:t>
      </w:r>
    </w:p>
    <w:p w14:paraId="261E3D22" w14:textId="3A9A6108" w:rsidR="00E07B7C" w:rsidRPr="00F537B9" w:rsidRDefault="00523180" w:rsidP="00523180">
      <w:pPr>
        <w:pStyle w:val="Point1"/>
        <w:rPr>
          <w:noProof/>
        </w:rPr>
      </w:pPr>
      <w:r>
        <w:rPr>
          <w:noProof/>
        </w:rPr>
        <w:t>c)</w:t>
      </w:r>
      <w:r>
        <w:rPr>
          <w:noProof/>
        </w:rPr>
        <w:tab/>
      </w:r>
      <w:r w:rsidR="003E6DF9" w:rsidRPr="00F537B9">
        <w:rPr>
          <w:noProof/>
        </w:rPr>
        <w:t>charakteristické znaky prevedeného majetku alebo poskytnutých služieb;</w:t>
      </w:r>
    </w:p>
    <w:p w14:paraId="711C193D" w14:textId="0BC2F941" w:rsidR="00E07B7C" w:rsidRPr="00F537B9" w:rsidRDefault="00523180" w:rsidP="00523180">
      <w:pPr>
        <w:pStyle w:val="Point1"/>
        <w:rPr>
          <w:noProof/>
        </w:rPr>
      </w:pPr>
      <w:r>
        <w:rPr>
          <w:noProof/>
        </w:rPr>
        <w:t>d)</w:t>
      </w:r>
      <w:r>
        <w:rPr>
          <w:noProof/>
        </w:rPr>
        <w:tab/>
      </w:r>
      <w:r w:rsidR="003E6DF9" w:rsidRPr="00F537B9">
        <w:rPr>
          <w:noProof/>
        </w:rPr>
        <w:t>hospodárska situácia strán</w:t>
      </w:r>
      <w:r w:rsidR="00F537B9">
        <w:rPr>
          <w:noProof/>
        </w:rPr>
        <w:t xml:space="preserve"> a </w:t>
      </w:r>
      <w:r w:rsidR="003E6DF9" w:rsidRPr="00F537B9">
        <w:rPr>
          <w:noProof/>
        </w:rPr>
        <w:t>trhu, na ktorom strany pôsobia;</w:t>
      </w:r>
    </w:p>
    <w:p w14:paraId="5E013BD5" w14:textId="22844664" w:rsidR="00E07B7C" w:rsidRPr="00F537B9" w:rsidRDefault="00523180" w:rsidP="00523180">
      <w:pPr>
        <w:pStyle w:val="Point1"/>
        <w:rPr>
          <w:noProof/>
        </w:rPr>
      </w:pPr>
      <w:r>
        <w:rPr>
          <w:noProof/>
        </w:rPr>
        <w:t>e)</w:t>
      </w:r>
      <w:r>
        <w:rPr>
          <w:noProof/>
        </w:rPr>
        <w:tab/>
      </w:r>
      <w:r w:rsidR="003E6DF9" w:rsidRPr="00F537B9">
        <w:rPr>
          <w:noProof/>
        </w:rPr>
        <w:t>obchodné stratégie strán.</w:t>
      </w:r>
    </w:p>
    <w:p w14:paraId="0030AF6B" w14:textId="666387C9" w:rsidR="00F537B9" w:rsidRDefault="00545434" w:rsidP="00545434">
      <w:pPr>
        <w:pStyle w:val="ManualNumPar1"/>
        <w:rPr>
          <w:noProof/>
        </w:rPr>
      </w:pPr>
      <w:r w:rsidRPr="00545434">
        <w:t>3.</w:t>
      </w:r>
      <w:r w:rsidRPr="00545434">
        <w:tab/>
      </w:r>
      <w:r w:rsidR="00253FB3" w:rsidRPr="00F537B9">
        <w:rPr>
          <w:noProof/>
        </w:rPr>
        <w:t>Nekontrolovaná transakcia je porovnateľná</w:t>
      </w:r>
      <w:r w:rsidR="00F537B9">
        <w:rPr>
          <w:noProof/>
        </w:rPr>
        <w:t xml:space="preserve"> s </w:t>
      </w:r>
      <w:r w:rsidR="00253FB3" w:rsidRPr="00F537B9">
        <w:rPr>
          <w:noProof/>
        </w:rPr>
        <w:t>kontrolovanou transakciou, ak je splnená niektorá</w:t>
      </w:r>
      <w:r w:rsidR="00F537B9">
        <w:rPr>
          <w:noProof/>
        </w:rPr>
        <w:t xml:space="preserve"> z </w:t>
      </w:r>
      <w:r w:rsidR="00253FB3" w:rsidRPr="00F537B9">
        <w:rPr>
          <w:noProof/>
        </w:rPr>
        <w:t>týchto podmienok</w:t>
      </w:r>
      <w:r w:rsidR="00F537B9">
        <w:rPr>
          <w:noProof/>
        </w:rPr>
        <w:t>:</w:t>
      </w:r>
    </w:p>
    <w:p w14:paraId="1E78E371" w14:textId="5F6F346D" w:rsidR="00F537B9" w:rsidRDefault="00523180" w:rsidP="00523180">
      <w:pPr>
        <w:pStyle w:val="Point1"/>
        <w:rPr>
          <w:noProof/>
        </w:rPr>
      </w:pPr>
      <w:r>
        <w:rPr>
          <w:noProof/>
        </w:rPr>
        <w:t>a)</w:t>
      </w:r>
      <w:r>
        <w:rPr>
          <w:noProof/>
        </w:rPr>
        <w:tab/>
      </w:r>
      <w:r w:rsidR="00253FB3" w:rsidRPr="00F537B9">
        <w:rPr>
          <w:noProof/>
        </w:rPr>
        <w:t>žiadny</w:t>
      </w:r>
      <w:r w:rsidR="00F537B9">
        <w:rPr>
          <w:noProof/>
        </w:rPr>
        <w:t xml:space="preserve"> z </w:t>
      </w:r>
      <w:r w:rsidR="00253FB3" w:rsidRPr="00F537B9">
        <w:rPr>
          <w:noProof/>
        </w:rPr>
        <w:t>(prípadných) rozdielov medzi porovnávanými transakciami alebo medzi podnikmi vykonávajúcimi tieto transakcie by nemohol podstatne ovplyvniť cenu na voľnom trhu</w:t>
      </w:r>
      <w:r w:rsidR="00F537B9">
        <w:rPr>
          <w:noProof/>
        </w:rPr>
        <w:t>;</w:t>
      </w:r>
    </w:p>
    <w:p w14:paraId="31815942" w14:textId="40B4B3EB" w:rsidR="00253FB3" w:rsidRPr="00F537B9" w:rsidRDefault="00523180" w:rsidP="00523180">
      <w:pPr>
        <w:pStyle w:val="Point1"/>
        <w:rPr>
          <w:noProof/>
        </w:rPr>
      </w:pPr>
      <w:r>
        <w:rPr>
          <w:noProof/>
        </w:rPr>
        <w:t>b)</w:t>
      </w:r>
      <w:r>
        <w:rPr>
          <w:noProof/>
        </w:rPr>
        <w:tab/>
      </w:r>
      <w:r w:rsidR="00253FB3" w:rsidRPr="00F537B9">
        <w:rPr>
          <w:noProof/>
        </w:rPr>
        <w:t>je možné vykonať primerane presné úpravy, aby sa odstránili podstatné účinky uvedených rozdielov.</w:t>
      </w:r>
    </w:p>
    <w:p w14:paraId="4A4A118B" w14:textId="5E93C7C4" w:rsidR="00E73934" w:rsidRPr="00F537B9" w:rsidRDefault="00545434" w:rsidP="00545434">
      <w:pPr>
        <w:pStyle w:val="ManualNumPar1"/>
        <w:rPr>
          <w:noProof/>
        </w:rPr>
      </w:pPr>
      <w:bookmarkStart w:id="35" w:name="_Hlk139200566"/>
      <w:r w:rsidRPr="00545434">
        <w:t>4.</w:t>
      </w:r>
      <w:r w:rsidRPr="00545434">
        <w:tab/>
      </w:r>
      <w:r w:rsidR="004750DC" w:rsidRPr="00F537B9">
        <w:rPr>
          <w:noProof/>
        </w:rPr>
        <w:t>Členské štáty zabezpečia, aby hľadanie porovnateľných nekontrolovaných transakcií bolo transparentné</w:t>
      </w:r>
      <w:r w:rsidR="00F537B9">
        <w:rPr>
          <w:noProof/>
        </w:rPr>
        <w:t xml:space="preserve"> a </w:t>
      </w:r>
      <w:r w:rsidR="004750DC" w:rsidRPr="00F537B9">
        <w:rPr>
          <w:noProof/>
        </w:rPr>
        <w:t>reprodukovateľné.</w:t>
      </w:r>
    </w:p>
    <w:bookmarkEnd w:id="35"/>
    <w:p w14:paraId="168FCFCD" w14:textId="175597F6" w:rsidR="00E07B7C" w:rsidRPr="00F537B9" w:rsidRDefault="00E07B7C" w:rsidP="00E07B7C">
      <w:pPr>
        <w:pStyle w:val="Titrearticle"/>
        <w:rPr>
          <w:b/>
          <w:i w:val="0"/>
          <w:noProof/>
        </w:rPr>
      </w:pPr>
      <w:r w:rsidRPr="00F537B9">
        <w:rPr>
          <w:noProof/>
        </w:rPr>
        <w:t xml:space="preserve">Článok 12 </w:t>
      </w:r>
      <w:r w:rsidRPr="00F537B9">
        <w:rPr>
          <w:noProof/>
        </w:rPr>
        <w:br/>
      </w:r>
      <w:r w:rsidRPr="00F537B9">
        <w:rPr>
          <w:b/>
          <w:i w:val="0"/>
          <w:noProof/>
        </w:rPr>
        <w:t>Určenie rozpätia hodnôt</w:t>
      </w:r>
      <w:r w:rsidR="00F537B9">
        <w:rPr>
          <w:b/>
          <w:i w:val="0"/>
          <w:noProof/>
        </w:rPr>
        <w:t xml:space="preserve"> v </w:t>
      </w:r>
      <w:r w:rsidRPr="00F537B9">
        <w:rPr>
          <w:b/>
          <w:i w:val="0"/>
          <w:noProof/>
        </w:rPr>
        <w:t>rámci nezávislého vzťahu</w:t>
      </w:r>
    </w:p>
    <w:p w14:paraId="262397D5" w14:textId="66E0F13E" w:rsidR="00E07B7C" w:rsidRPr="00F537B9" w:rsidRDefault="00545434" w:rsidP="00545434">
      <w:pPr>
        <w:pStyle w:val="ManualNumPar1"/>
        <w:rPr>
          <w:noProof/>
        </w:rPr>
      </w:pPr>
      <w:r w:rsidRPr="00545434">
        <w:t>1.</w:t>
      </w:r>
      <w:r w:rsidRPr="00545434">
        <w:tab/>
      </w:r>
      <w:r w:rsidR="003A0CFC" w:rsidRPr="00F537B9">
        <w:rPr>
          <w:noProof/>
        </w:rPr>
        <w:t>Členské štáty zabezpečia, aby sa</w:t>
      </w:r>
      <w:r w:rsidR="00F537B9">
        <w:rPr>
          <w:noProof/>
        </w:rPr>
        <w:t xml:space="preserve"> v </w:t>
      </w:r>
      <w:r w:rsidR="003A0CFC" w:rsidRPr="00F537B9">
        <w:rPr>
          <w:noProof/>
        </w:rPr>
        <w:t>prípade, keď uplatnenie metód transferového oceňovania vedie</w:t>
      </w:r>
      <w:r w:rsidR="00F537B9">
        <w:rPr>
          <w:noProof/>
        </w:rPr>
        <w:t xml:space="preserve"> k </w:t>
      </w:r>
      <w:r w:rsidR="003A0CFC" w:rsidRPr="00F537B9">
        <w:rPr>
          <w:noProof/>
        </w:rPr>
        <w:t>vytvoreniu rozpätia hodnôt, toto rozpätie hodnôt</w:t>
      </w:r>
      <w:r w:rsidR="00F537B9">
        <w:rPr>
          <w:noProof/>
        </w:rPr>
        <w:t xml:space="preserve"> v </w:t>
      </w:r>
      <w:r w:rsidR="003A0CFC" w:rsidRPr="00F537B9">
        <w:rPr>
          <w:noProof/>
        </w:rPr>
        <w:t>rámci nezávislého vzťahu stanovilo</w:t>
      </w:r>
      <w:r w:rsidR="00F537B9">
        <w:rPr>
          <w:noProof/>
        </w:rPr>
        <w:t xml:space="preserve"> s </w:t>
      </w:r>
      <w:r w:rsidR="003A0CFC" w:rsidRPr="00F537B9">
        <w:rPr>
          <w:noProof/>
        </w:rPr>
        <w:t>použitím medzikvartilového rozpätia výsledkov porovnateľných údajov</w:t>
      </w:r>
      <w:r w:rsidR="00F537B9">
        <w:rPr>
          <w:noProof/>
        </w:rPr>
        <w:t xml:space="preserve"> z </w:t>
      </w:r>
      <w:r w:rsidR="003A0CFC" w:rsidRPr="00F537B9">
        <w:rPr>
          <w:noProof/>
        </w:rPr>
        <w:t>nekontrolovaných transakcií.</w:t>
      </w:r>
    </w:p>
    <w:p w14:paraId="3E848E3C" w14:textId="2B8D4D73" w:rsidR="005C0FB0" w:rsidRPr="00F537B9" w:rsidRDefault="00545434" w:rsidP="00545434">
      <w:pPr>
        <w:pStyle w:val="ManualNumPar1"/>
        <w:rPr>
          <w:noProof/>
        </w:rPr>
      </w:pPr>
      <w:r w:rsidRPr="00545434">
        <w:t>2.</w:t>
      </w:r>
      <w:r w:rsidRPr="00545434">
        <w:tab/>
      </w:r>
      <w:r w:rsidR="005C0FB0" w:rsidRPr="00F537B9">
        <w:rPr>
          <w:noProof/>
        </w:rPr>
        <w:t>Medzikvartilové rozpätie je rozpätie medzi 25</w:t>
      </w:r>
      <w:r w:rsidR="00F537B9">
        <w:rPr>
          <w:noProof/>
        </w:rPr>
        <w:t>. a </w:t>
      </w:r>
      <w:r w:rsidR="005C0FB0" w:rsidRPr="00F537B9">
        <w:rPr>
          <w:noProof/>
        </w:rPr>
        <w:t>75. percentilom výsledkov získaných</w:t>
      </w:r>
      <w:r w:rsidR="00F537B9">
        <w:rPr>
          <w:noProof/>
        </w:rPr>
        <w:t xml:space="preserve"> z </w:t>
      </w:r>
      <w:r w:rsidR="005C0FB0" w:rsidRPr="00F537B9">
        <w:rPr>
          <w:noProof/>
        </w:rPr>
        <w:t>porovnateľných údajov</w:t>
      </w:r>
      <w:r w:rsidR="00F537B9">
        <w:rPr>
          <w:noProof/>
        </w:rPr>
        <w:t xml:space="preserve"> z </w:t>
      </w:r>
      <w:r w:rsidR="005C0FB0" w:rsidRPr="00F537B9">
        <w:rPr>
          <w:noProof/>
        </w:rPr>
        <w:t>nekontrolovaných transakcií.</w:t>
      </w:r>
    </w:p>
    <w:p w14:paraId="7E51750D" w14:textId="7F7AF81C" w:rsidR="005C0FB0" w:rsidRPr="00F537B9" w:rsidRDefault="00545434" w:rsidP="00545434">
      <w:pPr>
        <w:pStyle w:val="ManualNumPar1"/>
        <w:rPr>
          <w:noProof/>
        </w:rPr>
      </w:pPr>
      <w:r w:rsidRPr="00545434">
        <w:t>3.</w:t>
      </w:r>
      <w:r w:rsidRPr="00545434">
        <w:tab/>
      </w:r>
      <w:r w:rsidR="00634483" w:rsidRPr="00F537B9">
        <w:rPr>
          <w:noProof/>
        </w:rPr>
        <w:t>Členské štáty zabezpečia, aby sa pri daňovníkovi neuplatnila úprava, ak jeho výsledky patria do rozpätia hodnôt</w:t>
      </w:r>
      <w:r w:rsidR="00F537B9">
        <w:rPr>
          <w:noProof/>
        </w:rPr>
        <w:t xml:space="preserve"> v </w:t>
      </w:r>
      <w:r w:rsidR="00634483" w:rsidRPr="00F537B9">
        <w:rPr>
          <w:noProof/>
        </w:rPr>
        <w:t>rámci nezávislého vzťahu, pokiaľ sa nepreukáže, že určité iné umiestnenie na rozpätí je odôvodnené skutočnosťami</w:t>
      </w:r>
      <w:r w:rsidR="00F537B9">
        <w:rPr>
          <w:noProof/>
        </w:rPr>
        <w:t xml:space="preserve"> a </w:t>
      </w:r>
      <w:r w:rsidR="00634483" w:rsidRPr="00F537B9">
        <w:rPr>
          <w:noProof/>
        </w:rPr>
        <w:t>okolnosťami konkrétneho prípadu.</w:t>
      </w:r>
    </w:p>
    <w:p w14:paraId="582028D7" w14:textId="159E9306" w:rsidR="00F537B9" w:rsidRDefault="00545434" w:rsidP="00545434">
      <w:pPr>
        <w:pStyle w:val="ManualNumPar1"/>
        <w:rPr>
          <w:noProof/>
        </w:rPr>
      </w:pPr>
      <w:r w:rsidRPr="00545434">
        <w:t>4.</w:t>
      </w:r>
      <w:r w:rsidRPr="00545434">
        <w:tab/>
      </w:r>
      <w:r w:rsidR="00D83051" w:rsidRPr="00F537B9">
        <w:rPr>
          <w:noProof/>
        </w:rPr>
        <w:t>Členské štáty zabezpečia, aby sa</w:t>
      </w:r>
      <w:r w:rsidR="00F537B9">
        <w:rPr>
          <w:noProof/>
        </w:rPr>
        <w:t xml:space="preserve"> v </w:t>
      </w:r>
      <w:r w:rsidR="00D83051" w:rsidRPr="00F537B9">
        <w:rPr>
          <w:noProof/>
        </w:rPr>
        <w:t>prípade, že výsledky kontrolovanej transakcie ležia mimo rozpätia hodnôt</w:t>
      </w:r>
      <w:r w:rsidR="00F537B9">
        <w:rPr>
          <w:noProof/>
        </w:rPr>
        <w:t xml:space="preserve"> v </w:t>
      </w:r>
      <w:r w:rsidR="00D83051" w:rsidRPr="00F537B9">
        <w:rPr>
          <w:noProof/>
        </w:rPr>
        <w:t>rámci nezávislého vzťahu, vykonala úprava na medián všetkých výsledkov, pokiaľ sa nepreukáže, že akýkoľvek iný bod rozpätia predstavuje nezávislú trhovú cenu</w:t>
      </w:r>
      <w:r w:rsidR="00F537B9">
        <w:rPr>
          <w:noProof/>
        </w:rPr>
        <w:t xml:space="preserve"> s </w:t>
      </w:r>
      <w:r w:rsidR="00D83051" w:rsidRPr="00F537B9">
        <w:rPr>
          <w:noProof/>
        </w:rPr>
        <w:t>prihliadnutím na okolnosti konkrétneho prípadu. Medián je 50. percentil rozpätia výsledkov porovnateľných nekontrolovaných transakcií</w:t>
      </w:r>
      <w:r w:rsidR="00F537B9">
        <w:rPr>
          <w:noProof/>
        </w:rPr>
        <w:t>.</w:t>
      </w:r>
    </w:p>
    <w:p w14:paraId="428CEC1B" w14:textId="4C985C3E" w:rsidR="000D5346" w:rsidRPr="00F537B9" w:rsidRDefault="000D5346" w:rsidP="000D5346">
      <w:pPr>
        <w:pStyle w:val="Titrearticle"/>
        <w:rPr>
          <w:b/>
          <w:bCs/>
          <w:i w:val="0"/>
          <w:iCs/>
          <w:noProof/>
        </w:rPr>
      </w:pPr>
      <w:bookmarkStart w:id="36" w:name="_Hlk144227178"/>
      <w:r w:rsidRPr="00F537B9">
        <w:rPr>
          <w:noProof/>
        </w:rPr>
        <w:t xml:space="preserve">Článok 13 </w:t>
      </w:r>
      <w:r w:rsidRPr="00F537B9">
        <w:rPr>
          <w:noProof/>
        </w:rPr>
        <w:br/>
      </w:r>
      <w:r w:rsidRPr="00F537B9">
        <w:rPr>
          <w:b/>
          <w:i w:val="0"/>
          <w:noProof/>
        </w:rPr>
        <w:t>Dokumentácia</w:t>
      </w:r>
      <w:r w:rsidR="00F537B9">
        <w:rPr>
          <w:b/>
          <w:i w:val="0"/>
          <w:noProof/>
        </w:rPr>
        <w:t xml:space="preserve"> o </w:t>
      </w:r>
      <w:r w:rsidRPr="00F537B9">
        <w:rPr>
          <w:b/>
          <w:i w:val="0"/>
          <w:noProof/>
        </w:rPr>
        <w:t>transferovom oceňovaní</w:t>
      </w:r>
    </w:p>
    <w:p w14:paraId="75EE3BC4" w14:textId="72C5496B" w:rsidR="00F537B9" w:rsidRDefault="00545434" w:rsidP="00545434">
      <w:pPr>
        <w:pStyle w:val="ManualNumPar1"/>
        <w:rPr>
          <w:noProof/>
        </w:rPr>
      </w:pPr>
      <w:r w:rsidRPr="00545434">
        <w:t>1.</w:t>
      </w:r>
      <w:r w:rsidRPr="00545434">
        <w:tab/>
      </w:r>
      <w:r w:rsidR="000D5346" w:rsidRPr="00F537B9">
        <w:rPr>
          <w:noProof/>
        </w:rPr>
        <w:t>Členské štáty zabezpečia, aby mal daňovník</w:t>
      </w:r>
      <w:r w:rsidR="00F537B9">
        <w:rPr>
          <w:noProof/>
        </w:rPr>
        <w:t xml:space="preserve"> k </w:t>
      </w:r>
      <w:r w:rsidR="000D5346" w:rsidRPr="00F537B9">
        <w:rPr>
          <w:noProof/>
        </w:rPr>
        <w:t>dispozícii dostatočné informácie</w:t>
      </w:r>
      <w:r w:rsidR="00F537B9">
        <w:rPr>
          <w:noProof/>
        </w:rPr>
        <w:t xml:space="preserve"> a </w:t>
      </w:r>
      <w:r w:rsidR="000D5346" w:rsidRPr="00F537B9">
        <w:rPr>
          <w:noProof/>
        </w:rPr>
        <w:t>analýzy na overenie toho, že podmienky jeho transakcií</w:t>
      </w:r>
      <w:r w:rsidR="00F537B9">
        <w:rPr>
          <w:noProof/>
        </w:rPr>
        <w:t xml:space="preserve"> s </w:t>
      </w:r>
      <w:r w:rsidR="000D5346" w:rsidRPr="00F537B9">
        <w:rPr>
          <w:noProof/>
        </w:rPr>
        <w:t>pridruženými podnikmi sú</w:t>
      </w:r>
      <w:r w:rsidR="00F537B9">
        <w:rPr>
          <w:noProof/>
        </w:rPr>
        <w:t xml:space="preserve"> v </w:t>
      </w:r>
      <w:r w:rsidR="000D5346" w:rsidRPr="00F537B9">
        <w:rPr>
          <w:noProof/>
        </w:rPr>
        <w:t>súlade</w:t>
      </w:r>
      <w:r w:rsidR="00F537B9">
        <w:rPr>
          <w:noProof/>
        </w:rPr>
        <w:t xml:space="preserve"> s </w:t>
      </w:r>
      <w:r w:rsidR="000D5346" w:rsidRPr="00F537B9">
        <w:rPr>
          <w:noProof/>
        </w:rPr>
        <w:t>článkom 4 ods. 1, pričom by mali zahŕňať aspoň prvky uvedené</w:t>
      </w:r>
      <w:r w:rsidR="00F537B9">
        <w:rPr>
          <w:noProof/>
        </w:rPr>
        <w:t xml:space="preserve"> v </w:t>
      </w:r>
      <w:r w:rsidR="000D5346" w:rsidRPr="00F537B9">
        <w:rPr>
          <w:noProof/>
        </w:rPr>
        <w:t>článkoch 8, 9, 10, 11</w:t>
      </w:r>
      <w:r w:rsidR="00F537B9">
        <w:rPr>
          <w:noProof/>
        </w:rPr>
        <w:t xml:space="preserve"> a </w:t>
      </w:r>
      <w:r w:rsidR="000D5346" w:rsidRPr="00F537B9">
        <w:rPr>
          <w:noProof/>
        </w:rPr>
        <w:t>12</w:t>
      </w:r>
      <w:r w:rsidR="00F537B9">
        <w:rPr>
          <w:noProof/>
        </w:rPr>
        <w:t>.</w:t>
      </w:r>
    </w:p>
    <w:bookmarkEnd w:id="36"/>
    <w:p w14:paraId="50451931" w14:textId="16771DF7" w:rsidR="00790B6B" w:rsidRPr="00F537B9" w:rsidRDefault="00545434" w:rsidP="00545434">
      <w:pPr>
        <w:pStyle w:val="ManualNumPar1"/>
        <w:rPr>
          <w:noProof/>
        </w:rPr>
      </w:pPr>
      <w:r w:rsidRPr="00545434">
        <w:t>2.</w:t>
      </w:r>
      <w:r w:rsidRPr="00545434">
        <w:tab/>
      </w:r>
      <w:r w:rsidR="00C033AF" w:rsidRPr="00F537B9">
        <w:rPr>
          <w:noProof/>
        </w:rPr>
        <w:t>Komisia je splnomocnená prijímať delegované akty</w:t>
      </w:r>
      <w:r w:rsidR="00F537B9">
        <w:rPr>
          <w:noProof/>
        </w:rPr>
        <w:t xml:space="preserve"> v </w:t>
      </w:r>
      <w:r w:rsidR="00C033AF" w:rsidRPr="00F537B9">
        <w:rPr>
          <w:noProof/>
        </w:rPr>
        <w:t>súlade</w:t>
      </w:r>
      <w:r w:rsidR="00F537B9">
        <w:rPr>
          <w:noProof/>
        </w:rPr>
        <w:t xml:space="preserve"> s </w:t>
      </w:r>
      <w:r w:rsidR="00C033AF" w:rsidRPr="00F537B9">
        <w:rPr>
          <w:noProof/>
        </w:rPr>
        <w:t>článkom 18</w:t>
      </w:r>
      <w:r w:rsidR="00F537B9">
        <w:rPr>
          <w:noProof/>
        </w:rPr>
        <w:t xml:space="preserve"> s </w:t>
      </w:r>
      <w:r w:rsidR="00C033AF" w:rsidRPr="00F537B9">
        <w:rPr>
          <w:noProof/>
        </w:rPr>
        <w:t>cieľom ďalej doplniť pravidlo uvedené</w:t>
      </w:r>
      <w:r w:rsidR="00F537B9">
        <w:rPr>
          <w:noProof/>
        </w:rPr>
        <w:t xml:space="preserve"> v </w:t>
      </w:r>
      <w:r w:rsidR="00C033AF" w:rsidRPr="00F537B9">
        <w:rPr>
          <w:noProof/>
        </w:rPr>
        <w:t>odseku 1, pokiaľ ide</w:t>
      </w:r>
      <w:r w:rsidR="00F537B9">
        <w:rPr>
          <w:noProof/>
        </w:rPr>
        <w:t xml:space="preserve"> o </w:t>
      </w:r>
      <w:r w:rsidR="00C033AF" w:rsidRPr="00F537B9">
        <w:rPr>
          <w:noProof/>
        </w:rPr>
        <w:t>dokumentáciu,</w:t>
      </w:r>
      <w:r w:rsidR="00F537B9">
        <w:rPr>
          <w:noProof/>
        </w:rPr>
        <w:t xml:space="preserve"> a </w:t>
      </w:r>
      <w:r w:rsidR="00C033AF" w:rsidRPr="00F537B9">
        <w:rPr>
          <w:noProof/>
        </w:rPr>
        <w:t>to stanovením spoločných vzorov, nastavením jazykových požiadaviek, vymedzením typu daňovníka, ktorý sa má týmito vzormi riadiť,</w:t>
      </w:r>
      <w:r w:rsidR="00F537B9">
        <w:rPr>
          <w:noProof/>
        </w:rPr>
        <w:t xml:space="preserve"> a </w:t>
      </w:r>
      <w:r w:rsidR="00C033AF" w:rsidRPr="00F537B9">
        <w:rPr>
          <w:noProof/>
        </w:rPr>
        <w:t>časových rámcov, na ktoré sa má dokumentácia vzťahovať.</w:t>
      </w:r>
    </w:p>
    <w:p w14:paraId="05E458DA" w14:textId="77777777" w:rsidR="001E14DB" w:rsidRPr="00F537B9" w:rsidRDefault="001E14DB" w:rsidP="000D5346">
      <w:pPr>
        <w:jc w:val="center"/>
        <w:rPr>
          <w:b/>
          <w:bCs/>
          <w:noProof/>
        </w:rPr>
      </w:pPr>
    </w:p>
    <w:p w14:paraId="243153D3" w14:textId="77777777" w:rsidR="00EA2442" w:rsidRPr="00F537B9" w:rsidRDefault="00EA2442" w:rsidP="00523180">
      <w:pPr>
        <w:keepNext/>
        <w:keepLines/>
        <w:jc w:val="center"/>
        <w:rPr>
          <w:b/>
          <w:bCs/>
          <w:noProof/>
        </w:rPr>
      </w:pPr>
      <w:r w:rsidRPr="00F537B9">
        <w:rPr>
          <w:b/>
          <w:noProof/>
        </w:rPr>
        <w:t>KAPITOLA III</w:t>
      </w:r>
    </w:p>
    <w:p w14:paraId="13699B13" w14:textId="77777777" w:rsidR="00E07B7C" w:rsidRPr="00F537B9" w:rsidRDefault="00C42A23" w:rsidP="00523180">
      <w:pPr>
        <w:keepNext/>
        <w:keepLines/>
        <w:jc w:val="center"/>
        <w:rPr>
          <w:b/>
          <w:noProof/>
        </w:rPr>
      </w:pPr>
      <w:r w:rsidRPr="00F537B9">
        <w:rPr>
          <w:b/>
          <w:noProof/>
        </w:rPr>
        <w:t>ORGANIZAČNÉ ASPEKTY</w:t>
      </w:r>
    </w:p>
    <w:p w14:paraId="556EDE13" w14:textId="77777777" w:rsidR="00E07B7C" w:rsidRPr="00F537B9" w:rsidRDefault="00E07B7C" w:rsidP="00523180">
      <w:pPr>
        <w:pStyle w:val="Titrearticle"/>
        <w:keepLines/>
        <w:rPr>
          <w:noProof/>
        </w:rPr>
      </w:pPr>
      <w:bookmarkStart w:id="37" w:name="_Hlk137977634"/>
      <w:bookmarkStart w:id="38" w:name="_Hlk139292524"/>
      <w:bookmarkStart w:id="39" w:name="_Hlk143098496"/>
      <w:r w:rsidRPr="00F537B9">
        <w:rPr>
          <w:noProof/>
        </w:rPr>
        <w:t xml:space="preserve">Článok 14 </w:t>
      </w:r>
      <w:r w:rsidRPr="00F537B9">
        <w:rPr>
          <w:noProof/>
        </w:rPr>
        <w:br/>
      </w:r>
      <w:r w:rsidRPr="00F537B9">
        <w:rPr>
          <w:b/>
          <w:i w:val="0"/>
          <w:noProof/>
        </w:rPr>
        <w:t>Uplatňovanie princípu nezávislého vzťahu</w:t>
      </w:r>
    </w:p>
    <w:bookmarkEnd w:id="37"/>
    <w:p w14:paraId="42CBB6CE" w14:textId="23C34D3F" w:rsidR="00F537B9" w:rsidRDefault="00545434" w:rsidP="00545434">
      <w:pPr>
        <w:pStyle w:val="ManualNumPar1"/>
        <w:rPr>
          <w:noProof/>
        </w:rPr>
      </w:pPr>
      <w:r w:rsidRPr="00545434">
        <w:t>1.</w:t>
      </w:r>
      <w:r w:rsidRPr="00545434">
        <w:tab/>
      </w:r>
      <w:r w:rsidR="001E14DB" w:rsidRPr="00F537B9">
        <w:rPr>
          <w:noProof/>
        </w:rPr>
        <w:t>Členské štáty zahrnú do vnútroštátnych pravidiel, ktorými sa transponujú pravidlá transferového oceňovania stanovené</w:t>
      </w:r>
      <w:r w:rsidR="00F537B9">
        <w:rPr>
          <w:noProof/>
        </w:rPr>
        <w:t xml:space="preserve"> v </w:t>
      </w:r>
      <w:r w:rsidR="001E14DB" w:rsidRPr="00F537B9">
        <w:rPr>
          <w:noProof/>
        </w:rPr>
        <w:t>kapitole II tejto smernice, ustanovenia, ktorými sa zabezpečí, aby sa tieto pravidlá transferového oceňovania uplatňovali spôsobom, ktorý je</w:t>
      </w:r>
      <w:r w:rsidR="00F537B9">
        <w:rPr>
          <w:noProof/>
        </w:rPr>
        <w:t xml:space="preserve"> v </w:t>
      </w:r>
      <w:r w:rsidR="001E14DB" w:rsidRPr="00F537B9">
        <w:rPr>
          <w:noProof/>
        </w:rPr>
        <w:t>súlade so smernicou OECD</w:t>
      </w:r>
      <w:r w:rsidR="00F537B9">
        <w:rPr>
          <w:noProof/>
        </w:rPr>
        <w:t xml:space="preserve"> o </w:t>
      </w:r>
      <w:r w:rsidR="001E14DB" w:rsidRPr="00F537B9">
        <w:rPr>
          <w:noProof/>
        </w:rPr>
        <w:t>transferovom oceňovaní</w:t>
      </w:r>
      <w:r w:rsidR="00F537B9">
        <w:rPr>
          <w:noProof/>
        </w:rPr>
        <w:t>.</w:t>
      </w:r>
    </w:p>
    <w:p w14:paraId="61CA9066" w14:textId="769A97ED" w:rsidR="00F537B9" w:rsidRDefault="00545434" w:rsidP="00545434">
      <w:pPr>
        <w:pStyle w:val="ManualNumPar1"/>
        <w:rPr>
          <w:noProof/>
        </w:rPr>
      </w:pPr>
      <w:r w:rsidRPr="00545434">
        <w:t>2.</w:t>
      </w:r>
      <w:r w:rsidRPr="00545434">
        <w:tab/>
      </w:r>
      <w:r w:rsidR="001E14DB" w:rsidRPr="00F537B9">
        <w:rPr>
          <w:noProof/>
        </w:rPr>
        <w:t>Rada môže stanoviť ďalšie pravidlá, ktoré budú</w:t>
      </w:r>
      <w:r w:rsidR="00F537B9">
        <w:rPr>
          <w:noProof/>
        </w:rPr>
        <w:t xml:space="preserve"> v </w:t>
      </w:r>
      <w:r w:rsidR="001E14DB" w:rsidRPr="00F537B9">
        <w:rPr>
          <w:noProof/>
        </w:rPr>
        <w:t>súlade so smernicou OECD</w:t>
      </w:r>
      <w:r w:rsidR="00F537B9">
        <w:rPr>
          <w:noProof/>
        </w:rPr>
        <w:t xml:space="preserve"> o </w:t>
      </w:r>
      <w:r w:rsidR="001E14DB" w:rsidRPr="00F537B9">
        <w:rPr>
          <w:noProof/>
        </w:rPr>
        <w:t>transferovom oceňovaní</w:t>
      </w:r>
      <w:r w:rsidR="00F537B9">
        <w:rPr>
          <w:noProof/>
        </w:rPr>
        <w:t xml:space="preserve"> a </w:t>
      </w:r>
      <w:r w:rsidR="001E14DB" w:rsidRPr="00F537B9">
        <w:rPr>
          <w:noProof/>
        </w:rPr>
        <w:t>budú upravovať, ako sa majú princíp nezávislého vzťahu</w:t>
      </w:r>
      <w:bookmarkStart w:id="40" w:name="_Hlk139364613"/>
      <w:r w:rsidR="00F537B9">
        <w:rPr>
          <w:noProof/>
        </w:rPr>
        <w:t xml:space="preserve"> a </w:t>
      </w:r>
      <w:r w:rsidR="001E14DB" w:rsidRPr="00F537B9">
        <w:rPr>
          <w:noProof/>
        </w:rPr>
        <w:t>ostatné ustanovenia uvedené</w:t>
      </w:r>
      <w:r w:rsidR="00F537B9">
        <w:rPr>
          <w:noProof/>
        </w:rPr>
        <w:t xml:space="preserve"> v </w:t>
      </w:r>
      <w:r w:rsidR="001E14DB" w:rsidRPr="00F537B9">
        <w:rPr>
          <w:noProof/>
        </w:rPr>
        <w:t>kapitole II tejto smernice</w:t>
      </w:r>
      <w:bookmarkEnd w:id="40"/>
      <w:r w:rsidR="001E14DB" w:rsidRPr="00F537B9">
        <w:rPr>
          <w:noProof/>
        </w:rPr>
        <w:t xml:space="preserve"> uplatňovať na konkrétne transakcie</w:t>
      </w:r>
      <w:r w:rsidR="00F537B9">
        <w:rPr>
          <w:noProof/>
        </w:rPr>
        <w:t xml:space="preserve"> s </w:t>
      </w:r>
      <w:r w:rsidR="001E14DB" w:rsidRPr="00F537B9">
        <w:rPr>
          <w:noProof/>
        </w:rPr>
        <w:t>cieľom zabezpečiť väčšiu daňovú istotu</w:t>
      </w:r>
      <w:r w:rsidR="00F537B9">
        <w:rPr>
          <w:noProof/>
        </w:rPr>
        <w:t xml:space="preserve"> a </w:t>
      </w:r>
      <w:r w:rsidR="001E14DB" w:rsidRPr="00F537B9">
        <w:rPr>
          <w:noProof/>
        </w:rPr>
        <w:t>zmierniť riziko dvojitého zdanenia. Ide</w:t>
      </w:r>
      <w:r w:rsidR="00F537B9">
        <w:rPr>
          <w:noProof/>
        </w:rPr>
        <w:t xml:space="preserve"> o </w:t>
      </w:r>
      <w:r w:rsidR="001E14DB" w:rsidRPr="00F537B9">
        <w:rPr>
          <w:noProof/>
        </w:rPr>
        <w:t>tieto konkrétne transakcie alebo obchody</w:t>
      </w:r>
      <w:r w:rsidR="00F537B9">
        <w:rPr>
          <w:noProof/>
        </w:rPr>
        <w:t>:</w:t>
      </w:r>
    </w:p>
    <w:p w14:paraId="6820F74B" w14:textId="45327DF7" w:rsidR="00F537B9" w:rsidRDefault="00523180" w:rsidP="00523180">
      <w:pPr>
        <w:pStyle w:val="Point1"/>
        <w:rPr>
          <w:noProof/>
        </w:rPr>
      </w:pPr>
      <w:r>
        <w:rPr>
          <w:noProof/>
        </w:rPr>
        <w:t>a)</w:t>
      </w:r>
      <w:r>
        <w:rPr>
          <w:noProof/>
        </w:rPr>
        <w:tab/>
      </w:r>
      <w:r w:rsidR="001E14DB" w:rsidRPr="00F537B9">
        <w:rPr>
          <w:noProof/>
        </w:rPr>
        <w:t>prevod nehmotného majetku alebo práv</w:t>
      </w:r>
      <w:r w:rsidR="00F537B9">
        <w:rPr>
          <w:noProof/>
        </w:rPr>
        <w:t xml:space="preserve"> k </w:t>
      </w:r>
      <w:r w:rsidR="001E14DB" w:rsidRPr="00F537B9">
        <w:rPr>
          <w:noProof/>
        </w:rPr>
        <w:t>nehmotnému majetku medzi pridruženými podnikmi vrátane ťažko ohodnotiteľného nehmotného majetku</w:t>
      </w:r>
      <w:r w:rsidR="00F537B9">
        <w:rPr>
          <w:noProof/>
        </w:rPr>
        <w:t>;</w:t>
      </w:r>
    </w:p>
    <w:p w14:paraId="6BCCF5BE" w14:textId="3417CD5A" w:rsidR="00F537B9" w:rsidRDefault="00523180" w:rsidP="00523180">
      <w:pPr>
        <w:pStyle w:val="Point1"/>
        <w:rPr>
          <w:noProof/>
        </w:rPr>
      </w:pPr>
      <w:r>
        <w:rPr>
          <w:noProof/>
        </w:rPr>
        <w:t>b)</w:t>
      </w:r>
      <w:r>
        <w:rPr>
          <w:noProof/>
        </w:rPr>
        <w:tab/>
      </w:r>
      <w:r w:rsidR="001E14DB" w:rsidRPr="00F537B9">
        <w:rPr>
          <w:noProof/>
        </w:rPr>
        <w:t>poskytovanie služieb medzi pridruženými podnikmi vrátane poskytovania marketingových</w:t>
      </w:r>
      <w:r w:rsidR="00F537B9">
        <w:rPr>
          <w:noProof/>
        </w:rPr>
        <w:t xml:space="preserve"> a </w:t>
      </w:r>
      <w:r w:rsidR="001E14DB" w:rsidRPr="00F537B9">
        <w:rPr>
          <w:noProof/>
        </w:rPr>
        <w:t>distribučných služieb</w:t>
      </w:r>
      <w:r w:rsidR="00F537B9">
        <w:rPr>
          <w:noProof/>
        </w:rPr>
        <w:t>;</w:t>
      </w:r>
    </w:p>
    <w:p w14:paraId="5E2C745F" w14:textId="31902277" w:rsidR="00F537B9" w:rsidRDefault="00523180" w:rsidP="00523180">
      <w:pPr>
        <w:pStyle w:val="Point1"/>
        <w:rPr>
          <w:noProof/>
        </w:rPr>
      </w:pPr>
      <w:r>
        <w:rPr>
          <w:noProof/>
        </w:rPr>
        <w:t>c)</w:t>
      </w:r>
      <w:r>
        <w:rPr>
          <w:noProof/>
        </w:rPr>
        <w:tab/>
      </w:r>
      <w:r w:rsidR="001E14DB" w:rsidRPr="00F537B9">
        <w:rPr>
          <w:noProof/>
        </w:rPr>
        <w:t>dohody</w:t>
      </w:r>
      <w:r w:rsidR="00F537B9">
        <w:rPr>
          <w:noProof/>
        </w:rPr>
        <w:t xml:space="preserve"> o </w:t>
      </w:r>
      <w:r w:rsidR="001E14DB" w:rsidRPr="00F537B9">
        <w:rPr>
          <w:noProof/>
        </w:rPr>
        <w:t>príspevkoch na náklady medzi pridruženými podnikmi</w:t>
      </w:r>
      <w:r w:rsidR="00F537B9">
        <w:rPr>
          <w:noProof/>
        </w:rPr>
        <w:t>;</w:t>
      </w:r>
    </w:p>
    <w:p w14:paraId="49F0E726" w14:textId="13BBE02F" w:rsidR="00F537B9" w:rsidRDefault="00523180" w:rsidP="00523180">
      <w:pPr>
        <w:pStyle w:val="Point1"/>
        <w:rPr>
          <w:noProof/>
        </w:rPr>
      </w:pPr>
      <w:r>
        <w:rPr>
          <w:noProof/>
        </w:rPr>
        <w:t>d)</w:t>
      </w:r>
      <w:r>
        <w:rPr>
          <w:noProof/>
        </w:rPr>
        <w:tab/>
      </w:r>
      <w:r w:rsidR="001E14DB" w:rsidRPr="00F537B9">
        <w:rPr>
          <w:noProof/>
        </w:rPr>
        <w:t>transakcie medzi pridruženými podnikmi</w:t>
      </w:r>
      <w:r w:rsidR="00F537B9">
        <w:rPr>
          <w:noProof/>
        </w:rPr>
        <w:t xml:space="preserve"> v </w:t>
      </w:r>
      <w:r w:rsidR="001E14DB" w:rsidRPr="00F537B9">
        <w:rPr>
          <w:noProof/>
        </w:rPr>
        <w:t>rámci reštrukturalizácie podnikov</w:t>
      </w:r>
      <w:r w:rsidR="00F537B9">
        <w:rPr>
          <w:noProof/>
        </w:rPr>
        <w:t>;</w:t>
      </w:r>
    </w:p>
    <w:p w14:paraId="7370C6E5" w14:textId="528E0A47" w:rsidR="00F537B9" w:rsidRDefault="00523180" w:rsidP="00523180">
      <w:pPr>
        <w:pStyle w:val="Point1"/>
        <w:rPr>
          <w:noProof/>
        </w:rPr>
      </w:pPr>
      <w:r>
        <w:rPr>
          <w:noProof/>
        </w:rPr>
        <w:t>e)</w:t>
      </w:r>
      <w:r>
        <w:rPr>
          <w:noProof/>
        </w:rPr>
        <w:tab/>
      </w:r>
      <w:r w:rsidR="001E14DB" w:rsidRPr="00F537B9">
        <w:rPr>
          <w:noProof/>
        </w:rPr>
        <w:t>finančné transakcie</w:t>
      </w:r>
      <w:r w:rsidR="00F537B9">
        <w:rPr>
          <w:noProof/>
        </w:rPr>
        <w:t>;</w:t>
      </w:r>
    </w:p>
    <w:p w14:paraId="25F2355B" w14:textId="1703FBA6" w:rsidR="001E14DB" w:rsidRPr="00F537B9" w:rsidRDefault="00523180" w:rsidP="00523180">
      <w:pPr>
        <w:pStyle w:val="Point1"/>
        <w:rPr>
          <w:rFonts w:eastAsia="Calibri"/>
          <w:noProof/>
        </w:rPr>
      </w:pPr>
      <w:r>
        <w:rPr>
          <w:noProof/>
        </w:rPr>
        <w:t>f)</w:t>
      </w:r>
      <w:r>
        <w:rPr>
          <w:noProof/>
        </w:rPr>
        <w:tab/>
      </w:r>
      <w:r w:rsidR="001E14DB" w:rsidRPr="00F537B9">
        <w:rPr>
          <w:noProof/>
        </w:rPr>
        <w:t>obchody medzi ústredím</w:t>
      </w:r>
      <w:r w:rsidR="00F537B9">
        <w:rPr>
          <w:noProof/>
        </w:rPr>
        <w:t xml:space="preserve"> a </w:t>
      </w:r>
      <w:r w:rsidR="001E14DB" w:rsidRPr="00F537B9">
        <w:rPr>
          <w:noProof/>
        </w:rPr>
        <w:t>jeho stálymi prevádzkarňami.</w:t>
      </w:r>
    </w:p>
    <w:p w14:paraId="16443812" w14:textId="61578BC9" w:rsidR="00F537B9" w:rsidRDefault="00545434" w:rsidP="00545434">
      <w:pPr>
        <w:pStyle w:val="ManualNumPar1"/>
        <w:rPr>
          <w:noProof/>
        </w:rPr>
      </w:pPr>
      <w:r w:rsidRPr="00545434">
        <w:t>3.</w:t>
      </w:r>
      <w:r w:rsidRPr="00545434">
        <w:tab/>
      </w:r>
      <w:r w:rsidR="001E14DB" w:rsidRPr="00F537B9">
        <w:rPr>
          <w:noProof/>
        </w:rPr>
        <w:t>Pravidlá uvedené</w:t>
      </w:r>
      <w:r w:rsidR="00F537B9">
        <w:rPr>
          <w:noProof/>
        </w:rPr>
        <w:t xml:space="preserve"> v </w:t>
      </w:r>
      <w:r w:rsidR="001E14DB" w:rsidRPr="00F537B9">
        <w:rPr>
          <w:noProof/>
        </w:rPr>
        <w:t>odseku 2 sa prijmú prostredníctvom vykonávacích aktov Rady na základe návrhu Komisie</w:t>
      </w:r>
      <w:bookmarkEnd w:id="38"/>
      <w:r w:rsidR="00F537B9">
        <w:rPr>
          <w:noProof/>
        </w:rPr>
        <w:t>.</w:t>
      </w:r>
    </w:p>
    <w:bookmarkEnd w:id="39"/>
    <w:p w14:paraId="058F1FC1" w14:textId="1C30C6B8" w:rsidR="003E6DF9" w:rsidRPr="00F537B9" w:rsidRDefault="003E6DF9" w:rsidP="00E07B7C">
      <w:pPr>
        <w:jc w:val="center"/>
        <w:rPr>
          <w:b/>
          <w:bCs/>
          <w:noProof/>
        </w:rPr>
      </w:pPr>
    </w:p>
    <w:p w14:paraId="5EC1DAF2" w14:textId="77777777" w:rsidR="00E07B7C" w:rsidRPr="00F537B9" w:rsidRDefault="00E07B7C" w:rsidP="00E07B7C">
      <w:pPr>
        <w:jc w:val="center"/>
        <w:rPr>
          <w:b/>
          <w:bCs/>
          <w:noProof/>
        </w:rPr>
      </w:pPr>
      <w:r w:rsidRPr="00F537B9">
        <w:rPr>
          <w:b/>
          <w:noProof/>
        </w:rPr>
        <w:t>KAPITOLA IV</w:t>
      </w:r>
    </w:p>
    <w:p w14:paraId="4DF959B8" w14:textId="77777777" w:rsidR="00C40ED4" w:rsidRPr="00F537B9" w:rsidRDefault="00C40ED4" w:rsidP="00E07B7C">
      <w:pPr>
        <w:jc w:val="center"/>
        <w:rPr>
          <w:b/>
          <w:bCs/>
          <w:noProof/>
        </w:rPr>
      </w:pPr>
      <w:r w:rsidRPr="00F537B9">
        <w:rPr>
          <w:b/>
          <w:noProof/>
        </w:rPr>
        <w:t>ZÁVEREČNÉ USTANOVENIA</w:t>
      </w:r>
    </w:p>
    <w:p w14:paraId="71F3BF95" w14:textId="77777777" w:rsidR="00C40ED4" w:rsidRPr="00F537B9" w:rsidRDefault="00C40ED4" w:rsidP="00C40ED4">
      <w:pPr>
        <w:pStyle w:val="Titrearticle"/>
        <w:rPr>
          <w:b/>
          <w:bCs/>
          <w:i w:val="0"/>
          <w:iCs/>
          <w:noProof/>
        </w:rPr>
      </w:pPr>
      <w:r w:rsidRPr="00F537B9">
        <w:rPr>
          <w:noProof/>
        </w:rPr>
        <w:t xml:space="preserve">Článok 15 </w:t>
      </w:r>
      <w:r w:rsidRPr="00F537B9">
        <w:rPr>
          <w:noProof/>
        </w:rPr>
        <w:br/>
      </w:r>
      <w:r w:rsidRPr="00F537B9">
        <w:rPr>
          <w:b/>
          <w:i w:val="0"/>
          <w:noProof/>
        </w:rPr>
        <w:t>Hodnotenie</w:t>
      </w:r>
    </w:p>
    <w:p w14:paraId="2F09ABDE" w14:textId="5FC69BE5" w:rsidR="00C40ED4" w:rsidRPr="00F537B9" w:rsidRDefault="00545434" w:rsidP="00545434">
      <w:pPr>
        <w:pStyle w:val="ManualNumPar1"/>
        <w:rPr>
          <w:noProof/>
        </w:rPr>
      </w:pPr>
      <w:r w:rsidRPr="00545434">
        <w:t>1.</w:t>
      </w:r>
      <w:r w:rsidRPr="00545434">
        <w:tab/>
      </w:r>
      <w:r w:rsidR="00BD68A5" w:rsidRPr="00F537B9">
        <w:rPr>
          <w:noProof/>
        </w:rPr>
        <w:t>Komisia skúma</w:t>
      </w:r>
      <w:r w:rsidR="00F537B9">
        <w:rPr>
          <w:noProof/>
        </w:rPr>
        <w:t xml:space="preserve"> a </w:t>
      </w:r>
      <w:r w:rsidR="00BD68A5" w:rsidRPr="00F537B9">
        <w:rPr>
          <w:noProof/>
        </w:rPr>
        <w:t>hodnotí uplatňovanie tejto smernice každých päť rokov</w:t>
      </w:r>
      <w:r w:rsidR="00F537B9">
        <w:rPr>
          <w:noProof/>
        </w:rPr>
        <w:t xml:space="preserve"> a </w:t>
      </w:r>
      <w:r w:rsidR="00BD68A5" w:rsidRPr="00F537B9">
        <w:rPr>
          <w:noProof/>
        </w:rPr>
        <w:t>predkladá správu</w:t>
      </w:r>
      <w:r w:rsidR="00F537B9">
        <w:rPr>
          <w:noProof/>
        </w:rPr>
        <w:t xml:space="preserve"> o </w:t>
      </w:r>
      <w:r w:rsidR="00BD68A5" w:rsidRPr="00F537B9">
        <w:rPr>
          <w:noProof/>
        </w:rPr>
        <w:t>svojom hodnotení Európskemu parlamentu</w:t>
      </w:r>
      <w:r w:rsidR="00F537B9">
        <w:rPr>
          <w:noProof/>
        </w:rPr>
        <w:t xml:space="preserve"> a </w:t>
      </w:r>
      <w:r w:rsidR="00BD68A5" w:rsidRPr="00F537B9">
        <w:rPr>
          <w:noProof/>
        </w:rPr>
        <w:t>Rade. Prvá správa sa predloží do 31</w:t>
      </w:r>
      <w:r w:rsidR="00F537B9">
        <w:rPr>
          <w:noProof/>
        </w:rPr>
        <w:t>. decembra</w:t>
      </w:r>
      <w:r w:rsidR="00BD68A5" w:rsidRPr="00F537B9">
        <w:rPr>
          <w:noProof/>
        </w:rPr>
        <w:t xml:space="preserve"> 2031.</w:t>
      </w:r>
    </w:p>
    <w:p w14:paraId="58F0D9CA" w14:textId="414A7065" w:rsidR="00F537B9" w:rsidRDefault="00545434" w:rsidP="00545434">
      <w:pPr>
        <w:pStyle w:val="ManualNumPar1"/>
        <w:rPr>
          <w:noProof/>
        </w:rPr>
      </w:pPr>
      <w:r w:rsidRPr="00545434">
        <w:t>2.</w:t>
      </w:r>
      <w:r w:rsidRPr="00545434">
        <w:tab/>
      </w:r>
      <w:r w:rsidR="00C40ED4" w:rsidRPr="00F537B9">
        <w:rPr>
          <w:noProof/>
        </w:rPr>
        <w:t>Členské štáty oznamujú Komisii príslušné informácie na účely hodnotenia tejto smernice</w:t>
      </w:r>
      <w:r w:rsidR="00F537B9">
        <w:rPr>
          <w:noProof/>
        </w:rPr>
        <w:t xml:space="preserve"> s </w:t>
      </w:r>
      <w:r w:rsidR="00C40ED4" w:rsidRPr="00F537B9">
        <w:rPr>
          <w:noProof/>
        </w:rPr>
        <w:t>cieľom zlepšiť uplatňovanie princípu nezávislého vzťahu, znížiť mieru dvojitého zdanenia, ako aj bojovať proti zneužívaniu daňových predpisov,</w:t>
      </w:r>
      <w:r w:rsidR="00F537B9">
        <w:rPr>
          <w:noProof/>
        </w:rPr>
        <w:t xml:space="preserve"> a </w:t>
      </w:r>
      <w:r w:rsidR="00C40ED4" w:rsidRPr="00F537B9">
        <w:rPr>
          <w:noProof/>
        </w:rPr>
        <w:t>to</w:t>
      </w:r>
      <w:r w:rsidR="00F537B9">
        <w:rPr>
          <w:noProof/>
        </w:rPr>
        <w:t xml:space="preserve"> v </w:t>
      </w:r>
      <w:r w:rsidR="00C40ED4" w:rsidRPr="00F537B9">
        <w:rPr>
          <w:noProof/>
        </w:rPr>
        <w:t>súlade</w:t>
      </w:r>
      <w:r w:rsidR="00F537B9">
        <w:rPr>
          <w:noProof/>
        </w:rPr>
        <w:t xml:space="preserve"> s </w:t>
      </w:r>
      <w:r w:rsidR="00C40ED4" w:rsidRPr="00F537B9">
        <w:rPr>
          <w:noProof/>
        </w:rPr>
        <w:t>odsekom 3</w:t>
      </w:r>
      <w:r w:rsidR="00F537B9">
        <w:rPr>
          <w:noProof/>
        </w:rPr>
        <w:t>.</w:t>
      </w:r>
    </w:p>
    <w:p w14:paraId="7A2AB614" w14:textId="1B34526A" w:rsidR="00C40ED4" w:rsidRPr="00F537B9" w:rsidRDefault="00545434" w:rsidP="00545434">
      <w:pPr>
        <w:pStyle w:val="ManualNumPar1"/>
        <w:rPr>
          <w:noProof/>
        </w:rPr>
      </w:pPr>
      <w:r w:rsidRPr="00545434">
        <w:t>3.</w:t>
      </w:r>
      <w:r w:rsidRPr="00545434">
        <w:tab/>
      </w:r>
      <w:r w:rsidR="00C40ED4" w:rsidRPr="00F537B9">
        <w:rPr>
          <w:noProof/>
        </w:rPr>
        <w:t>Komisia prostredníctvom vykonávacích aktov bližšie určí informácie, ktoré majú členské štáty poskytovať</w:t>
      </w:r>
      <w:r w:rsidR="00F537B9">
        <w:rPr>
          <w:noProof/>
        </w:rPr>
        <w:t xml:space="preserve"> v </w:t>
      </w:r>
      <w:r w:rsidR="00C40ED4" w:rsidRPr="00F537B9">
        <w:rPr>
          <w:noProof/>
        </w:rPr>
        <w:t>súlade</w:t>
      </w:r>
      <w:r w:rsidR="00F537B9">
        <w:rPr>
          <w:noProof/>
        </w:rPr>
        <w:t xml:space="preserve"> s </w:t>
      </w:r>
      <w:r w:rsidR="00C40ED4" w:rsidRPr="00F537B9">
        <w:rPr>
          <w:noProof/>
        </w:rPr>
        <w:t>odsekom 2, ako aj formát</w:t>
      </w:r>
      <w:r w:rsidR="00F537B9">
        <w:rPr>
          <w:noProof/>
        </w:rPr>
        <w:t xml:space="preserve"> a </w:t>
      </w:r>
      <w:r w:rsidR="00C40ED4" w:rsidRPr="00F537B9">
        <w:rPr>
          <w:noProof/>
        </w:rPr>
        <w:t>podmienky oznamovania uvedených informácií.</w:t>
      </w:r>
      <w:r w:rsidR="00F537B9" w:rsidRPr="00F537B9">
        <w:rPr>
          <w:noProof/>
        </w:rPr>
        <w:t xml:space="preserve"> </w:t>
      </w:r>
      <w:bookmarkStart w:id="41" w:name="_Hlk144203491"/>
      <w:r w:rsidR="00C40ED4" w:rsidRPr="00F537B9">
        <w:rPr>
          <w:noProof/>
        </w:rPr>
        <w:t>Uvedené vykonávacie akty sa prijmú</w:t>
      </w:r>
      <w:r w:rsidR="00F537B9">
        <w:rPr>
          <w:noProof/>
        </w:rPr>
        <w:t xml:space="preserve"> v </w:t>
      </w:r>
      <w:r w:rsidR="00C40ED4" w:rsidRPr="00F537B9">
        <w:rPr>
          <w:noProof/>
        </w:rPr>
        <w:t>súlade</w:t>
      </w:r>
      <w:r w:rsidR="00F537B9">
        <w:rPr>
          <w:noProof/>
        </w:rPr>
        <w:t xml:space="preserve"> s </w:t>
      </w:r>
      <w:r w:rsidR="00C40ED4" w:rsidRPr="00F537B9">
        <w:rPr>
          <w:noProof/>
        </w:rPr>
        <w:t>postupom preskúmania uvedeným</w:t>
      </w:r>
      <w:r w:rsidR="00F537B9">
        <w:rPr>
          <w:noProof/>
        </w:rPr>
        <w:t xml:space="preserve"> v </w:t>
      </w:r>
      <w:r w:rsidR="00C40ED4" w:rsidRPr="00F537B9">
        <w:rPr>
          <w:noProof/>
        </w:rPr>
        <w:t>článku 17</w:t>
      </w:r>
      <w:bookmarkEnd w:id="41"/>
      <w:r w:rsidR="00C40ED4" w:rsidRPr="00F537B9">
        <w:rPr>
          <w:noProof/>
        </w:rPr>
        <w:t>.</w:t>
      </w:r>
    </w:p>
    <w:p w14:paraId="6DBA1417" w14:textId="14EB1FEC" w:rsidR="00F537B9" w:rsidRDefault="00545434" w:rsidP="00545434">
      <w:pPr>
        <w:pStyle w:val="ManualNumPar1"/>
        <w:rPr>
          <w:noProof/>
        </w:rPr>
      </w:pPr>
      <w:r w:rsidRPr="00545434">
        <w:t>4.</w:t>
      </w:r>
      <w:r w:rsidRPr="00545434">
        <w:tab/>
      </w:r>
      <w:r w:rsidR="00C00D27" w:rsidRPr="00F537B9">
        <w:rPr>
          <w:noProof/>
        </w:rPr>
        <w:t>Komisia považuje informácie, ktoré jej boli oznámené podľa odseku 2, za dôverné</w:t>
      </w:r>
      <w:r w:rsidR="00F537B9">
        <w:rPr>
          <w:noProof/>
        </w:rPr>
        <w:t xml:space="preserve"> v </w:t>
      </w:r>
      <w:r w:rsidR="00C00D27" w:rsidRPr="00F537B9">
        <w:rPr>
          <w:noProof/>
        </w:rPr>
        <w:t>súlade</w:t>
      </w:r>
      <w:r w:rsidR="00F537B9">
        <w:rPr>
          <w:noProof/>
        </w:rPr>
        <w:t xml:space="preserve"> s </w:t>
      </w:r>
      <w:r w:rsidR="00C00D27" w:rsidRPr="00F537B9">
        <w:rPr>
          <w:noProof/>
        </w:rPr>
        <w:t>ustanoveniami uplatniteľnými na inštitúcie Únie</w:t>
      </w:r>
      <w:r w:rsidR="00F537B9">
        <w:rPr>
          <w:noProof/>
        </w:rPr>
        <w:t xml:space="preserve"> a </w:t>
      </w:r>
      <w:r w:rsidR="00C00D27" w:rsidRPr="00F537B9">
        <w:rPr>
          <w:noProof/>
        </w:rPr>
        <w:t>článkom 16 tejto smernice</w:t>
      </w:r>
      <w:r w:rsidR="00F537B9">
        <w:rPr>
          <w:noProof/>
        </w:rPr>
        <w:t>.</w:t>
      </w:r>
    </w:p>
    <w:p w14:paraId="53A64BFA" w14:textId="7E65729E" w:rsidR="00F537B9" w:rsidRDefault="00545434" w:rsidP="00545434">
      <w:pPr>
        <w:pStyle w:val="ManualNumPar1"/>
        <w:rPr>
          <w:noProof/>
        </w:rPr>
      </w:pPr>
      <w:r w:rsidRPr="00545434">
        <w:t>5.</w:t>
      </w:r>
      <w:r w:rsidRPr="00545434">
        <w:tab/>
      </w:r>
      <w:r w:rsidR="00C40ED4" w:rsidRPr="00F537B9">
        <w:rPr>
          <w:noProof/>
        </w:rPr>
        <w:t>Informácie, ktoré oznamuje členský štát Komisii podľa odseku 2, ako aj akékoľvek správy alebo dokumenty, ktoré Komisia vypracúva</w:t>
      </w:r>
      <w:r w:rsidR="00F537B9">
        <w:rPr>
          <w:noProof/>
        </w:rPr>
        <w:t xml:space="preserve"> s </w:t>
      </w:r>
      <w:r w:rsidR="00C40ED4" w:rsidRPr="00F537B9">
        <w:rPr>
          <w:noProof/>
        </w:rPr>
        <w:t>použitím takýchto informácií, sa môžu postúpiť iným členským štátom. Na takéto informácie sa vzťahuje povinnosť zachovávať úradné tajomstvo</w:t>
      </w:r>
      <w:r w:rsidR="00F537B9">
        <w:rPr>
          <w:noProof/>
        </w:rPr>
        <w:t xml:space="preserve"> a </w:t>
      </w:r>
      <w:r w:rsidR="00C40ED4" w:rsidRPr="00F537B9">
        <w:rPr>
          <w:noProof/>
        </w:rPr>
        <w:t>uplatňuje sa na ne ochrana poskytovaná podobným informáciám podľa vnútroštátneho práva členského štátu, ktorý tieto informácie prijal</w:t>
      </w:r>
      <w:r w:rsidR="00F537B9">
        <w:rPr>
          <w:noProof/>
        </w:rPr>
        <w:t>.</w:t>
      </w:r>
    </w:p>
    <w:p w14:paraId="04E9ACA0" w14:textId="16A1AE3E" w:rsidR="004752A9" w:rsidRPr="00F537B9" w:rsidRDefault="004752A9" w:rsidP="004752A9">
      <w:pPr>
        <w:pStyle w:val="Titrearticle"/>
        <w:rPr>
          <w:b/>
          <w:i w:val="0"/>
          <w:noProof/>
        </w:rPr>
      </w:pPr>
      <w:r w:rsidRPr="00F537B9">
        <w:rPr>
          <w:noProof/>
        </w:rPr>
        <w:t xml:space="preserve">Článok 16 </w:t>
      </w:r>
      <w:r w:rsidRPr="00F537B9">
        <w:rPr>
          <w:noProof/>
        </w:rPr>
        <w:br/>
      </w:r>
      <w:r w:rsidRPr="00F537B9">
        <w:rPr>
          <w:b/>
          <w:i w:val="0"/>
          <w:noProof/>
        </w:rPr>
        <w:t>Ochrana údajov</w:t>
      </w:r>
    </w:p>
    <w:p w14:paraId="5BBBBDE2" w14:textId="6781ECC7" w:rsidR="00F537B9" w:rsidRDefault="00545434" w:rsidP="00545434">
      <w:pPr>
        <w:pStyle w:val="ManualNumPar1"/>
        <w:rPr>
          <w:noProof/>
        </w:rPr>
      </w:pPr>
      <w:bookmarkStart w:id="42" w:name="_Hlk144199676"/>
      <w:r w:rsidRPr="00545434">
        <w:t>1.</w:t>
      </w:r>
      <w:r w:rsidRPr="00545434">
        <w:tab/>
      </w:r>
      <w:r w:rsidR="00382D26" w:rsidRPr="00F537B9">
        <w:rPr>
          <w:noProof/>
        </w:rPr>
        <w:t>Členské štáty môžu spracúvať osobné údaje podľa tejto smernice na účely uplatňovania článku 5. Pri spracúvaní osobných údajov na účely tejto smernice sa príslušné orgány členských štátov považujú za prevádzkovateľov</w:t>
      </w:r>
      <w:r w:rsidR="00F537B9">
        <w:rPr>
          <w:noProof/>
        </w:rPr>
        <w:t xml:space="preserve"> v </w:t>
      </w:r>
      <w:r w:rsidR="00382D26" w:rsidRPr="00F537B9">
        <w:rPr>
          <w:noProof/>
        </w:rPr>
        <w:t>zmysle článku 4 ods. 7 nariadenia (EÚ) 2016/679,</w:t>
      </w:r>
      <w:r w:rsidR="00F537B9">
        <w:rPr>
          <w:noProof/>
        </w:rPr>
        <w:t xml:space="preserve"> a </w:t>
      </w:r>
      <w:r w:rsidR="00382D26" w:rsidRPr="00F537B9">
        <w:rPr>
          <w:noProof/>
        </w:rPr>
        <w:t>to</w:t>
      </w:r>
      <w:r w:rsidR="00F537B9">
        <w:rPr>
          <w:noProof/>
        </w:rPr>
        <w:t xml:space="preserve"> v </w:t>
      </w:r>
      <w:r w:rsidR="00382D26" w:rsidRPr="00F537B9">
        <w:rPr>
          <w:noProof/>
        </w:rPr>
        <w:t>rozsahu pôsobnosti ich príslušných činností na základe tejto smernice</w:t>
      </w:r>
      <w:r w:rsidR="00F537B9">
        <w:rPr>
          <w:noProof/>
        </w:rPr>
        <w:t>.</w:t>
      </w:r>
    </w:p>
    <w:p w14:paraId="19E6E9A8" w14:textId="661FA821" w:rsidR="004F6272" w:rsidRPr="00F537B9" w:rsidRDefault="00545434" w:rsidP="00545434">
      <w:pPr>
        <w:pStyle w:val="ManualNumPar1"/>
        <w:rPr>
          <w:noProof/>
        </w:rPr>
      </w:pPr>
      <w:r w:rsidRPr="00545434">
        <w:t>2.</w:t>
      </w:r>
      <w:r w:rsidRPr="00545434">
        <w:tab/>
      </w:r>
      <w:r w:rsidR="008B078E" w:rsidRPr="00F537B9">
        <w:rPr>
          <w:noProof/>
        </w:rPr>
        <w:t>Informácie vrátane osobných údajov, ktoré sa spracúvajú</w:t>
      </w:r>
      <w:r w:rsidR="00F537B9">
        <w:rPr>
          <w:noProof/>
        </w:rPr>
        <w:t xml:space="preserve"> v </w:t>
      </w:r>
      <w:r w:rsidR="008B078E" w:rsidRPr="00F537B9">
        <w:rPr>
          <w:noProof/>
        </w:rPr>
        <w:t>súlade</w:t>
      </w:r>
      <w:r w:rsidR="00F537B9">
        <w:rPr>
          <w:noProof/>
        </w:rPr>
        <w:t xml:space="preserve"> s </w:t>
      </w:r>
      <w:r w:rsidR="008B078E" w:rsidRPr="00F537B9">
        <w:rPr>
          <w:noProof/>
        </w:rPr>
        <w:t>touto smernicou, sa uchovávajú len tak dlho, ako je to potrebné na dosiahnutie účelov tejto smernice,</w:t>
      </w:r>
      <w:r w:rsidR="00F537B9">
        <w:rPr>
          <w:noProof/>
        </w:rPr>
        <w:t xml:space="preserve"> a </w:t>
      </w:r>
      <w:r w:rsidR="008B078E" w:rsidRPr="00F537B9">
        <w:rPr>
          <w:noProof/>
        </w:rPr>
        <w:t>to</w:t>
      </w:r>
      <w:r w:rsidR="00F537B9">
        <w:rPr>
          <w:noProof/>
        </w:rPr>
        <w:t xml:space="preserve"> v </w:t>
      </w:r>
      <w:r w:rsidR="008B078E" w:rsidRPr="00F537B9">
        <w:rPr>
          <w:noProof/>
        </w:rPr>
        <w:t>súlade</w:t>
      </w:r>
      <w:r w:rsidR="00F537B9">
        <w:rPr>
          <w:noProof/>
        </w:rPr>
        <w:t xml:space="preserve"> s </w:t>
      </w:r>
      <w:r w:rsidR="008B078E" w:rsidRPr="00F537B9">
        <w:rPr>
          <w:noProof/>
        </w:rPr>
        <w:t>vnútroštátnym právom každého prevádzkovateľa týkajúcim sa premlčania,</w:t>
      </w:r>
      <w:r w:rsidR="00F537B9">
        <w:rPr>
          <w:noProof/>
        </w:rPr>
        <w:t xml:space="preserve"> v </w:t>
      </w:r>
      <w:r w:rsidR="008B078E" w:rsidRPr="00F537B9">
        <w:rPr>
          <w:noProof/>
        </w:rPr>
        <w:t>žiadnom prípade však nie dlhšie ako desať rokov.</w:t>
      </w:r>
    </w:p>
    <w:p w14:paraId="4A9EA307" w14:textId="77777777" w:rsidR="00E75519" w:rsidRPr="00F537B9" w:rsidRDefault="00E75519" w:rsidP="00E07B7C">
      <w:pPr>
        <w:pStyle w:val="Titrearticle"/>
        <w:rPr>
          <w:b/>
          <w:i w:val="0"/>
          <w:noProof/>
        </w:rPr>
      </w:pPr>
      <w:bookmarkStart w:id="43" w:name="_Hlk144227216"/>
      <w:bookmarkEnd w:id="42"/>
      <w:r w:rsidRPr="00F537B9">
        <w:rPr>
          <w:noProof/>
        </w:rPr>
        <w:t xml:space="preserve">Článok 17 </w:t>
      </w:r>
      <w:r w:rsidRPr="00F537B9">
        <w:rPr>
          <w:noProof/>
        </w:rPr>
        <w:br/>
      </w:r>
      <w:r w:rsidRPr="00F537B9">
        <w:rPr>
          <w:b/>
          <w:i w:val="0"/>
          <w:noProof/>
        </w:rPr>
        <w:t xml:space="preserve"> Postup výboru</w:t>
      </w:r>
    </w:p>
    <w:p w14:paraId="12FDF8C8" w14:textId="18894B6F" w:rsidR="00F537B9" w:rsidRDefault="00545434" w:rsidP="00545434">
      <w:pPr>
        <w:pStyle w:val="ManualNumPar1"/>
        <w:rPr>
          <w:noProof/>
        </w:rPr>
      </w:pPr>
      <w:r w:rsidRPr="00545434">
        <w:t>1.</w:t>
      </w:r>
      <w:r w:rsidRPr="00545434">
        <w:tab/>
      </w:r>
      <w:r w:rsidR="00E75519" w:rsidRPr="00F537B9">
        <w:rPr>
          <w:noProof/>
        </w:rPr>
        <w:t>Komisii pomáha výbor. Uvedený výbor je výborom</w:t>
      </w:r>
      <w:r w:rsidR="00F537B9">
        <w:rPr>
          <w:noProof/>
        </w:rPr>
        <w:t xml:space="preserve"> v </w:t>
      </w:r>
      <w:r w:rsidR="00E75519" w:rsidRPr="00F537B9">
        <w:rPr>
          <w:noProof/>
        </w:rPr>
        <w:t xml:space="preserve">zmysle nariadenia (EÚ) </w:t>
      </w:r>
      <w:r w:rsidR="00F537B9">
        <w:rPr>
          <w:noProof/>
        </w:rPr>
        <w:t>č. </w:t>
      </w:r>
      <w:r w:rsidR="00E75519" w:rsidRPr="00F537B9">
        <w:rPr>
          <w:noProof/>
        </w:rPr>
        <w:t>182/2014</w:t>
      </w:r>
      <w:r w:rsidR="00E75519" w:rsidRPr="00F537B9">
        <w:rPr>
          <w:rStyle w:val="FootnoteReference"/>
          <w:noProof/>
        </w:rPr>
        <w:footnoteReference w:id="39"/>
      </w:r>
      <w:r w:rsidR="00F537B9">
        <w:rPr>
          <w:noProof/>
        </w:rPr>
        <w:t>.</w:t>
      </w:r>
    </w:p>
    <w:p w14:paraId="533952DD" w14:textId="39FF771C" w:rsidR="00AE7911" w:rsidRPr="00F537B9" w:rsidRDefault="00545434" w:rsidP="00545434">
      <w:pPr>
        <w:pStyle w:val="ManualNumPar1"/>
        <w:rPr>
          <w:noProof/>
        </w:rPr>
      </w:pPr>
      <w:r w:rsidRPr="00545434">
        <w:t>2.</w:t>
      </w:r>
      <w:r w:rsidRPr="00545434">
        <w:tab/>
      </w:r>
      <w:r w:rsidR="00E75519" w:rsidRPr="00F537B9">
        <w:rPr>
          <w:noProof/>
        </w:rPr>
        <w:t xml:space="preserve">Ak sa odkazuje na tento odsek, uplatňuje sa článok 5 nariadenia (EÚ) </w:t>
      </w:r>
      <w:r w:rsidR="00F537B9">
        <w:rPr>
          <w:noProof/>
        </w:rPr>
        <w:t>č. </w:t>
      </w:r>
      <w:r w:rsidR="00E75519" w:rsidRPr="00F537B9">
        <w:rPr>
          <w:noProof/>
        </w:rPr>
        <w:t>182/2011.</w:t>
      </w:r>
    </w:p>
    <w:bookmarkEnd w:id="43"/>
    <w:p w14:paraId="592CD707" w14:textId="77777777" w:rsidR="00B72588" w:rsidRPr="00F537B9" w:rsidRDefault="00B72588" w:rsidP="00B72588">
      <w:pPr>
        <w:pStyle w:val="Titrearticle"/>
        <w:rPr>
          <w:b/>
          <w:i w:val="0"/>
          <w:noProof/>
        </w:rPr>
      </w:pPr>
      <w:r w:rsidRPr="00F537B9">
        <w:rPr>
          <w:noProof/>
        </w:rPr>
        <w:t xml:space="preserve">Článok 18 </w:t>
      </w:r>
      <w:r w:rsidRPr="00F537B9">
        <w:rPr>
          <w:noProof/>
        </w:rPr>
        <w:br/>
      </w:r>
      <w:r w:rsidRPr="00F537B9">
        <w:rPr>
          <w:b/>
          <w:i w:val="0"/>
          <w:noProof/>
        </w:rPr>
        <w:t>Vykonávanie delegovania právomoci</w:t>
      </w:r>
    </w:p>
    <w:p w14:paraId="28421337" w14:textId="3C2030DE" w:rsidR="00B72588" w:rsidRPr="00F537B9" w:rsidRDefault="00545434" w:rsidP="00545434">
      <w:pPr>
        <w:pStyle w:val="ManualNumPar1"/>
        <w:rPr>
          <w:noProof/>
        </w:rPr>
      </w:pPr>
      <w:r w:rsidRPr="00545434">
        <w:t>1.</w:t>
      </w:r>
      <w:r w:rsidRPr="00545434">
        <w:tab/>
      </w:r>
      <w:r w:rsidR="00B72588" w:rsidRPr="00F537B9">
        <w:rPr>
          <w:noProof/>
        </w:rPr>
        <w:t>Komisii sa udeľuje právomoc prijať delegovaný akt uvedený</w:t>
      </w:r>
      <w:r w:rsidR="00F537B9">
        <w:rPr>
          <w:noProof/>
        </w:rPr>
        <w:t xml:space="preserve"> v </w:t>
      </w:r>
      <w:r w:rsidR="00B72588" w:rsidRPr="00F537B9">
        <w:rPr>
          <w:noProof/>
        </w:rPr>
        <w:t>článku 13 za podmienok stanovených</w:t>
      </w:r>
      <w:r w:rsidR="00F537B9">
        <w:rPr>
          <w:noProof/>
        </w:rPr>
        <w:t xml:space="preserve"> v </w:t>
      </w:r>
      <w:r w:rsidR="00B72588" w:rsidRPr="00F537B9">
        <w:rPr>
          <w:noProof/>
        </w:rPr>
        <w:t>tomto článku.</w:t>
      </w:r>
    </w:p>
    <w:p w14:paraId="09E7FF7F" w14:textId="39884733" w:rsidR="00D87356" w:rsidRPr="00F537B9" w:rsidRDefault="00545434" w:rsidP="00545434">
      <w:pPr>
        <w:pStyle w:val="ManualNumPar1"/>
        <w:rPr>
          <w:noProof/>
        </w:rPr>
      </w:pPr>
      <w:r w:rsidRPr="00545434">
        <w:t>2.</w:t>
      </w:r>
      <w:r w:rsidRPr="00545434">
        <w:tab/>
      </w:r>
      <w:r w:rsidR="00B72588" w:rsidRPr="00F537B9">
        <w:rPr>
          <w:noProof/>
        </w:rPr>
        <w:t>Delegovanie právomoci uvedené</w:t>
      </w:r>
      <w:r w:rsidR="00F537B9">
        <w:rPr>
          <w:noProof/>
        </w:rPr>
        <w:t xml:space="preserve"> v </w:t>
      </w:r>
      <w:r w:rsidR="00B72588" w:rsidRPr="00F537B9">
        <w:rPr>
          <w:noProof/>
        </w:rPr>
        <w:t>článku 13 môže Rada kedykoľvek odvolať. Rozhodnutím</w:t>
      </w:r>
      <w:r w:rsidR="00F537B9">
        <w:rPr>
          <w:noProof/>
        </w:rPr>
        <w:t xml:space="preserve"> o </w:t>
      </w:r>
      <w:r w:rsidR="00B72588" w:rsidRPr="00F537B9">
        <w:rPr>
          <w:noProof/>
        </w:rPr>
        <w:t>odvolaní sa ukončuje delegovanie právomoci, ktoré sa</w:t>
      </w:r>
      <w:r w:rsidR="00F537B9">
        <w:rPr>
          <w:noProof/>
        </w:rPr>
        <w:t xml:space="preserve"> v </w:t>
      </w:r>
      <w:r w:rsidR="00B72588" w:rsidRPr="00F537B9">
        <w:rPr>
          <w:noProof/>
        </w:rPr>
        <w:t>ňom uvádza. Rozhodnutie nadobúda účinnosť dňom nasledujúcim po jeho uverejnení</w:t>
      </w:r>
      <w:r w:rsidR="00F537B9">
        <w:rPr>
          <w:noProof/>
        </w:rPr>
        <w:t xml:space="preserve"> v </w:t>
      </w:r>
      <w:r w:rsidR="00B72588" w:rsidRPr="00F537B9">
        <w:rPr>
          <w:i/>
          <w:iCs/>
          <w:noProof/>
        </w:rPr>
        <w:t>Úradnom vestníku Európskej únie</w:t>
      </w:r>
      <w:r w:rsidR="00B72588" w:rsidRPr="00F537B9">
        <w:rPr>
          <w:noProof/>
        </w:rPr>
        <w:t xml:space="preserve"> alebo</w:t>
      </w:r>
      <w:r w:rsidR="00F537B9">
        <w:rPr>
          <w:noProof/>
        </w:rPr>
        <w:t xml:space="preserve"> k </w:t>
      </w:r>
      <w:r w:rsidR="00B72588" w:rsidRPr="00F537B9">
        <w:rPr>
          <w:noProof/>
        </w:rPr>
        <w:t>neskoršiemu dátumu, ktorý je</w:t>
      </w:r>
      <w:r w:rsidR="00F537B9">
        <w:rPr>
          <w:noProof/>
        </w:rPr>
        <w:t xml:space="preserve"> v </w:t>
      </w:r>
      <w:r w:rsidR="00B72588" w:rsidRPr="00F537B9">
        <w:rPr>
          <w:noProof/>
        </w:rPr>
        <w:t>ňom určený. Nie je ním dotknutá platnosť delegovaného aktu, ak už nadobudol účinnosť.</w:t>
      </w:r>
    </w:p>
    <w:p w14:paraId="3F3E4DAC" w14:textId="39ACE98B" w:rsidR="00F537B9" w:rsidRDefault="00545434" w:rsidP="00545434">
      <w:pPr>
        <w:pStyle w:val="ManualNumPar1"/>
        <w:rPr>
          <w:noProof/>
        </w:rPr>
      </w:pPr>
      <w:r w:rsidRPr="00545434">
        <w:t>3.</w:t>
      </w:r>
      <w:r w:rsidRPr="00545434">
        <w:tab/>
      </w:r>
      <w:r w:rsidR="00B4133A" w:rsidRPr="00F537B9">
        <w:rPr>
          <w:noProof/>
        </w:rPr>
        <w:t>Komisia pred prijatím delegovaného aktu konzultuje</w:t>
      </w:r>
      <w:r w:rsidR="00F537B9">
        <w:rPr>
          <w:noProof/>
        </w:rPr>
        <w:t xml:space="preserve"> s </w:t>
      </w:r>
      <w:r w:rsidR="00B4133A" w:rsidRPr="00F537B9">
        <w:rPr>
          <w:noProof/>
        </w:rPr>
        <w:t>expertmi určenými jednotlivými členskými štátmi</w:t>
      </w:r>
      <w:r w:rsidR="00F537B9">
        <w:rPr>
          <w:noProof/>
        </w:rPr>
        <w:t xml:space="preserve"> v </w:t>
      </w:r>
      <w:r w:rsidR="00B4133A" w:rsidRPr="00F537B9">
        <w:rPr>
          <w:noProof/>
        </w:rPr>
        <w:t>súlade so zásadami stanovenými</w:t>
      </w:r>
      <w:r w:rsidR="00F537B9">
        <w:rPr>
          <w:noProof/>
        </w:rPr>
        <w:t xml:space="preserve"> v </w:t>
      </w:r>
      <w:r w:rsidR="00B4133A" w:rsidRPr="00F537B9">
        <w:rPr>
          <w:noProof/>
        </w:rPr>
        <w:t>Medziinštitucionálnej dohode</w:t>
      </w:r>
      <w:r w:rsidR="00F537B9">
        <w:rPr>
          <w:noProof/>
        </w:rPr>
        <w:t xml:space="preserve"> o </w:t>
      </w:r>
      <w:r w:rsidR="00B4133A" w:rsidRPr="00F537B9">
        <w:rPr>
          <w:noProof/>
        </w:rPr>
        <w:t>lepšej tvorbe práva</w:t>
      </w:r>
      <w:r w:rsidR="00F537B9">
        <w:rPr>
          <w:noProof/>
        </w:rPr>
        <w:t xml:space="preserve"> z </w:t>
      </w:r>
      <w:r w:rsidR="00B4133A" w:rsidRPr="00F537B9">
        <w:rPr>
          <w:noProof/>
        </w:rPr>
        <w:t>13</w:t>
      </w:r>
      <w:r w:rsidR="00F537B9">
        <w:rPr>
          <w:noProof/>
        </w:rPr>
        <w:t>. apríla</w:t>
      </w:r>
      <w:r w:rsidR="00B4133A" w:rsidRPr="00F537B9">
        <w:rPr>
          <w:noProof/>
        </w:rPr>
        <w:t xml:space="preserve"> 2016</w:t>
      </w:r>
      <w:r w:rsidR="00F537B9">
        <w:rPr>
          <w:noProof/>
        </w:rPr>
        <w:t>.</w:t>
      </w:r>
    </w:p>
    <w:p w14:paraId="4D90B7BB" w14:textId="5E4289CA" w:rsidR="00F537B9" w:rsidRDefault="00545434" w:rsidP="00545434">
      <w:pPr>
        <w:pStyle w:val="ManualNumPar1"/>
        <w:rPr>
          <w:noProof/>
        </w:rPr>
      </w:pPr>
      <w:r w:rsidRPr="00545434">
        <w:t>4.</w:t>
      </w:r>
      <w:r w:rsidRPr="00545434">
        <w:tab/>
      </w:r>
      <w:r w:rsidR="00B4133A" w:rsidRPr="00F537B9">
        <w:rPr>
          <w:noProof/>
        </w:rPr>
        <w:t>Komisia oznamuje delegovaný akt hneď po jeho prijatí Rade</w:t>
      </w:r>
      <w:r w:rsidR="00F537B9">
        <w:rPr>
          <w:noProof/>
        </w:rPr>
        <w:t>.</w:t>
      </w:r>
    </w:p>
    <w:p w14:paraId="4F59E0CD" w14:textId="52569297" w:rsidR="00F537B9" w:rsidRDefault="00545434" w:rsidP="00545434">
      <w:pPr>
        <w:pStyle w:val="ManualNumPar1"/>
        <w:rPr>
          <w:noProof/>
        </w:rPr>
      </w:pPr>
      <w:r w:rsidRPr="00545434">
        <w:t>5.</w:t>
      </w:r>
      <w:r w:rsidRPr="00545434">
        <w:tab/>
      </w:r>
      <w:r w:rsidR="00B4133A" w:rsidRPr="00F537B9">
        <w:rPr>
          <w:noProof/>
        </w:rPr>
        <w:t>Delegovaný akt prijatý podľa článku 13 nadobúda účinnosť okamžite</w:t>
      </w:r>
      <w:r w:rsidR="00F537B9">
        <w:rPr>
          <w:noProof/>
        </w:rPr>
        <w:t xml:space="preserve"> a </w:t>
      </w:r>
      <w:r w:rsidR="00B4133A" w:rsidRPr="00F537B9">
        <w:rPr>
          <w:noProof/>
        </w:rPr>
        <w:t>uplatňuje sa, pokiaľ Rada voči nemu nevznesie námietku. Rada môže voči delegovanému aktu vzniesť námietku do dvoch mesiacov od oznámenia uvedeného aktu. Na podnet Rady sa táto lehota predĺži</w:t>
      </w:r>
      <w:r w:rsidR="00F537B9">
        <w:rPr>
          <w:noProof/>
        </w:rPr>
        <w:t xml:space="preserve"> o </w:t>
      </w:r>
      <w:r w:rsidR="00B4133A" w:rsidRPr="00F537B9">
        <w:rPr>
          <w:noProof/>
        </w:rPr>
        <w:t>dva mesiace.</w:t>
      </w:r>
      <w:r w:rsidR="00B4133A" w:rsidRPr="00F537B9">
        <w:rPr>
          <w:rFonts w:ascii="Tahoma" w:hAnsi="Tahoma" w:cs="Tahoma"/>
          <w:noProof/>
        </w:rPr>
        <w:t>﻿</w:t>
      </w:r>
      <w:r w:rsidR="00F537B9">
        <w:rPr>
          <w:noProof/>
        </w:rPr>
        <w:t xml:space="preserve"> V </w:t>
      </w:r>
      <w:r w:rsidR="00B4133A" w:rsidRPr="00F537B9">
        <w:rPr>
          <w:noProof/>
        </w:rPr>
        <w:t>takom prípade Komisia okamžite po oznámení rozhodnutia Rady vzniesť námietku akt zruší</w:t>
      </w:r>
      <w:r w:rsidR="00F537B9">
        <w:rPr>
          <w:noProof/>
        </w:rPr>
        <w:t>.</w:t>
      </w:r>
    </w:p>
    <w:p w14:paraId="3D29688A" w14:textId="43E550CF" w:rsidR="70ECC087" w:rsidRPr="00F537B9" w:rsidRDefault="70ECC087" w:rsidP="00C355EB">
      <w:pPr>
        <w:pStyle w:val="Text1"/>
        <w:rPr>
          <w:noProof/>
        </w:rPr>
      </w:pPr>
    </w:p>
    <w:p w14:paraId="789C4F72" w14:textId="77777777" w:rsidR="27133CFE" w:rsidRPr="00F537B9" w:rsidRDefault="27133CFE" w:rsidP="00CA0FCC">
      <w:pPr>
        <w:pStyle w:val="Titrearticle"/>
        <w:rPr>
          <w:b/>
          <w:bCs/>
          <w:iCs/>
          <w:noProof/>
        </w:rPr>
      </w:pPr>
      <w:r w:rsidRPr="00F537B9">
        <w:rPr>
          <w:noProof/>
        </w:rPr>
        <w:t>Článok 19</w:t>
      </w:r>
      <w:r w:rsidRPr="00F537B9">
        <w:rPr>
          <w:noProof/>
        </w:rPr>
        <w:br/>
      </w:r>
      <w:r w:rsidRPr="00F537B9">
        <w:rPr>
          <w:b/>
          <w:i w:val="0"/>
          <w:noProof/>
        </w:rPr>
        <w:t>Informovanie Európskeho parlamentu</w:t>
      </w:r>
    </w:p>
    <w:p w14:paraId="1FA0B609" w14:textId="28EFF14A" w:rsidR="00B4133A" w:rsidRPr="00F537B9" w:rsidRDefault="00B4133A" w:rsidP="00CA0FCC">
      <w:pPr>
        <w:pStyle w:val="Text1"/>
        <w:ind w:left="0"/>
        <w:rPr>
          <w:noProof/>
        </w:rPr>
      </w:pPr>
      <w:r w:rsidRPr="00F537B9">
        <w:rPr>
          <w:noProof/>
        </w:rPr>
        <w:t>Komisia informuje Európsky parlament</w:t>
      </w:r>
      <w:r w:rsidR="00F537B9">
        <w:rPr>
          <w:noProof/>
        </w:rPr>
        <w:t xml:space="preserve"> o </w:t>
      </w:r>
      <w:r w:rsidRPr="00F537B9">
        <w:rPr>
          <w:noProof/>
        </w:rPr>
        <w:t>prijatí delegovaných aktov,</w:t>
      </w:r>
      <w:r w:rsidR="00F537B9">
        <w:rPr>
          <w:noProof/>
        </w:rPr>
        <w:t xml:space="preserve"> o </w:t>
      </w:r>
      <w:r w:rsidRPr="00F537B9">
        <w:rPr>
          <w:noProof/>
        </w:rPr>
        <w:t>akejkoľvek námietke vznesenej proti uvedeným aktom</w:t>
      </w:r>
      <w:r w:rsidR="00F537B9">
        <w:rPr>
          <w:noProof/>
        </w:rPr>
        <w:t xml:space="preserve"> a o </w:t>
      </w:r>
      <w:r w:rsidRPr="00F537B9">
        <w:rPr>
          <w:noProof/>
        </w:rPr>
        <w:t>odvolaní delegovania právomocí Radou.</w:t>
      </w:r>
    </w:p>
    <w:p w14:paraId="73744737" w14:textId="1F5671C0" w:rsidR="00B4133A" w:rsidRPr="00F537B9" w:rsidRDefault="00545434" w:rsidP="00545434">
      <w:pPr>
        <w:pStyle w:val="ManualNumPar1"/>
        <w:rPr>
          <w:noProof/>
        </w:rPr>
      </w:pPr>
      <w:r w:rsidRPr="00545434">
        <w:t>6.</w:t>
      </w:r>
      <w:r w:rsidRPr="00545434">
        <w:tab/>
      </w:r>
    </w:p>
    <w:p w14:paraId="4EDD01EA" w14:textId="77777777" w:rsidR="00E07B7C" w:rsidRPr="00F537B9" w:rsidRDefault="00E07B7C" w:rsidP="00E07B7C">
      <w:pPr>
        <w:pStyle w:val="Titrearticle"/>
        <w:rPr>
          <w:b/>
          <w:i w:val="0"/>
          <w:noProof/>
        </w:rPr>
      </w:pPr>
      <w:r w:rsidRPr="00F537B9">
        <w:rPr>
          <w:noProof/>
        </w:rPr>
        <w:t xml:space="preserve">Článok 20 </w:t>
      </w:r>
      <w:r w:rsidRPr="00F537B9">
        <w:rPr>
          <w:noProof/>
        </w:rPr>
        <w:br/>
      </w:r>
      <w:r w:rsidRPr="00F537B9">
        <w:rPr>
          <w:b/>
          <w:i w:val="0"/>
          <w:noProof/>
        </w:rPr>
        <w:t>Transpozícia</w:t>
      </w:r>
    </w:p>
    <w:p w14:paraId="0F9F4E72" w14:textId="0BEE05DD" w:rsidR="003E6DF9" w:rsidRPr="00F537B9" w:rsidRDefault="00545434" w:rsidP="00545434">
      <w:pPr>
        <w:pStyle w:val="ManualNumPar1"/>
        <w:rPr>
          <w:noProof/>
        </w:rPr>
      </w:pPr>
      <w:r w:rsidRPr="00545434">
        <w:t>1.</w:t>
      </w:r>
      <w:r w:rsidRPr="00545434">
        <w:tab/>
      </w:r>
      <w:r w:rsidR="00E07B7C" w:rsidRPr="00F537B9">
        <w:rPr>
          <w:noProof/>
        </w:rPr>
        <w:t>Členské štáty prijmú</w:t>
      </w:r>
      <w:r w:rsidR="00F537B9">
        <w:rPr>
          <w:noProof/>
        </w:rPr>
        <w:t xml:space="preserve"> a </w:t>
      </w:r>
      <w:r w:rsidR="00E07B7C" w:rsidRPr="00F537B9">
        <w:rPr>
          <w:noProof/>
        </w:rPr>
        <w:t>uverejnia najneskôr do [31</w:t>
      </w:r>
      <w:r w:rsidR="00F537B9">
        <w:rPr>
          <w:noProof/>
        </w:rPr>
        <w:t>. decembra</w:t>
      </w:r>
      <w:r w:rsidR="00E07B7C" w:rsidRPr="00F537B9">
        <w:rPr>
          <w:noProof/>
        </w:rPr>
        <w:t xml:space="preserve"> 2025]zákony, iné právne predpisy</w:t>
      </w:r>
      <w:r w:rsidR="00F537B9">
        <w:rPr>
          <w:noProof/>
        </w:rPr>
        <w:t xml:space="preserve"> a </w:t>
      </w:r>
      <w:r w:rsidR="00E07B7C" w:rsidRPr="00F537B9">
        <w:rPr>
          <w:noProof/>
        </w:rPr>
        <w:t>správne opatrenia potrebné na dosiahnutie súladu</w:t>
      </w:r>
      <w:r w:rsidR="00F537B9">
        <w:rPr>
          <w:noProof/>
        </w:rPr>
        <w:t xml:space="preserve"> s </w:t>
      </w:r>
      <w:r w:rsidR="00E07B7C" w:rsidRPr="00F537B9">
        <w:rPr>
          <w:noProof/>
        </w:rPr>
        <w:t>touto smernicou. Znenie týchto ustanovení bezodkladne oznámia Komisii.</w:t>
      </w:r>
    </w:p>
    <w:p w14:paraId="6D91161F" w14:textId="11E332D8" w:rsidR="003E6DF9" w:rsidRPr="00F537B9" w:rsidRDefault="00E07B7C" w:rsidP="001C73C6">
      <w:pPr>
        <w:pStyle w:val="Text1"/>
        <w:rPr>
          <w:noProof/>
        </w:rPr>
      </w:pPr>
      <w:r w:rsidRPr="00F537B9">
        <w:rPr>
          <w:noProof/>
        </w:rPr>
        <w:t>Tieto ustanovenia uplatňujú od [1</w:t>
      </w:r>
      <w:r w:rsidR="00F537B9">
        <w:rPr>
          <w:noProof/>
        </w:rPr>
        <w:t>. januára</w:t>
      </w:r>
      <w:r w:rsidRPr="00F537B9">
        <w:rPr>
          <w:noProof/>
        </w:rPr>
        <w:t xml:space="preserve"> 2026].</w:t>
      </w:r>
    </w:p>
    <w:p w14:paraId="720A91A1" w14:textId="5B1765CE" w:rsidR="003E6DF9" w:rsidRPr="00F537B9" w:rsidRDefault="00E07B7C" w:rsidP="001C73C6">
      <w:pPr>
        <w:pStyle w:val="Text1"/>
        <w:rPr>
          <w:noProof/>
        </w:rPr>
      </w:pPr>
      <w:r w:rsidRPr="00F537B9">
        <w:rPr>
          <w:noProof/>
        </w:rPr>
        <w:t>Členské štáty uvedú priamo</w:t>
      </w:r>
      <w:r w:rsidR="00F537B9">
        <w:rPr>
          <w:noProof/>
        </w:rPr>
        <w:t xml:space="preserve"> v </w:t>
      </w:r>
      <w:r w:rsidRPr="00F537B9">
        <w:rPr>
          <w:noProof/>
        </w:rPr>
        <w:t>prijatých ustanoveniach alebo pri ich úradnom uverejnení odkaz na túto smernicu. Podrobnosti</w:t>
      </w:r>
      <w:r w:rsidR="00F537B9">
        <w:rPr>
          <w:noProof/>
        </w:rPr>
        <w:t xml:space="preserve"> o </w:t>
      </w:r>
      <w:r w:rsidRPr="00F537B9">
        <w:rPr>
          <w:noProof/>
        </w:rPr>
        <w:t>odkaze upravia členské štáty.</w:t>
      </w:r>
    </w:p>
    <w:p w14:paraId="1A81BCC2" w14:textId="11799533" w:rsidR="00E07B7C" w:rsidRPr="00F537B9" w:rsidRDefault="00545434" w:rsidP="00545434">
      <w:pPr>
        <w:pStyle w:val="ManualNumPar1"/>
        <w:rPr>
          <w:noProof/>
        </w:rPr>
      </w:pPr>
      <w:r w:rsidRPr="00545434">
        <w:t>2.</w:t>
      </w:r>
      <w:r w:rsidRPr="00545434">
        <w:tab/>
      </w:r>
      <w:r w:rsidR="00E07B7C" w:rsidRPr="00F537B9">
        <w:rPr>
          <w:noProof/>
        </w:rPr>
        <w:t>Členské štáty oznámia Komisii znenie hlavných ustanovení vnútroštátneho práva, ktoré prijmú</w:t>
      </w:r>
      <w:r w:rsidR="00F537B9">
        <w:rPr>
          <w:noProof/>
        </w:rPr>
        <w:t xml:space="preserve"> v </w:t>
      </w:r>
      <w:r w:rsidR="00E07B7C" w:rsidRPr="00F537B9">
        <w:rPr>
          <w:noProof/>
        </w:rPr>
        <w:t>oblasti pôsobnosti tejto smernice.</w:t>
      </w:r>
    </w:p>
    <w:p w14:paraId="7E332E46" w14:textId="77777777" w:rsidR="00E07B7C" w:rsidRPr="00F537B9" w:rsidRDefault="00E07B7C" w:rsidP="00E07B7C">
      <w:pPr>
        <w:pStyle w:val="Titrearticle"/>
        <w:rPr>
          <w:b/>
          <w:i w:val="0"/>
          <w:noProof/>
        </w:rPr>
      </w:pPr>
      <w:r w:rsidRPr="00F537B9">
        <w:rPr>
          <w:noProof/>
        </w:rPr>
        <w:t xml:space="preserve">Článok 21 </w:t>
      </w:r>
      <w:r w:rsidRPr="00F537B9">
        <w:rPr>
          <w:noProof/>
        </w:rPr>
        <w:br/>
      </w:r>
      <w:r w:rsidRPr="00F537B9">
        <w:rPr>
          <w:b/>
          <w:i w:val="0"/>
          <w:noProof/>
        </w:rPr>
        <w:t>Nadobudnutie účinnosti</w:t>
      </w:r>
    </w:p>
    <w:p w14:paraId="0C831E6E" w14:textId="0CF2A7E4" w:rsidR="00E07B7C" w:rsidRPr="00F537B9" w:rsidRDefault="00E07B7C" w:rsidP="00E07B7C">
      <w:pPr>
        <w:rPr>
          <w:noProof/>
        </w:rPr>
      </w:pPr>
      <w:r w:rsidRPr="00F537B9">
        <w:rPr>
          <w:noProof/>
        </w:rPr>
        <w:t>Táto smernica nadobúda účinnosť dvadsiatym dňom po jej uverejnení</w:t>
      </w:r>
      <w:r w:rsidR="00F537B9">
        <w:rPr>
          <w:noProof/>
        </w:rPr>
        <w:t xml:space="preserve"> v </w:t>
      </w:r>
      <w:r w:rsidRPr="00F537B9">
        <w:rPr>
          <w:i/>
          <w:iCs/>
          <w:noProof/>
        </w:rPr>
        <w:t>Úradnom vestníku Európskej únie</w:t>
      </w:r>
      <w:r w:rsidRPr="00F537B9">
        <w:rPr>
          <w:noProof/>
        </w:rPr>
        <w:t>.</w:t>
      </w:r>
    </w:p>
    <w:p w14:paraId="1D332420" w14:textId="77777777" w:rsidR="00E07B7C" w:rsidRPr="00F537B9" w:rsidRDefault="00E07B7C" w:rsidP="00E07B7C">
      <w:pPr>
        <w:pStyle w:val="Titrearticle"/>
        <w:rPr>
          <w:b/>
          <w:i w:val="0"/>
          <w:noProof/>
        </w:rPr>
      </w:pPr>
      <w:r w:rsidRPr="00F537B9">
        <w:rPr>
          <w:noProof/>
        </w:rPr>
        <w:t xml:space="preserve">Článok 22 </w:t>
      </w:r>
      <w:r w:rsidRPr="00F537B9">
        <w:rPr>
          <w:noProof/>
        </w:rPr>
        <w:br/>
      </w:r>
      <w:r w:rsidRPr="00F537B9">
        <w:rPr>
          <w:b/>
          <w:i w:val="0"/>
          <w:noProof/>
        </w:rPr>
        <w:t>Adresáti</w:t>
      </w:r>
    </w:p>
    <w:p w14:paraId="4DFDA203" w14:textId="77777777" w:rsidR="00E07B7C" w:rsidRPr="00F537B9" w:rsidRDefault="00E07B7C" w:rsidP="00E07B7C">
      <w:pPr>
        <w:rPr>
          <w:noProof/>
        </w:rPr>
      </w:pPr>
      <w:r w:rsidRPr="00F537B9">
        <w:rPr>
          <w:noProof/>
        </w:rPr>
        <w:t>Táto smernica je určená členským štátom.</w:t>
      </w:r>
    </w:p>
    <w:p w14:paraId="163D2462" w14:textId="77777777" w:rsidR="00E07B7C" w:rsidRPr="00F537B9" w:rsidRDefault="00E07B7C" w:rsidP="00E07B7C">
      <w:pPr>
        <w:rPr>
          <w:noProof/>
        </w:rPr>
      </w:pPr>
    </w:p>
    <w:p w14:paraId="42A98E88" w14:textId="02BCF01F" w:rsidR="00E07B7C" w:rsidRPr="00F537B9" w:rsidRDefault="002E1623" w:rsidP="00C212AB">
      <w:pPr>
        <w:pStyle w:val="Fait"/>
        <w:rPr>
          <w:noProof/>
        </w:rPr>
      </w:pPr>
      <w:r w:rsidRPr="002E1623">
        <w:t>V Štrasburgu</w:t>
      </w:r>
    </w:p>
    <w:p w14:paraId="7DCDC374" w14:textId="77777777" w:rsidR="00E07B7C" w:rsidRPr="00F537B9" w:rsidRDefault="00E07B7C" w:rsidP="00C212AB">
      <w:pPr>
        <w:pStyle w:val="Institutionquisigne"/>
        <w:rPr>
          <w:noProof/>
        </w:rPr>
      </w:pPr>
      <w:r w:rsidRPr="00F537B9">
        <w:rPr>
          <w:noProof/>
        </w:rPr>
        <w:tab/>
        <w:t>Za Radu</w:t>
      </w:r>
    </w:p>
    <w:p w14:paraId="59D0475A" w14:textId="77777777" w:rsidR="00E07B7C" w:rsidRPr="00F537B9" w:rsidRDefault="00E07B7C" w:rsidP="00E07B7C">
      <w:pPr>
        <w:pStyle w:val="Personnequisigne"/>
        <w:rPr>
          <w:noProof/>
        </w:rPr>
      </w:pPr>
      <w:r w:rsidRPr="00F537B9">
        <w:rPr>
          <w:noProof/>
        </w:rPr>
        <w:tab/>
        <w:t>predseda/predsedníčka</w:t>
      </w:r>
    </w:p>
    <w:bookmarkEnd w:id="5"/>
    <w:bookmarkEnd w:id="14"/>
    <w:p w14:paraId="264E3E9C" w14:textId="77777777" w:rsidR="00544811" w:rsidRPr="00F537B9" w:rsidRDefault="00544811" w:rsidP="00544811">
      <w:pPr>
        <w:rPr>
          <w:noProof/>
        </w:rPr>
        <w:sectPr w:rsidR="00544811" w:rsidRPr="00F537B9" w:rsidSect="004765B0">
          <w:pgSz w:w="11907" w:h="16839"/>
          <w:pgMar w:top="1134" w:right="1417" w:bottom="1134" w:left="1417" w:header="709" w:footer="709" w:gutter="0"/>
          <w:cols w:space="708"/>
          <w:docGrid w:linePitch="360"/>
        </w:sectPr>
      </w:pPr>
    </w:p>
    <w:p w14:paraId="22C4A444" w14:textId="77777777" w:rsidR="00544811" w:rsidRPr="00F537B9" w:rsidRDefault="00544811">
      <w:pPr>
        <w:pStyle w:val="Fichefinanciretitre"/>
        <w:keepNext/>
        <w:rPr>
          <w:noProof/>
        </w:rPr>
      </w:pPr>
      <w:bookmarkStart w:id="44" w:name="_TocB7751C055C4744A28A002AAF436526DF"/>
      <w:r w:rsidRPr="00F537B9">
        <w:rPr>
          <w:noProof/>
        </w:rPr>
        <w:t>LEGISLATÍVNY FINANČNÝ VÝKAZ</w:t>
      </w:r>
      <w:bookmarkEnd w:id="44"/>
    </w:p>
    <w:p w14:paraId="661D62C0" w14:textId="77777777" w:rsidR="00F537B9" w:rsidRDefault="00544811">
      <w:pPr>
        <w:pStyle w:val="ManualHeading1"/>
        <w:rPr>
          <w:noProof/>
        </w:rPr>
      </w:pPr>
      <w:bookmarkStart w:id="45" w:name="_Toc514938007"/>
      <w:bookmarkStart w:id="46" w:name="_Toc520485025"/>
      <w:r w:rsidRPr="00F537B9">
        <w:rPr>
          <w:noProof/>
        </w:rPr>
        <w:t>1.</w:t>
      </w:r>
      <w:r w:rsidRPr="00F537B9">
        <w:rPr>
          <w:noProof/>
        </w:rPr>
        <w:tab/>
        <w:t>RÁMEC NÁVRHU/INICIATÍVY</w:t>
      </w:r>
      <w:bookmarkEnd w:id="45"/>
      <w:bookmarkEnd w:id="46"/>
    </w:p>
    <w:p w14:paraId="2F7B79F3" w14:textId="0FF5DC9E" w:rsidR="00544811" w:rsidRPr="00F537B9" w:rsidRDefault="00544811">
      <w:pPr>
        <w:pStyle w:val="ManualHeading2"/>
        <w:rPr>
          <w:noProof/>
        </w:rPr>
      </w:pPr>
      <w:bookmarkStart w:id="47" w:name="_Toc514938008"/>
      <w:bookmarkStart w:id="48" w:name="_Toc520485026"/>
      <w:r w:rsidRPr="00F537B9">
        <w:rPr>
          <w:noProof/>
        </w:rPr>
        <w:t>1.1.</w:t>
      </w:r>
      <w:r w:rsidRPr="00F537B9">
        <w:rPr>
          <w:noProof/>
        </w:rPr>
        <w:tab/>
        <w:t>Názov návrhu/iniciatívy</w:t>
      </w:r>
      <w:bookmarkEnd w:id="47"/>
      <w:bookmarkEnd w:id="48"/>
    </w:p>
    <w:p w14:paraId="2F0239B8" w14:textId="5E5E895F" w:rsidR="00544811" w:rsidRPr="00F537B9" w:rsidRDefault="008D4857">
      <w:pPr>
        <w:pStyle w:val="Text1"/>
        <w:pBdr>
          <w:top w:val="single" w:sz="4" w:space="1" w:color="auto"/>
          <w:left w:val="single" w:sz="4" w:space="4" w:color="auto"/>
          <w:bottom w:val="single" w:sz="4" w:space="1" w:color="auto"/>
          <w:right w:val="single" w:sz="4" w:space="4" w:color="auto"/>
        </w:pBdr>
        <w:rPr>
          <w:noProof/>
        </w:rPr>
      </w:pPr>
      <w:r w:rsidRPr="00F537B9">
        <w:rPr>
          <w:noProof/>
        </w:rPr>
        <w:t>Smernica</w:t>
      </w:r>
      <w:r w:rsidR="00F537B9">
        <w:rPr>
          <w:noProof/>
        </w:rPr>
        <w:t xml:space="preserve"> o </w:t>
      </w:r>
      <w:r w:rsidRPr="00F537B9">
        <w:rPr>
          <w:noProof/>
        </w:rPr>
        <w:t>transferovom oceňovaní</w:t>
      </w:r>
    </w:p>
    <w:p w14:paraId="54D59583" w14:textId="77777777" w:rsidR="00F537B9" w:rsidRDefault="00544811">
      <w:pPr>
        <w:pStyle w:val="ManualHeading2"/>
        <w:rPr>
          <w:i/>
          <w:noProof/>
        </w:rPr>
      </w:pPr>
      <w:bookmarkStart w:id="49" w:name="_Toc514938011"/>
      <w:bookmarkStart w:id="50" w:name="_Toc520485027"/>
      <w:r w:rsidRPr="00F537B9">
        <w:rPr>
          <w:noProof/>
        </w:rPr>
        <w:t>1.2.</w:t>
      </w:r>
      <w:r w:rsidRPr="00F537B9">
        <w:rPr>
          <w:noProof/>
        </w:rPr>
        <w:tab/>
        <w:t>Príslušné oblasti politiky</w:t>
      </w:r>
      <w:bookmarkEnd w:id="49"/>
      <w:bookmarkEnd w:id="50"/>
    </w:p>
    <w:p w14:paraId="0853DA8F" w14:textId="7E4915C8" w:rsidR="00544811" w:rsidRPr="00F537B9" w:rsidRDefault="008D4857">
      <w:pPr>
        <w:pStyle w:val="Text1"/>
        <w:pBdr>
          <w:top w:val="single" w:sz="4" w:space="1" w:color="auto"/>
          <w:left w:val="single" w:sz="4" w:space="4" w:color="auto"/>
          <w:bottom w:val="single" w:sz="4" w:space="1" w:color="auto"/>
          <w:right w:val="single" w:sz="4" w:space="4" w:color="auto"/>
        </w:pBdr>
        <w:rPr>
          <w:noProof/>
        </w:rPr>
      </w:pPr>
      <w:r w:rsidRPr="00F537B9">
        <w:rPr>
          <w:noProof/>
        </w:rPr>
        <w:t>Daňová politika</w:t>
      </w:r>
    </w:p>
    <w:p w14:paraId="748E69FE" w14:textId="77777777" w:rsidR="00F537B9" w:rsidRDefault="00544811">
      <w:pPr>
        <w:pStyle w:val="ManualHeading2"/>
        <w:rPr>
          <w:noProof/>
        </w:rPr>
      </w:pPr>
      <w:bookmarkStart w:id="51" w:name="_Toc514938014"/>
      <w:bookmarkStart w:id="52" w:name="_Toc520485028"/>
      <w:r w:rsidRPr="00F537B9">
        <w:rPr>
          <w:noProof/>
        </w:rPr>
        <w:t>1.3.</w:t>
      </w:r>
      <w:r w:rsidRPr="00F537B9">
        <w:rPr>
          <w:noProof/>
        </w:rPr>
        <w:tab/>
        <w:t>Návrh/iniciatíva sa týka</w:t>
      </w:r>
      <w:bookmarkEnd w:id="51"/>
      <w:bookmarkEnd w:id="52"/>
      <w:r w:rsidR="00F537B9">
        <w:rPr>
          <w:noProof/>
        </w:rPr>
        <w:t>:</w:t>
      </w:r>
    </w:p>
    <w:p w14:paraId="3F54A8D2" w14:textId="77777777" w:rsidR="00F537B9" w:rsidRDefault="00D8401A">
      <w:pPr>
        <w:pStyle w:val="Text1"/>
        <w:rPr>
          <w:b/>
          <w:noProof/>
          <w:sz w:val="22"/>
        </w:rPr>
      </w:pPr>
      <w:r w:rsidRPr="00F537B9">
        <w:rPr>
          <w:rFonts w:ascii="Wingdings" w:hAnsi="Wingdings"/>
          <w:noProof/>
        </w:rPr>
        <w:t></w:t>
      </w:r>
      <w:r w:rsidRPr="00F537B9">
        <w:rPr>
          <w:b/>
          <w:i/>
          <w:noProof/>
          <w:sz w:val="22"/>
        </w:rPr>
        <w:t xml:space="preserve"> </w:t>
      </w:r>
      <w:r w:rsidRPr="00F537B9">
        <w:rPr>
          <w:b/>
          <w:noProof/>
        </w:rPr>
        <w:t>novej akcie</w:t>
      </w:r>
    </w:p>
    <w:p w14:paraId="1FF9F41C" w14:textId="77777777" w:rsidR="00F537B9" w:rsidRDefault="00544811">
      <w:pPr>
        <w:pStyle w:val="Text1"/>
        <w:rPr>
          <w:noProof/>
          <w:sz w:val="22"/>
        </w:rPr>
      </w:pPr>
      <w:r w:rsidRPr="00F537B9">
        <w:rPr>
          <w:rFonts w:ascii="Wingdings" w:hAnsi="Wingdings"/>
          <w:noProof/>
          <w:sz w:val="22"/>
        </w:rPr>
        <w:t></w:t>
      </w:r>
      <w:r w:rsidRPr="00F537B9">
        <w:rPr>
          <w:i/>
          <w:noProof/>
          <w:sz w:val="22"/>
        </w:rPr>
        <w:t xml:space="preserve"> </w:t>
      </w:r>
      <w:r w:rsidRPr="00F537B9">
        <w:rPr>
          <w:b/>
          <w:noProof/>
        </w:rPr>
        <w:t>novej akcie, ktorá nadväzuje na pilotný projekt/prípravnú akciu</w:t>
      </w:r>
      <w:r w:rsidRPr="00F537B9">
        <w:rPr>
          <w:rStyle w:val="FootnoteReference"/>
          <w:b/>
          <w:noProof/>
        </w:rPr>
        <w:footnoteReference w:id="40"/>
      </w:r>
    </w:p>
    <w:p w14:paraId="26B088AE" w14:textId="77777777" w:rsidR="00F537B9" w:rsidRDefault="00544811">
      <w:pPr>
        <w:pStyle w:val="Text1"/>
        <w:rPr>
          <w:noProof/>
          <w:sz w:val="22"/>
        </w:rPr>
      </w:pPr>
      <w:r w:rsidRPr="00F537B9">
        <w:rPr>
          <w:rFonts w:ascii="Wingdings" w:hAnsi="Wingdings"/>
          <w:noProof/>
          <w:sz w:val="22"/>
        </w:rPr>
        <w:t></w:t>
      </w:r>
      <w:r w:rsidRPr="00F537B9">
        <w:rPr>
          <w:i/>
          <w:noProof/>
          <w:sz w:val="22"/>
        </w:rPr>
        <w:t xml:space="preserve"> </w:t>
      </w:r>
      <w:r w:rsidRPr="00F537B9">
        <w:rPr>
          <w:b/>
          <w:noProof/>
        </w:rPr>
        <w:t>predĺženia trvania existujúcej akcie</w:t>
      </w:r>
    </w:p>
    <w:p w14:paraId="69B1C46E" w14:textId="77777777" w:rsidR="00F537B9" w:rsidRDefault="00544811">
      <w:pPr>
        <w:pStyle w:val="Text1"/>
        <w:rPr>
          <w:noProof/>
        </w:rPr>
      </w:pPr>
      <w:r w:rsidRPr="00F537B9">
        <w:rPr>
          <w:rFonts w:ascii="Wingdings" w:hAnsi="Wingdings"/>
          <w:noProof/>
          <w:sz w:val="22"/>
        </w:rPr>
        <w:t></w:t>
      </w:r>
      <w:r w:rsidRPr="00F537B9">
        <w:rPr>
          <w:i/>
          <w:noProof/>
          <w:sz w:val="22"/>
        </w:rPr>
        <w:t xml:space="preserve"> </w:t>
      </w:r>
      <w:r w:rsidRPr="00F537B9">
        <w:rPr>
          <w:b/>
          <w:noProof/>
        </w:rPr>
        <w:t>zlúčenia jednej alebo viacerých akcií do ďalšej/novej akcie alebo presmerovania jednej alebo viacerých akcií na ďalšiu/novú akciu</w:t>
      </w:r>
    </w:p>
    <w:p w14:paraId="1EF72EAD" w14:textId="5D784311" w:rsidR="00544811" w:rsidRPr="00F537B9" w:rsidRDefault="00544811">
      <w:pPr>
        <w:pStyle w:val="ManualHeading2"/>
        <w:rPr>
          <w:bCs/>
          <w:noProof/>
          <w:szCs w:val="24"/>
        </w:rPr>
      </w:pPr>
      <w:bookmarkStart w:id="53" w:name="_Toc514938015"/>
      <w:bookmarkStart w:id="54" w:name="_Toc520485029"/>
      <w:r w:rsidRPr="00F537B9">
        <w:rPr>
          <w:noProof/>
        </w:rPr>
        <w:t>1.4.</w:t>
      </w:r>
      <w:r w:rsidRPr="00F537B9">
        <w:rPr>
          <w:noProof/>
        </w:rPr>
        <w:tab/>
        <w:t>Ciele</w:t>
      </w:r>
      <w:bookmarkEnd w:id="53"/>
      <w:bookmarkEnd w:id="54"/>
    </w:p>
    <w:p w14:paraId="0BC66C22" w14:textId="77777777" w:rsidR="00544811" w:rsidRPr="00F537B9" w:rsidRDefault="00544811">
      <w:pPr>
        <w:pStyle w:val="ManualHeading3"/>
        <w:rPr>
          <w:noProof/>
        </w:rPr>
      </w:pPr>
      <w:bookmarkStart w:id="55" w:name="_Toc514938016"/>
      <w:bookmarkStart w:id="56" w:name="_Toc520485030"/>
      <w:r w:rsidRPr="00F537B9">
        <w:rPr>
          <w:noProof/>
        </w:rPr>
        <w:t>1.4.1.</w:t>
      </w:r>
      <w:r w:rsidRPr="00F537B9">
        <w:rPr>
          <w:noProof/>
        </w:rPr>
        <w:tab/>
        <w:t>Všeobecné ciele</w:t>
      </w:r>
      <w:bookmarkEnd w:id="55"/>
      <w:bookmarkEnd w:id="56"/>
    </w:p>
    <w:p w14:paraId="562EFA30" w14:textId="10D046EB" w:rsidR="000329DD" w:rsidRPr="00F537B9" w:rsidRDefault="008452E2" w:rsidP="008452E2">
      <w:pPr>
        <w:pStyle w:val="Text1"/>
        <w:pBdr>
          <w:top w:val="single" w:sz="4" w:space="1" w:color="auto"/>
          <w:left w:val="single" w:sz="4" w:space="4" w:color="auto"/>
          <w:bottom w:val="single" w:sz="4" w:space="1" w:color="auto"/>
          <w:right w:val="single" w:sz="4" w:space="4" w:color="auto"/>
        </w:pBdr>
        <w:rPr>
          <w:noProof/>
        </w:rPr>
      </w:pPr>
      <w:r w:rsidRPr="00F537B9">
        <w:rPr>
          <w:noProof/>
        </w:rPr>
        <w:t>Zvýšenie daňovej istoty; cieľom návrhu je zvýšiť daňovú istotu zavedením jasnejšieho</w:t>
      </w:r>
      <w:r w:rsidR="00F537B9">
        <w:rPr>
          <w:noProof/>
        </w:rPr>
        <w:t xml:space="preserve"> a </w:t>
      </w:r>
      <w:r w:rsidRPr="00F537B9">
        <w:rPr>
          <w:noProof/>
        </w:rPr>
        <w:t>jednotnejšieho prístupu</w:t>
      </w:r>
      <w:r w:rsidR="00F537B9">
        <w:rPr>
          <w:noProof/>
        </w:rPr>
        <w:t xml:space="preserve"> k </w:t>
      </w:r>
      <w:r w:rsidRPr="00F537B9">
        <w:rPr>
          <w:noProof/>
        </w:rPr>
        <w:t>transferovému oceňovaniu</w:t>
      </w:r>
      <w:r w:rsidR="00F537B9">
        <w:rPr>
          <w:noProof/>
        </w:rPr>
        <w:t xml:space="preserve"> v </w:t>
      </w:r>
      <w:r w:rsidRPr="00F537B9">
        <w:rPr>
          <w:noProof/>
        </w:rPr>
        <w:t>celej EÚ.</w:t>
      </w:r>
    </w:p>
    <w:p w14:paraId="6340F939" w14:textId="77777777" w:rsidR="00544811" w:rsidRPr="00F537B9" w:rsidRDefault="00544811">
      <w:pPr>
        <w:pStyle w:val="ManualHeading3"/>
        <w:rPr>
          <w:bCs/>
          <w:noProof/>
          <w:szCs w:val="24"/>
        </w:rPr>
      </w:pPr>
      <w:bookmarkStart w:id="57" w:name="_Toc514938018"/>
      <w:bookmarkStart w:id="58" w:name="_Toc520485031"/>
      <w:r w:rsidRPr="00F537B9">
        <w:rPr>
          <w:noProof/>
        </w:rPr>
        <w:t>1.4.2.</w:t>
      </w:r>
      <w:r w:rsidRPr="00F537B9">
        <w:rPr>
          <w:noProof/>
        </w:rPr>
        <w:tab/>
        <w:t>Špecifické ciele</w:t>
      </w:r>
      <w:bookmarkEnd w:id="57"/>
      <w:bookmarkEnd w:id="58"/>
    </w:p>
    <w:p w14:paraId="4EA5EE3A" w14:textId="77777777" w:rsidR="00F82CEC" w:rsidRPr="00F537B9" w:rsidRDefault="00F82CEC" w:rsidP="00F82CEC">
      <w:pPr>
        <w:pStyle w:val="Text1"/>
        <w:pBdr>
          <w:top w:val="single" w:sz="4" w:space="1" w:color="auto"/>
          <w:left w:val="single" w:sz="4" w:space="4" w:color="auto"/>
          <w:bottom w:val="single" w:sz="4" w:space="1" w:color="auto"/>
          <w:right w:val="single" w:sz="4" w:space="4" w:color="auto"/>
        </w:pBdr>
        <w:rPr>
          <w:noProof/>
        </w:rPr>
      </w:pPr>
      <w:r w:rsidRPr="00F537B9">
        <w:rPr>
          <w:noProof/>
        </w:rPr>
        <w:t>1. Začlenenie princípu nezávislého vzťahu do právnych predpisov EÚ.</w:t>
      </w:r>
    </w:p>
    <w:p w14:paraId="4EB0FDD6" w14:textId="17BB6D85" w:rsidR="00F82CEC" w:rsidRPr="00F537B9" w:rsidRDefault="00F82CEC" w:rsidP="00F82CEC">
      <w:pPr>
        <w:pStyle w:val="Text1"/>
        <w:pBdr>
          <w:top w:val="single" w:sz="4" w:space="1" w:color="auto"/>
          <w:left w:val="single" w:sz="4" w:space="4" w:color="auto"/>
          <w:bottom w:val="single" w:sz="4" w:space="1" w:color="auto"/>
          <w:right w:val="single" w:sz="4" w:space="4" w:color="auto"/>
        </w:pBdr>
        <w:rPr>
          <w:noProof/>
        </w:rPr>
      </w:pPr>
      <w:r w:rsidRPr="00F537B9">
        <w:rPr>
          <w:noProof/>
        </w:rPr>
        <w:t>2. Objasnenie úlohy smernice OECD</w:t>
      </w:r>
      <w:r w:rsidR="00F537B9">
        <w:rPr>
          <w:noProof/>
        </w:rPr>
        <w:t xml:space="preserve"> o </w:t>
      </w:r>
      <w:r w:rsidRPr="00F537B9">
        <w:rPr>
          <w:noProof/>
        </w:rPr>
        <w:t>transferovom oceňovaní.</w:t>
      </w:r>
    </w:p>
    <w:p w14:paraId="7706E19E" w14:textId="1A03A918" w:rsidR="000329DD" w:rsidRPr="00F537B9" w:rsidRDefault="00F82CEC">
      <w:pPr>
        <w:pStyle w:val="Text1"/>
        <w:pBdr>
          <w:top w:val="single" w:sz="4" w:space="1" w:color="auto"/>
          <w:left w:val="single" w:sz="4" w:space="4" w:color="auto"/>
          <w:bottom w:val="single" w:sz="4" w:space="1" w:color="auto"/>
          <w:right w:val="single" w:sz="4" w:space="4" w:color="auto"/>
        </w:pBdr>
        <w:rPr>
          <w:noProof/>
        </w:rPr>
      </w:pPr>
      <w:r w:rsidRPr="00F537B9">
        <w:rPr>
          <w:noProof/>
        </w:rPr>
        <w:t>3. Zaručenie jednotného uplatňovania princípu nezávislého vzťahu</w:t>
      </w:r>
      <w:r w:rsidR="00F537B9">
        <w:rPr>
          <w:noProof/>
        </w:rPr>
        <w:t xml:space="preserve"> v </w:t>
      </w:r>
      <w:r w:rsidRPr="00F537B9">
        <w:rPr>
          <w:noProof/>
        </w:rPr>
        <w:t>celej Únii.</w:t>
      </w:r>
    </w:p>
    <w:p w14:paraId="5E0A534C" w14:textId="4C0751AA" w:rsidR="006D7945" w:rsidRPr="00F537B9" w:rsidRDefault="006D7945">
      <w:pPr>
        <w:pStyle w:val="Text1"/>
        <w:pBdr>
          <w:top w:val="single" w:sz="4" w:space="1" w:color="auto"/>
          <w:left w:val="single" w:sz="4" w:space="4" w:color="auto"/>
          <w:bottom w:val="single" w:sz="4" w:space="1" w:color="auto"/>
          <w:right w:val="single" w:sz="4" w:space="4" w:color="auto"/>
        </w:pBdr>
        <w:rPr>
          <w:noProof/>
        </w:rPr>
      </w:pPr>
      <w:r w:rsidRPr="00F537B9">
        <w:rPr>
          <w:noProof/>
        </w:rPr>
        <w:t>4. Zníženie dvojitého zdanenia</w:t>
      </w:r>
      <w:r w:rsidR="00F537B9">
        <w:rPr>
          <w:noProof/>
        </w:rPr>
        <w:t xml:space="preserve"> a </w:t>
      </w:r>
      <w:r w:rsidRPr="00F537B9">
        <w:rPr>
          <w:noProof/>
        </w:rPr>
        <w:t>dvojitého nezdanenia.</w:t>
      </w:r>
    </w:p>
    <w:p w14:paraId="4D2A6FD6" w14:textId="301E5D0E" w:rsidR="00544811" w:rsidRPr="00F537B9" w:rsidRDefault="00544811">
      <w:pPr>
        <w:pStyle w:val="ManualHeading3"/>
        <w:rPr>
          <w:noProof/>
        </w:rPr>
      </w:pPr>
      <w:bookmarkStart w:id="59" w:name="_Toc514938019"/>
      <w:bookmarkStart w:id="60" w:name="_Toc520485032"/>
      <w:r w:rsidRPr="00F537B9">
        <w:rPr>
          <w:noProof/>
        </w:rPr>
        <w:t>1.4.3.</w:t>
      </w:r>
      <w:r w:rsidRPr="00F537B9">
        <w:rPr>
          <w:noProof/>
        </w:rPr>
        <w:tab/>
        <w:t>Očakávané výsledky</w:t>
      </w:r>
      <w:r w:rsidR="00F537B9">
        <w:rPr>
          <w:noProof/>
        </w:rPr>
        <w:t xml:space="preserve"> a </w:t>
      </w:r>
      <w:r w:rsidRPr="00F537B9">
        <w:rPr>
          <w:noProof/>
        </w:rPr>
        <w:t>vplyv</w:t>
      </w:r>
      <w:bookmarkEnd w:id="59"/>
      <w:bookmarkEnd w:id="60"/>
    </w:p>
    <w:p w14:paraId="70114DCA" w14:textId="77777777" w:rsidR="00544811" w:rsidRPr="00F537B9" w:rsidRDefault="00544811">
      <w:pPr>
        <w:pStyle w:val="Text1"/>
        <w:rPr>
          <w:i/>
          <w:noProof/>
          <w:sz w:val="20"/>
        </w:rPr>
      </w:pPr>
      <w:r w:rsidRPr="00F537B9">
        <w:rPr>
          <w:i/>
          <w:noProof/>
          <w:sz w:val="20"/>
        </w:rPr>
        <w:t>Uveďte, aký vplyv by mal mať návrh/iniciatíva na prijímateľov/cieľové skupiny.</w:t>
      </w:r>
    </w:p>
    <w:p w14:paraId="153ADDB3" w14:textId="34A0D4FA" w:rsidR="00F537B9" w:rsidRDefault="000329DD">
      <w:pPr>
        <w:pStyle w:val="Text1"/>
        <w:pBdr>
          <w:top w:val="single" w:sz="4" w:space="1" w:color="auto"/>
          <w:left w:val="single" w:sz="4" w:space="4" w:color="auto"/>
          <w:bottom w:val="single" w:sz="4" w:space="1" w:color="auto"/>
          <w:right w:val="single" w:sz="4" w:space="4" w:color="auto"/>
        </w:pBdr>
        <w:rPr>
          <w:noProof/>
        </w:rPr>
      </w:pPr>
      <w:r w:rsidRPr="00F537B9">
        <w:rPr>
          <w:noProof/>
        </w:rPr>
        <w:t>Jasnejšie</w:t>
      </w:r>
      <w:r w:rsidR="00F537B9">
        <w:rPr>
          <w:noProof/>
        </w:rPr>
        <w:t xml:space="preserve"> a </w:t>
      </w:r>
      <w:r w:rsidRPr="00F537B9">
        <w:rPr>
          <w:noProof/>
        </w:rPr>
        <w:t>harmonizovanejšie pravidlá by mohli viesť aj</w:t>
      </w:r>
      <w:r w:rsidR="00F537B9">
        <w:rPr>
          <w:noProof/>
        </w:rPr>
        <w:t xml:space="preserve"> k </w:t>
      </w:r>
      <w:r w:rsidRPr="00F537B9">
        <w:rPr>
          <w:noProof/>
        </w:rPr>
        <w:t>zníženiu počtu sporov súvisiacich</w:t>
      </w:r>
      <w:r w:rsidR="00F537B9">
        <w:rPr>
          <w:noProof/>
        </w:rPr>
        <w:t xml:space="preserve"> s </w:t>
      </w:r>
      <w:r w:rsidRPr="00F537B9">
        <w:rPr>
          <w:noProof/>
        </w:rPr>
        <w:t>transferovým oceňovaním</w:t>
      </w:r>
      <w:r w:rsidR="00F537B9">
        <w:rPr>
          <w:noProof/>
        </w:rPr>
        <w:t xml:space="preserve"> v </w:t>
      </w:r>
      <w:r w:rsidRPr="00F537B9">
        <w:rPr>
          <w:noProof/>
        </w:rPr>
        <w:t>celej EÚ, ako aj</w:t>
      </w:r>
      <w:r w:rsidR="00F537B9">
        <w:rPr>
          <w:noProof/>
        </w:rPr>
        <w:t xml:space="preserve"> k </w:t>
      </w:r>
      <w:r w:rsidRPr="00F537B9">
        <w:rPr>
          <w:noProof/>
        </w:rPr>
        <w:t>zníženiu dvojitého zdanenia</w:t>
      </w:r>
      <w:r w:rsidR="00F537B9">
        <w:rPr>
          <w:noProof/>
        </w:rPr>
        <w:t xml:space="preserve"> a </w:t>
      </w:r>
      <w:r w:rsidRPr="00F537B9">
        <w:rPr>
          <w:noProof/>
        </w:rPr>
        <w:t>dvojitého nezdanenia. Jednotnejší prístup</w:t>
      </w:r>
      <w:r w:rsidR="00F537B9">
        <w:rPr>
          <w:noProof/>
        </w:rPr>
        <w:t xml:space="preserve"> k </w:t>
      </w:r>
      <w:r w:rsidRPr="00F537B9">
        <w:rPr>
          <w:noProof/>
        </w:rPr>
        <w:t>transferovému oceňovaniu môže viesť</w:t>
      </w:r>
      <w:r w:rsidR="00F537B9">
        <w:rPr>
          <w:noProof/>
        </w:rPr>
        <w:t xml:space="preserve"> k </w:t>
      </w:r>
      <w:r w:rsidRPr="00F537B9">
        <w:rPr>
          <w:noProof/>
        </w:rPr>
        <w:t>zníženiu nákladov súvisiacich</w:t>
      </w:r>
      <w:r w:rsidR="00F537B9">
        <w:rPr>
          <w:noProof/>
        </w:rPr>
        <w:t xml:space="preserve"> s </w:t>
      </w:r>
      <w:r w:rsidRPr="00F537B9">
        <w:rPr>
          <w:noProof/>
        </w:rPr>
        <w:t>dodržiavaním pravidiel transferového oceňovania</w:t>
      </w:r>
      <w:r w:rsidR="00F537B9">
        <w:rPr>
          <w:noProof/>
        </w:rPr>
        <w:t xml:space="preserve"> v </w:t>
      </w:r>
      <w:r w:rsidRPr="00F537B9">
        <w:rPr>
          <w:noProof/>
        </w:rPr>
        <w:t>jednotlivých členských štátoch</w:t>
      </w:r>
      <w:r w:rsidR="00F537B9">
        <w:rPr>
          <w:noProof/>
        </w:rPr>
        <w:t>.</w:t>
      </w:r>
    </w:p>
    <w:p w14:paraId="1A93A8BF" w14:textId="1E03DCD0" w:rsidR="00544811" w:rsidRPr="00F537B9" w:rsidRDefault="00544811">
      <w:pPr>
        <w:pStyle w:val="ManualHeading3"/>
        <w:rPr>
          <w:noProof/>
          <w:szCs w:val="24"/>
        </w:rPr>
      </w:pPr>
      <w:bookmarkStart w:id="61" w:name="_Toc514938023"/>
      <w:bookmarkStart w:id="62" w:name="_Toc520485033"/>
      <w:r w:rsidRPr="00F537B9">
        <w:rPr>
          <w:noProof/>
        </w:rPr>
        <w:t>1.4.4.</w:t>
      </w:r>
      <w:r w:rsidRPr="00F537B9">
        <w:rPr>
          <w:noProof/>
        </w:rPr>
        <w:tab/>
        <w:t>Ukazovatele výkonnosti</w:t>
      </w:r>
      <w:bookmarkEnd w:id="61"/>
      <w:bookmarkEnd w:id="62"/>
    </w:p>
    <w:p w14:paraId="2DBD558B" w14:textId="2C5768C1" w:rsidR="00544811" w:rsidRPr="00F537B9" w:rsidRDefault="00544811">
      <w:pPr>
        <w:pStyle w:val="Text1"/>
        <w:rPr>
          <w:i/>
          <w:noProof/>
          <w:sz w:val="20"/>
        </w:rPr>
      </w:pPr>
      <w:r w:rsidRPr="00F537B9">
        <w:rPr>
          <w:i/>
          <w:noProof/>
          <w:sz w:val="20"/>
        </w:rPr>
        <w:t>Uveďte ukazovatele na monitorovanie pokroku</w:t>
      </w:r>
      <w:r w:rsidR="00F537B9">
        <w:rPr>
          <w:i/>
          <w:noProof/>
          <w:sz w:val="20"/>
        </w:rPr>
        <w:t xml:space="preserve"> a </w:t>
      </w:r>
      <w:r w:rsidRPr="00F537B9">
        <w:rPr>
          <w:i/>
          <w:noProof/>
          <w:sz w:val="20"/>
        </w:rPr>
        <w:t>dosiahnutých výsledkov.</w:t>
      </w:r>
    </w:p>
    <w:p w14:paraId="53878B23" w14:textId="1908293A" w:rsidR="00C5471D" w:rsidRPr="00F537B9" w:rsidRDefault="00C5471D" w:rsidP="00C5471D">
      <w:pPr>
        <w:pStyle w:val="Text1"/>
        <w:pBdr>
          <w:top w:val="single" w:sz="4" w:space="1" w:color="auto"/>
          <w:left w:val="single" w:sz="4" w:space="4" w:color="auto"/>
          <w:bottom w:val="single" w:sz="4" w:space="1" w:color="auto"/>
          <w:right w:val="single" w:sz="4" w:space="4" w:color="auto"/>
        </w:pBdr>
        <w:rPr>
          <w:noProof/>
        </w:rPr>
      </w:pPr>
      <w:r w:rsidRPr="00F537B9">
        <w:rPr>
          <w:noProof/>
        </w:rPr>
        <w:t>1.</w:t>
      </w:r>
      <w:r w:rsidRPr="00F537B9">
        <w:rPr>
          <w:noProof/>
        </w:rPr>
        <w:tab/>
        <w:t>Cieľ: Zníženie rizika dvojitého zdanenia</w:t>
      </w:r>
      <w:r w:rsidR="00F537B9">
        <w:rPr>
          <w:noProof/>
        </w:rPr>
        <w:t xml:space="preserve"> a </w:t>
      </w:r>
      <w:r w:rsidRPr="00F537B9">
        <w:rPr>
          <w:noProof/>
        </w:rPr>
        <w:t>súdnych sporov.</w:t>
      </w:r>
    </w:p>
    <w:p w14:paraId="11F1AF29" w14:textId="64216962" w:rsidR="00C5471D" w:rsidRPr="00F537B9" w:rsidRDefault="00C5471D" w:rsidP="00C5471D">
      <w:pPr>
        <w:pStyle w:val="Text1"/>
        <w:pBdr>
          <w:top w:val="single" w:sz="4" w:space="1" w:color="auto"/>
          <w:left w:val="single" w:sz="4" w:space="4" w:color="auto"/>
          <w:bottom w:val="single" w:sz="4" w:space="1" w:color="auto"/>
          <w:right w:val="single" w:sz="4" w:space="4" w:color="auto"/>
        </w:pBdr>
        <w:rPr>
          <w:noProof/>
        </w:rPr>
      </w:pPr>
      <w:r w:rsidRPr="00F537B9">
        <w:rPr>
          <w:noProof/>
        </w:rPr>
        <w:t>Ukazovatele: Počet sporov týkajúcich sa dvojitého zdanenia medzi členskými štátmi, ktoré sa uvádzajú ako „nové prípady“ (po začiatku uplatňovania smernice</w:t>
      </w:r>
      <w:r w:rsidR="00F537B9">
        <w:rPr>
          <w:noProof/>
        </w:rPr>
        <w:t xml:space="preserve"> o </w:t>
      </w:r>
      <w:r w:rsidRPr="00F537B9">
        <w:rPr>
          <w:noProof/>
        </w:rPr>
        <w:t>transferovom oceňovaní),</w:t>
      </w:r>
      <w:r w:rsidR="00F537B9">
        <w:rPr>
          <w:noProof/>
        </w:rPr>
        <w:t xml:space="preserve"> v </w:t>
      </w:r>
      <w:r w:rsidRPr="00F537B9">
        <w:rPr>
          <w:noProof/>
        </w:rPr>
        <w:t>rámci postupov vzájomnej dohody</w:t>
      </w:r>
      <w:r w:rsidR="00F537B9">
        <w:rPr>
          <w:noProof/>
        </w:rPr>
        <w:t xml:space="preserve"> a </w:t>
      </w:r>
      <w:r w:rsidRPr="00F537B9">
        <w:rPr>
          <w:noProof/>
        </w:rPr>
        <w:t>prípadov podľa arbitrážneho dohovoru.</w:t>
      </w:r>
    </w:p>
    <w:p w14:paraId="7FD96B84" w14:textId="3A723297" w:rsidR="00C5471D" w:rsidRPr="00F537B9" w:rsidRDefault="00C5471D" w:rsidP="00C5471D">
      <w:pPr>
        <w:pStyle w:val="Text1"/>
        <w:pBdr>
          <w:top w:val="single" w:sz="4" w:space="1" w:color="auto"/>
          <w:left w:val="single" w:sz="4" w:space="4" w:color="auto"/>
          <w:bottom w:val="single" w:sz="4" w:space="1" w:color="auto"/>
          <w:right w:val="single" w:sz="4" w:space="4" w:color="auto"/>
        </w:pBdr>
        <w:rPr>
          <w:noProof/>
        </w:rPr>
      </w:pPr>
      <w:r w:rsidRPr="00F537B9">
        <w:rPr>
          <w:noProof/>
        </w:rPr>
        <w:t>Nástroje merania: Údaje zhromaždené GR TAXUD</w:t>
      </w:r>
      <w:r w:rsidR="00F537B9">
        <w:rPr>
          <w:noProof/>
        </w:rPr>
        <w:t xml:space="preserve"> o </w:t>
      </w:r>
      <w:r w:rsidRPr="00F537B9">
        <w:rPr>
          <w:noProof/>
        </w:rPr>
        <w:t>nových postupoch vzájomnej dohody</w:t>
      </w:r>
      <w:r w:rsidR="00F537B9">
        <w:rPr>
          <w:noProof/>
        </w:rPr>
        <w:t xml:space="preserve"> a </w:t>
      </w:r>
      <w:r w:rsidRPr="00F537B9">
        <w:rPr>
          <w:noProof/>
        </w:rPr>
        <w:t>počtoch prípadov podľa arbitrážneho dohovoru</w:t>
      </w:r>
      <w:r w:rsidR="00F537B9">
        <w:rPr>
          <w:noProof/>
        </w:rPr>
        <w:t xml:space="preserve"> a </w:t>
      </w:r>
      <w:r w:rsidRPr="00F537B9">
        <w:rPr>
          <w:noProof/>
        </w:rPr>
        <w:t>smernice</w:t>
      </w:r>
      <w:r w:rsidR="00F537B9">
        <w:rPr>
          <w:noProof/>
        </w:rPr>
        <w:t xml:space="preserve"> o </w:t>
      </w:r>
      <w:r w:rsidRPr="00F537B9">
        <w:rPr>
          <w:noProof/>
        </w:rPr>
        <w:t>mechanizmoch riešenia sporov týkajúcich sa zdanenia.</w:t>
      </w:r>
    </w:p>
    <w:p w14:paraId="52FEACED" w14:textId="77777777" w:rsidR="00C5471D" w:rsidRPr="00F537B9" w:rsidRDefault="00C5471D" w:rsidP="00C5471D">
      <w:pPr>
        <w:pStyle w:val="Text1"/>
        <w:pBdr>
          <w:top w:val="single" w:sz="4" w:space="1" w:color="auto"/>
          <w:left w:val="single" w:sz="4" w:space="4" w:color="auto"/>
          <w:bottom w:val="single" w:sz="4" w:space="1" w:color="auto"/>
          <w:right w:val="single" w:sz="4" w:space="4" w:color="auto"/>
        </w:pBdr>
        <w:rPr>
          <w:noProof/>
        </w:rPr>
      </w:pPr>
      <w:r w:rsidRPr="00F537B9">
        <w:rPr>
          <w:noProof/>
        </w:rPr>
        <w:t>2.</w:t>
      </w:r>
      <w:r w:rsidRPr="00F537B9">
        <w:rPr>
          <w:noProof/>
        </w:rPr>
        <w:tab/>
        <w:t>Cieľ: Zvýšenie daňovej istoty</w:t>
      </w:r>
    </w:p>
    <w:p w14:paraId="0F3CD140" w14:textId="3CA007FE" w:rsidR="00C5471D" w:rsidRPr="00F537B9" w:rsidRDefault="00C5471D" w:rsidP="00C5471D">
      <w:pPr>
        <w:pStyle w:val="Text1"/>
        <w:pBdr>
          <w:top w:val="single" w:sz="4" w:space="1" w:color="auto"/>
          <w:left w:val="single" w:sz="4" w:space="4" w:color="auto"/>
          <w:bottom w:val="single" w:sz="4" w:space="1" w:color="auto"/>
          <w:right w:val="single" w:sz="4" w:space="4" w:color="auto"/>
        </w:pBdr>
        <w:rPr>
          <w:noProof/>
        </w:rPr>
      </w:pPr>
      <w:r w:rsidRPr="00F537B9">
        <w:rPr>
          <w:noProof/>
        </w:rPr>
        <w:t>Ukazovatele: Počet sporov týkajúcich sa dvojitého zdanenia medzi členskými štátmi, ktoré sa uvádzajú ako „nové prípady“ (po začiatku uplatňovania smernice</w:t>
      </w:r>
      <w:r w:rsidR="00F537B9">
        <w:rPr>
          <w:noProof/>
        </w:rPr>
        <w:t xml:space="preserve"> o </w:t>
      </w:r>
      <w:r w:rsidRPr="00F537B9">
        <w:rPr>
          <w:noProof/>
        </w:rPr>
        <w:t>transferovom oceňovaní),</w:t>
      </w:r>
      <w:r w:rsidR="00F537B9">
        <w:rPr>
          <w:noProof/>
        </w:rPr>
        <w:t xml:space="preserve"> v </w:t>
      </w:r>
      <w:r w:rsidRPr="00F537B9">
        <w:rPr>
          <w:noProof/>
        </w:rPr>
        <w:t>rámci postupov vzájomnej dohody</w:t>
      </w:r>
      <w:r w:rsidR="00F537B9">
        <w:rPr>
          <w:noProof/>
        </w:rPr>
        <w:t xml:space="preserve"> a </w:t>
      </w:r>
      <w:r w:rsidRPr="00F537B9">
        <w:rPr>
          <w:noProof/>
        </w:rPr>
        <w:t>prípadov podľa arbitrážneho dohovoru.</w:t>
      </w:r>
    </w:p>
    <w:p w14:paraId="2B342CDD" w14:textId="3A070E62" w:rsidR="00544811" w:rsidRPr="00F537B9" w:rsidRDefault="00C5471D" w:rsidP="00C5471D">
      <w:pPr>
        <w:pStyle w:val="Text1"/>
        <w:pBdr>
          <w:top w:val="single" w:sz="4" w:space="1" w:color="auto"/>
          <w:left w:val="single" w:sz="4" w:space="4" w:color="auto"/>
          <w:bottom w:val="single" w:sz="4" w:space="1" w:color="auto"/>
          <w:right w:val="single" w:sz="4" w:space="4" w:color="auto"/>
        </w:pBdr>
        <w:rPr>
          <w:noProof/>
        </w:rPr>
      </w:pPr>
      <w:r w:rsidRPr="00F537B9">
        <w:rPr>
          <w:noProof/>
        </w:rPr>
        <w:t>Nástroje merania: Údaje zhromaždené GR TAXUD</w:t>
      </w:r>
      <w:r w:rsidR="00F537B9">
        <w:rPr>
          <w:noProof/>
        </w:rPr>
        <w:t xml:space="preserve"> o </w:t>
      </w:r>
      <w:r w:rsidRPr="00F537B9">
        <w:rPr>
          <w:noProof/>
        </w:rPr>
        <w:t>nových postupoch vzájomnej dohody</w:t>
      </w:r>
      <w:r w:rsidR="00F537B9">
        <w:rPr>
          <w:noProof/>
        </w:rPr>
        <w:t xml:space="preserve"> a </w:t>
      </w:r>
      <w:r w:rsidRPr="00F537B9">
        <w:rPr>
          <w:noProof/>
        </w:rPr>
        <w:t>počtoch prípadov podľa arbitrážneho dohovoru</w:t>
      </w:r>
      <w:r w:rsidR="00F537B9">
        <w:rPr>
          <w:noProof/>
        </w:rPr>
        <w:t xml:space="preserve"> a </w:t>
      </w:r>
      <w:r w:rsidRPr="00F537B9">
        <w:rPr>
          <w:noProof/>
        </w:rPr>
        <w:t>smernice</w:t>
      </w:r>
      <w:r w:rsidR="00F537B9">
        <w:rPr>
          <w:noProof/>
        </w:rPr>
        <w:t xml:space="preserve"> o </w:t>
      </w:r>
      <w:r w:rsidRPr="00F537B9">
        <w:rPr>
          <w:noProof/>
        </w:rPr>
        <w:t>mechanizmoch riešenia sporov týkajúcich sa zdanenia.</w:t>
      </w:r>
    </w:p>
    <w:p w14:paraId="7DB16F3B" w14:textId="77777777" w:rsidR="00F537B9" w:rsidRDefault="00544811">
      <w:pPr>
        <w:pStyle w:val="ManualHeading2"/>
        <w:rPr>
          <w:noProof/>
        </w:rPr>
      </w:pPr>
      <w:bookmarkStart w:id="63" w:name="_Toc514938025"/>
      <w:bookmarkStart w:id="64" w:name="_Toc520485034"/>
      <w:r w:rsidRPr="00F537B9">
        <w:rPr>
          <w:noProof/>
        </w:rPr>
        <w:t>1.5.</w:t>
      </w:r>
      <w:r w:rsidRPr="00F537B9">
        <w:rPr>
          <w:noProof/>
        </w:rPr>
        <w:tab/>
        <w:t>Dôvody návrhu/iniciatívy</w:t>
      </w:r>
      <w:bookmarkEnd w:id="63"/>
      <w:bookmarkEnd w:id="64"/>
    </w:p>
    <w:p w14:paraId="0EDCA5C5" w14:textId="2545B159" w:rsidR="00544811" w:rsidRPr="00F537B9" w:rsidRDefault="00544811">
      <w:pPr>
        <w:pStyle w:val="ManualHeading3"/>
        <w:rPr>
          <w:noProof/>
        </w:rPr>
      </w:pPr>
      <w:bookmarkStart w:id="65" w:name="_Toc514938026"/>
      <w:bookmarkStart w:id="66" w:name="_Toc520485035"/>
      <w:r w:rsidRPr="00F537B9">
        <w:rPr>
          <w:noProof/>
        </w:rPr>
        <w:t>1.5.1.</w:t>
      </w:r>
      <w:r w:rsidRPr="00F537B9">
        <w:rPr>
          <w:noProof/>
        </w:rPr>
        <w:tab/>
        <w:t>Požiadavky, ktoré sa majú splniť</w:t>
      </w:r>
      <w:r w:rsidR="00F537B9">
        <w:rPr>
          <w:noProof/>
        </w:rPr>
        <w:t xml:space="preserve"> v </w:t>
      </w:r>
      <w:r w:rsidRPr="00F537B9">
        <w:rPr>
          <w:noProof/>
        </w:rPr>
        <w:t>krátkodobom alebo dlhodobom horizonte vrátane podrobného harmonogramu prvotnej fázy vykonávania iniciatívy</w:t>
      </w:r>
      <w:bookmarkEnd w:id="65"/>
      <w:bookmarkEnd w:id="66"/>
    </w:p>
    <w:p w14:paraId="41D034D5" w14:textId="42E6F19E" w:rsidR="00544811" w:rsidRPr="00F537B9" w:rsidRDefault="00C5471D">
      <w:pPr>
        <w:pStyle w:val="Text1"/>
        <w:pBdr>
          <w:top w:val="single" w:sz="4" w:space="1" w:color="auto"/>
          <w:left w:val="single" w:sz="4" w:space="4" w:color="auto"/>
          <w:bottom w:val="single" w:sz="4" w:space="1" w:color="auto"/>
          <w:right w:val="single" w:sz="4" w:space="4" w:color="auto"/>
        </w:pBdr>
        <w:rPr>
          <w:noProof/>
        </w:rPr>
      </w:pPr>
      <w:r w:rsidRPr="00F537B9">
        <w:rPr>
          <w:noProof/>
        </w:rPr>
        <w:t>Cieľom Komisie je predložiť návrhy vykonávacích aktov týkajúcich sa väčšiny transakcií uvedených</w:t>
      </w:r>
      <w:r w:rsidR="00F537B9">
        <w:rPr>
          <w:noProof/>
        </w:rPr>
        <w:t xml:space="preserve"> v </w:t>
      </w:r>
      <w:r w:rsidRPr="00F537B9">
        <w:rPr>
          <w:noProof/>
        </w:rPr>
        <w:t>článku 14</w:t>
      </w:r>
      <w:r w:rsidR="00F537B9">
        <w:rPr>
          <w:noProof/>
        </w:rPr>
        <w:t xml:space="preserve"> a </w:t>
      </w:r>
      <w:r w:rsidRPr="00F537B9">
        <w:rPr>
          <w:noProof/>
        </w:rPr>
        <w:t>uviesť ďalšie spresnenia týkajúce sa jednotnej dokumentácie</w:t>
      </w:r>
      <w:r w:rsidR="00F537B9">
        <w:rPr>
          <w:noProof/>
        </w:rPr>
        <w:t xml:space="preserve"> o </w:t>
      </w:r>
      <w:r w:rsidRPr="00F537B9">
        <w:rPr>
          <w:noProof/>
        </w:rPr>
        <w:t>transferovom oceňovaní uvedenej</w:t>
      </w:r>
      <w:r w:rsidR="00F537B9">
        <w:rPr>
          <w:noProof/>
        </w:rPr>
        <w:t xml:space="preserve"> v </w:t>
      </w:r>
      <w:r w:rsidRPr="00F537B9">
        <w:rPr>
          <w:noProof/>
        </w:rPr>
        <w:t>článku 13 počas prvých piatich rokov uplatňovania smernice.</w:t>
      </w:r>
    </w:p>
    <w:p w14:paraId="6B87A70B" w14:textId="77777777" w:rsidR="00544811" w:rsidRPr="00F537B9" w:rsidRDefault="00544811">
      <w:pPr>
        <w:pStyle w:val="ManualHeading3"/>
        <w:rPr>
          <w:bCs/>
          <w:noProof/>
          <w:szCs w:val="24"/>
        </w:rPr>
      </w:pPr>
      <w:bookmarkStart w:id="67" w:name="_Toc514938029"/>
      <w:bookmarkStart w:id="68" w:name="_Toc520485036"/>
      <w:r w:rsidRPr="00F537B9">
        <w:rPr>
          <w:noProof/>
        </w:rPr>
        <w:t>1.5.2.</w:t>
      </w:r>
      <w:r w:rsidRPr="00F537B9">
        <w:rPr>
          <w:noProof/>
        </w:rPr>
        <w:tab/>
        <w:t>Prínos zapojenia Únie (môže byť výsledkom rôznych faktorov, napr. lepšej koordinácie, právnej istoty, väčšej účinnosti alebo komplementárnosti). Na účely tohto bodu je „prínos zapojenia Únie“ hodnota vyplývajúca zo zásahu Únie, ktorá dopĺňa hodnotu, ktorú by inak vytvorili len samotné členské štáty.</w:t>
      </w:r>
      <w:bookmarkEnd w:id="67"/>
      <w:bookmarkEnd w:id="68"/>
    </w:p>
    <w:p w14:paraId="21492C22" w14:textId="77777777" w:rsidR="00F537B9" w:rsidRDefault="00544811">
      <w:pPr>
        <w:pStyle w:val="Text1"/>
        <w:pBdr>
          <w:top w:val="single" w:sz="4" w:space="1" w:color="auto"/>
          <w:left w:val="single" w:sz="4" w:space="4" w:color="auto"/>
          <w:bottom w:val="single" w:sz="4" w:space="1" w:color="auto"/>
          <w:right w:val="single" w:sz="4" w:space="4" w:color="auto"/>
        </w:pBdr>
        <w:rPr>
          <w:noProof/>
        </w:rPr>
      </w:pPr>
      <w:r w:rsidRPr="00F537B9">
        <w:rPr>
          <w:noProof/>
        </w:rPr>
        <w:t>Dôvody na akciu na európskej úrovni (</w:t>
      </w:r>
      <w:r w:rsidRPr="00F537B9">
        <w:rPr>
          <w:i/>
          <w:noProof/>
        </w:rPr>
        <w:t>ex ante</w:t>
      </w:r>
      <w:r w:rsidRPr="00F537B9">
        <w:rPr>
          <w:noProof/>
        </w:rPr>
        <w:t>)</w:t>
      </w:r>
    </w:p>
    <w:p w14:paraId="5B2F002E" w14:textId="384745AF" w:rsidR="00F537B9" w:rsidRDefault="00F25F98">
      <w:pPr>
        <w:pStyle w:val="Text1"/>
        <w:pBdr>
          <w:top w:val="single" w:sz="4" w:space="1" w:color="auto"/>
          <w:left w:val="single" w:sz="4" w:space="4" w:color="auto"/>
          <w:bottom w:val="single" w:sz="4" w:space="1" w:color="auto"/>
          <w:right w:val="single" w:sz="4" w:space="4" w:color="auto"/>
        </w:pBdr>
        <w:rPr>
          <w:noProof/>
        </w:rPr>
      </w:pPr>
      <w:r w:rsidRPr="00F537B9">
        <w:rPr>
          <w:noProof/>
        </w:rPr>
        <w:t>Všetky členské štáty EÚ prevzali princíp nezávislého vzťahu do svojich vnútroštátnych právnych predpisov. Medzi vnútroštátnymi právnymi predpismi členských štátov sú však relevantné rozdiely. Okrem toho sa postavenie</w:t>
      </w:r>
      <w:r w:rsidR="00F537B9">
        <w:rPr>
          <w:noProof/>
        </w:rPr>
        <w:t xml:space="preserve"> a </w:t>
      </w:r>
      <w:r w:rsidRPr="00F537B9">
        <w:rPr>
          <w:noProof/>
        </w:rPr>
        <w:t>úloha smernice OECD</w:t>
      </w:r>
      <w:r w:rsidR="00F537B9">
        <w:rPr>
          <w:noProof/>
        </w:rPr>
        <w:t xml:space="preserve"> o </w:t>
      </w:r>
      <w:r w:rsidRPr="00F537B9">
        <w:rPr>
          <w:noProof/>
        </w:rPr>
        <w:t>transferovom oceňovaní</w:t>
      </w:r>
      <w:r w:rsidR="00F537B9">
        <w:rPr>
          <w:noProof/>
        </w:rPr>
        <w:t xml:space="preserve"> v </w:t>
      </w:r>
      <w:r w:rsidRPr="00F537B9">
        <w:rPr>
          <w:noProof/>
        </w:rPr>
        <w:t>jednotlivých členských štátoch líšia</w:t>
      </w:r>
      <w:r w:rsidR="00F537B9">
        <w:rPr>
          <w:noProof/>
        </w:rPr>
        <w:t xml:space="preserve"> a </w:t>
      </w:r>
      <w:r w:rsidRPr="00F537B9">
        <w:rPr>
          <w:noProof/>
        </w:rPr>
        <w:t>vedú</w:t>
      </w:r>
      <w:r w:rsidR="00F537B9">
        <w:rPr>
          <w:noProof/>
        </w:rPr>
        <w:t xml:space="preserve"> k </w:t>
      </w:r>
      <w:r w:rsidRPr="00F537B9">
        <w:rPr>
          <w:noProof/>
        </w:rPr>
        <w:t>rozdielnym výkladom nezávislého vzťahu</w:t>
      </w:r>
      <w:r w:rsidR="00F537B9">
        <w:rPr>
          <w:noProof/>
        </w:rPr>
        <w:t>.</w:t>
      </w:r>
    </w:p>
    <w:p w14:paraId="138F00D7" w14:textId="77777777" w:rsidR="00F537B9" w:rsidRDefault="00544811">
      <w:pPr>
        <w:pStyle w:val="Text1"/>
        <w:pBdr>
          <w:top w:val="single" w:sz="4" w:space="1" w:color="auto"/>
          <w:left w:val="single" w:sz="4" w:space="4" w:color="auto"/>
          <w:bottom w:val="single" w:sz="4" w:space="1" w:color="auto"/>
          <w:right w:val="single" w:sz="4" w:space="4" w:color="auto"/>
        </w:pBdr>
        <w:rPr>
          <w:noProof/>
        </w:rPr>
      </w:pPr>
      <w:r w:rsidRPr="00F537B9">
        <w:rPr>
          <w:noProof/>
        </w:rPr>
        <w:t>Očakávaný prínos vytvorený Úniou (</w:t>
      </w:r>
      <w:r w:rsidRPr="00F537B9">
        <w:rPr>
          <w:i/>
          <w:noProof/>
        </w:rPr>
        <w:t>ex post</w:t>
      </w:r>
      <w:r w:rsidRPr="00F537B9">
        <w:rPr>
          <w:noProof/>
        </w:rPr>
        <w:t>)</w:t>
      </w:r>
    </w:p>
    <w:p w14:paraId="3039019C" w14:textId="0F2EDADD" w:rsidR="00544811" w:rsidRPr="00F537B9" w:rsidRDefault="00F25F98">
      <w:pPr>
        <w:pStyle w:val="Text1"/>
        <w:pBdr>
          <w:top w:val="single" w:sz="4" w:space="1" w:color="auto"/>
          <w:left w:val="single" w:sz="4" w:space="4" w:color="auto"/>
          <w:bottom w:val="single" w:sz="4" w:space="1" w:color="auto"/>
          <w:right w:val="single" w:sz="4" w:space="4" w:color="auto"/>
        </w:pBdr>
        <w:rPr>
          <w:noProof/>
        </w:rPr>
      </w:pPr>
      <w:r w:rsidRPr="00F537B9">
        <w:rPr>
          <w:noProof/>
        </w:rPr>
        <w:t>Vzhľadom na inherentný cezhraničný prvok transferového oceňovania vyplýva pridaná hodnota zapojenia Únie</w:t>
      </w:r>
      <w:r w:rsidR="00F537B9">
        <w:rPr>
          <w:noProof/>
        </w:rPr>
        <w:t xml:space="preserve"> z </w:t>
      </w:r>
      <w:r w:rsidRPr="00F537B9">
        <w:rPr>
          <w:noProof/>
        </w:rPr>
        <w:t>možnosti vytvoriť jednotný prístup</w:t>
      </w:r>
      <w:r w:rsidR="00F537B9">
        <w:rPr>
          <w:noProof/>
        </w:rPr>
        <w:t xml:space="preserve"> k </w:t>
      </w:r>
      <w:r w:rsidRPr="00F537B9">
        <w:rPr>
          <w:noProof/>
        </w:rPr>
        <w:t>transferovému oceňovaniu</w:t>
      </w:r>
      <w:r w:rsidR="00F537B9">
        <w:rPr>
          <w:noProof/>
        </w:rPr>
        <w:t xml:space="preserve"> v </w:t>
      </w:r>
      <w:r w:rsidRPr="00F537B9">
        <w:rPr>
          <w:noProof/>
        </w:rPr>
        <w:t>celej EÚ, ktorý povedie</w:t>
      </w:r>
      <w:r w:rsidR="00F537B9">
        <w:rPr>
          <w:noProof/>
        </w:rPr>
        <w:t xml:space="preserve"> k </w:t>
      </w:r>
      <w:r w:rsidRPr="00F537B9">
        <w:rPr>
          <w:noProof/>
        </w:rPr>
        <w:t>väčšej daňovej istote</w:t>
      </w:r>
      <w:r w:rsidR="00F537B9">
        <w:rPr>
          <w:noProof/>
        </w:rPr>
        <w:t xml:space="preserve"> a </w:t>
      </w:r>
      <w:r w:rsidRPr="00F537B9">
        <w:rPr>
          <w:noProof/>
        </w:rPr>
        <w:t>možno ho dosiahnuť len na úrovni EÚ.</w:t>
      </w:r>
    </w:p>
    <w:p w14:paraId="15FF79C4" w14:textId="51965242" w:rsidR="00544811" w:rsidRPr="00F537B9" w:rsidRDefault="00544811">
      <w:pPr>
        <w:pStyle w:val="ManualHeading3"/>
        <w:rPr>
          <w:noProof/>
        </w:rPr>
      </w:pPr>
      <w:bookmarkStart w:id="69" w:name="_Toc514938030"/>
      <w:bookmarkStart w:id="70" w:name="_Toc520485037"/>
      <w:r w:rsidRPr="00F537B9">
        <w:rPr>
          <w:noProof/>
        </w:rPr>
        <w:t>1.5.3.</w:t>
      </w:r>
      <w:r w:rsidRPr="00F537B9">
        <w:rPr>
          <w:noProof/>
        </w:rPr>
        <w:tab/>
        <w:t>Poznatky získané</w:t>
      </w:r>
      <w:r w:rsidR="00F537B9">
        <w:rPr>
          <w:noProof/>
        </w:rPr>
        <w:t xml:space="preserve"> z </w:t>
      </w:r>
      <w:r w:rsidRPr="00F537B9">
        <w:rPr>
          <w:noProof/>
        </w:rPr>
        <w:t>podobných skúseností</w:t>
      </w:r>
      <w:r w:rsidR="00F537B9">
        <w:rPr>
          <w:noProof/>
        </w:rPr>
        <w:t xml:space="preserve"> v </w:t>
      </w:r>
      <w:r w:rsidRPr="00F537B9">
        <w:rPr>
          <w:noProof/>
        </w:rPr>
        <w:t>minulosti</w:t>
      </w:r>
      <w:bookmarkEnd w:id="69"/>
      <w:bookmarkEnd w:id="70"/>
    </w:p>
    <w:p w14:paraId="04EF219C" w14:textId="0CC8AA1B" w:rsidR="00AE4873" w:rsidRPr="00D300D9" w:rsidRDefault="00AE4873" w:rsidP="00AE4873">
      <w:pPr>
        <w:pStyle w:val="Text1"/>
        <w:pBdr>
          <w:top w:val="single" w:sz="4" w:space="1" w:color="auto"/>
          <w:left w:val="single" w:sz="4" w:space="4" w:color="auto"/>
          <w:bottom w:val="single" w:sz="4" w:space="1" w:color="auto"/>
          <w:right w:val="single" w:sz="4" w:space="4" w:color="auto"/>
        </w:pBdr>
        <w:rPr>
          <w:noProof/>
          <w:spacing w:val="-4"/>
        </w:rPr>
      </w:pPr>
      <w:r w:rsidRPr="00D300D9">
        <w:rPr>
          <w:noProof/>
          <w:spacing w:val="-4"/>
        </w:rPr>
        <w:t>Táto legislatívna iniciatíva je na úrovni EÚ nová. Pravidlá transferového oceňovania nie sú harmonizované na úrovni EÚ prostredníctvom legislatívnych aktov.</w:t>
      </w:r>
      <w:r w:rsidR="00F537B9" w:rsidRPr="00D300D9">
        <w:rPr>
          <w:noProof/>
          <w:spacing w:val="-4"/>
        </w:rPr>
        <w:t xml:space="preserve"> V </w:t>
      </w:r>
      <w:r w:rsidRPr="00D300D9">
        <w:rPr>
          <w:noProof/>
          <w:spacing w:val="-4"/>
        </w:rPr>
        <w:t>minulosti sa Komisia zaoberala otázkami transferového oceňovania</w:t>
      </w:r>
      <w:r w:rsidR="00F537B9" w:rsidRPr="00D300D9">
        <w:rPr>
          <w:noProof/>
          <w:spacing w:val="-4"/>
        </w:rPr>
        <w:t xml:space="preserve"> v </w:t>
      </w:r>
      <w:r w:rsidRPr="00D300D9">
        <w:rPr>
          <w:noProof/>
          <w:spacing w:val="-4"/>
        </w:rPr>
        <w:t>rámci činnosti Spoločného fóra EÚ pre transferové oceňovanie</w:t>
      </w:r>
      <w:r w:rsidRPr="00D300D9">
        <w:rPr>
          <w:rStyle w:val="FootnoteReference"/>
          <w:noProof/>
          <w:spacing w:val="-4"/>
        </w:rPr>
        <w:footnoteReference w:id="41"/>
      </w:r>
      <w:r w:rsidRPr="00D300D9">
        <w:rPr>
          <w:noProof/>
          <w:spacing w:val="-4"/>
        </w:rPr>
        <w:t>, skupiny expertov zriadenej Komisiou</w:t>
      </w:r>
      <w:r w:rsidR="00F537B9" w:rsidRPr="00D300D9">
        <w:rPr>
          <w:noProof/>
          <w:spacing w:val="-4"/>
        </w:rPr>
        <w:t xml:space="preserve"> v </w:t>
      </w:r>
      <w:r w:rsidRPr="00D300D9">
        <w:rPr>
          <w:noProof/>
          <w:spacing w:val="-4"/>
        </w:rPr>
        <w:t>roku 2002, ktorej úlohou bolo navrhnúť Komisii pragmatické</w:t>
      </w:r>
      <w:r w:rsidR="00F537B9" w:rsidRPr="00D300D9">
        <w:rPr>
          <w:noProof/>
          <w:spacing w:val="-4"/>
        </w:rPr>
        <w:t xml:space="preserve"> a </w:t>
      </w:r>
      <w:r w:rsidRPr="00D300D9">
        <w:rPr>
          <w:noProof/>
          <w:spacing w:val="-4"/>
        </w:rPr>
        <w:t>nelegislatívne riešenia praktických problémov vznikajúcich</w:t>
      </w:r>
      <w:r w:rsidR="00F537B9" w:rsidRPr="00D300D9">
        <w:rPr>
          <w:noProof/>
          <w:spacing w:val="-4"/>
        </w:rPr>
        <w:t xml:space="preserve"> v </w:t>
      </w:r>
      <w:r w:rsidRPr="00D300D9">
        <w:rPr>
          <w:noProof/>
          <w:spacing w:val="-4"/>
        </w:rPr>
        <w:t>rámci postupov oceňovania transferov</w:t>
      </w:r>
      <w:r w:rsidR="00F537B9" w:rsidRPr="00D300D9">
        <w:rPr>
          <w:noProof/>
          <w:spacing w:val="-4"/>
        </w:rPr>
        <w:t xml:space="preserve"> v </w:t>
      </w:r>
      <w:r w:rsidRPr="00D300D9">
        <w:rPr>
          <w:noProof/>
          <w:spacing w:val="-4"/>
        </w:rPr>
        <w:t>EÚ. Platnosť jeho mandátu skončila</w:t>
      </w:r>
      <w:r w:rsidR="00F537B9" w:rsidRPr="00D300D9">
        <w:rPr>
          <w:noProof/>
          <w:spacing w:val="-4"/>
        </w:rPr>
        <w:t xml:space="preserve"> v </w:t>
      </w:r>
      <w:r w:rsidRPr="00D300D9">
        <w:rPr>
          <w:noProof/>
          <w:spacing w:val="-4"/>
        </w:rPr>
        <w:t>marci 2019</w:t>
      </w:r>
      <w:r w:rsidR="00F537B9" w:rsidRPr="00D300D9">
        <w:rPr>
          <w:noProof/>
          <w:spacing w:val="-4"/>
        </w:rPr>
        <w:t xml:space="preserve"> a </w:t>
      </w:r>
      <w:r w:rsidRPr="00D300D9">
        <w:rPr>
          <w:noProof/>
          <w:spacing w:val="-4"/>
        </w:rPr>
        <w:t>nebola obnovená.</w:t>
      </w:r>
    </w:p>
    <w:p w14:paraId="64E90322" w14:textId="6FB3B4EA" w:rsidR="00544811" w:rsidRPr="00F537B9" w:rsidRDefault="00544811">
      <w:pPr>
        <w:pStyle w:val="ManualHeading3"/>
        <w:rPr>
          <w:noProof/>
        </w:rPr>
      </w:pPr>
      <w:bookmarkStart w:id="71" w:name="_Toc514938033"/>
      <w:bookmarkStart w:id="72" w:name="_Toc520485038"/>
      <w:r w:rsidRPr="00F537B9">
        <w:rPr>
          <w:noProof/>
        </w:rPr>
        <w:t>1.5.4.</w:t>
      </w:r>
      <w:r w:rsidRPr="00F537B9">
        <w:rPr>
          <w:noProof/>
        </w:rPr>
        <w:tab/>
        <w:t>Zlučiteľnosť</w:t>
      </w:r>
      <w:r w:rsidR="00F537B9">
        <w:rPr>
          <w:noProof/>
        </w:rPr>
        <w:t xml:space="preserve"> s </w:t>
      </w:r>
      <w:r w:rsidRPr="00F537B9">
        <w:rPr>
          <w:noProof/>
        </w:rPr>
        <w:t>viacročným finančným rámcom</w:t>
      </w:r>
      <w:r w:rsidR="00F537B9">
        <w:rPr>
          <w:noProof/>
        </w:rPr>
        <w:t xml:space="preserve"> a </w:t>
      </w:r>
      <w:r w:rsidRPr="00F537B9">
        <w:rPr>
          <w:noProof/>
        </w:rPr>
        <w:t>možná synergia</w:t>
      </w:r>
      <w:r w:rsidR="00F537B9">
        <w:rPr>
          <w:noProof/>
        </w:rPr>
        <w:t xml:space="preserve"> s </w:t>
      </w:r>
      <w:r w:rsidRPr="00F537B9">
        <w:rPr>
          <w:noProof/>
        </w:rPr>
        <w:t>inými vhodnými nástrojmi</w:t>
      </w:r>
      <w:bookmarkEnd w:id="71"/>
      <w:bookmarkEnd w:id="72"/>
    </w:p>
    <w:p w14:paraId="5A2A28A9" w14:textId="1D7660F4" w:rsidR="00AC348B" w:rsidRPr="00F537B9" w:rsidRDefault="00BC2799" w:rsidP="00BC2799">
      <w:pPr>
        <w:pStyle w:val="Text1"/>
        <w:pBdr>
          <w:top w:val="single" w:sz="4" w:space="1" w:color="auto"/>
          <w:left w:val="single" w:sz="4" w:space="4" w:color="auto"/>
          <w:bottom w:val="single" w:sz="4" w:space="1" w:color="auto"/>
          <w:right w:val="single" w:sz="4" w:space="4" w:color="auto"/>
        </w:pBdr>
        <w:rPr>
          <w:noProof/>
          <w:color w:val="000000"/>
          <w:sz w:val="23"/>
          <w:szCs w:val="23"/>
        </w:rPr>
      </w:pPr>
      <w:r w:rsidRPr="00F537B9">
        <w:rPr>
          <w:noProof/>
          <w:color w:val="000000"/>
          <w:sz w:val="23"/>
        </w:rPr>
        <w:t>V tejto smernici sa odzrkadľuje jedna</w:t>
      </w:r>
      <w:r w:rsidR="00F537B9">
        <w:rPr>
          <w:noProof/>
          <w:color w:val="000000"/>
          <w:sz w:val="23"/>
        </w:rPr>
        <w:t xml:space="preserve"> z </w:t>
      </w:r>
      <w:r w:rsidRPr="00F537B9">
        <w:rPr>
          <w:noProof/>
          <w:color w:val="000000"/>
          <w:sz w:val="23"/>
        </w:rPr>
        <w:t>akcií stanovených</w:t>
      </w:r>
      <w:r w:rsidR="00F537B9">
        <w:rPr>
          <w:noProof/>
          <w:color w:val="000000"/>
          <w:sz w:val="23"/>
        </w:rPr>
        <w:t xml:space="preserve"> v </w:t>
      </w:r>
      <w:r w:rsidRPr="00F537B9">
        <w:rPr>
          <w:noProof/>
          <w:color w:val="000000"/>
          <w:sz w:val="23"/>
        </w:rPr>
        <w:t>Akčnom pláne pre spravodlivé</w:t>
      </w:r>
      <w:r w:rsidR="00F537B9">
        <w:rPr>
          <w:noProof/>
          <w:color w:val="000000"/>
          <w:sz w:val="23"/>
        </w:rPr>
        <w:t xml:space="preserve"> a </w:t>
      </w:r>
      <w:r w:rsidRPr="00F537B9">
        <w:rPr>
          <w:noProof/>
          <w:color w:val="000000"/>
          <w:sz w:val="23"/>
        </w:rPr>
        <w:t>jednoduché zdaňovanie na podporu stratégie obnovy. Na zaistenie spravodlivého zdaňovania je potrebné predchádzať zneužívaniu daňového systému.</w:t>
      </w:r>
      <w:r w:rsidR="00F537B9">
        <w:rPr>
          <w:noProof/>
          <w:color w:val="000000"/>
          <w:sz w:val="23"/>
        </w:rPr>
        <w:t xml:space="preserve"> V </w:t>
      </w:r>
      <w:r w:rsidRPr="00F537B9">
        <w:rPr>
          <w:noProof/>
          <w:color w:val="000000"/>
          <w:sz w:val="23"/>
        </w:rPr>
        <w:t>rámci návrhu sa budú využívať podobné postupy, opatrenia</w:t>
      </w:r>
      <w:r w:rsidR="00F537B9">
        <w:rPr>
          <w:noProof/>
          <w:color w:val="000000"/>
          <w:sz w:val="23"/>
        </w:rPr>
        <w:t xml:space="preserve"> a </w:t>
      </w:r>
      <w:r w:rsidRPr="00F537B9">
        <w:rPr>
          <w:noProof/>
          <w:color w:val="000000"/>
          <w:sz w:val="23"/>
        </w:rPr>
        <w:t>IT nástroje, ktoré sú už zavedené alebo sa vyvíjajú na základe smernice DAC.</w:t>
      </w:r>
    </w:p>
    <w:p w14:paraId="1E66B828" w14:textId="77777777" w:rsidR="00544811" w:rsidRPr="00F537B9" w:rsidRDefault="00544811">
      <w:pPr>
        <w:pStyle w:val="ManualHeading3"/>
        <w:rPr>
          <w:noProof/>
        </w:rPr>
      </w:pPr>
      <w:bookmarkStart w:id="73" w:name="_Toc514938036"/>
      <w:bookmarkStart w:id="74" w:name="_Toc520485039"/>
      <w:r w:rsidRPr="00F537B9">
        <w:rPr>
          <w:noProof/>
        </w:rPr>
        <w:t>1.5.5.</w:t>
      </w:r>
      <w:r w:rsidRPr="00F537B9">
        <w:rPr>
          <w:noProof/>
        </w:rPr>
        <w:tab/>
        <w:t>Posúdenie rôznych disponibilných možností financovania vrátane možnosti prerozdelenia</w:t>
      </w:r>
      <w:bookmarkEnd w:id="73"/>
      <w:bookmarkEnd w:id="74"/>
    </w:p>
    <w:p w14:paraId="2B6BAD42" w14:textId="75BA83B8" w:rsidR="00F537B9" w:rsidRDefault="00BC2799">
      <w:pPr>
        <w:pStyle w:val="Text1"/>
        <w:pBdr>
          <w:top w:val="single" w:sz="4" w:space="1" w:color="auto"/>
          <w:left w:val="single" w:sz="4" w:space="4" w:color="auto"/>
          <w:bottom w:val="single" w:sz="4" w:space="1" w:color="auto"/>
          <w:right w:val="single" w:sz="4" w:space="4" w:color="auto"/>
        </w:pBdr>
        <w:rPr>
          <w:noProof/>
        </w:rPr>
      </w:pPr>
      <w:r w:rsidRPr="00F537B9">
        <w:rPr>
          <w:noProof/>
        </w:rPr>
        <w:t>V snahe navrhnúť vykonávací akt bude Komisia musieť spolupracovať</w:t>
      </w:r>
      <w:r w:rsidR="00F537B9">
        <w:rPr>
          <w:noProof/>
        </w:rPr>
        <w:t xml:space="preserve"> s </w:t>
      </w:r>
      <w:r w:rsidRPr="00F537B9">
        <w:rPr>
          <w:noProof/>
        </w:rPr>
        <w:t>odborníkmi</w:t>
      </w:r>
      <w:r w:rsidR="00F537B9">
        <w:rPr>
          <w:noProof/>
        </w:rPr>
        <w:t xml:space="preserve"> v </w:t>
      </w:r>
      <w:r w:rsidRPr="00F537B9">
        <w:rPr>
          <w:noProof/>
        </w:rPr>
        <w:t>oblasti transferového oceňovania</w:t>
      </w:r>
      <w:r w:rsidR="00F537B9">
        <w:rPr>
          <w:noProof/>
        </w:rPr>
        <w:t xml:space="preserve"> a </w:t>
      </w:r>
      <w:r w:rsidRPr="00F537B9">
        <w:rPr>
          <w:noProof/>
        </w:rPr>
        <w:t>zorganizovať stretnutia, aby využila ich poradenstvo. Na podporu výmeny odborných znalostí by sa mohla zriadiť stála skupina odborníkov. Príslušné náklady súvisiace</w:t>
      </w:r>
      <w:r w:rsidR="00F537B9">
        <w:rPr>
          <w:noProof/>
        </w:rPr>
        <w:t xml:space="preserve"> s </w:t>
      </w:r>
      <w:r w:rsidRPr="00F537B9">
        <w:rPr>
          <w:noProof/>
        </w:rPr>
        <w:t>týmito stretnutiami sa budú financovať</w:t>
      </w:r>
      <w:r w:rsidR="00F537B9">
        <w:rPr>
          <w:noProof/>
        </w:rPr>
        <w:t xml:space="preserve"> z </w:t>
      </w:r>
      <w:r w:rsidRPr="00F537B9">
        <w:rPr>
          <w:noProof/>
        </w:rPr>
        <w:t>rozpočtu EÚ</w:t>
      </w:r>
      <w:r w:rsidR="00F537B9">
        <w:rPr>
          <w:noProof/>
        </w:rPr>
        <w:t>.</w:t>
      </w:r>
    </w:p>
    <w:p w14:paraId="38C446B8" w14:textId="3526C54B" w:rsidR="00544811" w:rsidRPr="00F537B9" w:rsidRDefault="00544811">
      <w:pPr>
        <w:pStyle w:val="Text1"/>
        <w:rPr>
          <w:noProof/>
        </w:rPr>
      </w:pPr>
    </w:p>
    <w:p w14:paraId="5CD9DDAE" w14:textId="5C10F3C3" w:rsidR="00544811" w:rsidRPr="00F537B9" w:rsidRDefault="00544811">
      <w:pPr>
        <w:pStyle w:val="ManualHeading2"/>
        <w:rPr>
          <w:bCs/>
          <w:noProof/>
          <w:szCs w:val="24"/>
        </w:rPr>
      </w:pPr>
      <w:bookmarkStart w:id="75" w:name="_Toc514938039"/>
      <w:bookmarkStart w:id="76" w:name="_Toc520485040"/>
      <w:r w:rsidRPr="00F537B9">
        <w:rPr>
          <w:noProof/>
        </w:rPr>
        <w:t>1.6.</w:t>
      </w:r>
      <w:r w:rsidRPr="00F537B9">
        <w:rPr>
          <w:noProof/>
        </w:rPr>
        <w:tab/>
        <w:t>Trvanie</w:t>
      </w:r>
      <w:r w:rsidR="00F537B9">
        <w:rPr>
          <w:noProof/>
        </w:rPr>
        <w:t xml:space="preserve"> a </w:t>
      </w:r>
      <w:r w:rsidRPr="00F537B9">
        <w:rPr>
          <w:noProof/>
        </w:rPr>
        <w:t>finančný vplyv návrhu/iniciatívy</w:t>
      </w:r>
      <w:bookmarkEnd w:id="75"/>
      <w:bookmarkEnd w:id="76"/>
    </w:p>
    <w:p w14:paraId="17A8563F" w14:textId="77777777" w:rsidR="00F537B9" w:rsidRDefault="00BC2799">
      <w:pPr>
        <w:pStyle w:val="Text1"/>
        <w:rPr>
          <w:b/>
          <w:noProof/>
        </w:rPr>
      </w:pPr>
      <w:r w:rsidRPr="00F537B9">
        <w:rPr>
          <w:rFonts w:ascii="Wingdings" w:hAnsi="Wingdings"/>
          <w:noProof/>
        </w:rPr>
        <w:t></w:t>
      </w:r>
      <w:r w:rsidRPr="00F537B9">
        <w:rPr>
          <w:b/>
          <w:i/>
          <w:noProof/>
        </w:rPr>
        <w:t xml:space="preserve"> </w:t>
      </w:r>
      <w:r w:rsidRPr="00F537B9">
        <w:rPr>
          <w:b/>
          <w:noProof/>
        </w:rPr>
        <w:t>obmedzené trvanie</w:t>
      </w:r>
    </w:p>
    <w:p w14:paraId="61E5FEE7" w14:textId="7020068E" w:rsidR="00544811" w:rsidRPr="00F537B9" w:rsidRDefault="00BC2799" w:rsidP="001C0426">
      <w:pPr>
        <w:pStyle w:val="ListDash2"/>
        <w:rPr>
          <w:noProof/>
        </w:rPr>
      </w:pPr>
      <w:r w:rsidRPr="00F537B9">
        <w:rPr>
          <w:rFonts w:ascii="Wingdings" w:hAnsi="Wingdings"/>
          <w:noProof/>
        </w:rPr>
        <w:t></w:t>
      </w:r>
      <w:r w:rsidRPr="00F537B9">
        <w:rPr>
          <w:noProof/>
        </w:rPr>
        <w:tab/>
        <w:t>v platnosti od RRRR do RRRR</w:t>
      </w:r>
    </w:p>
    <w:p w14:paraId="77D84E9A" w14:textId="1E74CAA2" w:rsidR="00F537B9" w:rsidRDefault="00544811" w:rsidP="001C0426">
      <w:pPr>
        <w:pStyle w:val="ListDash2"/>
        <w:rPr>
          <w:noProof/>
        </w:rPr>
      </w:pPr>
      <w:r w:rsidRPr="00F537B9">
        <w:rPr>
          <w:rFonts w:ascii="Wingdings" w:hAnsi="Wingdings"/>
          <w:noProof/>
        </w:rPr>
        <w:t></w:t>
      </w:r>
      <w:r w:rsidRPr="00F537B9">
        <w:rPr>
          <w:noProof/>
        </w:rPr>
        <w:tab/>
        <w:t>Finančný vplyv na viazané rozpočtové prostriedky od RRRR do RRRR</w:t>
      </w:r>
      <w:r w:rsidR="00F537B9">
        <w:rPr>
          <w:noProof/>
        </w:rPr>
        <w:t xml:space="preserve"> a </w:t>
      </w:r>
      <w:r w:rsidRPr="00F537B9">
        <w:rPr>
          <w:noProof/>
        </w:rPr>
        <w:t>na platobné rozpočtové prostriedky od RRRR do RRRR</w:t>
      </w:r>
      <w:r w:rsidR="00F537B9">
        <w:rPr>
          <w:noProof/>
        </w:rPr>
        <w:t>.</w:t>
      </w:r>
    </w:p>
    <w:p w14:paraId="33ADE754" w14:textId="5CE27CBD" w:rsidR="00544811" w:rsidRPr="00F537B9" w:rsidRDefault="00BC2799">
      <w:pPr>
        <w:pStyle w:val="Text1"/>
        <w:rPr>
          <w:noProof/>
        </w:rPr>
      </w:pPr>
      <w:r w:rsidRPr="00F537B9">
        <w:rPr>
          <w:rFonts w:ascii="Wingdings" w:hAnsi="Wingdings"/>
          <w:noProof/>
        </w:rPr>
        <w:t></w:t>
      </w:r>
      <w:r w:rsidRPr="00F537B9">
        <w:rPr>
          <w:b/>
          <w:i/>
          <w:noProof/>
        </w:rPr>
        <w:t xml:space="preserve"> </w:t>
      </w:r>
      <w:r w:rsidRPr="00F537B9">
        <w:rPr>
          <w:b/>
          <w:noProof/>
        </w:rPr>
        <w:t>neobmedzené trvanie</w:t>
      </w:r>
    </w:p>
    <w:p w14:paraId="31906146" w14:textId="77777777" w:rsidR="00544811" w:rsidRPr="00F537B9" w:rsidRDefault="00544811" w:rsidP="001C0426">
      <w:pPr>
        <w:pStyle w:val="ListDash1"/>
        <w:rPr>
          <w:noProof/>
        </w:rPr>
      </w:pPr>
      <w:r w:rsidRPr="00F537B9">
        <w:rPr>
          <w:noProof/>
        </w:rPr>
        <w:t>Počiatočná fáza vykonávania bude trvať od RRRR do RRRR</w:t>
      </w:r>
    </w:p>
    <w:p w14:paraId="0AF09984" w14:textId="3A93E80B" w:rsidR="00544811" w:rsidRPr="00F537B9" w:rsidRDefault="00544811" w:rsidP="001C0426">
      <w:pPr>
        <w:pStyle w:val="ListDash1"/>
        <w:rPr>
          <w:noProof/>
        </w:rPr>
      </w:pPr>
      <w:r w:rsidRPr="00F537B9">
        <w:rPr>
          <w:noProof/>
        </w:rPr>
        <w:t>a potom bude vykonávanie pokračovať</w:t>
      </w:r>
      <w:r w:rsidR="00F537B9">
        <w:rPr>
          <w:noProof/>
        </w:rPr>
        <w:t xml:space="preserve"> v </w:t>
      </w:r>
      <w:r w:rsidRPr="00F537B9">
        <w:rPr>
          <w:noProof/>
        </w:rPr>
        <w:t>plnom rozsahu.</w:t>
      </w:r>
    </w:p>
    <w:p w14:paraId="41FEC63F" w14:textId="77777777" w:rsidR="00F537B9" w:rsidRDefault="00544811">
      <w:pPr>
        <w:pStyle w:val="ManualHeading2"/>
        <w:rPr>
          <w:rStyle w:val="FootnoteReference"/>
          <w:noProof/>
        </w:rPr>
      </w:pPr>
      <w:bookmarkStart w:id="77" w:name="_Toc514938040"/>
      <w:bookmarkStart w:id="78" w:name="_Toc520485041"/>
      <w:r w:rsidRPr="00F537B9">
        <w:rPr>
          <w:noProof/>
        </w:rPr>
        <w:t>1.7.</w:t>
      </w:r>
      <w:r w:rsidRPr="00F537B9">
        <w:rPr>
          <w:noProof/>
        </w:rPr>
        <w:tab/>
        <w:t>Plánované metódy plnenia rozpočtu</w:t>
      </w:r>
      <w:r w:rsidRPr="00F537B9">
        <w:rPr>
          <w:rStyle w:val="FootnoteReference"/>
          <w:noProof/>
        </w:rPr>
        <w:footnoteReference w:id="42"/>
      </w:r>
      <w:bookmarkEnd w:id="77"/>
      <w:bookmarkEnd w:id="78"/>
    </w:p>
    <w:p w14:paraId="29EBDC66" w14:textId="30016EA7" w:rsidR="00544811" w:rsidRPr="00F537B9" w:rsidRDefault="008E5FB3">
      <w:pPr>
        <w:pStyle w:val="Text1"/>
        <w:rPr>
          <w:noProof/>
        </w:rPr>
      </w:pPr>
      <w:r w:rsidRPr="00F537B9">
        <w:rPr>
          <w:rFonts w:ascii="Wingdings" w:hAnsi="Wingdings"/>
          <w:noProof/>
        </w:rPr>
        <w:t></w:t>
      </w:r>
      <w:r w:rsidRPr="00F537B9">
        <w:rPr>
          <w:i/>
          <w:noProof/>
        </w:rPr>
        <w:t xml:space="preserve"> </w:t>
      </w:r>
      <w:r w:rsidRPr="00F537B9">
        <w:rPr>
          <w:b/>
          <w:noProof/>
        </w:rPr>
        <w:t>Priame riadenie</w:t>
      </w:r>
      <w:r w:rsidRPr="00F537B9">
        <w:rPr>
          <w:noProof/>
        </w:rPr>
        <w:t xml:space="preserve"> na úrovni Komisie</w:t>
      </w:r>
    </w:p>
    <w:p w14:paraId="669730AB" w14:textId="77777777" w:rsidR="00F537B9" w:rsidRDefault="00D8401A" w:rsidP="001C0426">
      <w:pPr>
        <w:pStyle w:val="ListDash2"/>
        <w:rPr>
          <w:noProof/>
        </w:rPr>
      </w:pPr>
      <w:r w:rsidRPr="00F537B9">
        <w:rPr>
          <w:rFonts w:ascii="Wingdings" w:hAnsi="Wingdings"/>
          <w:noProof/>
        </w:rPr>
        <w:t></w:t>
      </w:r>
      <w:r w:rsidRPr="00F537B9">
        <w:rPr>
          <w:noProof/>
        </w:rPr>
        <w:t xml:space="preserve"> prostredníctvom jej útvarov vrátane zamestnancov</w:t>
      </w:r>
      <w:r w:rsidR="00F537B9">
        <w:rPr>
          <w:noProof/>
        </w:rPr>
        <w:t xml:space="preserve"> v </w:t>
      </w:r>
      <w:r w:rsidRPr="00F537B9">
        <w:rPr>
          <w:noProof/>
        </w:rPr>
        <w:t>delegáciách Únie</w:t>
      </w:r>
    </w:p>
    <w:p w14:paraId="2C992DC3" w14:textId="77777777" w:rsidR="00F537B9" w:rsidRDefault="00544811" w:rsidP="001C0426">
      <w:pPr>
        <w:pStyle w:val="ListDash2"/>
        <w:rPr>
          <w:noProof/>
        </w:rPr>
      </w:pPr>
      <w:r w:rsidRPr="00F537B9">
        <w:rPr>
          <w:rFonts w:ascii="Wingdings" w:hAnsi="Wingdings"/>
          <w:noProof/>
        </w:rPr>
        <w:t></w:t>
      </w:r>
      <w:r w:rsidRPr="00F537B9">
        <w:rPr>
          <w:noProof/>
        </w:rPr>
        <w:tab/>
        <w:t>prostredníctvom výkonných agentúr</w:t>
      </w:r>
    </w:p>
    <w:p w14:paraId="60F2B96C" w14:textId="77777777" w:rsidR="00F537B9" w:rsidRDefault="00544811">
      <w:pPr>
        <w:pStyle w:val="Text1"/>
        <w:rPr>
          <w:noProof/>
        </w:rPr>
      </w:pPr>
      <w:r w:rsidRPr="00F537B9">
        <w:rPr>
          <w:rFonts w:ascii="Wingdings" w:hAnsi="Wingdings"/>
          <w:noProof/>
        </w:rPr>
        <w:t></w:t>
      </w:r>
      <w:r w:rsidRPr="00F537B9">
        <w:rPr>
          <w:b/>
          <w:i/>
          <w:noProof/>
        </w:rPr>
        <w:t xml:space="preserve"> </w:t>
      </w:r>
      <w:r w:rsidRPr="00F537B9">
        <w:rPr>
          <w:b/>
          <w:noProof/>
        </w:rPr>
        <w:t>Zdieľané riadenie</w:t>
      </w:r>
      <w:r w:rsidR="00F537B9">
        <w:rPr>
          <w:noProof/>
        </w:rPr>
        <w:t xml:space="preserve"> s </w:t>
      </w:r>
      <w:r w:rsidRPr="00F537B9">
        <w:rPr>
          <w:noProof/>
        </w:rPr>
        <w:t>členskými štátmi</w:t>
      </w:r>
    </w:p>
    <w:p w14:paraId="614F1DCB" w14:textId="0B7D4CA9" w:rsidR="00544811" w:rsidRPr="00F537B9" w:rsidRDefault="00544811">
      <w:pPr>
        <w:pStyle w:val="Text1"/>
        <w:rPr>
          <w:noProof/>
        </w:rPr>
      </w:pPr>
      <w:r w:rsidRPr="00F537B9">
        <w:rPr>
          <w:rFonts w:ascii="Wingdings" w:hAnsi="Wingdings"/>
          <w:noProof/>
        </w:rPr>
        <w:t></w:t>
      </w:r>
      <w:r w:rsidRPr="00F537B9">
        <w:rPr>
          <w:i/>
          <w:noProof/>
        </w:rPr>
        <w:t xml:space="preserve"> </w:t>
      </w:r>
      <w:r w:rsidRPr="00F537B9">
        <w:rPr>
          <w:b/>
          <w:noProof/>
        </w:rPr>
        <w:t>Nepriame riadenie</w:t>
      </w:r>
      <w:r w:rsidRPr="00F537B9">
        <w:rPr>
          <w:noProof/>
        </w:rPr>
        <w:t>, pri ktorom sa plnením rozpočtu poveria:</w:t>
      </w:r>
    </w:p>
    <w:p w14:paraId="3336EAAF" w14:textId="77777777" w:rsidR="00544811" w:rsidRPr="00F537B9" w:rsidRDefault="00544811" w:rsidP="001C0426">
      <w:pPr>
        <w:pStyle w:val="ListDash2"/>
        <w:rPr>
          <w:noProof/>
        </w:rPr>
      </w:pPr>
      <w:r w:rsidRPr="00F537B9">
        <w:rPr>
          <w:rFonts w:ascii="Wingdings" w:hAnsi="Wingdings"/>
          <w:noProof/>
        </w:rPr>
        <w:t></w:t>
      </w:r>
      <w:r w:rsidRPr="00F537B9">
        <w:rPr>
          <w:noProof/>
        </w:rPr>
        <w:t xml:space="preserve"> tretie krajiny alebo subjekty, ktoré tieto krajiny určili,</w:t>
      </w:r>
    </w:p>
    <w:p w14:paraId="5CD611AA" w14:textId="4EA9867A" w:rsidR="00544811" w:rsidRPr="00F537B9" w:rsidRDefault="00544811" w:rsidP="001C0426">
      <w:pPr>
        <w:pStyle w:val="ListDash2"/>
        <w:rPr>
          <w:noProof/>
        </w:rPr>
      </w:pPr>
      <w:r w:rsidRPr="00F537B9">
        <w:rPr>
          <w:rFonts w:ascii="Wingdings" w:hAnsi="Wingdings"/>
          <w:noProof/>
        </w:rPr>
        <w:t></w:t>
      </w:r>
      <w:r w:rsidRPr="00F537B9">
        <w:rPr>
          <w:noProof/>
        </w:rPr>
        <w:t xml:space="preserve"> medzinárodné organizácie</w:t>
      </w:r>
      <w:r w:rsidR="00F537B9">
        <w:rPr>
          <w:noProof/>
        </w:rPr>
        <w:t xml:space="preserve"> a </w:t>
      </w:r>
      <w:r w:rsidRPr="00F537B9">
        <w:rPr>
          <w:noProof/>
        </w:rPr>
        <w:t>ich agentúry (uveďte),</w:t>
      </w:r>
    </w:p>
    <w:p w14:paraId="1B709BA6" w14:textId="7CEBEA32" w:rsidR="00544811" w:rsidRPr="00F537B9" w:rsidRDefault="00544811" w:rsidP="001C0426">
      <w:pPr>
        <w:pStyle w:val="ListDash2"/>
        <w:rPr>
          <w:noProof/>
        </w:rPr>
      </w:pPr>
      <w:r w:rsidRPr="00F537B9">
        <w:rPr>
          <w:rFonts w:ascii="Wingdings" w:hAnsi="Wingdings"/>
          <w:noProof/>
        </w:rPr>
        <w:t></w:t>
      </w:r>
      <w:r w:rsidRPr="00F537B9">
        <w:rPr>
          <w:noProof/>
        </w:rPr>
        <w:t xml:space="preserve"> Európska investičná banka (EIB)</w:t>
      </w:r>
      <w:r w:rsidR="00F537B9">
        <w:rPr>
          <w:noProof/>
        </w:rPr>
        <w:t xml:space="preserve"> a </w:t>
      </w:r>
      <w:r w:rsidRPr="00F537B9">
        <w:rPr>
          <w:noProof/>
        </w:rPr>
        <w:t>Európsky investičný fond,</w:t>
      </w:r>
    </w:p>
    <w:p w14:paraId="4A0FF091" w14:textId="517A1C46" w:rsidR="00544811" w:rsidRPr="00F537B9" w:rsidRDefault="00544811" w:rsidP="001C0426">
      <w:pPr>
        <w:pStyle w:val="ListDash2"/>
        <w:rPr>
          <w:noProof/>
        </w:rPr>
      </w:pPr>
      <w:r w:rsidRPr="00F537B9">
        <w:rPr>
          <w:rFonts w:ascii="Wingdings" w:hAnsi="Wingdings"/>
          <w:noProof/>
        </w:rPr>
        <w:t></w:t>
      </w:r>
      <w:r w:rsidRPr="00F537B9">
        <w:rPr>
          <w:noProof/>
        </w:rPr>
        <w:t xml:space="preserve"> subjekty uvedené</w:t>
      </w:r>
      <w:r w:rsidR="00F537B9">
        <w:rPr>
          <w:noProof/>
        </w:rPr>
        <w:t xml:space="preserve"> v </w:t>
      </w:r>
      <w:r w:rsidRPr="00F537B9">
        <w:rPr>
          <w:noProof/>
        </w:rPr>
        <w:t>článkoch 70</w:t>
      </w:r>
      <w:r w:rsidR="00F537B9">
        <w:rPr>
          <w:noProof/>
        </w:rPr>
        <w:t xml:space="preserve"> a </w:t>
      </w:r>
      <w:r w:rsidRPr="00F537B9">
        <w:rPr>
          <w:noProof/>
        </w:rPr>
        <w:t>71 nariadenia</w:t>
      </w:r>
      <w:r w:rsidR="00F537B9">
        <w:rPr>
          <w:noProof/>
        </w:rPr>
        <w:t xml:space="preserve"> o </w:t>
      </w:r>
      <w:r w:rsidRPr="00F537B9">
        <w:rPr>
          <w:noProof/>
        </w:rPr>
        <w:t>rozpočtových pravidlách,</w:t>
      </w:r>
    </w:p>
    <w:p w14:paraId="608CCC88" w14:textId="77777777" w:rsidR="00544811" w:rsidRPr="00F537B9" w:rsidRDefault="00544811" w:rsidP="001C0426">
      <w:pPr>
        <w:pStyle w:val="ListDash2"/>
        <w:rPr>
          <w:noProof/>
        </w:rPr>
      </w:pPr>
      <w:r w:rsidRPr="00F537B9">
        <w:rPr>
          <w:rFonts w:ascii="Wingdings" w:hAnsi="Wingdings"/>
          <w:noProof/>
        </w:rPr>
        <w:t></w:t>
      </w:r>
      <w:r w:rsidRPr="00F537B9">
        <w:rPr>
          <w:noProof/>
        </w:rPr>
        <w:t xml:space="preserve"> verejnoprávne subjekty,</w:t>
      </w:r>
    </w:p>
    <w:p w14:paraId="148F5FCA" w14:textId="77777777" w:rsidR="00544811" w:rsidRPr="00F537B9" w:rsidRDefault="00544811" w:rsidP="001C0426">
      <w:pPr>
        <w:pStyle w:val="ListDash2"/>
        <w:rPr>
          <w:noProof/>
        </w:rPr>
      </w:pPr>
      <w:r w:rsidRPr="00F537B9">
        <w:rPr>
          <w:rFonts w:ascii="Wingdings" w:hAnsi="Wingdings"/>
          <w:noProof/>
        </w:rPr>
        <w:t></w:t>
      </w:r>
      <w:r w:rsidRPr="00F537B9">
        <w:rPr>
          <w:noProof/>
        </w:rPr>
        <w:t xml:space="preserve"> súkromnoprávne subjekty poverené vykonávaním verejnej služby, pokiaľ sú im poskytnuté primerané finančné záruky,</w:t>
      </w:r>
    </w:p>
    <w:p w14:paraId="5B5A8ED0" w14:textId="6E46DCD8" w:rsidR="00544811" w:rsidRPr="00F537B9" w:rsidRDefault="00544811" w:rsidP="001C0426">
      <w:pPr>
        <w:pStyle w:val="ListDash2"/>
        <w:rPr>
          <w:noProof/>
        </w:rPr>
      </w:pPr>
      <w:r w:rsidRPr="00F537B9">
        <w:rPr>
          <w:rFonts w:ascii="Wingdings" w:hAnsi="Wingdings"/>
          <w:noProof/>
        </w:rPr>
        <w:t></w:t>
      </w:r>
      <w:r w:rsidRPr="00F537B9">
        <w:rPr>
          <w:noProof/>
        </w:rPr>
        <w:t xml:space="preserve"> súkromnoprávne subjekty spravované právom členského štátu, ktoré sú poverené vykonávaním verejno-súkromného partnerstva</w:t>
      </w:r>
      <w:r w:rsidR="00F537B9">
        <w:rPr>
          <w:noProof/>
        </w:rPr>
        <w:t xml:space="preserve"> a </w:t>
      </w:r>
      <w:r w:rsidRPr="00F537B9">
        <w:rPr>
          <w:noProof/>
        </w:rPr>
        <w:t>ktorým sú poskytnuté primerané finančné záruky,</w:t>
      </w:r>
    </w:p>
    <w:p w14:paraId="3C25B7E0" w14:textId="3FCFC3CD" w:rsidR="00544811" w:rsidRPr="00F537B9" w:rsidRDefault="00544811" w:rsidP="001C0426">
      <w:pPr>
        <w:pStyle w:val="ListDash2"/>
        <w:rPr>
          <w:noProof/>
        </w:rPr>
      </w:pPr>
      <w:r w:rsidRPr="00F537B9">
        <w:rPr>
          <w:rFonts w:ascii="Wingdings" w:hAnsi="Wingdings"/>
          <w:noProof/>
        </w:rPr>
        <w:t></w:t>
      </w:r>
      <w:r w:rsidRPr="00F537B9">
        <w:rPr>
          <w:noProof/>
        </w:rPr>
        <w:t xml:space="preserve"> subjekty alebo osoby poverené vykonávaním osobitných akcií</w:t>
      </w:r>
      <w:r w:rsidR="00F537B9">
        <w:rPr>
          <w:noProof/>
        </w:rPr>
        <w:t xml:space="preserve"> v </w:t>
      </w:r>
      <w:r w:rsidRPr="00F537B9">
        <w:rPr>
          <w:noProof/>
        </w:rPr>
        <w:t>oblasti SZBP podľa hlavy</w:t>
      </w:r>
      <w:r w:rsidR="00F537B9">
        <w:rPr>
          <w:noProof/>
        </w:rPr>
        <w:t xml:space="preserve"> V </w:t>
      </w:r>
      <w:r w:rsidRPr="00F537B9">
        <w:rPr>
          <w:noProof/>
        </w:rPr>
        <w:t>Zmluvy</w:t>
      </w:r>
      <w:r w:rsidR="00F537B9">
        <w:rPr>
          <w:noProof/>
        </w:rPr>
        <w:t xml:space="preserve"> o </w:t>
      </w:r>
      <w:r w:rsidRPr="00F537B9">
        <w:rPr>
          <w:noProof/>
        </w:rPr>
        <w:t>Európskej únii</w:t>
      </w:r>
      <w:r w:rsidR="00F537B9">
        <w:rPr>
          <w:noProof/>
        </w:rPr>
        <w:t xml:space="preserve"> a </w:t>
      </w:r>
      <w:r w:rsidRPr="00F537B9">
        <w:rPr>
          <w:noProof/>
        </w:rPr>
        <w:t>určené</w:t>
      </w:r>
      <w:r w:rsidR="00F537B9">
        <w:rPr>
          <w:noProof/>
        </w:rPr>
        <w:t xml:space="preserve"> v </w:t>
      </w:r>
      <w:r w:rsidRPr="00F537B9">
        <w:rPr>
          <w:noProof/>
        </w:rPr>
        <w:t>príslušnom základnom akte.</w:t>
      </w:r>
    </w:p>
    <w:p w14:paraId="0E0BDEF3" w14:textId="2034BDBF" w:rsidR="00544811" w:rsidRPr="00F537B9" w:rsidRDefault="00544811" w:rsidP="001C0426">
      <w:pPr>
        <w:pStyle w:val="ListDash2"/>
        <w:rPr>
          <w:i/>
          <w:noProof/>
          <w:sz w:val="18"/>
          <w:u w:val="single"/>
        </w:rPr>
      </w:pPr>
      <w:r w:rsidRPr="00F537B9">
        <w:rPr>
          <w:i/>
          <w:noProof/>
          <w:sz w:val="18"/>
        </w:rPr>
        <w:t>V prípade viacerých spôsobov riadenia uveďte</w:t>
      </w:r>
      <w:r w:rsidR="00F537B9">
        <w:rPr>
          <w:i/>
          <w:noProof/>
          <w:sz w:val="18"/>
        </w:rPr>
        <w:t xml:space="preserve"> v </w:t>
      </w:r>
      <w:r w:rsidRPr="00F537B9">
        <w:rPr>
          <w:i/>
          <w:noProof/>
          <w:sz w:val="18"/>
        </w:rPr>
        <w:t>oddiele „Poznámky“ presnejšie vysvetlenie.</w:t>
      </w:r>
    </w:p>
    <w:p w14:paraId="0CB819CC" w14:textId="77777777" w:rsidR="00F537B9" w:rsidRDefault="00544811">
      <w:pPr>
        <w:rPr>
          <w:noProof/>
        </w:rPr>
      </w:pPr>
      <w:r w:rsidRPr="00F537B9">
        <w:rPr>
          <w:noProof/>
        </w:rPr>
        <w:t>Poznámky</w:t>
      </w:r>
      <w:r w:rsidR="00F537B9">
        <w:rPr>
          <w:noProof/>
        </w:rPr>
        <w:t>:</w:t>
      </w:r>
    </w:p>
    <w:p w14:paraId="1EC0920E" w14:textId="77777777" w:rsidR="00F537B9" w:rsidRDefault="00544811">
      <w:pPr>
        <w:pStyle w:val="ManualHeading1"/>
        <w:rPr>
          <w:noProof/>
        </w:rPr>
      </w:pPr>
      <w:bookmarkStart w:id="79" w:name="_Toc514938041"/>
      <w:bookmarkStart w:id="80" w:name="_Toc520485042"/>
      <w:r w:rsidRPr="00F537B9">
        <w:rPr>
          <w:noProof/>
        </w:rPr>
        <w:t>2.</w:t>
      </w:r>
      <w:r w:rsidRPr="00F537B9">
        <w:rPr>
          <w:noProof/>
        </w:rPr>
        <w:tab/>
        <w:t>OPATRENIA</w:t>
      </w:r>
      <w:r w:rsidR="00F537B9">
        <w:rPr>
          <w:noProof/>
        </w:rPr>
        <w:t xml:space="preserve"> V </w:t>
      </w:r>
      <w:r w:rsidRPr="00F537B9">
        <w:rPr>
          <w:noProof/>
        </w:rPr>
        <w:t>OBLASTI RIADENIA</w:t>
      </w:r>
      <w:bookmarkEnd w:id="79"/>
      <w:bookmarkEnd w:id="80"/>
    </w:p>
    <w:p w14:paraId="75411A73" w14:textId="77777777" w:rsidR="00F537B9" w:rsidRDefault="00544811">
      <w:pPr>
        <w:pStyle w:val="ManualHeading2"/>
        <w:rPr>
          <w:noProof/>
        </w:rPr>
      </w:pPr>
      <w:bookmarkStart w:id="81" w:name="_Toc514938042"/>
      <w:bookmarkStart w:id="82" w:name="_Toc520485043"/>
      <w:r w:rsidRPr="00F537B9">
        <w:rPr>
          <w:noProof/>
        </w:rPr>
        <w:t>2.1.</w:t>
      </w:r>
      <w:r w:rsidRPr="00F537B9">
        <w:rPr>
          <w:noProof/>
        </w:rPr>
        <w:tab/>
        <w:t>Zásady monitorovania</w:t>
      </w:r>
      <w:r w:rsidR="00F537B9">
        <w:rPr>
          <w:noProof/>
        </w:rPr>
        <w:t xml:space="preserve"> a </w:t>
      </w:r>
      <w:r w:rsidRPr="00F537B9">
        <w:rPr>
          <w:noProof/>
        </w:rPr>
        <w:t>predkladania správ</w:t>
      </w:r>
      <w:bookmarkEnd w:id="81"/>
      <w:bookmarkEnd w:id="82"/>
    </w:p>
    <w:p w14:paraId="6919C7CE" w14:textId="01F37E4E" w:rsidR="00544811" w:rsidRPr="00F537B9" w:rsidRDefault="00544811">
      <w:pPr>
        <w:pStyle w:val="Text1"/>
        <w:rPr>
          <w:i/>
          <w:noProof/>
          <w:sz w:val="20"/>
        </w:rPr>
      </w:pPr>
      <w:r w:rsidRPr="00F537B9">
        <w:rPr>
          <w:i/>
          <w:noProof/>
          <w:sz w:val="20"/>
        </w:rPr>
        <w:t>Uveďte frekvenciu</w:t>
      </w:r>
      <w:r w:rsidR="00F537B9">
        <w:rPr>
          <w:i/>
          <w:noProof/>
          <w:sz w:val="20"/>
        </w:rPr>
        <w:t xml:space="preserve"> a </w:t>
      </w:r>
      <w:r w:rsidRPr="00F537B9">
        <w:rPr>
          <w:i/>
          <w:noProof/>
          <w:sz w:val="20"/>
        </w:rPr>
        <w:t>podmienky, ktoré sa vzťahujú na tieto opatrenia.</w:t>
      </w:r>
    </w:p>
    <w:p w14:paraId="4AF36F32" w14:textId="2EBD7DCE" w:rsidR="00F537B9" w:rsidRDefault="0055329F" w:rsidP="0055329F">
      <w:pPr>
        <w:pStyle w:val="Text1"/>
        <w:pBdr>
          <w:top w:val="single" w:sz="4" w:space="1" w:color="auto"/>
          <w:left w:val="single" w:sz="4" w:space="4" w:color="auto"/>
          <w:bottom w:val="single" w:sz="4" w:space="1" w:color="auto"/>
          <w:right w:val="single" w:sz="4" w:space="4" w:color="auto"/>
        </w:pBdr>
        <w:rPr>
          <w:noProof/>
        </w:rPr>
      </w:pPr>
      <w:r w:rsidRPr="00F537B9">
        <w:rPr>
          <w:noProof/>
        </w:rPr>
        <w:t>Komisia zabezpečí zavedenie mechanizmov monitorovania</w:t>
      </w:r>
      <w:r w:rsidR="00F537B9">
        <w:rPr>
          <w:noProof/>
        </w:rPr>
        <w:t xml:space="preserve"> a </w:t>
      </w:r>
      <w:r w:rsidRPr="00F537B9">
        <w:rPr>
          <w:noProof/>
        </w:rPr>
        <w:t>hodnotenia fungovania intervencie</w:t>
      </w:r>
      <w:r w:rsidR="00F537B9">
        <w:rPr>
          <w:noProof/>
        </w:rPr>
        <w:t xml:space="preserve"> a </w:t>
      </w:r>
      <w:r w:rsidRPr="00F537B9">
        <w:rPr>
          <w:noProof/>
        </w:rPr>
        <w:t>jej hodnotenie vo vzťahu</w:t>
      </w:r>
      <w:r w:rsidR="00F537B9">
        <w:rPr>
          <w:noProof/>
        </w:rPr>
        <w:t xml:space="preserve"> k </w:t>
      </w:r>
      <w:r w:rsidRPr="00F537B9">
        <w:rPr>
          <w:noProof/>
        </w:rPr>
        <w:t>hlavným politickým cieľom</w:t>
      </w:r>
      <w:r w:rsidR="00F537B9">
        <w:rPr>
          <w:noProof/>
        </w:rPr>
        <w:t>.</w:t>
      </w:r>
    </w:p>
    <w:p w14:paraId="01C52461" w14:textId="51ADE3ED" w:rsidR="0055329F" w:rsidRPr="00F537B9" w:rsidRDefault="0055329F" w:rsidP="0055329F">
      <w:pPr>
        <w:pStyle w:val="Text1"/>
        <w:pBdr>
          <w:top w:val="single" w:sz="4" w:space="1" w:color="auto"/>
          <w:left w:val="single" w:sz="4" w:space="4" w:color="auto"/>
          <w:bottom w:val="single" w:sz="4" w:space="1" w:color="auto"/>
          <w:right w:val="single" w:sz="4" w:space="4" w:color="auto"/>
        </w:pBdr>
        <w:rPr>
          <w:noProof/>
        </w:rPr>
      </w:pPr>
      <w:r w:rsidRPr="00F537B9">
        <w:rPr>
          <w:noProof/>
        </w:rPr>
        <w:t>Členské štáty budú predkladať Komisii každoročne informácie</w:t>
      </w:r>
      <w:r w:rsidR="00F537B9">
        <w:rPr>
          <w:noProof/>
        </w:rPr>
        <w:t xml:space="preserve"> o </w:t>
      </w:r>
      <w:r w:rsidRPr="00F537B9">
        <w:rPr>
          <w:noProof/>
        </w:rPr>
        <w:t>ukazovateľoch výkonnosti uvedené</w:t>
      </w:r>
      <w:r w:rsidR="00F537B9">
        <w:rPr>
          <w:noProof/>
        </w:rPr>
        <w:t xml:space="preserve"> v </w:t>
      </w:r>
      <w:r w:rsidRPr="00F537B9">
        <w:rPr>
          <w:noProof/>
        </w:rPr>
        <w:t>predchádzajúcej tabuľke, ktoré sa použijú na monitorovanie súladu</w:t>
      </w:r>
      <w:r w:rsidR="00F537B9">
        <w:rPr>
          <w:noProof/>
        </w:rPr>
        <w:t xml:space="preserve"> s </w:t>
      </w:r>
      <w:r w:rsidRPr="00F537B9">
        <w:rPr>
          <w:noProof/>
        </w:rPr>
        <w:t>touto smernicou. Vzhľadom na dostupnosť monitorovacích údajov,</w:t>
      </w:r>
      <w:r w:rsidR="00F537B9">
        <w:rPr>
          <w:noProof/>
        </w:rPr>
        <w:t xml:space="preserve"> a </w:t>
      </w:r>
      <w:r w:rsidRPr="00F537B9">
        <w:rPr>
          <w:noProof/>
        </w:rPr>
        <w:t>ak sa to považuje za vhodné, Komisia posúdi revidovanie niektorých jej prvkov vo vykonávacom akte pre systém oznamovania.</w:t>
      </w:r>
    </w:p>
    <w:p w14:paraId="03115729" w14:textId="0883AECE" w:rsidR="0055329F" w:rsidRPr="00F537B9" w:rsidRDefault="0055329F" w:rsidP="0055329F">
      <w:pPr>
        <w:pStyle w:val="Text1"/>
        <w:pBdr>
          <w:top w:val="single" w:sz="4" w:space="1" w:color="auto"/>
          <w:left w:val="single" w:sz="4" w:space="4" w:color="auto"/>
          <w:bottom w:val="single" w:sz="4" w:space="1" w:color="auto"/>
          <w:right w:val="single" w:sz="4" w:space="4" w:color="auto"/>
        </w:pBdr>
        <w:rPr>
          <w:noProof/>
        </w:rPr>
      </w:pPr>
      <w:r w:rsidRPr="00F537B9">
        <w:rPr>
          <w:noProof/>
        </w:rPr>
        <w:t>Hodnotenie sa uskutoční päť rokov po zavedení smernice, čím sa Komisii umožní preskúmať výsledky politiky vo vzťahu</w:t>
      </w:r>
      <w:r w:rsidR="00F537B9">
        <w:rPr>
          <w:noProof/>
        </w:rPr>
        <w:t xml:space="preserve"> k </w:t>
      </w:r>
      <w:r w:rsidRPr="00F537B9">
        <w:rPr>
          <w:noProof/>
        </w:rPr>
        <w:t>jej cieľom, ako aj celkové vplyvy</w:t>
      </w:r>
      <w:r w:rsidR="00F537B9">
        <w:rPr>
          <w:noProof/>
        </w:rPr>
        <w:t xml:space="preserve"> z </w:t>
      </w:r>
      <w:r w:rsidRPr="00F537B9">
        <w:rPr>
          <w:noProof/>
        </w:rPr>
        <w:t>hľadiska zlepšenia jednotného uplatňovania princípu nezávislého vzťahu</w:t>
      </w:r>
      <w:r w:rsidR="00F537B9">
        <w:rPr>
          <w:noProof/>
        </w:rPr>
        <w:t xml:space="preserve"> v </w:t>
      </w:r>
      <w:r w:rsidRPr="00F537B9">
        <w:rPr>
          <w:noProof/>
        </w:rPr>
        <w:t>celej EÚ, ako aj zníženia dvojitého zdanenia</w:t>
      </w:r>
      <w:r w:rsidR="00F537B9">
        <w:rPr>
          <w:noProof/>
        </w:rPr>
        <w:t xml:space="preserve"> a </w:t>
      </w:r>
      <w:r w:rsidRPr="00F537B9">
        <w:rPr>
          <w:noProof/>
        </w:rPr>
        <w:t>dvojitého nezdanenia.</w:t>
      </w:r>
    </w:p>
    <w:p w14:paraId="75AA3C9A" w14:textId="77777777" w:rsidR="00F537B9" w:rsidRDefault="00544811">
      <w:pPr>
        <w:pStyle w:val="ManualHeading2"/>
        <w:rPr>
          <w:noProof/>
        </w:rPr>
      </w:pPr>
      <w:bookmarkStart w:id="83" w:name="_Toc514938045"/>
      <w:bookmarkStart w:id="84" w:name="_Toc520485044"/>
      <w:r w:rsidRPr="00F537B9">
        <w:rPr>
          <w:noProof/>
        </w:rPr>
        <w:t>2.2.</w:t>
      </w:r>
      <w:r w:rsidRPr="00F537B9">
        <w:rPr>
          <w:noProof/>
        </w:rPr>
        <w:tab/>
        <w:t>Systémy riadenia</w:t>
      </w:r>
      <w:r w:rsidR="00F537B9">
        <w:rPr>
          <w:noProof/>
        </w:rPr>
        <w:t xml:space="preserve"> a </w:t>
      </w:r>
      <w:r w:rsidRPr="00F537B9">
        <w:rPr>
          <w:noProof/>
        </w:rPr>
        <w:t>kontroly</w:t>
      </w:r>
      <w:bookmarkEnd w:id="83"/>
      <w:bookmarkEnd w:id="84"/>
    </w:p>
    <w:p w14:paraId="5E34B127" w14:textId="5DA09CBF" w:rsidR="00544811" w:rsidRPr="00F537B9" w:rsidRDefault="00544811">
      <w:pPr>
        <w:pStyle w:val="ManualHeading3"/>
        <w:rPr>
          <w:noProof/>
        </w:rPr>
      </w:pPr>
      <w:bookmarkStart w:id="85" w:name="_Toc514938046"/>
      <w:bookmarkStart w:id="86" w:name="_Toc520485045"/>
      <w:r w:rsidRPr="00F537B9">
        <w:rPr>
          <w:noProof/>
        </w:rPr>
        <w:t>2.2.1.</w:t>
      </w:r>
      <w:r w:rsidRPr="00F537B9">
        <w:rPr>
          <w:noProof/>
        </w:rPr>
        <w:tab/>
        <w:t>Opodstatnenie navrhovaných spôsobov riadenia, mechanizmov vykonávania financovania, spôsobov platby</w:t>
      </w:r>
      <w:r w:rsidR="00F537B9">
        <w:rPr>
          <w:noProof/>
        </w:rPr>
        <w:t xml:space="preserve"> a </w:t>
      </w:r>
      <w:r w:rsidRPr="00F537B9">
        <w:rPr>
          <w:noProof/>
        </w:rPr>
        <w:t>stratégie kontroly</w:t>
      </w:r>
      <w:bookmarkEnd w:id="85"/>
      <w:bookmarkEnd w:id="86"/>
    </w:p>
    <w:p w14:paraId="583486F1" w14:textId="77777777" w:rsidR="00F537B9" w:rsidRDefault="00BC2799">
      <w:pPr>
        <w:pStyle w:val="Text1"/>
        <w:pBdr>
          <w:top w:val="single" w:sz="4" w:space="1" w:color="auto"/>
          <w:left w:val="single" w:sz="4" w:space="4" w:color="auto"/>
          <w:bottom w:val="single" w:sz="4" w:space="1" w:color="auto"/>
          <w:right w:val="single" w:sz="4" w:space="4" w:color="auto"/>
        </w:pBdr>
        <w:rPr>
          <w:noProof/>
        </w:rPr>
      </w:pPr>
      <w:r w:rsidRPr="00F537B9">
        <w:rPr>
          <w:noProof/>
        </w:rPr>
        <w:t>Iniciatívu budú realizovať príslušné orgány (daňové správy) členských štátov</w:t>
      </w:r>
      <w:r w:rsidR="00F537B9">
        <w:rPr>
          <w:noProof/>
        </w:rPr>
        <w:t>.</w:t>
      </w:r>
    </w:p>
    <w:p w14:paraId="24E53AAD" w14:textId="6570EB8D" w:rsidR="00544811" w:rsidRPr="00F537B9" w:rsidRDefault="007D34A8">
      <w:pPr>
        <w:pStyle w:val="Text1"/>
        <w:pBdr>
          <w:top w:val="single" w:sz="4" w:space="1" w:color="auto"/>
          <w:left w:val="single" w:sz="4" w:space="4" w:color="auto"/>
          <w:bottom w:val="single" w:sz="4" w:space="1" w:color="auto"/>
          <w:right w:val="single" w:sz="4" w:space="4" w:color="auto"/>
        </w:pBdr>
        <w:rPr>
          <w:noProof/>
        </w:rPr>
      </w:pPr>
      <w:r w:rsidRPr="00F537B9">
        <w:rPr>
          <w:noProof/>
        </w:rPr>
        <w:t>Po prijatí smernice sa bude Komisia podieľať len na príprave pravidiel prostredníctvom vykonávacích aktov</w:t>
      </w:r>
      <w:r w:rsidR="00F537B9">
        <w:rPr>
          <w:noProof/>
        </w:rPr>
        <w:t xml:space="preserve"> a </w:t>
      </w:r>
      <w:r w:rsidRPr="00F537B9">
        <w:rPr>
          <w:noProof/>
        </w:rPr>
        <w:t>bude konať len</w:t>
      </w:r>
      <w:r w:rsidR="00F537B9">
        <w:rPr>
          <w:noProof/>
        </w:rPr>
        <w:t xml:space="preserve"> v </w:t>
      </w:r>
      <w:r w:rsidRPr="00F537B9">
        <w:rPr>
          <w:noProof/>
        </w:rPr>
        <w:t>prípade porušenia smernice.</w:t>
      </w:r>
    </w:p>
    <w:p w14:paraId="0908C1C3" w14:textId="5CAB08A2" w:rsidR="00544811" w:rsidRPr="00F537B9" w:rsidRDefault="00544811">
      <w:pPr>
        <w:pStyle w:val="ManualHeading3"/>
        <w:rPr>
          <w:bCs/>
          <w:noProof/>
          <w:szCs w:val="24"/>
        </w:rPr>
      </w:pPr>
      <w:bookmarkStart w:id="87" w:name="_Toc514938047"/>
      <w:bookmarkStart w:id="88" w:name="_Toc520485046"/>
      <w:r w:rsidRPr="00F537B9">
        <w:rPr>
          <w:noProof/>
        </w:rPr>
        <w:t>2.2.2.</w:t>
      </w:r>
      <w:r w:rsidRPr="00F537B9">
        <w:rPr>
          <w:noProof/>
        </w:rPr>
        <w:tab/>
        <w:t>Informácie</w:t>
      </w:r>
      <w:r w:rsidR="00F537B9">
        <w:rPr>
          <w:noProof/>
        </w:rPr>
        <w:t xml:space="preserve"> o </w:t>
      </w:r>
      <w:r w:rsidRPr="00F537B9">
        <w:rPr>
          <w:noProof/>
        </w:rPr>
        <w:t>zistených rizikách</w:t>
      </w:r>
      <w:r w:rsidR="00F537B9">
        <w:rPr>
          <w:noProof/>
        </w:rPr>
        <w:t xml:space="preserve"> a </w:t>
      </w:r>
      <w:r w:rsidRPr="00F537B9">
        <w:rPr>
          <w:noProof/>
        </w:rPr>
        <w:t>systémoch vnútornej kontroly zavedených na ich zmierňovanie</w:t>
      </w:r>
      <w:bookmarkEnd w:id="87"/>
      <w:bookmarkEnd w:id="88"/>
    </w:p>
    <w:p w14:paraId="2FFE112F" w14:textId="77777777" w:rsidR="00AE4873" w:rsidRPr="00F537B9" w:rsidRDefault="00AE4873" w:rsidP="007410E7">
      <w:pPr>
        <w:pStyle w:val="Text1"/>
        <w:pBdr>
          <w:top w:val="single" w:sz="4" w:space="1" w:color="auto"/>
          <w:left w:val="single" w:sz="4" w:space="4" w:color="auto"/>
          <w:bottom w:val="single" w:sz="4" w:space="1" w:color="auto"/>
          <w:right w:val="single" w:sz="4" w:space="4" w:color="auto"/>
        </w:pBdr>
        <w:rPr>
          <w:noProof/>
        </w:rPr>
      </w:pPr>
    </w:p>
    <w:p w14:paraId="40E60C85" w14:textId="77777777" w:rsidR="007410E7" w:rsidRPr="00F537B9" w:rsidRDefault="007410E7" w:rsidP="007410E7">
      <w:pPr>
        <w:pStyle w:val="Text1"/>
        <w:pBdr>
          <w:top w:val="single" w:sz="4" w:space="1" w:color="auto"/>
          <w:left w:val="single" w:sz="4" w:space="4" w:color="auto"/>
          <w:bottom w:val="single" w:sz="4" w:space="1" w:color="auto"/>
          <w:right w:val="single" w:sz="4" w:space="4" w:color="auto"/>
        </w:pBdr>
        <w:rPr>
          <w:noProof/>
        </w:rPr>
      </w:pPr>
      <w:r w:rsidRPr="00F537B9">
        <w:rPr>
          <w:noProof/>
        </w:rPr>
        <w:t>Hlavné prvky kontrolnej stratégie sú:</w:t>
      </w:r>
    </w:p>
    <w:p w14:paraId="547B18FD" w14:textId="77777777" w:rsidR="007410E7" w:rsidRPr="00F537B9" w:rsidRDefault="007410E7" w:rsidP="007410E7">
      <w:pPr>
        <w:pStyle w:val="Text1"/>
        <w:pBdr>
          <w:top w:val="single" w:sz="4" w:space="1" w:color="auto"/>
          <w:left w:val="single" w:sz="4" w:space="4" w:color="auto"/>
          <w:bottom w:val="single" w:sz="4" w:space="1" w:color="auto"/>
          <w:right w:val="single" w:sz="4" w:space="4" w:color="auto"/>
        </w:pBdr>
        <w:rPr>
          <w:noProof/>
        </w:rPr>
      </w:pPr>
      <w:r w:rsidRPr="00F537B9">
        <w:rPr>
          <w:noProof/>
        </w:rPr>
        <w:t>Verejné zákazky</w:t>
      </w:r>
    </w:p>
    <w:p w14:paraId="117A977A" w14:textId="070E1595" w:rsidR="007410E7" w:rsidRPr="00F537B9" w:rsidRDefault="007410E7" w:rsidP="007410E7">
      <w:pPr>
        <w:pStyle w:val="Text1"/>
        <w:pBdr>
          <w:top w:val="single" w:sz="4" w:space="1" w:color="auto"/>
          <w:left w:val="single" w:sz="4" w:space="4" w:color="auto"/>
          <w:bottom w:val="single" w:sz="4" w:space="1" w:color="auto"/>
          <w:right w:val="single" w:sz="4" w:space="4" w:color="auto"/>
        </w:pBdr>
        <w:rPr>
          <w:noProof/>
        </w:rPr>
      </w:pPr>
      <w:r w:rsidRPr="00F537B9">
        <w:rPr>
          <w:noProof/>
        </w:rPr>
        <w:t>Kontrolné postupy pre verejné zákazky vymedzené</w:t>
      </w:r>
      <w:r w:rsidR="00F537B9">
        <w:rPr>
          <w:noProof/>
        </w:rPr>
        <w:t xml:space="preserve"> v </w:t>
      </w:r>
      <w:r w:rsidRPr="00F537B9">
        <w:rPr>
          <w:noProof/>
        </w:rPr>
        <w:t>nariadení</w:t>
      </w:r>
      <w:r w:rsidR="00F537B9">
        <w:rPr>
          <w:noProof/>
        </w:rPr>
        <w:t xml:space="preserve"> o </w:t>
      </w:r>
      <w:r w:rsidRPr="00F537B9">
        <w:rPr>
          <w:noProof/>
        </w:rPr>
        <w:t>rozpočtových pravidlách: akákoľvek verejná zákazka sa zadá po stanovenom postupe overenia platieb útvarmi Komisie,</w:t>
      </w:r>
      <w:r w:rsidR="00F537B9">
        <w:rPr>
          <w:noProof/>
        </w:rPr>
        <w:t xml:space="preserve"> v </w:t>
      </w:r>
      <w:r w:rsidRPr="00F537B9">
        <w:rPr>
          <w:noProof/>
        </w:rPr>
        <w:t>rámci ktorého sa zohľadnia zmluvné záväzky</w:t>
      </w:r>
      <w:r w:rsidR="00F537B9">
        <w:rPr>
          <w:noProof/>
        </w:rPr>
        <w:t xml:space="preserve"> a </w:t>
      </w:r>
      <w:r w:rsidRPr="00F537B9">
        <w:rPr>
          <w:noProof/>
        </w:rPr>
        <w:t>správne finančné</w:t>
      </w:r>
      <w:r w:rsidR="00F537B9">
        <w:rPr>
          <w:noProof/>
        </w:rPr>
        <w:t xml:space="preserve"> a </w:t>
      </w:r>
      <w:r w:rsidRPr="00F537B9">
        <w:rPr>
          <w:noProof/>
        </w:rPr>
        <w:t>všeobecné riadenie. Vo všetkých zákazkách uzavretých medzi Komisiou</w:t>
      </w:r>
      <w:r w:rsidR="00F537B9">
        <w:rPr>
          <w:noProof/>
        </w:rPr>
        <w:t xml:space="preserve"> a </w:t>
      </w:r>
      <w:r w:rsidRPr="00F537B9">
        <w:rPr>
          <w:noProof/>
        </w:rPr>
        <w:t>príjemcami sa stanovujú opatrenia proti podvodom (kontroly, správy atď.). Vypracuje sa podrobný referenčný rámec, ktorý tvorí základ každej konkrétnej zákazky. Proces schvaľovania sa striktne riadi metodikou TAXUD TEMPO: dodávky alebo plnenie sa vyhodnocujú,</w:t>
      </w:r>
      <w:r w:rsidR="00F537B9">
        <w:rPr>
          <w:noProof/>
        </w:rPr>
        <w:t xml:space="preserve"> v </w:t>
      </w:r>
      <w:r w:rsidRPr="00F537B9">
        <w:rPr>
          <w:noProof/>
        </w:rPr>
        <w:t>prípade potreby upravujú</w:t>
      </w:r>
      <w:r w:rsidR="00F537B9">
        <w:rPr>
          <w:noProof/>
        </w:rPr>
        <w:t xml:space="preserve"> a </w:t>
      </w:r>
      <w:r w:rsidRPr="00F537B9">
        <w:rPr>
          <w:noProof/>
        </w:rPr>
        <w:t>nakoniec sa výslovne schvália (alebo zamietnu). Žiadnu faktúru nemožno uhradiť bez „potvrdenia</w:t>
      </w:r>
      <w:r w:rsidR="00F537B9">
        <w:rPr>
          <w:noProof/>
        </w:rPr>
        <w:t xml:space="preserve"> o </w:t>
      </w:r>
      <w:r w:rsidRPr="00F537B9">
        <w:rPr>
          <w:noProof/>
        </w:rPr>
        <w:t>schválení“.</w:t>
      </w:r>
    </w:p>
    <w:p w14:paraId="2711D693" w14:textId="77777777" w:rsidR="007410E7" w:rsidRPr="00F537B9" w:rsidRDefault="007410E7" w:rsidP="007410E7">
      <w:pPr>
        <w:pStyle w:val="Text1"/>
        <w:pBdr>
          <w:top w:val="single" w:sz="4" w:space="1" w:color="auto"/>
          <w:left w:val="single" w:sz="4" w:space="4" w:color="auto"/>
          <w:bottom w:val="single" w:sz="4" w:space="1" w:color="auto"/>
          <w:right w:val="single" w:sz="4" w:space="4" w:color="auto"/>
        </w:pBdr>
        <w:rPr>
          <w:noProof/>
        </w:rPr>
      </w:pPr>
      <w:r w:rsidRPr="00F537B9">
        <w:rPr>
          <w:noProof/>
        </w:rPr>
        <w:t>Technické overovanie verejnej zákazky</w:t>
      </w:r>
    </w:p>
    <w:p w14:paraId="7261822B" w14:textId="4CDA5A24" w:rsidR="007410E7" w:rsidRPr="00F537B9" w:rsidRDefault="007410E7" w:rsidP="007410E7">
      <w:pPr>
        <w:pStyle w:val="Text1"/>
        <w:pBdr>
          <w:top w:val="single" w:sz="4" w:space="1" w:color="auto"/>
          <w:left w:val="single" w:sz="4" w:space="4" w:color="auto"/>
          <w:bottom w:val="single" w:sz="4" w:space="1" w:color="auto"/>
          <w:right w:val="single" w:sz="4" w:space="4" w:color="auto"/>
        </w:pBdr>
        <w:rPr>
          <w:noProof/>
        </w:rPr>
      </w:pPr>
      <w:r w:rsidRPr="00F537B9">
        <w:rPr>
          <w:noProof/>
        </w:rPr>
        <w:t>GR TAXUD vykonáva kontroly dodávok</w:t>
      </w:r>
      <w:r w:rsidR="00F537B9">
        <w:rPr>
          <w:noProof/>
        </w:rPr>
        <w:t xml:space="preserve"> a </w:t>
      </w:r>
      <w:r w:rsidRPr="00F537B9">
        <w:rPr>
          <w:noProof/>
        </w:rPr>
        <w:t>plnenia</w:t>
      </w:r>
      <w:r w:rsidR="00F537B9">
        <w:rPr>
          <w:noProof/>
        </w:rPr>
        <w:t xml:space="preserve"> a </w:t>
      </w:r>
      <w:r w:rsidRPr="00F537B9">
        <w:rPr>
          <w:noProof/>
        </w:rPr>
        <w:t>vykonáva dohľad nad prevádzkovými činnosťami</w:t>
      </w:r>
      <w:r w:rsidR="00F537B9">
        <w:rPr>
          <w:noProof/>
        </w:rPr>
        <w:t xml:space="preserve"> a </w:t>
      </w:r>
      <w:r w:rsidRPr="00F537B9">
        <w:rPr>
          <w:noProof/>
        </w:rPr>
        <w:t>službami, ktoré dodávatelia vykonávajú/poskytujú. Zároveň pravidelne vykonáva audity kvality</w:t>
      </w:r>
      <w:r w:rsidR="00F537B9">
        <w:rPr>
          <w:noProof/>
        </w:rPr>
        <w:t xml:space="preserve"> a </w:t>
      </w:r>
      <w:r w:rsidRPr="00F537B9">
        <w:rPr>
          <w:noProof/>
        </w:rPr>
        <w:t>bezpečnosti dodávateľov. Auditmi kvality sa overuje súlad konkrétnych procesov dodávateľov</w:t>
      </w:r>
      <w:r w:rsidR="00F537B9">
        <w:rPr>
          <w:noProof/>
        </w:rPr>
        <w:t xml:space="preserve"> s </w:t>
      </w:r>
      <w:r w:rsidRPr="00F537B9">
        <w:rPr>
          <w:noProof/>
        </w:rPr>
        <w:t>pravidlami</w:t>
      </w:r>
      <w:r w:rsidR="00F537B9">
        <w:rPr>
          <w:noProof/>
        </w:rPr>
        <w:t xml:space="preserve"> a </w:t>
      </w:r>
      <w:r w:rsidRPr="00F537B9">
        <w:rPr>
          <w:noProof/>
        </w:rPr>
        <w:t>postupmi stanovenými</w:t>
      </w:r>
      <w:r w:rsidR="00F537B9">
        <w:rPr>
          <w:noProof/>
        </w:rPr>
        <w:t xml:space="preserve"> v </w:t>
      </w:r>
      <w:r w:rsidRPr="00F537B9">
        <w:rPr>
          <w:noProof/>
        </w:rPr>
        <w:t>ich plánoch kvality. Audity bezpečnosti sú zamerané na osobitné procesy, postupy</w:t>
      </w:r>
      <w:r w:rsidR="00F537B9">
        <w:rPr>
          <w:noProof/>
        </w:rPr>
        <w:t xml:space="preserve"> a </w:t>
      </w:r>
      <w:r w:rsidRPr="00F537B9">
        <w:rPr>
          <w:noProof/>
        </w:rPr>
        <w:t>štruktúry.</w:t>
      </w:r>
    </w:p>
    <w:p w14:paraId="21CB9160" w14:textId="77777777" w:rsidR="007410E7" w:rsidRPr="00F537B9" w:rsidRDefault="007410E7" w:rsidP="007410E7">
      <w:pPr>
        <w:pStyle w:val="Text1"/>
        <w:pBdr>
          <w:top w:val="single" w:sz="4" w:space="1" w:color="auto"/>
          <w:left w:val="single" w:sz="4" w:space="4" w:color="auto"/>
          <w:bottom w:val="single" w:sz="4" w:space="1" w:color="auto"/>
          <w:right w:val="single" w:sz="4" w:space="4" w:color="auto"/>
        </w:pBdr>
        <w:rPr>
          <w:noProof/>
        </w:rPr>
      </w:pPr>
      <w:r w:rsidRPr="00F537B9">
        <w:rPr>
          <w:noProof/>
        </w:rPr>
        <w:t>Okrem uvedených kontrol vykonáva GR TAXUD tradičné finančné kontroly:</w:t>
      </w:r>
    </w:p>
    <w:p w14:paraId="1994DD21" w14:textId="77777777" w:rsidR="007410E7" w:rsidRPr="00F537B9" w:rsidRDefault="007410E7" w:rsidP="007410E7">
      <w:pPr>
        <w:pStyle w:val="Text1"/>
        <w:pBdr>
          <w:top w:val="single" w:sz="4" w:space="1" w:color="auto"/>
          <w:left w:val="single" w:sz="4" w:space="4" w:color="auto"/>
          <w:bottom w:val="single" w:sz="4" w:space="1" w:color="auto"/>
          <w:right w:val="single" w:sz="4" w:space="4" w:color="auto"/>
        </w:pBdr>
        <w:rPr>
          <w:noProof/>
        </w:rPr>
      </w:pPr>
      <w:r w:rsidRPr="00F537B9">
        <w:rPr>
          <w:noProof/>
        </w:rPr>
        <w:t xml:space="preserve">Kontrola záväzkov </w:t>
      </w:r>
      <w:r w:rsidRPr="00F537B9">
        <w:rPr>
          <w:i/>
          <w:noProof/>
        </w:rPr>
        <w:t>ex ante</w:t>
      </w:r>
    </w:p>
    <w:p w14:paraId="7EF3F8E0" w14:textId="46E4C140" w:rsidR="007410E7" w:rsidRPr="00D300D9" w:rsidRDefault="007410E7" w:rsidP="007410E7">
      <w:pPr>
        <w:pStyle w:val="Text1"/>
        <w:pBdr>
          <w:top w:val="single" w:sz="4" w:space="1" w:color="auto"/>
          <w:left w:val="single" w:sz="4" w:space="4" w:color="auto"/>
          <w:bottom w:val="single" w:sz="4" w:space="1" w:color="auto"/>
          <w:right w:val="single" w:sz="4" w:space="4" w:color="auto"/>
        </w:pBdr>
        <w:rPr>
          <w:noProof/>
          <w:spacing w:val="-4"/>
        </w:rPr>
      </w:pPr>
      <w:r w:rsidRPr="00D300D9">
        <w:rPr>
          <w:noProof/>
          <w:spacing w:val="-4"/>
        </w:rPr>
        <w:t>Všetky záväzky GR TAXUD kontroluje vedúci príslušného oddelenia financií</w:t>
      </w:r>
      <w:r w:rsidR="00F537B9" w:rsidRPr="00D300D9">
        <w:rPr>
          <w:noProof/>
          <w:spacing w:val="-4"/>
        </w:rPr>
        <w:t xml:space="preserve"> a </w:t>
      </w:r>
      <w:r w:rsidRPr="00D300D9">
        <w:rPr>
          <w:noProof/>
          <w:spacing w:val="-4"/>
        </w:rPr>
        <w:t xml:space="preserve">ľudských zdrojov. Kontrole </w:t>
      </w:r>
      <w:r w:rsidRPr="00D300D9">
        <w:rPr>
          <w:i/>
          <w:noProof/>
          <w:spacing w:val="-4"/>
        </w:rPr>
        <w:t>ex ante</w:t>
      </w:r>
      <w:r w:rsidRPr="00D300D9">
        <w:rPr>
          <w:noProof/>
          <w:spacing w:val="-4"/>
        </w:rPr>
        <w:t xml:space="preserve"> je teda podrobených 100</w:t>
      </w:r>
      <w:r w:rsidR="00F537B9" w:rsidRPr="00D300D9">
        <w:rPr>
          <w:noProof/>
          <w:spacing w:val="-4"/>
        </w:rPr>
        <w:t> %</w:t>
      </w:r>
      <w:r w:rsidRPr="00D300D9">
        <w:rPr>
          <w:noProof/>
          <w:spacing w:val="-4"/>
        </w:rPr>
        <w:t xml:space="preserve"> viazaných súm. Tento postup poskytuje vysoký stupeň istoty, pokiaľ ide</w:t>
      </w:r>
      <w:r w:rsidR="00F537B9" w:rsidRPr="00D300D9">
        <w:rPr>
          <w:noProof/>
          <w:spacing w:val="-4"/>
        </w:rPr>
        <w:t xml:space="preserve"> o </w:t>
      </w:r>
      <w:r w:rsidRPr="00D300D9">
        <w:rPr>
          <w:noProof/>
          <w:spacing w:val="-4"/>
        </w:rPr>
        <w:t>zákonnosť</w:t>
      </w:r>
      <w:r w:rsidR="00F537B9" w:rsidRPr="00D300D9">
        <w:rPr>
          <w:noProof/>
          <w:spacing w:val="-4"/>
        </w:rPr>
        <w:t xml:space="preserve"> a </w:t>
      </w:r>
      <w:r w:rsidRPr="00D300D9">
        <w:rPr>
          <w:noProof/>
          <w:spacing w:val="-4"/>
        </w:rPr>
        <w:t>správnosť transakcií.</w:t>
      </w:r>
    </w:p>
    <w:p w14:paraId="709FAAEC" w14:textId="77777777" w:rsidR="007410E7" w:rsidRPr="00F537B9" w:rsidRDefault="007410E7" w:rsidP="007410E7">
      <w:pPr>
        <w:pStyle w:val="Text1"/>
        <w:pBdr>
          <w:top w:val="single" w:sz="4" w:space="1" w:color="auto"/>
          <w:left w:val="single" w:sz="4" w:space="4" w:color="auto"/>
          <w:bottom w:val="single" w:sz="4" w:space="1" w:color="auto"/>
          <w:right w:val="single" w:sz="4" w:space="4" w:color="auto"/>
        </w:pBdr>
        <w:rPr>
          <w:noProof/>
        </w:rPr>
      </w:pPr>
      <w:r w:rsidRPr="00F537B9">
        <w:rPr>
          <w:noProof/>
        </w:rPr>
        <w:t xml:space="preserve">Kontrola platieb </w:t>
      </w:r>
      <w:r w:rsidRPr="00F537B9">
        <w:rPr>
          <w:i/>
          <w:noProof/>
        </w:rPr>
        <w:t>ex ante</w:t>
      </w:r>
    </w:p>
    <w:p w14:paraId="386D222F" w14:textId="5426C23B" w:rsidR="007410E7" w:rsidRPr="00D300D9" w:rsidRDefault="007410E7" w:rsidP="007410E7">
      <w:pPr>
        <w:pStyle w:val="Text1"/>
        <w:pBdr>
          <w:top w:val="single" w:sz="4" w:space="1" w:color="auto"/>
          <w:left w:val="single" w:sz="4" w:space="4" w:color="auto"/>
          <w:bottom w:val="single" w:sz="4" w:space="1" w:color="auto"/>
          <w:right w:val="single" w:sz="4" w:space="4" w:color="auto"/>
        </w:pBdr>
        <w:rPr>
          <w:noProof/>
          <w:spacing w:val="-4"/>
        </w:rPr>
      </w:pPr>
      <w:r w:rsidRPr="00D300D9">
        <w:rPr>
          <w:noProof/>
          <w:spacing w:val="-4"/>
        </w:rPr>
        <w:t xml:space="preserve">Overovaniu </w:t>
      </w:r>
      <w:r w:rsidRPr="00D300D9">
        <w:rPr>
          <w:i/>
          <w:noProof/>
          <w:spacing w:val="-4"/>
        </w:rPr>
        <w:t>ex ante</w:t>
      </w:r>
      <w:r w:rsidRPr="00D300D9">
        <w:rPr>
          <w:noProof/>
          <w:spacing w:val="-4"/>
        </w:rPr>
        <w:t xml:space="preserve"> je podrobených 100</w:t>
      </w:r>
      <w:r w:rsidR="00F537B9" w:rsidRPr="00D300D9">
        <w:rPr>
          <w:noProof/>
          <w:spacing w:val="-4"/>
        </w:rPr>
        <w:t> %</w:t>
      </w:r>
      <w:r w:rsidRPr="00D300D9">
        <w:rPr>
          <w:noProof/>
          <w:spacing w:val="-4"/>
        </w:rPr>
        <w:t xml:space="preserve"> platieb. Okrem toho sa každý týždeň náhodne vyberie aspoň jedna platba (zo všetkých kategórií výdavkov) na dodatočné overenie </w:t>
      </w:r>
      <w:r w:rsidRPr="00D300D9">
        <w:rPr>
          <w:i/>
          <w:noProof/>
          <w:spacing w:val="-4"/>
        </w:rPr>
        <w:t>ex ante</w:t>
      </w:r>
      <w:r w:rsidRPr="00D300D9">
        <w:rPr>
          <w:noProof/>
          <w:spacing w:val="-4"/>
        </w:rPr>
        <w:t>, ktoré vykonáva vedúci príslušného oddelenia financií</w:t>
      </w:r>
      <w:r w:rsidR="00F537B9" w:rsidRPr="00D300D9">
        <w:rPr>
          <w:noProof/>
          <w:spacing w:val="-4"/>
        </w:rPr>
        <w:t xml:space="preserve"> a </w:t>
      </w:r>
      <w:r w:rsidRPr="00D300D9">
        <w:rPr>
          <w:noProof/>
          <w:spacing w:val="-4"/>
        </w:rPr>
        <w:t>ľudských zdrojov. Neexistuje žiaden cieľový subjekt týkajúci sa pokrytia, keďže účel tohto overovania spočíva</w:t>
      </w:r>
      <w:r w:rsidR="00F537B9" w:rsidRPr="00D300D9">
        <w:rPr>
          <w:noProof/>
          <w:spacing w:val="-4"/>
        </w:rPr>
        <w:t xml:space="preserve"> v </w:t>
      </w:r>
      <w:r w:rsidRPr="00D300D9">
        <w:rPr>
          <w:noProof/>
          <w:spacing w:val="-4"/>
        </w:rPr>
        <w:t>„náhodnej“ kontrole platieb</w:t>
      </w:r>
      <w:r w:rsidR="00F537B9" w:rsidRPr="00D300D9">
        <w:rPr>
          <w:noProof/>
          <w:spacing w:val="-4"/>
        </w:rPr>
        <w:t xml:space="preserve"> s </w:t>
      </w:r>
      <w:r w:rsidRPr="00D300D9">
        <w:rPr>
          <w:noProof/>
          <w:spacing w:val="-4"/>
        </w:rPr>
        <w:t>cieľom overiť, či boli všetky platby pripravené</w:t>
      </w:r>
      <w:r w:rsidR="00F537B9" w:rsidRPr="00D300D9">
        <w:rPr>
          <w:noProof/>
          <w:spacing w:val="-4"/>
        </w:rPr>
        <w:t xml:space="preserve"> v </w:t>
      </w:r>
      <w:r w:rsidRPr="00D300D9">
        <w:rPr>
          <w:noProof/>
          <w:spacing w:val="-4"/>
        </w:rPr>
        <w:t>súlade</w:t>
      </w:r>
      <w:r w:rsidR="00F537B9" w:rsidRPr="00D300D9">
        <w:rPr>
          <w:noProof/>
          <w:spacing w:val="-4"/>
        </w:rPr>
        <w:t xml:space="preserve"> s </w:t>
      </w:r>
      <w:r w:rsidRPr="00D300D9">
        <w:rPr>
          <w:noProof/>
          <w:spacing w:val="-4"/>
        </w:rPr>
        <w:t>požiadavkami. Zvyšné platby sa každodenne spracúvajú podľa platných pravidiel.</w:t>
      </w:r>
    </w:p>
    <w:p w14:paraId="4DC5480E" w14:textId="77777777" w:rsidR="007410E7" w:rsidRPr="00F537B9" w:rsidRDefault="007410E7" w:rsidP="007410E7">
      <w:pPr>
        <w:pStyle w:val="Text1"/>
        <w:pBdr>
          <w:top w:val="single" w:sz="4" w:space="1" w:color="auto"/>
          <w:left w:val="single" w:sz="4" w:space="4" w:color="auto"/>
          <w:bottom w:val="single" w:sz="4" w:space="1" w:color="auto"/>
          <w:right w:val="single" w:sz="4" w:space="4" w:color="auto"/>
        </w:pBdr>
        <w:rPr>
          <w:noProof/>
        </w:rPr>
      </w:pPr>
      <w:r w:rsidRPr="00F537B9">
        <w:rPr>
          <w:noProof/>
        </w:rPr>
        <w:t>Vyhlásenia povoľujúcich úradníkov vymenovaných subdelegovaním</w:t>
      </w:r>
    </w:p>
    <w:p w14:paraId="246A18E7" w14:textId="642D442C" w:rsidR="00544811" w:rsidRPr="00D300D9" w:rsidRDefault="007410E7" w:rsidP="007410E7">
      <w:pPr>
        <w:pStyle w:val="Text1"/>
        <w:pBdr>
          <w:top w:val="single" w:sz="4" w:space="1" w:color="auto"/>
          <w:left w:val="single" w:sz="4" w:space="4" w:color="auto"/>
          <w:bottom w:val="single" w:sz="4" w:space="1" w:color="auto"/>
          <w:right w:val="single" w:sz="4" w:space="4" w:color="auto"/>
        </w:pBdr>
        <w:rPr>
          <w:noProof/>
          <w:spacing w:val="-4"/>
        </w:rPr>
      </w:pPr>
      <w:r w:rsidRPr="00D300D9">
        <w:rPr>
          <w:noProof/>
          <w:spacing w:val="-4"/>
        </w:rPr>
        <w:t>Všetci povoľujúci úradníci vymenovaní subdelegovaním podpisujú vyhlásenia, ktoré sa prikladajú</w:t>
      </w:r>
      <w:r w:rsidR="00F537B9" w:rsidRPr="00D300D9">
        <w:rPr>
          <w:noProof/>
          <w:spacing w:val="-4"/>
        </w:rPr>
        <w:t xml:space="preserve"> k </w:t>
      </w:r>
      <w:r w:rsidRPr="00D300D9">
        <w:rPr>
          <w:noProof/>
          <w:spacing w:val="-4"/>
        </w:rPr>
        <w:t>výročnej správe</w:t>
      </w:r>
      <w:r w:rsidR="00F537B9" w:rsidRPr="00D300D9">
        <w:rPr>
          <w:noProof/>
          <w:spacing w:val="-4"/>
        </w:rPr>
        <w:t xml:space="preserve"> o </w:t>
      </w:r>
      <w:r w:rsidRPr="00D300D9">
        <w:rPr>
          <w:noProof/>
          <w:spacing w:val="-4"/>
        </w:rPr>
        <w:t>činnosti za príslušný rok. Tieto vyhlásenia sa vzťahujú na operácie</w:t>
      </w:r>
      <w:r w:rsidR="00F537B9" w:rsidRPr="00D300D9">
        <w:rPr>
          <w:noProof/>
          <w:spacing w:val="-4"/>
        </w:rPr>
        <w:t xml:space="preserve"> v </w:t>
      </w:r>
      <w:r w:rsidRPr="00D300D9">
        <w:rPr>
          <w:noProof/>
          <w:spacing w:val="-4"/>
        </w:rPr>
        <w:t>rámci programu. Povoľujúci úradníci vymenovaní subdelegovaním vyhlasujú, že operácie súvisiace</w:t>
      </w:r>
      <w:r w:rsidR="00F537B9" w:rsidRPr="00D300D9">
        <w:rPr>
          <w:noProof/>
          <w:spacing w:val="-4"/>
        </w:rPr>
        <w:t xml:space="preserve"> s </w:t>
      </w:r>
      <w:r w:rsidRPr="00D300D9">
        <w:rPr>
          <w:noProof/>
          <w:spacing w:val="-4"/>
        </w:rPr>
        <w:t>plnením rozpočtu boli vykonané</w:t>
      </w:r>
      <w:r w:rsidR="00F537B9" w:rsidRPr="00D300D9">
        <w:rPr>
          <w:noProof/>
          <w:spacing w:val="-4"/>
        </w:rPr>
        <w:t xml:space="preserve"> v </w:t>
      </w:r>
      <w:r w:rsidRPr="00D300D9">
        <w:rPr>
          <w:noProof/>
          <w:spacing w:val="-4"/>
        </w:rPr>
        <w:t>súlade so zásadami správneho finančného riadenia, že zavedené systémy riadenia</w:t>
      </w:r>
      <w:r w:rsidR="00F537B9" w:rsidRPr="00D300D9">
        <w:rPr>
          <w:noProof/>
          <w:spacing w:val="-4"/>
        </w:rPr>
        <w:t xml:space="preserve"> a </w:t>
      </w:r>
      <w:r w:rsidRPr="00D300D9">
        <w:rPr>
          <w:noProof/>
          <w:spacing w:val="-4"/>
        </w:rPr>
        <w:t>kontroly poskytli dostatočnú záruku zákonnosti</w:t>
      </w:r>
      <w:r w:rsidR="00F537B9" w:rsidRPr="00D300D9">
        <w:rPr>
          <w:noProof/>
          <w:spacing w:val="-4"/>
        </w:rPr>
        <w:t xml:space="preserve"> a </w:t>
      </w:r>
      <w:r w:rsidRPr="00D300D9">
        <w:rPr>
          <w:noProof/>
          <w:spacing w:val="-4"/>
        </w:rPr>
        <w:t>regulárnosti transakcií, že riziká súvisiace</w:t>
      </w:r>
      <w:r w:rsidR="00F537B9" w:rsidRPr="00D300D9">
        <w:rPr>
          <w:noProof/>
          <w:spacing w:val="-4"/>
        </w:rPr>
        <w:t xml:space="preserve"> s </w:t>
      </w:r>
      <w:r w:rsidRPr="00D300D9">
        <w:rPr>
          <w:noProof/>
          <w:spacing w:val="-4"/>
        </w:rPr>
        <w:t>týmito operáciami boli náležite zistené, oznámené</w:t>
      </w:r>
      <w:r w:rsidR="00F537B9" w:rsidRPr="00D300D9">
        <w:rPr>
          <w:noProof/>
          <w:spacing w:val="-4"/>
        </w:rPr>
        <w:t xml:space="preserve"> a </w:t>
      </w:r>
      <w:r w:rsidRPr="00D300D9">
        <w:rPr>
          <w:noProof/>
          <w:spacing w:val="-4"/>
        </w:rPr>
        <w:t>že boli vykonané zmierňujúce opatrenia.</w:t>
      </w:r>
    </w:p>
    <w:p w14:paraId="737BAE88" w14:textId="77777777" w:rsidR="00F537B9" w:rsidRDefault="00544811">
      <w:pPr>
        <w:pStyle w:val="ManualHeading3"/>
        <w:rPr>
          <w:noProof/>
        </w:rPr>
      </w:pPr>
      <w:bookmarkStart w:id="89" w:name="_Toc514938048"/>
      <w:bookmarkStart w:id="90" w:name="_Toc520485047"/>
      <w:r w:rsidRPr="00F537B9">
        <w:rPr>
          <w:noProof/>
        </w:rPr>
        <w:t>2.2.3.</w:t>
      </w:r>
      <w:r w:rsidRPr="00F537B9">
        <w:rPr>
          <w:noProof/>
        </w:rPr>
        <w:tab/>
        <w:t>Odhad</w:t>
      </w:r>
      <w:r w:rsidR="00F537B9">
        <w:rPr>
          <w:noProof/>
        </w:rPr>
        <w:t xml:space="preserve"> a </w:t>
      </w:r>
      <w:r w:rsidRPr="00F537B9">
        <w:rPr>
          <w:noProof/>
        </w:rPr>
        <w:t>opodstatnenie nákladovej účinnosti kontrol (pomer medzi nákladmi na kontroly</w:t>
      </w:r>
      <w:r w:rsidR="00F537B9">
        <w:rPr>
          <w:noProof/>
        </w:rPr>
        <w:t xml:space="preserve"> a </w:t>
      </w:r>
      <w:r w:rsidRPr="00F537B9">
        <w:rPr>
          <w:noProof/>
        </w:rPr>
        <w:t>hodnotou súvisiacich riadených finančných prostriedkov)</w:t>
      </w:r>
      <w:r w:rsidR="00F537B9">
        <w:rPr>
          <w:noProof/>
        </w:rPr>
        <w:t xml:space="preserve"> a </w:t>
      </w:r>
      <w:r w:rsidRPr="00F537B9">
        <w:rPr>
          <w:noProof/>
        </w:rPr>
        <w:t>posúdenie očakávaných úrovní rizika chyby (pri platbe</w:t>
      </w:r>
      <w:r w:rsidR="00F537B9">
        <w:rPr>
          <w:noProof/>
        </w:rPr>
        <w:t xml:space="preserve"> a </w:t>
      </w:r>
      <w:r w:rsidRPr="00F537B9">
        <w:rPr>
          <w:noProof/>
        </w:rPr>
        <w:t>uzavretí)</w:t>
      </w:r>
      <w:bookmarkEnd w:id="89"/>
      <w:bookmarkEnd w:id="90"/>
    </w:p>
    <w:p w14:paraId="596A7EE8" w14:textId="38787B15" w:rsidR="00544811" w:rsidRPr="00F537B9" w:rsidRDefault="007D34A8">
      <w:pPr>
        <w:pStyle w:val="Text1"/>
        <w:pBdr>
          <w:top w:val="single" w:sz="4" w:space="1" w:color="auto"/>
          <w:left w:val="single" w:sz="4" w:space="4" w:color="auto"/>
          <w:bottom w:val="single" w:sz="4" w:space="1" w:color="auto"/>
          <w:right w:val="single" w:sz="4" w:space="4" w:color="auto"/>
        </w:pBdr>
        <w:rPr>
          <w:noProof/>
        </w:rPr>
      </w:pPr>
      <w:r w:rsidRPr="00F537B9">
        <w:rPr>
          <w:noProof/>
        </w:rPr>
        <w:t>Zavedené kontroly poskytujú GR TAXUD dostatočnú záruku kvality</w:t>
      </w:r>
      <w:r w:rsidR="00F537B9">
        <w:rPr>
          <w:noProof/>
        </w:rPr>
        <w:t xml:space="preserve"> a </w:t>
      </w:r>
      <w:r w:rsidRPr="00F537B9">
        <w:rPr>
          <w:noProof/>
        </w:rPr>
        <w:t>správnosti výdavkov</w:t>
      </w:r>
      <w:r w:rsidR="00F537B9">
        <w:rPr>
          <w:noProof/>
        </w:rPr>
        <w:t xml:space="preserve"> a </w:t>
      </w:r>
      <w:r w:rsidRPr="00F537B9">
        <w:rPr>
          <w:noProof/>
        </w:rPr>
        <w:t>znižujú riziko nedodržiavania predpisov. Uvedené opatrenia stratégie kontroly znižujú potenciálne riziká pod cieľovú úroveň 2</w:t>
      </w:r>
      <w:r w:rsidR="00F537B9">
        <w:rPr>
          <w:noProof/>
        </w:rPr>
        <w:t> % a </w:t>
      </w:r>
      <w:r w:rsidRPr="00F537B9">
        <w:rPr>
          <w:noProof/>
        </w:rPr>
        <w:t>dotýkajú sa všetkých príjemcov. Akékoľvek dodatočné opatrenia na ďalšie zníženie rizika by viedli</w:t>
      </w:r>
      <w:r w:rsidR="00F537B9">
        <w:rPr>
          <w:noProof/>
        </w:rPr>
        <w:t xml:space="preserve"> k </w:t>
      </w:r>
      <w:r w:rsidRPr="00F537B9">
        <w:rPr>
          <w:noProof/>
        </w:rPr>
        <w:t>neprimerane vysokým nákladom,</w:t>
      </w:r>
      <w:r w:rsidR="00F537B9">
        <w:rPr>
          <w:noProof/>
        </w:rPr>
        <w:t xml:space="preserve"> a </w:t>
      </w:r>
      <w:r w:rsidRPr="00F537B9">
        <w:rPr>
          <w:noProof/>
        </w:rPr>
        <w:t>preto sa</w:t>
      </w:r>
      <w:r w:rsidR="00F537B9">
        <w:rPr>
          <w:noProof/>
        </w:rPr>
        <w:t xml:space="preserve"> s </w:t>
      </w:r>
      <w:r w:rsidRPr="00F537B9">
        <w:rPr>
          <w:noProof/>
        </w:rPr>
        <w:t>nimi nepočíta. Celkové náklady spojené</w:t>
      </w:r>
      <w:r w:rsidR="00F537B9">
        <w:rPr>
          <w:noProof/>
        </w:rPr>
        <w:t xml:space="preserve"> s </w:t>
      </w:r>
      <w:r w:rsidRPr="00F537B9">
        <w:rPr>
          <w:noProof/>
        </w:rPr>
        <w:t>vykonávaním uvedenej stratégie kontroly –</w:t>
      </w:r>
      <w:r w:rsidR="00F537B9">
        <w:rPr>
          <w:noProof/>
        </w:rPr>
        <w:t xml:space="preserve"> v </w:t>
      </w:r>
      <w:r w:rsidRPr="00F537B9">
        <w:rPr>
          <w:noProof/>
        </w:rPr>
        <w:t>súvislosti so všetkými výdavkami</w:t>
      </w:r>
      <w:r w:rsidR="00F537B9">
        <w:rPr>
          <w:noProof/>
        </w:rPr>
        <w:t xml:space="preserve"> v </w:t>
      </w:r>
      <w:r w:rsidRPr="00F537B9">
        <w:rPr>
          <w:noProof/>
        </w:rPr>
        <w:t>rámci programu Fiscalis – sú obmedzené na 1,6</w:t>
      </w:r>
      <w:r w:rsidR="00F537B9">
        <w:rPr>
          <w:noProof/>
        </w:rPr>
        <w:t> %</w:t>
      </w:r>
      <w:r w:rsidRPr="00F537B9">
        <w:rPr>
          <w:noProof/>
        </w:rPr>
        <w:t xml:space="preserve"> celkových vykonaných platieb. Očakáva sa, že tento podiel zostane rovnaký aj</w:t>
      </w:r>
      <w:r w:rsidR="00F537B9">
        <w:rPr>
          <w:noProof/>
        </w:rPr>
        <w:t xml:space="preserve"> v </w:t>
      </w:r>
      <w:r w:rsidRPr="00F537B9">
        <w:rPr>
          <w:noProof/>
        </w:rPr>
        <w:t>rámci tejto iniciatívy. Vďaka stratégii kontroly programu sa riziko nedodržiavania predpisov obmedzuje takmer na nulu, pričom táto stratégia zostáva primeraná inherentným rizikám.</w:t>
      </w:r>
    </w:p>
    <w:p w14:paraId="3910C3D9" w14:textId="77777777" w:rsidR="00F537B9" w:rsidRDefault="00544811">
      <w:pPr>
        <w:pStyle w:val="ManualHeading2"/>
        <w:rPr>
          <w:noProof/>
        </w:rPr>
      </w:pPr>
      <w:bookmarkStart w:id="91" w:name="_Toc514938049"/>
      <w:bookmarkStart w:id="92" w:name="_Toc520485048"/>
      <w:r w:rsidRPr="00F537B9">
        <w:rPr>
          <w:noProof/>
        </w:rPr>
        <w:t>2.3.</w:t>
      </w:r>
      <w:r w:rsidRPr="00F537B9">
        <w:rPr>
          <w:noProof/>
        </w:rPr>
        <w:tab/>
        <w:t>Opatrenia na predchádzanie podvodom</w:t>
      </w:r>
      <w:r w:rsidR="00F537B9">
        <w:rPr>
          <w:noProof/>
        </w:rPr>
        <w:t xml:space="preserve"> a </w:t>
      </w:r>
      <w:r w:rsidRPr="00F537B9">
        <w:rPr>
          <w:noProof/>
        </w:rPr>
        <w:t>nezrovnalostiam</w:t>
      </w:r>
      <w:bookmarkEnd w:id="91"/>
      <w:bookmarkEnd w:id="92"/>
    </w:p>
    <w:p w14:paraId="64F2EE39" w14:textId="6AE39D27" w:rsidR="00544811" w:rsidRPr="00F537B9" w:rsidRDefault="00544811">
      <w:pPr>
        <w:pStyle w:val="Text1"/>
        <w:rPr>
          <w:i/>
          <w:noProof/>
          <w:sz w:val="20"/>
        </w:rPr>
      </w:pPr>
      <w:r w:rsidRPr="00F537B9">
        <w:rPr>
          <w:i/>
          <w:noProof/>
          <w:sz w:val="20"/>
        </w:rPr>
        <w:t>Uveďte existujúce alebo plánované preventívne</w:t>
      </w:r>
      <w:r w:rsidR="00F537B9">
        <w:rPr>
          <w:i/>
          <w:noProof/>
          <w:sz w:val="20"/>
        </w:rPr>
        <w:t xml:space="preserve"> a </w:t>
      </w:r>
      <w:r w:rsidRPr="00F537B9">
        <w:rPr>
          <w:i/>
          <w:noProof/>
          <w:sz w:val="20"/>
        </w:rPr>
        <w:t>ochranné opatrenia, napr. zo stratégie na boj proti podvodom.</w:t>
      </w:r>
    </w:p>
    <w:p w14:paraId="56A9DFF1" w14:textId="345F8E52" w:rsidR="00544811" w:rsidRPr="00F537B9" w:rsidRDefault="007D34A8">
      <w:pPr>
        <w:pStyle w:val="Text1"/>
        <w:pBdr>
          <w:top w:val="single" w:sz="4" w:space="1" w:color="auto"/>
          <w:left w:val="single" w:sz="4" w:space="4" w:color="auto"/>
          <w:bottom w:val="single" w:sz="4" w:space="1" w:color="auto"/>
          <w:right w:val="single" w:sz="4" w:space="4" w:color="auto"/>
        </w:pBdr>
        <w:rPr>
          <w:noProof/>
        </w:rPr>
      </w:pPr>
      <w:r w:rsidRPr="00F537B9">
        <w:rPr>
          <w:noProof/>
          <w:sz w:val="23"/>
        </w:rPr>
        <w:t>Európsky úrad pre boj proti podvodom (OLAF) môže vykonávať vyšetrovania vrátane kontrol</w:t>
      </w:r>
      <w:r w:rsidR="00F537B9">
        <w:rPr>
          <w:noProof/>
          <w:sz w:val="23"/>
        </w:rPr>
        <w:t xml:space="preserve"> a </w:t>
      </w:r>
      <w:r w:rsidRPr="00F537B9">
        <w:rPr>
          <w:noProof/>
          <w:sz w:val="23"/>
        </w:rPr>
        <w:t>inšpekcií na mieste</w:t>
      </w:r>
      <w:r w:rsidR="00F537B9">
        <w:rPr>
          <w:noProof/>
          <w:sz w:val="23"/>
        </w:rPr>
        <w:t xml:space="preserve"> v </w:t>
      </w:r>
      <w:r w:rsidRPr="00F537B9">
        <w:rPr>
          <w:noProof/>
          <w:sz w:val="23"/>
        </w:rPr>
        <w:t>súlade</w:t>
      </w:r>
      <w:r w:rsidR="00F537B9">
        <w:rPr>
          <w:noProof/>
          <w:sz w:val="23"/>
        </w:rPr>
        <w:t xml:space="preserve"> s </w:t>
      </w:r>
      <w:r w:rsidRPr="00F537B9">
        <w:rPr>
          <w:noProof/>
          <w:sz w:val="23"/>
        </w:rPr>
        <w:t>ustanoveniami</w:t>
      </w:r>
      <w:r w:rsidR="00F537B9">
        <w:rPr>
          <w:noProof/>
          <w:sz w:val="23"/>
        </w:rPr>
        <w:t xml:space="preserve"> a </w:t>
      </w:r>
      <w:r w:rsidRPr="00F537B9">
        <w:rPr>
          <w:noProof/>
          <w:sz w:val="23"/>
        </w:rPr>
        <w:t>postupmi stanovenými</w:t>
      </w:r>
      <w:r w:rsidR="00F537B9">
        <w:rPr>
          <w:noProof/>
          <w:sz w:val="23"/>
        </w:rPr>
        <w:t xml:space="preserve"> v </w:t>
      </w:r>
      <w:r w:rsidRPr="00F537B9">
        <w:rPr>
          <w:noProof/>
          <w:sz w:val="23"/>
        </w:rPr>
        <w:t>nariadení Európskeho parlamentu</w:t>
      </w:r>
      <w:r w:rsidR="00F537B9">
        <w:rPr>
          <w:noProof/>
          <w:sz w:val="23"/>
        </w:rPr>
        <w:t xml:space="preserve"> a </w:t>
      </w:r>
      <w:r w:rsidRPr="00F537B9">
        <w:rPr>
          <w:noProof/>
          <w:sz w:val="23"/>
        </w:rPr>
        <w:t xml:space="preserve">Rady (ES) </w:t>
      </w:r>
      <w:r w:rsidR="00F537B9">
        <w:rPr>
          <w:noProof/>
          <w:sz w:val="23"/>
        </w:rPr>
        <w:t>č. </w:t>
      </w:r>
      <w:r w:rsidRPr="00F537B9">
        <w:rPr>
          <w:noProof/>
          <w:sz w:val="23"/>
        </w:rPr>
        <w:t>1073/1999</w:t>
      </w:r>
      <w:r w:rsidRPr="00F537B9">
        <w:rPr>
          <w:noProof/>
          <w:sz w:val="16"/>
        </w:rPr>
        <w:t>3</w:t>
      </w:r>
      <w:r w:rsidR="00F537B9">
        <w:rPr>
          <w:noProof/>
          <w:sz w:val="16"/>
        </w:rPr>
        <w:t xml:space="preserve"> a </w:t>
      </w:r>
      <w:r w:rsidR="00F537B9">
        <w:rPr>
          <w:noProof/>
          <w:sz w:val="23"/>
        </w:rPr>
        <w:t>v </w:t>
      </w:r>
      <w:r w:rsidRPr="00F537B9">
        <w:rPr>
          <w:noProof/>
          <w:sz w:val="23"/>
        </w:rPr>
        <w:t xml:space="preserve">nariadení Rady (Euratom, ES) </w:t>
      </w:r>
      <w:r w:rsidR="00F537B9">
        <w:rPr>
          <w:noProof/>
          <w:sz w:val="23"/>
        </w:rPr>
        <w:t>č. </w:t>
      </w:r>
      <w:r w:rsidRPr="00F537B9">
        <w:rPr>
          <w:noProof/>
          <w:sz w:val="23"/>
        </w:rPr>
        <w:t>2185/96</w:t>
      </w:r>
      <w:r w:rsidRPr="00F537B9">
        <w:rPr>
          <w:noProof/>
          <w:sz w:val="16"/>
        </w:rPr>
        <w:t>4</w:t>
      </w:r>
      <w:r w:rsidRPr="00F537B9">
        <w:rPr>
          <w:noProof/>
          <w:sz w:val="23"/>
        </w:rPr>
        <w:t xml:space="preserve"> na účely zistenia, či</w:t>
      </w:r>
      <w:r w:rsidR="00F537B9">
        <w:rPr>
          <w:noProof/>
          <w:sz w:val="23"/>
        </w:rPr>
        <w:t xml:space="preserve"> v </w:t>
      </w:r>
      <w:r w:rsidRPr="00F537B9">
        <w:rPr>
          <w:noProof/>
          <w:sz w:val="23"/>
        </w:rPr>
        <w:t>súvislosti</w:t>
      </w:r>
      <w:r w:rsidR="00F537B9">
        <w:rPr>
          <w:noProof/>
          <w:sz w:val="23"/>
        </w:rPr>
        <w:t xml:space="preserve"> s </w:t>
      </w:r>
      <w:r w:rsidRPr="00F537B9">
        <w:rPr>
          <w:noProof/>
          <w:sz w:val="23"/>
        </w:rPr>
        <w:t>dohodu alebo rozhodnutím</w:t>
      </w:r>
      <w:r w:rsidR="00F537B9">
        <w:rPr>
          <w:noProof/>
          <w:sz w:val="23"/>
        </w:rPr>
        <w:t xml:space="preserve"> o </w:t>
      </w:r>
      <w:r w:rsidRPr="00F537B9">
        <w:rPr>
          <w:noProof/>
          <w:sz w:val="23"/>
        </w:rPr>
        <w:t>grante alebo zmluvou týkajúcou sa financovania zo strany Únie došlo</w:t>
      </w:r>
      <w:r w:rsidR="00F537B9">
        <w:rPr>
          <w:noProof/>
          <w:sz w:val="23"/>
        </w:rPr>
        <w:t xml:space="preserve"> k </w:t>
      </w:r>
      <w:r w:rsidRPr="00F537B9">
        <w:rPr>
          <w:noProof/>
          <w:sz w:val="23"/>
        </w:rPr>
        <w:t>podvodu, korupcii alebo akémukoľvek inému protiprávnemu konaniu poškodzujúcemu finančné záujmy Únie.</w:t>
      </w:r>
    </w:p>
    <w:p w14:paraId="4E00F538" w14:textId="77777777" w:rsidR="00544811" w:rsidRPr="00F537B9" w:rsidRDefault="00544811">
      <w:pPr>
        <w:rPr>
          <w:noProof/>
        </w:rPr>
        <w:sectPr w:rsidR="00544811" w:rsidRPr="00F537B9" w:rsidSect="004765B0">
          <w:pgSz w:w="11907" w:h="16840" w:code="9"/>
          <w:pgMar w:top="1134" w:right="1418" w:bottom="1134" w:left="1418" w:header="709" w:footer="709" w:gutter="0"/>
          <w:cols w:space="708"/>
          <w:docGrid w:linePitch="360"/>
        </w:sectPr>
      </w:pPr>
    </w:p>
    <w:p w14:paraId="62FD8A69" w14:textId="77777777" w:rsidR="00F537B9" w:rsidRDefault="00544811">
      <w:pPr>
        <w:pStyle w:val="ManualHeading1"/>
        <w:rPr>
          <w:noProof/>
        </w:rPr>
      </w:pPr>
      <w:bookmarkStart w:id="93" w:name="_Toc514938050"/>
      <w:bookmarkStart w:id="94" w:name="_Toc520485049"/>
      <w:r w:rsidRPr="00F537B9">
        <w:rPr>
          <w:noProof/>
        </w:rPr>
        <w:t>3.</w:t>
      </w:r>
      <w:r w:rsidRPr="00F537B9">
        <w:rPr>
          <w:noProof/>
        </w:rPr>
        <w:tab/>
        <w:t>ODHADOVANÝ FINANČNÝ VPLYV NÁVRHU/INICIATÍVY</w:t>
      </w:r>
      <w:bookmarkEnd w:id="93"/>
      <w:bookmarkEnd w:id="94"/>
    </w:p>
    <w:p w14:paraId="45DC915D" w14:textId="77777777" w:rsidR="00F537B9" w:rsidRDefault="00544811">
      <w:pPr>
        <w:pStyle w:val="ManualHeading2"/>
        <w:rPr>
          <w:noProof/>
        </w:rPr>
      </w:pPr>
      <w:bookmarkStart w:id="95" w:name="_Toc514938051"/>
      <w:bookmarkStart w:id="96" w:name="_Toc520485050"/>
      <w:r w:rsidRPr="00F537B9">
        <w:rPr>
          <w:noProof/>
        </w:rPr>
        <w:t>3.1.</w:t>
      </w:r>
      <w:r w:rsidRPr="00F537B9">
        <w:rPr>
          <w:noProof/>
        </w:rPr>
        <w:tab/>
        <w:t>Príslušné okruhy viacročného finančného rámca</w:t>
      </w:r>
      <w:r w:rsidR="00F537B9">
        <w:rPr>
          <w:noProof/>
        </w:rPr>
        <w:t xml:space="preserve"> a </w:t>
      </w:r>
      <w:r w:rsidRPr="00F537B9">
        <w:rPr>
          <w:noProof/>
        </w:rPr>
        <w:t>rozpočtové riadky výdavkov</w:t>
      </w:r>
      <w:bookmarkEnd w:id="95"/>
      <w:bookmarkEnd w:id="96"/>
    </w:p>
    <w:p w14:paraId="5088ABEC" w14:textId="77777777" w:rsidR="00F537B9" w:rsidRDefault="00544811" w:rsidP="001C0426">
      <w:pPr>
        <w:pStyle w:val="ListBullet1"/>
        <w:rPr>
          <w:noProof/>
        </w:rPr>
      </w:pPr>
      <w:r w:rsidRPr="00F537B9">
        <w:rPr>
          <w:noProof/>
        </w:rPr>
        <w:t>Existujúce rozpočtové riadky</w:t>
      </w:r>
    </w:p>
    <w:p w14:paraId="4904E9E1" w14:textId="39C187EF" w:rsidR="00544811" w:rsidRPr="00F537B9" w:rsidRDefault="00544811">
      <w:pPr>
        <w:pStyle w:val="Text1"/>
        <w:rPr>
          <w:i/>
          <w:noProof/>
        </w:rPr>
      </w:pPr>
      <w:r w:rsidRPr="00F537B9">
        <w:rPr>
          <w:i/>
          <w:noProof/>
          <w:u w:val="single"/>
        </w:rPr>
        <w:t>V poradí</w:t>
      </w:r>
      <w:r w:rsidRPr="00F537B9">
        <w:rPr>
          <w:i/>
          <w:noProof/>
        </w:rPr>
        <w:t>,</w:t>
      </w:r>
      <w:r w:rsidR="00F537B9">
        <w:rPr>
          <w:i/>
          <w:noProof/>
        </w:rPr>
        <w:t xml:space="preserve"> v </w:t>
      </w:r>
      <w:r w:rsidRPr="00F537B9">
        <w:rPr>
          <w:i/>
          <w:noProof/>
        </w:rPr>
        <w:t>akom za sebou nasledujú okruhy viacročného finančného rámca</w:t>
      </w:r>
      <w:r w:rsidR="00F537B9">
        <w:rPr>
          <w:i/>
          <w:noProof/>
        </w:rPr>
        <w:t xml:space="preserve"> a </w:t>
      </w:r>
      <w:r w:rsidRPr="00F537B9">
        <w:rPr>
          <w:i/>
          <w:noProof/>
        </w:rPr>
        <w:t>rozpočtové riadky.</w:t>
      </w:r>
    </w:p>
    <w:tbl>
      <w:tblPr>
        <w:tblW w:w="103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3866"/>
        <w:gridCol w:w="1055"/>
        <w:gridCol w:w="934"/>
        <w:gridCol w:w="1307"/>
        <w:gridCol w:w="682"/>
        <w:gridCol w:w="1417"/>
      </w:tblGrid>
      <w:tr w:rsidR="00A54310" w:rsidRPr="00F537B9" w14:paraId="0051DAB4" w14:textId="77777777" w:rsidTr="00D300D9">
        <w:tc>
          <w:tcPr>
            <w:tcW w:w="1056" w:type="dxa"/>
            <w:vMerge w:val="restart"/>
            <w:tcMar>
              <w:left w:w="28" w:type="dxa"/>
              <w:right w:w="28" w:type="dxa"/>
            </w:tcMar>
            <w:vAlign w:val="center"/>
          </w:tcPr>
          <w:p w14:paraId="5C8D2B09" w14:textId="77777777" w:rsidR="00544811" w:rsidRPr="00F537B9" w:rsidRDefault="00544811">
            <w:pPr>
              <w:spacing w:before="60" w:after="60"/>
              <w:jc w:val="center"/>
              <w:rPr>
                <w:noProof/>
              </w:rPr>
            </w:pPr>
            <w:r w:rsidRPr="00F537B9">
              <w:rPr>
                <w:noProof/>
                <w:sz w:val="18"/>
              </w:rPr>
              <w:t>Okruh viacročného finančného rámca</w:t>
            </w:r>
          </w:p>
        </w:tc>
        <w:tc>
          <w:tcPr>
            <w:tcW w:w="3866" w:type="dxa"/>
            <w:tcMar>
              <w:left w:w="28" w:type="dxa"/>
              <w:right w:w="28" w:type="dxa"/>
            </w:tcMar>
            <w:vAlign w:val="center"/>
          </w:tcPr>
          <w:p w14:paraId="2EB8F15B" w14:textId="77777777" w:rsidR="00544811" w:rsidRPr="00F537B9" w:rsidRDefault="00544811">
            <w:pPr>
              <w:spacing w:before="60" w:after="60"/>
              <w:jc w:val="center"/>
              <w:rPr>
                <w:noProof/>
              </w:rPr>
            </w:pPr>
            <w:r w:rsidRPr="00F537B9">
              <w:rPr>
                <w:noProof/>
                <w:sz w:val="20"/>
              </w:rPr>
              <w:t>Rozpočtový riadok</w:t>
            </w:r>
          </w:p>
        </w:tc>
        <w:tc>
          <w:tcPr>
            <w:tcW w:w="1055" w:type="dxa"/>
            <w:tcMar>
              <w:left w:w="28" w:type="dxa"/>
              <w:right w:w="28" w:type="dxa"/>
            </w:tcMar>
            <w:vAlign w:val="center"/>
          </w:tcPr>
          <w:p w14:paraId="080FF7EB" w14:textId="6FF81271" w:rsidR="00544811" w:rsidRPr="00F537B9" w:rsidRDefault="00544811">
            <w:pPr>
              <w:spacing w:before="60" w:after="60"/>
              <w:jc w:val="center"/>
              <w:rPr>
                <w:noProof/>
              </w:rPr>
            </w:pPr>
            <w:r w:rsidRPr="00F537B9">
              <w:rPr>
                <w:noProof/>
                <w:sz w:val="18"/>
              </w:rPr>
              <w:t>Druh</w:t>
            </w:r>
            <w:r w:rsidR="00F537B9" w:rsidRPr="00F537B9">
              <w:rPr>
                <w:noProof/>
                <w:sz w:val="18"/>
              </w:rPr>
              <w:t xml:space="preserve"> </w:t>
            </w:r>
            <w:r w:rsidRPr="00F537B9">
              <w:rPr>
                <w:noProof/>
              </w:rPr>
              <w:br/>
            </w:r>
            <w:r w:rsidRPr="00F537B9">
              <w:rPr>
                <w:noProof/>
                <w:sz w:val="18"/>
              </w:rPr>
              <w:t>výdavkov</w:t>
            </w:r>
          </w:p>
        </w:tc>
        <w:tc>
          <w:tcPr>
            <w:tcW w:w="4340" w:type="dxa"/>
            <w:gridSpan w:val="4"/>
            <w:tcMar>
              <w:left w:w="28" w:type="dxa"/>
              <w:right w:w="28" w:type="dxa"/>
            </w:tcMar>
            <w:vAlign w:val="center"/>
          </w:tcPr>
          <w:p w14:paraId="67A6AD43" w14:textId="77777777" w:rsidR="00544811" w:rsidRPr="00F537B9" w:rsidRDefault="00544811">
            <w:pPr>
              <w:spacing w:before="60" w:after="60"/>
              <w:jc w:val="center"/>
              <w:rPr>
                <w:noProof/>
              </w:rPr>
            </w:pPr>
            <w:r w:rsidRPr="00F537B9">
              <w:rPr>
                <w:noProof/>
                <w:sz w:val="20"/>
              </w:rPr>
              <w:t xml:space="preserve">Príspevky </w:t>
            </w:r>
          </w:p>
        </w:tc>
      </w:tr>
      <w:tr w:rsidR="00A54310" w:rsidRPr="00F537B9" w14:paraId="3BBB68E3" w14:textId="77777777" w:rsidTr="00D300D9">
        <w:tc>
          <w:tcPr>
            <w:tcW w:w="1056" w:type="dxa"/>
            <w:vMerge/>
            <w:tcMar>
              <w:left w:w="28" w:type="dxa"/>
              <w:right w:w="28" w:type="dxa"/>
            </w:tcMar>
            <w:vAlign w:val="center"/>
          </w:tcPr>
          <w:p w14:paraId="5F3FEC6D" w14:textId="77777777" w:rsidR="00544811" w:rsidRPr="00F537B9" w:rsidRDefault="00544811">
            <w:pPr>
              <w:jc w:val="center"/>
              <w:rPr>
                <w:noProof/>
              </w:rPr>
            </w:pPr>
          </w:p>
        </w:tc>
        <w:tc>
          <w:tcPr>
            <w:tcW w:w="3866" w:type="dxa"/>
            <w:tcMar>
              <w:left w:w="28" w:type="dxa"/>
              <w:right w:w="28" w:type="dxa"/>
            </w:tcMar>
            <w:vAlign w:val="center"/>
          </w:tcPr>
          <w:p w14:paraId="325E04EA" w14:textId="63DC8038" w:rsidR="00544811" w:rsidRPr="00F537B9" w:rsidRDefault="00544811">
            <w:pPr>
              <w:rPr>
                <w:noProof/>
              </w:rPr>
            </w:pPr>
            <w:r w:rsidRPr="00F537B9">
              <w:rPr>
                <w:noProof/>
                <w:sz w:val="20"/>
              </w:rPr>
              <w:t>Číslo</w:t>
            </w:r>
            <w:r w:rsidR="00F537B9" w:rsidRPr="00F537B9">
              <w:rPr>
                <w:noProof/>
                <w:sz w:val="20"/>
              </w:rPr>
              <w:t xml:space="preserve"> </w:t>
            </w:r>
            <w:r w:rsidRPr="00F537B9">
              <w:rPr>
                <w:noProof/>
              </w:rPr>
              <w:br/>
              <w:t>03 04 0100</w:t>
            </w:r>
          </w:p>
        </w:tc>
        <w:tc>
          <w:tcPr>
            <w:tcW w:w="1055" w:type="dxa"/>
            <w:tcMar>
              <w:left w:w="28" w:type="dxa"/>
              <w:right w:w="28" w:type="dxa"/>
            </w:tcMar>
            <w:vAlign w:val="center"/>
          </w:tcPr>
          <w:p w14:paraId="5BEF5BC6" w14:textId="77777777" w:rsidR="00544811" w:rsidRPr="00F537B9" w:rsidRDefault="00544811">
            <w:pPr>
              <w:jc w:val="center"/>
              <w:rPr>
                <w:noProof/>
              </w:rPr>
            </w:pPr>
            <w:r w:rsidRPr="00F537B9">
              <w:rPr>
                <w:noProof/>
                <w:sz w:val="18"/>
              </w:rPr>
              <w:t>DRP/NRP</w:t>
            </w:r>
            <w:r w:rsidRPr="00F537B9">
              <w:rPr>
                <w:rStyle w:val="FootnoteReference"/>
                <w:noProof/>
                <w:sz w:val="18"/>
              </w:rPr>
              <w:footnoteReference w:id="43"/>
            </w:r>
          </w:p>
        </w:tc>
        <w:tc>
          <w:tcPr>
            <w:tcW w:w="934" w:type="dxa"/>
            <w:tcMar>
              <w:left w:w="28" w:type="dxa"/>
              <w:right w:w="28" w:type="dxa"/>
            </w:tcMar>
            <w:vAlign w:val="center"/>
          </w:tcPr>
          <w:p w14:paraId="08A0A1CF" w14:textId="77777777" w:rsidR="00544811" w:rsidRPr="00F537B9" w:rsidRDefault="00544811">
            <w:pPr>
              <w:jc w:val="center"/>
              <w:rPr>
                <w:b/>
                <w:noProof/>
                <w:sz w:val="18"/>
              </w:rPr>
            </w:pPr>
            <w:r w:rsidRPr="00F537B9">
              <w:rPr>
                <w:noProof/>
                <w:sz w:val="18"/>
              </w:rPr>
              <w:t>krajín EZVO</w:t>
            </w:r>
            <w:r w:rsidRPr="00F537B9">
              <w:rPr>
                <w:rStyle w:val="FootnoteReference"/>
                <w:noProof/>
                <w:sz w:val="18"/>
              </w:rPr>
              <w:footnoteReference w:id="44"/>
            </w:r>
          </w:p>
        </w:tc>
        <w:tc>
          <w:tcPr>
            <w:tcW w:w="1307" w:type="dxa"/>
            <w:tcMar>
              <w:left w:w="28" w:type="dxa"/>
              <w:right w:w="28" w:type="dxa"/>
            </w:tcMar>
            <w:vAlign w:val="center"/>
          </w:tcPr>
          <w:p w14:paraId="156C44BD" w14:textId="1FD59DD1" w:rsidR="00544811" w:rsidRPr="00F537B9" w:rsidRDefault="00544811">
            <w:pPr>
              <w:jc w:val="center"/>
              <w:rPr>
                <w:noProof/>
                <w:sz w:val="18"/>
              </w:rPr>
            </w:pPr>
            <w:r w:rsidRPr="00F537B9">
              <w:rPr>
                <w:noProof/>
                <w:sz w:val="18"/>
              </w:rPr>
              <w:t>kandidátskych krajín</w:t>
            </w:r>
            <w:r w:rsidR="00F537B9">
              <w:rPr>
                <w:noProof/>
                <w:sz w:val="18"/>
              </w:rPr>
              <w:t xml:space="preserve"> a </w:t>
            </w:r>
            <w:r w:rsidRPr="00F537B9">
              <w:rPr>
                <w:noProof/>
                <w:sz w:val="18"/>
              </w:rPr>
              <w:t>potenciálnych kandidátov</w:t>
            </w:r>
            <w:r w:rsidRPr="00F537B9">
              <w:rPr>
                <w:rStyle w:val="FootnoteReference"/>
                <w:noProof/>
                <w:sz w:val="18"/>
              </w:rPr>
              <w:footnoteReference w:id="45"/>
            </w:r>
          </w:p>
        </w:tc>
        <w:tc>
          <w:tcPr>
            <w:tcW w:w="682" w:type="dxa"/>
            <w:tcMar>
              <w:left w:w="28" w:type="dxa"/>
              <w:right w:w="28" w:type="dxa"/>
            </w:tcMar>
            <w:vAlign w:val="center"/>
          </w:tcPr>
          <w:p w14:paraId="7595C586" w14:textId="77777777" w:rsidR="00544811" w:rsidRPr="00F537B9" w:rsidRDefault="00544811">
            <w:pPr>
              <w:jc w:val="center"/>
              <w:rPr>
                <w:noProof/>
                <w:sz w:val="18"/>
              </w:rPr>
            </w:pPr>
            <w:r w:rsidRPr="00F537B9">
              <w:rPr>
                <w:noProof/>
                <w:sz w:val="18"/>
              </w:rPr>
              <w:t>iných tretích krajín</w:t>
            </w:r>
          </w:p>
        </w:tc>
        <w:tc>
          <w:tcPr>
            <w:tcW w:w="1417" w:type="dxa"/>
            <w:tcMar>
              <w:left w:w="28" w:type="dxa"/>
              <w:right w:w="28" w:type="dxa"/>
            </w:tcMar>
            <w:vAlign w:val="center"/>
          </w:tcPr>
          <w:p w14:paraId="0DC78EBC" w14:textId="77777777" w:rsidR="00544811" w:rsidRPr="00F537B9" w:rsidRDefault="00544811">
            <w:pPr>
              <w:jc w:val="center"/>
              <w:rPr>
                <w:noProof/>
              </w:rPr>
            </w:pPr>
            <w:r w:rsidRPr="00F537B9">
              <w:rPr>
                <w:noProof/>
                <w:sz w:val="18"/>
              </w:rPr>
              <w:t>iné pripísané príjmy</w:t>
            </w:r>
          </w:p>
        </w:tc>
      </w:tr>
      <w:tr w:rsidR="005076D3" w:rsidRPr="00F537B9" w14:paraId="37BA97BA" w14:textId="77777777" w:rsidTr="00D300D9">
        <w:tc>
          <w:tcPr>
            <w:tcW w:w="1056" w:type="dxa"/>
            <w:tcMar>
              <w:left w:w="28" w:type="dxa"/>
              <w:right w:w="28" w:type="dxa"/>
            </w:tcMar>
            <w:vAlign w:val="center"/>
          </w:tcPr>
          <w:p w14:paraId="1FB394D9" w14:textId="77777777" w:rsidR="00544811" w:rsidRPr="00D300D9" w:rsidRDefault="00544811">
            <w:pPr>
              <w:jc w:val="center"/>
              <w:rPr>
                <w:noProof/>
              </w:rPr>
            </w:pPr>
          </w:p>
        </w:tc>
        <w:tc>
          <w:tcPr>
            <w:tcW w:w="3866" w:type="dxa"/>
            <w:tcMar>
              <w:left w:w="28" w:type="dxa"/>
              <w:right w:w="28" w:type="dxa"/>
            </w:tcMar>
            <w:vAlign w:val="center"/>
          </w:tcPr>
          <w:p w14:paraId="47620E24" w14:textId="77777777" w:rsidR="007A0873" w:rsidRPr="00F537B9" w:rsidRDefault="007A0873">
            <w:pPr>
              <w:spacing w:after="60"/>
              <w:rPr>
                <w:noProof/>
              </w:rPr>
            </w:pPr>
            <w:r w:rsidRPr="00F537B9">
              <w:rPr>
                <w:noProof/>
              </w:rPr>
              <w:t>Zlepšenie riadneho fungovania daňových systémov</w:t>
            </w:r>
          </w:p>
        </w:tc>
        <w:tc>
          <w:tcPr>
            <w:tcW w:w="1055" w:type="dxa"/>
            <w:tcMar>
              <w:left w:w="28" w:type="dxa"/>
              <w:right w:w="28" w:type="dxa"/>
            </w:tcMar>
            <w:vAlign w:val="center"/>
          </w:tcPr>
          <w:p w14:paraId="17C55598" w14:textId="77777777" w:rsidR="00544811" w:rsidRPr="00D300D9" w:rsidRDefault="00544811">
            <w:pPr>
              <w:jc w:val="center"/>
              <w:rPr>
                <w:noProof/>
              </w:rPr>
            </w:pPr>
            <w:r w:rsidRPr="00F537B9">
              <w:rPr>
                <w:noProof/>
              </w:rPr>
              <w:t>DRP</w:t>
            </w:r>
          </w:p>
        </w:tc>
        <w:tc>
          <w:tcPr>
            <w:tcW w:w="934" w:type="dxa"/>
            <w:tcMar>
              <w:left w:w="28" w:type="dxa"/>
              <w:right w:w="28" w:type="dxa"/>
            </w:tcMar>
            <w:vAlign w:val="center"/>
          </w:tcPr>
          <w:p w14:paraId="08716BE2" w14:textId="77777777" w:rsidR="00544811" w:rsidRPr="00F537B9" w:rsidRDefault="00544811">
            <w:pPr>
              <w:jc w:val="center"/>
              <w:rPr>
                <w:noProof/>
                <w:sz w:val="20"/>
                <w:szCs w:val="20"/>
              </w:rPr>
            </w:pPr>
            <w:r w:rsidRPr="00F537B9">
              <w:rPr>
                <w:noProof/>
                <w:sz w:val="20"/>
              </w:rPr>
              <w:t>NIE</w:t>
            </w:r>
          </w:p>
        </w:tc>
        <w:tc>
          <w:tcPr>
            <w:tcW w:w="1307" w:type="dxa"/>
            <w:tcMar>
              <w:left w:w="28" w:type="dxa"/>
              <w:right w:w="28" w:type="dxa"/>
            </w:tcMar>
            <w:vAlign w:val="center"/>
          </w:tcPr>
          <w:p w14:paraId="02447168" w14:textId="77777777" w:rsidR="00544811" w:rsidRPr="00F537B9" w:rsidRDefault="00544811">
            <w:pPr>
              <w:jc w:val="center"/>
              <w:rPr>
                <w:noProof/>
                <w:sz w:val="20"/>
                <w:szCs w:val="20"/>
              </w:rPr>
            </w:pPr>
            <w:r w:rsidRPr="00F537B9">
              <w:rPr>
                <w:noProof/>
                <w:sz w:val="20"/>
              </w:rPr>
              <w:t>NIE</w:t>
            </w:r>
          </w:p>
        </w:tc>
        <w:tc>
          <w:tcPr>
            <w:tcW w:w="682" w:type="dxa"/>
            <w:tcMar>
              <w:left w:w="28" w:type="dxa"/>
              <w:right w:w="28" w:type="dxa"/>
            </w:tcMar>
            <w:vAlign w:val="center"/>
          </w:tcPr>
          <w:p w14:paraId="16BF4E05" w14:textId="77777777" w:rsidR="00544811" w:rsidRPr="00F537B9" w:rsidRDefault="00544811">
            <w:pPr>
              <w:jc w:val="center"/>
              <w:rPr>
                <w:noProof/>
                <w:sz w:val="20"/>
                <w:szCs w:val="20"/>
              </w:rPr>
            </w:pPr>
            <w:r w:rsidRPr="00F537B9">
              <w:rPr>
                <w:noProof/>
                <w:sz w:val="20"/>
              </w:rPr>
              <w:t>NIE</w:t>
            </w:r>
          </w:p>
        </w:tc>
        <w:tc>
          <w:tcPr>
            <w:tcW w:w="1417" w:type="dxa"/>
            <w:tcMar>
              <w:left w:w="28" w:type="dxa"/>
              <w:right w:w="28" w:type="dxa"/>
            </w:tcMar>
            <w:vAlign w:val="center"/>
          </w:tcPr>
          <w:p w14:paraId="4420C1E0" w14:textId="77777777" w:rsidR="00544811" w:rsidRPr="00F537B9" w:rsidRDefault="00544811">
            <w:pPr>
              <w:jc w:val="center"/>
              <w:rPr>
                <w:noProof/>
                <w:sz w:val="20"/>
                <w:szCs w:val="20"/>
              </w:rPr>
            </w:pPr>
            <w:r w:rsidRPr="00F537B9">
              <w:rPr>
                <w:noProof/>
                <w:sz w:val="20"/>
              </w:rPr>
              <w:t>NIE</w:t>
            </w:r>
          </w:p>
        </w:tc>
      </w:tr>
    </w:tbl>
    <w:p w14:paraId="5B5DEB90" w14:textId="77777777" w:rsidR="00F537B9" w:rsidRDefault="00544811" w:rsidP="001C0426">
      <w:pPr>
        <w:pStyle w:val="ListBullet1"/>
        <w:rPr>
          <w:noProof/>
        </w:rPr>
      </w:pPr>
      <w:r w:rsidRPr="00F537B9">
        <w:rPr>
          <w:noProof/>
        </w:rPr>
        <w:t>Požadované nové rozpočtové riadky</w:t>
      </w:r>
    </w:p>
    <w:p w14:paraId="2CD2BA6D" w14:textId="26385D3E" w:rsidR="00544811" w:rsidRPr="00F537B9" w:rsidRDefault="00544811">
      <w:pPr>
        <w:pStyle w:val="Text1"/>
        <w:rPr>
          <w:i/>
          <w:noProof/>
          <w:sz w:val="20"/>
        </w:rPr>
      </w:pPr>
      <w:r w:rsidRPr="00F537B9">
        <w:rPr>
          <w:i/>
          <w:noProof/>
          <w:u w:val="single"/>
        </w:rPr>
        <w:t>V poradí</w:t>
      </w:r>
      <w:r w:rsidRPr="00F537B9">
        <w:rPr>
          <w:i/>
          <w:noProof/>
        </w:rPr>
        <w:t>,</w:t>
      </w:r>
      <w:r w:rsidR="00F537B9">
        <w:rPr>
          <w:i/>
          <w:noProof/>
        </w:rPr>
        <w:t xml:space="preserve"> v </w:t>
      </w:r>
      <w:r w:rsidRPr="00F537B9">
        <w:rPr>
          <w:i/>
          <w:noProof/>
        </w:rPr>
        <w:t>akom za sebou nasledujú okruhy viacročného finančného rámca</w:t>
      </w:r>
      <w:r w:rsidR="00F537B9">
        <w:rPr>
          <w:i/>
          <w:noProof/>
        </w:rPr>
        <w:t xml:space="preserve"> a </w:t>
      </w:r>
      <w:r w:rsidRPr="00F537B9">
        <w:rPr>
          <w:i/>
          <w:noProof/>
        </w:rPr>
        <w:t>rozpočtové riadky.</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284"/>
        <w:gridCol w:w="752"/>
        <w:gridCol w:w="1448"/>
      </w:tblGrid>
      <w:tr w:rsidR="00A54310" w:rsidRPr="00F537B9" w14:paraId="18732601" w14:textId="77777777" w:rsidTr="00D300D9">
        <w:tc>
          <w:tcPr>
            <w:tcW w:w="1080" w:type="dxa"/>
            <w:vMerge w:val="restart"/>
            <w:tcMar>
              <w:left w:w="28" w:type="dxa"/>
              <w:right w:w="28" w:type="dxa"/>
            </w:tcMar>
            <w:vAlign w:val="center"/>
          </w:tcPr>
          <w:p w14:paraId="2B46B6A6" w14:textId="77777777" w:rsidR="00544811" w:rsidRPr="00F537B9" w:rsidRDefault="00544811">
            <w:pPr>
              <w:spacing w:before="60" w:after="60"/>
              <w:jc w:val="center"/>
              <w:rPr>
                <w:noProof/>
                <w:sz w:val="18"/>
                <w:szCs w:val="18"/>
              </w:rPr>
            </w:pPr>
            <w:r w:rsidRPr="00F537B9">
              <w:rPr>
                <w:noProof/>
                <w:sz w:val="18"/>
              </w:rPr>
              <w:t>Okruh viacročného finančného rámca</w:t>
            </w:r>
          </w:p>
        </w:tc>
        <w:tc>
          <w:tcPr>
            <w:tcW w:w="3960" w:type="dxa"/>
            <w:tcMar>
              <w:left w:w="28" w:type="dxa"/>
              <w:right w:w="28" w:type="dxa"/>
            </w:tcMar>
            <w:vAlign w:val="center"/>
          </w:tcPr>
          <w:p w14:paraId="52D9C9FB" w14:textId="77777777" w:rsidR="00544811" w:rsidRPr="00F537B9" w:rsidRDefault="00544811">
            <w:pPr>
              <w:spacing w:before="60" w:after="60"/>
              <w:jc w:val="center"/>
              <w:rPr>
                <w:noProof/>
              </w:rPr>
            </w:pPr>
            <w:r w:rsidRPr="00F537B9">
              <w:rPr>
                <w:noProof/>
                <w:sz w:val="20"/>
              </w:rPr>
              <w:t>Rozpočtový riadok</w:t>
            </w:r>
          </w:p>
        </w:tc>
        <w:tc>
          <w:tcPr>
            <w:tcW w:w="1080" w:type="dxa"/>
            <w:tcMar>
              <w:left w:w="28" w:type="dxa"/>
              <w:right w:w="28" w:type="dxa"/>
            </w:tcMar>
            <w:vAlign w:val="center"/>
          </w:tcPr>
          <w:p w14:paraId="08268D8F" w14:textId="77777777" w:rsidR="00544811" w:rsidRPr="00F537B9" w:rsidRDefault="00544811">
            <w:pPr>
              <w:spacing w:before="60" w:after="60"/>
              <w:jc w:val="center"/>
              <w:rPr>
                <w:noProof/>
              </w:rPr>
            </w:pPr>
            <w:r w:rsidRPr="00F537B9">
              <w:rPr>
                <w:noProof/>
                <w:sz w:val="18"/>
              </w:rPr>
              <w:t>Druh</w:t>
            </w:r>
            <w:r w:rsidRPr="00F537B9">
              <w:rPr>
                <w:noProof/>
              </w:rPr>
              <w:t xml:space="preserve"> </w:t>
            </w:r>
            <w:r w:rsidRPr="00F537B9">
              <w:rPr>
                <w:noProof/>
              </w:rPr>
              <w:br/>
            </w:r>
            <w:r w:rsidRPr="00F537B9">
              <w:rPr>
                <w:noProof/>
                <w:sz w:val="18"/>
              </w:rPr>
              <w:t>výdavkov</w:t>
            </w:r>
          </w:p>
        </w:tc>
        <w:tc>
          <w:tcPr>
            <w:tcW w:w="4440" w:type="dxa"/>
            <w:gridSpan w:val="4"/>
            <w:tcMar>
              <w:left w:w="28" w:type="dxa"/>
              <w:right w:w="28" w:type="dxa"/>
            </w:tcMar>
            <w:vAlign w:val="center"/>
          </w:tcPr>
          <w:p w14:paraId="4A116597" w14:textId="77777777" w:rsidR="00544811" w:rsidRPr="00F537B9" w:rsidRDefault="00544811">
            <w:pPr>
              <w:spacing w:before="60" w:after="60"/>
              <w:jc w:val="center"/>
              <w:rPr>
                <w:noProof/>
              </w:rPr>
            </w:pPr>
            <w:r w:rsidRPr="00F537B9">
              <w:rPr>
                <w:noProof/>
                <w:sz w:val="20"/>
              </w:rPr>
              <w:t xml:space="preserve">Príspevky </w:t>
            </w:r>
          </w:p>
        </w:tc>
      </w:tr>
      <w:tr w:rsidR="00A54310" w:rsidRPr="00F537B9" w14:paraId="5B34EA63" w14:textId="77777777" w:rsidTr="00D300D9">
        <w:tc>
          <w:tcPr>
            <w:tcW w:w="1080" w:type="dxa"/>
            <w:vMerge/>
            <w:tcMar>
              <w:left w:w="28" w:type="dxa"/>
              <w:right w:w="28" w:type="dxa"/>
            </w:tcMar>
            <w:vAlign w:val="center"/>
          </w:tcPr>
          <w:p w14:paraId="1485A72B" w14:textId="77777777" w:rsidR="00544811" w:rsidRPr="00F537B9" w:rsidRDefault="00544811">
            <w:pPr>
              <w:jc w:val="center"/>
              <w:rPr>
                <w:noProof/>
              </w:rPr>
            </w:pPr>
          </w:p>
        </w:tc>
        <w:tc>
          <w:tcPr>
            <w:tcW w:w="3960" w:type="dxa"/>
            <w:tcMar>
              <w:left w:w="28" w:type="dxa"/>
              <w:right w:w="28" w:type="dxa"/>
            </w:tcMar>
            <w:vAlign w:val="center"/>
          </w:tcPr>
          <w:p w14:paraId="666AD5F0" w14:textId="4FD5D240" w:rsidR="00544811" w:rsidRPr="00F537B9" w:rsidRDefault="00544811">
            <w:pPr>
              <w:rPr>
                <w:noProof/>
              </w:rPr>
            </w:pPr>
            <w:r w:rsidRPr="00F537B9">
              <w:rPr>
                <w:noProof/>
                <w:sz w:val="20"/>
              </w:rPr>
              <w:t>Číslo</w:t>
            </w:r>
            <w:r w:rsidR="00F537B9" w:rsidRPr="00F537B9">
              <w:rPr>
                <w:noProof/>
                <w:sz w:val="20"/>
              </w:rPr>
              <w:t xml:space="preserve"> </w:t>
            </w:r>
            <w:r w:rsidRPr="00F537B9">
              <w:rPr>
                <w:noProof/>
              </w:rPr>
              <w:br/>
            </w:r>
          </w:p>
        </w:tc>
        <w:tc>
          <w:tcPr>
            <w:tcW w:w="1080" w:type="dxa"/>
            <w:tcMar>
              <w:left w:w="28" w:type="dxa"/>
              <w:right w:w="28" w:type="dxa"/>
            </w:tcMar>
            <w:vAlign w:val="center"/>
          </w:tcPr>
          <w:p w14:paraId="2B9E56AB" w14:textId="77777777" w:rsidR="00544811" w:rsidRPr="00F537B9" w:rsidRDefault="00544811">
            <w:pPr>
              <w:jc w:val="center"/>
              <w:rPr>
                <w:noProof/>
              </w:rPr>
            </w:pPr>
            <w:r w:rsidRPr="00F537B9">
              <w:rPr>
                <w:noProof/>
                <w:sz w:val="18"/>
              </w:rPr>
              <w:t>DRP/NRP</w:t>
            </w:r>
          </w:p>
        </w:tc>
        <w:tc>
          <w:tcPr>
            <w:tcW w:w="956" w:type="dxa"/>
            <w:tcMar>
              <w:left w:w="28" w:type="dxa"/>
              <w:right w:w="28" w:type="dxa"/>
            </w:tcMar>
            <w:vAlign w:val="center"/>
          </w:tcPr>
          <w:p w14:paraId="746FA8F9" w14:textId="77777777" w:rsidR="00544811" w:rsidRPr="00F537B9" w:rsidRDefault="00544811">
            <w:pPr>
              <w:jc w:val="center"/>
              <w:rPr>
                <w:noProof/>
                <w:sz w:val="18"/>
              </w:rPr>
            </w:pPr>
            <w:r w:rsidRPr="00F537B9">
              <w:rPr>
                <w:noProof/>
                <w:sz w:val="18"/>
              </w:rPr>
              <w:t>krajín EZVO</w:t>
            </w:r>
          </w:p>
        </w:tc>
        <w:tc>
          <w:tcPr>
            <w:tcW w:w="1284" w:type="dxa"/>
            <w:tcMar>
              <w:left w:w="28" w:type="dxa"/>
              <w:right w:w="28" w:type="dxa"/>
            </w:tcMar>
            <w:vAlign w:val="center"/>
          </w:tcPr>
          <w:p w14:paraId="7AB243E7" w14:textId="765987DE" w:rsidR="00544811" w:rsidRPr="00F537B9" w:rsidRDefault="00544811">
            <w:pPr>
              <w:jc w:val="center"/>
              <w:rPr>
                <w:noProof/>
                <w:sz w:val="18"/>
              </w:rPr>
            </w:pPr>
            <w:r w:rsidRPr="00F537B9">
              <w:rPr>
                <w:noProof/>
                <w:sz w:val="18"/>
              </w:rPr>
              <w:t>kandidátskych krajín</w:t>
            </w:r>
            <w:r w:rsidR="00F537B9">
              <w:rPr>
                <w:noProof/>
                <w:sz w:val="18"/>
              </w:rPr>
              <w:t xml:space="preserve"> a </w:t>
            </w:r>
            <w:r w:rsidRPr="00F537B9">
              <w:rPr>
                <w:noProof/>
                <w:sz w:val="18"/>
              </w:rPr>
              <w:t>potenciálnych kandidátov</w:t>
            </w:r>
          </w:p>
        </w:tc>
        <w:tc>
          <w:tcPr>
            <w:tcW w:w="752" w:type="dxa"/>
            <w:tcMar>
              <w:left w:w="28" w:type="dxa"/>
              <w:right w:w="28" w:type="dxa"/>
            </w:tcMar>
            <w:vAlign w:val="center"/>
          </w:tcPr>
          <w:p w14:paraId="23E3E10B" w14:textId="77777777" w:rsidR="00544811" w:rsidRPr="00F537B9" w:rsidRDefault="00544811">
            <w:pPr>
              <w:jc w:val="center"/>
              <w:rPr>
                <w:noProof/>
                <w:sz w:val="18"/>
              </w:rPr>
            </w:pPr>
            <w:r w:rsidRPr="00F537B9">
              <w:rPr>
                <w:noProof/>
                <w:sz w:val="18"/>
              </w:rPr>
              <w:t>iných tretích krajín</w:t>
            </w:r>
          </w:p>
        </w:tc>
        <w:tc>
          <w:tcPr>
            <w:tcW w:w="1448" w:type="dxa"/>
            <w:tcMar>
              <w:left w:w="28" w:type="dxa"/>
              <w:right w:w="28" w:type="dxa"/>
            </w:tcMar>
            <w:vAlign w:val="center"/>
          </w:tcPr>
          <w:p w14:paraId="783D1AAA" w14:textId="77777777" w:rsidR="00544811" w:rsidRPr="00F537B9" w:rsidRDefault="00544811">
            <w:pPr>
              <w:jc w:val="center"/>
              <w:rPr>
                <w:noProof/>
              </w:rPr>
            </w:pPr>
            <w:r w:rsidRPr="00F537B9">
              <w:rPr>
                <w:noProof/>
                <w:sz w:val="18"/>
              </w:rPr>
              <w:t xml:space="preserve">iné pripísané príjmy </w:t>
            </w:r>
          </w:p>
        </w:tc>
      </w:tr>
      <w:tr w:rsidR="005076D3" w:rsidRPr="00F537B9" w14:paraId="44D3A168" w14:textId="77777777" w:rsidTr="00D300D9">
        <w:tc>
          <w:tcPr>
            <w:tcW w:w="1080" w:type="dxa"/>
            <w:tcMar>
              <w:left w:w="28" w:type="dxa"/>
              <w:right w:w="28" w:type="dxa"/>
            </w:tcMar>
            <w:vAlign w:val="center"/>
          </w:tcPr>
          <w:p w14:paraId="1810B0E8" w14:textId="77777777" w:rsidR="00544811" w:rsidRPr="00D300D9" w:rsidRDefault="00544811">
            <w:pPr>
              <w:jc w:val="center"/>
              <w:rPr>
                <w:noProof/>
              </w:rPr>
            </w:pPr>
          </w:p>
        </w:tc>
        <w:tc>
          <w:tcPr>
            <w:tcW w:w="3960" w:type="dxa"/>
            <w:tcMar>
              <w:left w:w="28" w:type="dxa"/>
              <w:right w:w="28" w:type="dxa"/>
            </w:tcMar>
            <w:vAlign w:val="center"/>
          </w:tcPr>
          <w:p w14:paraId="535F7F0F" w14:textId="77777777" w:rsidR="00544811" w:rsidRPr="00F537B9" w:rsidRDefault="00544811">
            <w:pPr>
              <w:spacing w:before="60"/>
              <w:rPr>
                <w:noProof/>
              </w:rPr>
            </w:pPr>
            <w:r w:rsidRPr="00F537B9">
              <w:rPr>
                <w:noProof/>
              </w:rPr>
              <w:t>[XX YY YY YY]</w:t>
            </w:r>
          </w:p>
          <w:p w14:paraId="119A46EE" w14:textId="77777777" w:rsidR="00544811" w:rsidRPr="00D300D9" w:rsidRDefault="00544811">
            <w:pPr>
              <w:spacing w:after="60"/>
              <w:rPr>
                <w:noProof/>
              </w:rPr>
            </w:pPr>
          </w:p>
        </w:tc>
        <w:tc>
          <w:tcPr>
            <w:tcW w:w="1080" w:type="dxa"/>
            <w:tcMar>
              <w:left w:w="28" w:type="dxa"/>
              <w:right w:w="28" w:type="dxa"/>
            </w:tcMar>
            <w:vAlign w:val="center"/>
          </w:tcPr>
          <w:p w14:paraId="669FE230" w14:textId="77777777" w:rsidR="00544811" w:rsidRPr="00D300D9" w:rsidRDefault="00AE4873">
            <w:pPr>
              <w:jc w:val="center"/>
              <w:rPr>
                <w:noProof/>
              </w:rPr>
            </w:pPr>
            <w:r w:rsidRPr="00D300D9">
              <w:rPr>
                <w:noProof/>
              </w:rPr>
              <w:t>DRP</w:t>
            </w:r>
          </w:p>
        </w:tc>
        <w:tc>
          <w:tcPr>
            <w:tcW w:w="956" w:type="dxa"/>
            <w:tcMar>
              <w:left w:w="28" w:type="dxa"/>
              <w:right w:w="28" w:type="dxa"/>
            </w:tcMar>
            <w:vAlign w:val="center"/>
          </w:tcPr>
          <w:p w14:paraId="1EB54174" w14:textId="77777777" w:rsidR="00544811" w:rsidRPr="00F537B9" w:rsidRDefault="00544811">
            <w:pPr>
              <w:jc w:val="center"/>
              <w:rPr>
                <w:noProof/>
                <w:sz w:val="20"/>
                <w:szCs w:val="20"/>
              </w:rPr>
            </w:pPr>
            <w:r w:rsidRPr="00F537B9">
              <w:rPr>
                <w:noProof/>
                <w:sz w:val="20"/>
              </w:rPr>
              <w:t>ÁNO/NIE</w:t>
            </w:r>
          </w:p>
        </w:tc>
        <w:tc>
          <w:tcPr>
            <w:tcW w:w="1284" w:type="dxa"/>
            <w:tcMar>
              <w:left w:w="28" w:type="dxa"/>
              <w:right w:w="28" w:type="dxa"/>
            </w:tcMar>
            <w:vAlign w:val="center"/>
          </w:tcPr>
          <w:p w14:paraId="2A9CB5D7" w14:textId="77777777" w:rsidR="00544811" w:rsidRPr="00D300D9" w:rsidRDefault="00544811">
            <w:pPr>
              <w:jc w:val="center"/>
              <w:rPr>
                <w:noProof/>
              </w:rPr>
            </w:pPr>
            <w:r w:rsidRPr="00F537B9">
              <w:rPr>
                <w:noProof/>
                <w:sz w:val="20"/>
              </w:rPr>
              <w:t>ÁNO/NIE</w:t>
            </w:r>
          </w:p>
        </w:tc>
        <w:tc>
          <w:tcPr>
            <w:tcW w:w="752" w:type="dxa"/>
            <w:tcMar>
              <w:left w:w="28" w:type="dxa"/>
              <w:right w:w="28" w:type="dxa"/>
            </w:tcMar>
            <w:vAlign w:val="center"/>
          </w:tcPr>
          <w:p w14:paraId="58F8C382" w14:textId="62D41BC6" w:rsidR="00544811" w:rsidRPr="00D300D9" w:rsidRDefault="00544811">
            <w:pPr>
              <w:jc w:val="center"/>
              <w:rPr>
                <w:noProof/>
              </w:rPr>
            </w:pPr>
            <w:r w:rsidRPr="00F537B9">
              <w:rPr>
                <w:noProof/>
                <w:sz w:val="20"/>
              </w:rPr>
              <w:t>ÁNO/</w:t>
            </w:r>
            <w:r w:rsidR="00D300D9">
              <w:rPr>
                <w:noProof/>
                <w:sz w:val="20"/>
              </w:rPr>
              <w:t xml:space="preserve"> </w:t>
            </w:r>
            <w:r w:rsidRPr="00F537B9">
              <w:rPr>
                <w:noProof/>
                <w:sz w:val="20"/>
              </w:rPr>
              <w:t>NIE</w:t>
            </w:r>
          </w:p>
        </w:tc>
        <w:tc>
          <w:tcPr>
            <w:tcW w:w="1448" w:type="dxa"/>
            <w:tcMar>
              <w:left w:w="28" w:type="dxa"/>
              <w:right w:w="28" w:type="dxa"/>
            </w:tcMar>
            <w:vAlign w:val="center"/>
          </w:tcPr>
          <w:p w14:paraId="5A713A3A" w14:textId="77777777" w:rsidR="00544811" w:rsidRPr="00F537B9" w:rsidRDefault="00544811">
            <w:pPr>
              <w:jc w:val="center"/>
              <w:rPr>
                <w:noProof/>
                <w:sz w:val="20"/>
                <w:szCs w:val="20"/>
              </w:rPr>
            </w:pPr>
            <w:r w:rsidRPr="00F537B9">
              <w:rPr>
                <w:noProof/>
                <w:sz w:val="20"/>
              </w:rPr>
              <w:t>ÁNO/NIE</w:t>
            </w:r>
          </w:p>
        </w:tc>
      </w:tr>
    </w:tbl>
    <w:p w14:paraId="05E3E090" w14:textId="77777777" w:rsidR="00544811" w:rsidRPr="00F537B9" w:rsidRDefault="00544811">
      <w:pPr>
        <w:rPr>
          <w:noProof/>
        </w:rPr>
        <w:sectPr w:rsidR="00544811" w:rsidRPr="00F537B9" w:rsidSect="004765B0">
          <w:pgSz w:w="11907" w:h="16840" w:code="1"/>
          <w:pgMar w:top="1134" w:right="1418" w:bottom="1134" w:left="1418" w:header="709" w:footer="709" w:gutter="0"/>
          <w:cols w:space="708"/>
          <w:docGrid w:linePitch="360"/>
        </w:sectPr>
      </w:pPr>
    </w:p>
    <w:p w14:paraId="7D9AA684" w14:textId="77777777" w:rsidR="00F537B9" w:rsidRDefault="00544811">
      <w:pPr>
        <w:pStyle w:val="ManualHeading2"/>
        <w:rPr>
          <w:noProof/>
        </w:rPr>
      </w:pPr>
      <w:bookmarkStart w:id="97" w:name="_Toc514938052"/>
      <w:bookmarkStart w:id="98" w:name="_Toc520485051"/>
      <w:r w:rsidRPr="00F537B9">
        <w:rPr>
          <w:noProof/>
        </w:rPr>
        <w:t>3.2.</w:t>
      </w:r>
      <w:r w:rsidRPr="00F537B9">
        <w:rPr>
          <w:noProof/>
        </w:rPr>
        <w:tab/>
        <w:t>Odhadovaný finančný vplyv návrhu na rozpočtové prostriedky</w:t>
      </w:r>
      <w:bookmarkEnd w:id="97"/>
      <w:bookmarkEnd w:id="98"/>
    </w:p>
    <w:p w14:paraId="2916879F" w14:textId="77777777" w:rsidR="00F537B9" w:rsidRDefault="00544811">
      <w:pPr>
        <w:pStyle w:val="ManualHeading3"/>
        <w:rPr>
          <w:noProof/>
        </w:rPr>
      </w:pPr>
      <w:bookmarkStart w:id="99" w:name="_Toc514938053"/>
      <w:bookmarkStart w:id="100" w:name="_Toc520485052"/>
      <w:r w:rsidRPr="00F537B9">
        <w:rPr>
          <w:noProof/>
        </w:rPr>
        <w:t>3.2.1.</w:t>
      </w:r>
      <w:r w:rsidRPr="00F537B9">
        <w:rPr>
          <w:noProof/>
        </w:rPr>
        <w:tab/>
        <w:t>Zhrnutie odhadovaného vplyvu na operačné rozpočtové prostriedky</w:t>
      </w:r>
      <w:bookmarkEnd w:id="99"/>
      <w:bookmarkEnd w:id="100"/>
    </w:p>
    <w:p w14:paraId="43E5B18D" w14:textId="74ACED3F" w:rsidR="00F537B9" w:rsidRDefault="00544811" w:rsidP="001C0426">
      <w:pPr>
        <w:pStyle w:val="ListDash1"/>
        <w:rPr>
          <w:noProof/>
        </w:rPr>
      </w:pPr>
      <w:r w:rsidRPr="00F537B9">
        <w:rPr>
          <w:rFonts w:ascii="Wingdings" w:hAnsi="Wingdings"/>
          <w:noProof/>
        </w:rPr>
        <w:t></w:t>
      </w:r>
      <w:r w:rsidRPr="00F537B9">
        <w:rPr>
          <w:noProof/>
        </w:rPr>
        <w:tab/>
        <w:t>Návrh/iniciatíva si nevyžaduje použitie operačných rozpočtových prostriedkov</w:t>
      </w:r>
      <w:r w:rsidR="00F537B9">
        <w:rPr>
          <w:noProof/>
        </w:rPr>
        <w:t>.</w:t>
      </w:r>
    </w:p>
    <w:p w14:paraId="43D50319" w14:textId="7229AD2E" w:rsidR="00544811" w:rsidRPr="00F537B9" w:rsidRDefault="00CF6AB0" w:rsidP="001C0426">
      <w:pPr>
        <w:pStyle w:val="ListDash1"/>
        <w:rPr>
          <w:noProof/>
        </w:rPr>
      </w:pPr>
      <w:r w:rsidRPr="00F537B9">
        <w:rPr>
          <w:rFonts w:ascii="Wingdings" w:hAnsi="Wingdings"/>
          <w:noProof/>
        </w:rPr>
        <w:t></w:t>
      </w:r>
      <w:r w:rsidRPr="00F537B9">
        <w:rPr>
          <w:noProof/>
        </w:rPr>
        <w:tab/>
        <w:t>Návrh/iniciatíva si vyžaduje použitie týchto operačných rozpočtových prostriedkov:</w:t>
      </w:r>
    </w:p>
    <w:p w14:paraId="5DE4B46A" w14:textId="77777777" w:rsidR="00544811" w:rsidRPr="00F537B9" w:rsidRDefault="00544811">
      <w:pPr>
        <w:jc w:val="right"/>
        <w:rPr>
          <w:noProof/>
          <w:sz w:val="18"/>
          <w:szCs w:val="18"/>
        </w:rPr>
      </w:pPr>
      <w:r w:rsidRPr="00F537B9">
        <w:rPr>
          <w:noProof/>
          <w:sz w:val="18"/>
        </w:rPr>
        <w:t>v mil. EUR (zaokrúhlené na 3 desatinné miesta)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44811" w:rsidRPr="00F537B9" w14:paraId="6C025C82" w14:textId="77777777">
        <w:trPr>
          <w:jc w:val="center"/>
        </w:trPr>
        <w:tc>
          <w:tcPr>
            <w:tcW w:w="4744" w:type="dxa"/>
            <w:shd w:val="thinDiagStripe" w:color="C0C0C0" w:fill="auto"/>
            <w:vAlign w:val="center"/>
          </w:tcPr>
          <w:p w14:paraId="29EA3AA6" w14:textId="7E37268D" w:rsidR="00544811" w:rsidRPr="00F537B9" w:rsidRDefault="00544811">
            <w:pPr>
              <w:spacing w:before="60" w:after="60"/>
              <w:jc w:val="center"/>
              <w:rPr>
                <w:b/>
                <w:noProof/>
              </w:rPr>
            </w:pPr>
            <w:r w:rsidRPr="00F537B9">
              <w:rPr>
                <w:b/>
                <w:noProof/>
              </w:rPr>
              <w:t>Okruh viacročného finančného</w:t>
            </w:r>
            <w:r w:rsidR="00F537B9" w:rsidRPr="00F537B9">
              <w:rPr>
                <w:b/>
                <w:noProof/>
              </w:rPr>
              <w:t xml:space="preserve"> </w:t>
            </w:r>
            <w:r w:rsidRPr="00F537B9">
              <w:rPr>
                <w:noProof/>
              </w:rPr>
              <w:br/>
            </w:r>
            <w:r w:rsidRPr="00F537B9">
              <w:rPr>
                <w:b/>
                <w:noProof/>
              </w:rPr>
              <w:t xml:space="preserve">rámca </w:t>
            </w:r>
          </w:p>
        </w:tc>
        <w:tc>
          <w:tcPr>
            <w:tcW w:w="1080" w:type="dxa"/>
            <w:vAlign w:val="center"/>
          </w:tcPr>
          <w:p w14:paraId="19D8BA9D" w14:textId="77777777" w:rsidR="00544811" w:rsidRPr="00F537B9" w:rsidRDefault="00544811">
            <w:pPr>
              <w:spacing w:before="60" w:after="60"/>
              <w:jc w:val="center"/>
              <w:rPr>
                <w:noProof/>
              </w:rPr>
            </w:pPr>
            <w:r w:rsidRPr="00F537B9">
              <w:rPr>
                <w:noProof/>
              </w:rPr>
              <w:t>Číslo</w:t>
            </w:r>
          </w:p>
        </w:tc>
        <w:tc>
          <w:tcPr>
            <w:tcW w:w="7817" w:type="dxa"/>
            <w:vAlign w:val="center"/>
          </w:tcPr>
          <w:p w14:paraId="2A7BD761" w14:textId="77777777" w:rsidR="00544811" w:rsidRPr="00F537B9" w:rsidRDefault="00CF6AB0">
            <w:pPr>
              <w:spacing w:before="60" w:after="60"/>
              <w:rPr>
                <w:noProof/>
              </w:rPr>
            </w:pPr>
            <w:r w:rsidRPr="00F537B9">
              <w:rPr>
                <w:noProof/>
              </w:rPr>
              <w:t>03 04 0100</w:t>
            </w:r>
          </w:p>
        </w:tc>
      </w:tr>
    </w:tbl>
    <w:p w14:paraId="31A3D0E0" w14:textId="77777777" w:rsidR="00544811" w:rsidRPr="00F537B9" w:rsidRDefault="00544811">
      <w:pPr>
        <w:rPr>
          <w:noProof/>
          <w:sz w:val="16"/>
        </w:rPr>
      </w:pPr>
    </w:p>
    <w:tbl>
      <w:tblPr>
        <w:tblW w:w="141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99"/>
        <w:gridCol w:w="992"/>
        <w:gridCol w:w="2693"/>
      </w:tblGrid>
      <w:tr w:rsidR="00A54310" w:rsidRPr="00F537B9" w14:paraId="7009DE48" w14:textId="77777777" w:rsidTr="00CF6AB0">
        <w:tc>
          <w:tcPr>
            <w:tcW w:w="3960" w:type="dxa"/>
            <w:vAlign w:val="center"/>
          </w:tcPr>
          <w:p w14:paraId="7490FFB5" w14:textId="77777777" w:rsidR="00CF6AB0" w:rsidRPr="00F537B9" w:rsidRDefault="00CF6AB0" w:rsidP="00CF6AB0">
            <w:pPr>
              <w:jc w:val="center"/>
              <w:rPr>
                <w:noProof/>
              </w:rPr>
            </w:pPr>
            <w:r w:rsidRPr="00F537B9">
              <w:rPr>
                <w:noProof/>
              </w:rPr>
              <w:t>GR: TAXUD</w:t>
            </w:r>
          </w:p>
        </w:tc>
        <w:tc>
          <w:tcPr>
            <w:tcW w:w="1560" w:type="dxa"/>
            <w:gridSpan w:val="2"/>
          </w:tcPr>
          <w:p w14:paraId="79AEB6E4" w14:textId="77777777" w:rsidR="00CF6AB0" w:rsidRPr="00F537B9" w:rsidRDefault="00CF6AB0" w:rsidP="00CF6AB0">
            <w:pPr>
              <w:rPr>
                <w:noProof/>
                <w:sz w:val="20"/>
              </w:rPr>
            </w:pPr>
          </w:p>
        </w:tc>
        <w:tc>
          <w:tcPr>
            <w:tcW w:w="534" w:type="dxa"/>
          </w:tcPr>
          <w:p w14:paraId="3EAB37A6" w14:textId="77777777" w:rsidR="00CF6AB0" w:rsidRPr="00F537B9" w:rsidRDefault="00CF6AB0" w:rsidP="00CF6AB0">
            <w:pPr>
              <w:jc w:val="center"/>
              <w:rPr>
                <w:noProof/>
                <w:sz w:val="20"/>
              </w:rPr>
            </w:pPr>
          </w:p>
        </w:tc>
        <w:tc>
          <w:tcPr>
            <w:tcW w:w="868" w:type="dxa"/>
            <w:vAlign w:val="center"/>
          </w:tcPr>
          <w:p w14:paraId="4982A7A8" w14:textId="77777777" w:rsidR="00CF6AB0" w:rsidRPr="00F537B9" w:rsidRDefault="00CF6AB0" w:rsidP="00CF6AB0">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2025</w:t>
            </w:r>
            <w:r w:rsidRPr="00F537B9">
              <w:rPr>
                <w:rStyle w:val="FootnoteReference"/>
                <w:b/>
                <w:noProof/>
                <w:sz w:val="20"/>
              </w:rPr>
              <w:footnoteReference w:id="46"/>
            </w:r>
          </w:p>
        </w:tc>
        <w:tc>
          <w:tcPr>
            <w:tcW w:w="868" w:type="dxa"/>
            <w:vAlign w:val="center"/>
          </w:tcPr>
          <w:p w14:paraId="3466B565" w14:textId="77777777" w:rsidR="00CF6AB0" w:rsidRPr="00F537B9" w:rsidRDefault="00CF6AB0" w:rsidP="00CF6AB0">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2026</w:t>
            </w:r>
          </w:p>
        </w:tc>
        <w:tc>
          <w:tcPr>
            <w:tcW w:w="868" w:type="dxa"/>
            <w:vAlign w:val="center"/>
          </w:tcPr>
          <w:p w14:paraId="6349A39A" w14:textId="77777777" w:rsidR="00CF6AB0" w:rsidRPr="00F537B9" w:rsidRDefault="00CF6AB0" w:rsidP="00CF6AB0">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2027</w:t>
            </w:r>
          </w:p>
        </w:tc>
        <w:tc>
          <w:tcPr>
            <w:tcW w:w="868" w:type="dxa"/>
            <w:vAlign w:val="center"/>
          </w:tcPr>
          <w:p w14:paraId="1B1648D4" w14:textId="77777777" w:rsidR="00CF6AB0" w:rsidRPr="00F537B9" w:rsidRDefault="00CF6AB0" w:rsidP="00CF6AB0">
            <w:pPr>
              <w:jc w:val="center"/>
              <w:rPr>
                <w:b/>
                <w:noProof/>
                <w:sz w:val="20"/>
              </w:rPr>
            </w:pPr>
            <w:r w:rsidRPr="00F537B9">
              <w:rPr>
                <w:noProof/>
                <w:sz w:val="20"/>
              </w:rPr>
              <w:t>Rok</w:t>
            </w:r>
            <w:r w:rsidRPr="00F537B9">
              <w:rPr>
                <w:noProof/>
              </w:rPr>
              <w:t xml:space="preserve"> </w:t>
            </w:r>
            <w:r w:rsidRPr="00F537B9">
              <w:rPr>
                <w:noProof/>
              </w:rPr>
              <w:br/>
            </w:r>
          </w:p>
        </w:tc>
        <w:tc>
          <w:tcPr>
            <w:tcW w:w="899" w:type="dxa"/>
            <w:vAlign w:val="center"/>
          </w:tcPr>
          <w:p w14:paraId="40F4A67C" w14:textId="77777777" w:rsidR="00CF6AB0" w:rsidRPr="00F537B9" w:rsidRDefault="00CF6AB0" w:rsidP="00CF6AB0">
            <w:pPr>
              <w:jc w:val="center"/>
              <w:rPr>
                <w:noProof/>
                <w:sz w:val="18"/>
              </w:rPr>
            </w:pPr>
            <w:r w:rsidRPr="00F537B9">
              <w:rPr>
                <w:noProof/>
                <w:sz w:val="20"/>
              </w:rPr>
              <w:t>Rok</w:t>
            </w:r>
            <w:r w:rsidRPr="00F537B9">
              <w:rPr>
                <w:noProof/>
              </w:rPr>
              <w:t xml:space="preserve"> </w:t>
            </w:r>
            <w:r w:rsidRPr="00F537B9">
              <w:rPr>
                <w:noProof/>
              </w:rPr>
              <w:br/>
            </w:r>
          </w:p>
        </w:tc>
        <w:tc>
          <w:tcPr>
            <w:tcW w:w="992" w:type="dxa"/>
            <w:vAlign w:val="center"/>
          </w:tcPr>
          <w:p w14:paraId="04A3C91A" w14:textId="77777777" w:rsidR="00CF6AB0" w:rsidRPr="00F537B9" w:rsidRDefault="00CF6AB0" w:rsidP="00CF6AB0">
            <w:pPr>
              <w:jc w:val="center"/>
              <w:rPr>
                <w:noProof/>
                <w:sz w:val="18"/>
              </w:rPr>
            </w:pPr>
            <w:r w:rsidRPr="00F537B9">
              <w:rPr>
                <w:noProof/>
                <w:sz w:val="20"/>
              </w:rPr>
              <w:t>Rok</w:t>
            </w:r>
            <w:r w:rsidRPr="00F537B9">
              <w:rPr>
                <w:noProof/>
              </w:rPr>
              <w:t xml:space="preserve"> </w:t>
            </w:r>
            <w:r w:rsidRPr="00F537B9">
              <w:rPr>
                <w:noProof/>
              </w:rPr>
              <w:br/>
            </w:r>
          </w:p>
        </w:tc>
        <w:tc>
          <w:tcPr>
            <w:tcW w:w="2693" w:type="dxa"/>
            <w:vAlign w:val="center"/>
          </w:tcPr>
          <w:p w14:paraId="1A66AD0F" w14:textId="77777777" w:rsidR="00CF6AB0" w:rsidRPr="00F537B9" w:rsidRDefault="00CF6AB0" w:rsidP="00CF6AB0">
            <w:pPr>
              <w:jc w:val="center"/>
              <w:rPr>
                <w:b/>
                <w:noProof/>
                <w:sz w:val="20"/>
              </w:rPr>
            </w:pPr>
            <w:r w:rsidRPr="00F537B9">
              <w:rPr>
                <w:b/>
                <w:noProof/>
                <w:sz w:val="20"/>
              </w:rPr>
              <w:t>SPOLU</w:t>
            </w:r>
          </w:p>
        </w:tc>
      </w:tr>
      <w:tr w:rsidR="00A54310" w:rsidRPr="00F537B9" w14:paraId="4A54FCCC" w14:textId="77777777" w:rsidTr="00CF6AB0">
        <w:trPr>
          <w:trHeight w:val="213"/>
        </w:trPr>
        <w:tc>
          <w:tcPr>
            <w:tcW w:w="6054" w:type="dxa"/>
            <w:gridSpan w:val="4"/>
            <w:vAlign w:val="center"/>
          </w:tcPr>
          <w:p w14:paraId="45A15516" w14:textId="77777777" w:rsidR="00CF6AB0" w:rsidRPr="00F537B9" w:rsidRDefault="00CF6AB0" w:rsidP="00CF6AB0">
            <w:pPr>
              <w:spacing w:before="20" w:after="20"/>
              <w:rPr>
                <w:noProof/>
                <w:sz w:val="21"/>
              </w:rPr>
            </w:pPr>
            <w:r w:rsidRPr="00F537B9">
              <w:rPr>
                <w:rFonts w:ascii="Wingdings" w:hAnsi="Wingdings"/>
                <w:noProof/>
                <w:sz w:val="21"/>
              </w:rPr>
              <w:t>□</w:t>
            </w:r>
            <w:r w:rsidRPr="00F537B9">
              <w:rPr>
                <w:noProof/>
                <w:sz w:val="21"/>
              </w:rPr>
              <w:t xml:space="preserve"> Operačné rozpočtové prostriedky </w:t>
            </w:r>
          </w:p>
        </w:tc>
        <w:tc>
          <w:tcPr>
            <w:tcW w:w="868" w:type="dxa"/>
            <w:vAlign w:val="center"/>
          </w:tcPr>
          <w:p w14:paraId="5949FA3E" w14:textId="77777777" w:rsidR="00CF6AB0" w:rsidRPr="00F537B9" w:rsidRDefault="00CF6AB0" w:rsidP="00CF6AB0">
            <w:pPr>
              <w:rPr>
                <w:noProof/>
                <w:sz w:val="20"/>
              </w:rPr>
            </w:pPr>
          </w:p>
        </w:tc>
        <w:tc>
          <w:tcPr>
            <w:tcW w:w="868" w:type="dxa"/>
            <w:vAlign w:val="center"/>
          </w:tcPr>
          <w:p w14:paraId="061200C8" w14:textId="77777777" w:rsidR="00CF6AB0" w:rsidRPr="00F537B9" w:rsidRDefault="00CF6AB0" w:rsidP="00CF6AB0">
            <w:pPr>
              <w:rPr>
                <w:noProof/>
                <w:sz w:val="20"/>
              </w:rPr>
            </w:pPr>
          </w:p>
        </w:tc>
        <w:tc>
          <w:tcPr>
            <w:tcW w:w="868" w:type="dxa"/>
            <w:vAlign w:val="center"/>
          </w:tcPr>
          <w:p w14:paraId="7BB4AD7A" w14:textId="77777777" w:rsidR="00CF6AB0" w:rsidRPr="00F537B9" w:rsidRDefault="00CF6AB0" w:rsidP="00CF6AB0">
            <w:pPr>
              <w:rPr>
                <w:noProof/>
                <w:sz w:val="20"/>
              </w:rPr>
            </w:pPr>
          </w:p>
        </w:tc>
        <w:tc>
          <w:tcPr>
            <w:tcW w:w="868" w:type="dxa"/>
            <w:vAlign w:val="center"/>
          </w:tcPr>
          <w:p w14:paraId="5D7023B2" w14:textId="77777777" w:rsidR="00CF6AB0" w:rsidRPr="00F537B9" w:rsidRDefault="00CF6AB0" w:rsidP="00CF6AB0">
            <w:pPr>
              <w:rPr>
                <w:noProof/>
                <w:sz w:val="20"/>
              </w:rPr>
            </w:pPr>
          </w:p>
        </w:tc>
        <w:tc>
          <w:tcPr>
            <w:tcW w:w="899" w:type="dxa"/>
          </w:tcPr>
          <w:p w14:paraId="32163F9A" w14:textId="77777777" w:rsidR="00CF6AB0" w:rsidRPr="00F537B9" w:rsidRDefault="00CF6AB0" w:rsidP="00CF6AB0">
            <w:pPr>
              <w:rPr>
                <w:noProof/>
                <w:sz w:val="20"/>
              </w:rPr>
            </w:pPr>
          </w:p>
        </w:tc>
        <w:tc>
          <w:tcPr>
            <w:tcW w:w="992" w:type="dxa"/>
          </w:tcPr>
          <w:p w14:paraId="1A92CBEB" w14:textId="77777777" w:rsidR="00CF6AB0" w:rsidRPr="00F537B9" w:rsidRDefault="00CF6AB0" w:rsidP="00CF6AB0">
            <w:pPr>
              <w:rPr>
                <w:noProof/>
                <w:sz w:val="20"/>
              </w:rPr>
            </w:pPr>
          </w:p>
        </w:tc>
        <w:tc>
          <w:tcPr>
            <w:tcW w:w="2693" w:type="dxa"/>
            <w:vAlign w:val="center"/>
          </w:tcPr>
          <w:p w14:paraId="0CA5A91A" w14:textId="77777777" w:rsidR="00CF6AB0" w:rsidRPr="00F537B9" w:rsidRDefault="00CF6AB0" w:rsidP="00CF6AB0">
            <w:pPr>
              <w:rPr>
                <w:b/>
                <w:noProof/>
                <w:sz w:val="20"/>
              </w:rPr>
            </w:pPr>
          </w:p>
        </w:tc>
      </w:tr>
      <w:tr w:rsidR="00A54310" w:rsidRPr="00F537B9" w14:paraId="2A40099C" w14:textId="77777777" w:rsidTr="00F65C25">
        <w:trPr>
          <w:trHeight w:val="277"/>
        </w:trPr>
        <w:tc>
          <w:tcPr>
            <w:tcW w:w="3960" w:type="dxa"/>
            <w:vMerge w:val="restart"/>
            <w:vAlign w:val="center"/>
          </w:tcPr>
          <w:p w14:paraId="3972FA59" w14:textId="77777777" w:rsidR="00CF6AB0" w:rsidRPr="00F537B9" w:rsidRDefault="00CF6AB0" w:rsidP="00CF6AB0">
            <w:pPr>
              <w:rPr>
                <w:noProof/>
              </w:rPr>
            </w:pPr>
            <w:r w:rsidRPr="00F537B9">
              <w:rPr>
                <w:noProof/>
                <w:sz w:val="20"/>
              </w:rPr>
              <w:t>Rozpočtový riadok</w:t>
            </w:r>
            <w:r w:rsidRPr="00F537B9">
              <w:rPr>
                <w:rStyle w:val="FootnoteReference"/>
                <w:noProof/>
                <w:sz w:val="20"/>
              </w:rPr>
              <w:footnoteReference w:id="47"/>
            </w:r>
          </w:p>
        </w:tc>
        <w:tc>
          <w:tcPr>
            <w:tcW w:w="1440" w:type="dxa"/>
            <w:vAlign w:val="center"/>
          </w:tcPr>
          <w:p w14:paraId="0AFAF2D0" w14:textId="77777777" w:rsidR="00CF6AB0" w:rsidRPr="00F537B9" w:rsidRDefault="00CF6AB0" w:rsidP="00CF6AB0">
            <w:pPr>
              <w:spacing w:before="20" w:after="20"/>
              <w:rPr>
                <w:noProof/>
                <w:sz w:val="18"/>
              </w:rPr>
            </w:pPr>
            <w:r w:rsidRPr="00F537B9">
              <w:rPr>
                <w:noProof/>
                <w:sz w:val="18"/>
              </w:rPr>
              <w:t>Záväzky</w:t>
            </w:r>
          </w:p>
        </w:tc>
        <w:tc>
          <w:tcPr>
            <w:tcW w:w="654" w:type="dxa"/>
            <w:gridSpan w:val="2"/>
            <w:vAlign w:val="center"/>
          </w:tcPr>
          <w:p w14:paraId="5841DE2B" w14:textId="77777777" w:rsidR="00CF6AB0" w:rsidRPr="00F537B9" w:rsidRDefault="00CF6AB0" w:rsidP="00CF6AB0">
            <w:pPr>
              <w:spacing w:before="20" w:after="20"/>
              <w:jc w:val="center"/>
              <w:rPr>
                <w:noProof/>
                <w:sz w:val="14"/>
              </w:rPr>
            </w:pPr>
            <w:r w:rsidRPr="00F537B9">
              <w:rPr>
                <w:noProof/>
                <w:sz w:val="14"/>
              </w:rPr>
              <w:t>(1a)</w:t>
            </w:r>
          </w:p>
        </w:tc>
        <w:tc>
          <w:tcPr>
            <w:tcW w:w="868" w:type="dxa"/>
            <w:vAlign w:val="center"/>
          </w:tcPr>
          <w:p w14:paraId="71F4F1D5" w14:textId="77777777" w:rsidR="00CF6AB0" w:rsidRPr="00F537B9" w:rsidRDefault="00CF6AB0" w:rsidP="00CF6AB0">
            <w:pPr>
              <w:spacing w:before="20" w:after="20"/>
              <w:jc w:val="right"/>
              <w:rPr>
                <w:noProof/>
                <w:sz w:val="20"/>
              </w:rPr>
            </w:pPr>
            <w:r w:rsidRPr="00F537B9">
              <w:rPr>
                <w:noProof/>
                <w:sz w:val="20"/>
              </w:rPr>
              <w:t>0,065</w:t>
            </w:r>
          </w:p>
        </w:tc>
        <w:tc>
          <w:tcPr>
            <w:tcW w:w="868" w:type="dxa"/>
            <w:vAlign w:val="center"/>
          </w:tcPr>
          <w:p w14:paraId="5CEE6CE4" w14:textId="77777777" w:rsidR="00CF6AB0" w:rsidRPr="00F537B9" w:rsidRDefault="00CF6AB0" w:rsidP="00CF6AB0">
            <w:pPr>
              <w:spacing w:before="20" w:after="20"/>
              <w:jc w:val="right"/>
              <w:rPr>
                <w:noProof/>
                <w:sz w:val="20"/>
              </w:rPr>
            </w:pPr>
            <w:r w:rsidRPr="00F537B9">
              <w:rPr>
                <w:noProof/>
                <w:sz w:val="20"/>
              </w:rPr>
              <w:t>0,065</w:t>
            </w:r>
          </w:p>
        </w:tc>
        <w:tc>
          <w:tcPr>
            <w:tcW w:w="868" w:type="dxa"/>
            <w:vAlign w:val="center"/>
          </w:tcPr>
          <w:p w14:paraId="41D4520D" w14:textId="77777777" w:rsidR="00CF6AB0" w:rsidRPr="00F537B9" w:rsidRDefault="00CF6AB0" w:rsidP="00CF6AB0">
            <w:pPr>
              <w:spacing w:before="20" w:after="20"/>
              <w:jc w:val="right"/>
              <w:rPr>
                <w:noProof/>
                <w:sz w:val="20"/>
              </w:rPr>
            </w:pPr>
            <w:r w:rsidRPr="00F537B9">
              <w:rPr>
                <w:noProof/>
                <w:sz w:val="20"/>
              </w:rPr>
              <w:t>0,065</w:t>
            </w:r>
          </w:p>
        </w:tc>
        <w:tc>
          <w:tcPr>
            <w:tcW w:w="868" w:type="dxa"/>
            <w:vAlign w:val="center"/>
          </w:tcPr>
          <w:p w14:paraId="095C93CB" w14:textId="77777777" w:rsidR="00CF6AB0" w:rsidRPr="00F537B9" w:rsidRDefault="00CF6AB0" w:rsidP="00CF6AB0">
            <w:pPr>
              <w:spacing w:before="20" w:after="20"/>
              <w:jc w:val="right"/>
              <w:rPr>
                <w:noProof/>
                <w:sz w:val="20"/>
              </w:rPr>
            </w:pPr>
          </w:p>
        </w:tc>
        <w:tc>
          <w:tcPr>
            <w:tcW w:w="899" w:type="dxa"/>
            <w:vAlign w:val="center"/>
          </w:tcPr>
          <w:p w14:paraId="3F9E88C5" w14:textId="77777777" w:rsidR="00CF6AB0" w:rsidRPr="00F537B9" w:rsidRDefault="00CF6AB0" w:rsidP="00CF6AB0">
            <w:pPr>
              <w:spacing w:before="20" w:after="20"/>
              <w:jc w:val="right"/>
              <w:rPr>
                <w:noProof/>
                <w:sz w:val="20"/>
              </w:rPr>
            </w:pPr>
          </w:p>
        </w:tc>
        <w:tc>
          <w:tcPr>
            <w:tcW w:w="992" w:type="dxa"/>
            <w:vAlign w:val="center"/>
          </w:tcPr>
          <w:p w14:paraId="3FF1C5FB" w14:textId="77777777" w:rsidR="00CF6AB0" w:rsidRPr="00F537B9" w:rsidRDefault="00CF6AB0" w:rsidP="00CF6AB0">
            <w:pPr>
              <w:spacing w:before="20" w:after="20"/>
              <w:jc w:val="right"/>
              <w:rPr>
                <w:noProof/>
                <w:sz w:val="20"/>
              </w:rPr>
            </w:pPr>
          </w:p>
        </w:tc>
        <w:tc>
          <w:tcPr>
            <w:tcW w:w="2693" w:type="dxa"/>
            <w:vAlign w:val="center"/>
          </w:tcPr>
          <w:p w14:paraId="394514E9" w14:textId="77777777" w:rsidR="00CF6AB0" w:rsidRPr="00F537B9" w:rsidRDefault="00CF6AB0" w:rsidP="00CF6AB0">
            <w:pPr>
              <w:spacing w:before="20" w:after="20"/>
              <w:jc w:val="right"/>
              <w:rPr>
                <w:b/>
                <w:noProof/>
                <w:sz w:val="20"/>
              </w:rPr>
            </w:pPr>
            <w:r w:rsidRPr="00F537B9">
              <w:rPr>
                <w:b/>
                <w:noProof/>
                <w:sz w:val="20"/>
              </w:rPr>
              <w:t>0,195</w:t>
            </w:r>
          </w:p>
        </w:tc>
      </w:tr>
      <w:tr w:rsidR="00A54310" w:rsidRPr="00F537B9" w14:paraId="6BBC6944" w14:textId="77777777" w:rsidTr="00F65C25">
        <w:tc>
          <w:tcPr>
            <w:tcW w:w="3960" w:type="dxa"/>
            <w:vMerge/>
          </w:tcPr>
          <w:p w14:paraId="75BD6CC7" w14:textId="77777777" w:rsidR="00CF6AB0" w:rsidRPr="00F537B9" w:rsidRDefault="00CF6AB0" w:rsidP="00CF6AB0">
            <w:pPr>
              <w:jc w:val="center"/>
              <w:rPr>
                <w:noProof/>
                <w:sz w:val="20"/>
              </w:rPr>
            </w:pPr>
          </w:p>
        </w:tc>
        <w:tc>
          <w:tcPr>
            <w:tcW w:w="1440" w:type="dxa"/>
            <w:vAlign w:val="center"/>
          </w:tcPr>
          <w:p w14:paraId="7F02F697" w14:textId="77777777" w:rsidR="00CF6AB0" w:rsidRPr="00F537B9" w:rsidRDefault="00CF6AB0" w:rsidP="00CF6AB0">
            <w:pPr>
              <w:spacing w:before="20" w:after="20"/>
              <w:rPr>
                <w:noProof/>
                <w:sz w:val="18"/>
              </w:rPr>
            </w:pPr>
            <w:r w:rsidRPr="00F537B9">
              <w:rPr>
                <w:noProof/>
                <w:sz w:val="18"/>
              </w:rPr>
              <w:t>Platby</w:t>
            </w:r>
          </w:p>
        </w:tc>
        <w:tc>
          <w:tcPr>
            <w:tcW w:w="654" w:type="dxa"/>
            <w:gridSpan w:val="2"/>
            <w:vAlign w:val="center"/>
          </w:tcPr>
          <w:p w14:paraId="2FBAF911" w14:textId="77777777" w:rsidR="00CF6AB0" w:rsidRPr="00F537B9" w:rsidRDefault="00CF6AB0" w:rsidP="00CF6AB0">
            <w:pPr>
              <w:spacing w:before="20" w:after="20"/>
              <w:jc w:val="center"/>
              <w:rPr>
                <w:noProof/>
                <w:sz w:val="14"/>
              </w:rPr>
            </w:pPr>
            <w:r w:rsidRPr="00F537B9">
              <w:rPr>
                <w:noProof/>
                <w:sz w:val="14"/>
              </w:rPr>
              <w:t>(2a)</w:t>
            </w:r>
          </w:p>
        </w:tc>
        <w:tc>
          <w:tcPr>
            <w:tcW w:w="868" w:type="dxa"/>
            <w:vAlign w:val="center"/>
          </w:tcPr>
          <w:p w14:paraId="32F1BE8B" w14:textId="77777777" w:rsidR="00CF6AB0" w:rsidRPr="00F537B9" w:rsidRDefault="00CF6AB0" w:rsidP="00CF6AB0">
            <w:pPr>
              <w:spacing w:before="20" w:after="20"/>
              <w:jc w:val="right"/>
              <w:rPr>
                <w:noProof/>
                <w:sz w:val="20"/>
              </w:rPr>
            </w:pPr>
            <w:r w:rsidRPr="00F537B9">
              <w:rPr>
                <w:noProof/>
                <w:sz w:val="20"/>
              </w:rPr>
              <w:t>0,065</w:t>
            </w:r>
          </w:p>
        </w:tc>
        <w:tc>
          <w:tcPr>
            <w:tcW w:w="868" w:type="dxa"/>
            <w:vAlign w:val="center"/>
          </w:tcPr>
          <w:p w14:paraId="7F27AB44" w14:textId="77777777" w:rsidR="00CF6AB0" w:rsidRPr="00F537B9" w:rsidRDefault="00CF6AB0" w:rsidP="00CF6AB0">
            <w:pPr>
              <w:spacing w:before="20" w:after="20"/>
              <w:jc w:val="right"/>
              <w:rPr>
                <w:noProof/>
                <w:sz w:val="20"/>
              </w:rPr>
            </w:pPr>
            <w:r w:rsidRPr="00F537B9">
              <w:rPr>
                <w:noProof/>
                <w:sz w:val="20"/>
              </w:rPr>
              <w:t>0,065</w:t>
            </w:r>
          </w:p>
        </w:tc>
        <w:tc>
          <w:tcPr>
            <w:tcW w:w="868" w:type="dxa"/>
            <w:vAlign w:val="center"/>
          </w:tcPr>
          <w:p w14:paraId="2FE24890" w14:textId="77777777" w:rsidR="00CF6AB0" w:rsidRPr="00F537B9" w:rsidRDefault="00CF6AB0" w:rsidP="00CF6AB0">
            <w:pPr>
              <w:spacing w:before="20" w:after="20"/>
              <w:jc w:val="right"/>
              <w:rPr>
                <w:noProof/>
                <w:sz w:val="20"/>
              </w:rPr>
            </w:pPr>
            <w:r w:rsidRPr="00F537B9">
              <w:rPr>
                <w:noProof/>
                <w:sz w:val="20"/>
              </w:rPr>
              <w:t>0,065</w:t>
            </w:r>
          </w:p>
        </w:tc>
        <w:tc>
          <w:tcPr>
            <w:tcW w:w="868" w:type="dxa"/>
            <w:vAlign w:val="center"/>
          </w:tcPr>
          <w:p w14:paraId="170695B4" w14:textId="77777777" w:rsidR="00CF6AB0" w:rsidRPr="00F537B9" w:rsidRDefault="00CF6AB0" w:rsidP="00CF6AB0">
            <w:pPr>
              <w:spacing w:before="20" w:after="20"/>
              <w:jc w:val="right"/>
              <w:rPr>
                <w:noProof/>
                <w:sz w:val="20"/>
              </w:rPr>
            </w:pPr>
          </w:p>
        </w:tc>
        <w:tc>
          <w:tcPr>
            <w:tcW w:w="899" w:type="dxa"/>
            <w:vAlign w:val="center"/>
          </w:tcPr>
          <w:p w14:paraId="72A9E89D" w14:textId="77777777" w:rsidR="00CF6AB0" w:rsidRPr="00F537B9" w:rsidRDefault="00CF6AB0" w:rsidP="00CF6AB0">
            <w:pPr>
              <w:spacing w:before="20" w:after="20"/>
              <w:jc w:val="right"/>
              <w:rPr>
                <w:noProof/>
                <w:sz w:val="20"/>
              </w:rPr>
            </w:pPr>
          </w:p>
        </w:tc>
        <w:tc>
          <w:tcPr>
            <w:tcW w:w="992" w:type="dxa"/>
            <w:vAlign w:val="center"/>
          </w:tcPr>
          <w:p w14:paraId="7B4DC126" w14:textId="77777777" w:rsidR="00CF6AB0" w:rsidRPr="00F537B9" w:rsidRDefault="00CF6AB0" w:rsidP="00CF6AB0">
            <w:pPr>
              <w:spacing w:before="20" w:after="20"/>
              <w:jc w:val="right"/>
              <w:rPr>
                <w:noProof/>
                <w:sz w:val="20"/>
              </w:rPr>
            </w:pPr>
          </w:p>
        </w:tc>
        <w:tc>
          <w:tcPr>
            <w:tcW w:w="2693" w:type="dxa"/>
            <w:vAlign w:val="center"/>
          </w:tcPr>
          <w:p w14:paraId="70F7C138" w14:textId="77777777" w:rsidR="00CF6AB0" w:rsidRPr="00F537B9" w:rsidRDefault="00CF6AB0" w:rsidP="00CF6AB0">
            <w:pPr>
              <w:spacing w:before="20" w:after="20"/>
              <w:jc w:val="right"/>
              <w:rPr>
                <w:b/>
                <w:noProof/>
                <w:sz w:val="20"/>
              </w:rPr>
            </w:pPr>
            <w:r w:rsidRPr="00F537B9">
              <w:rPr>
                <w:b/>
                <w:noProof/>
                <w:sz w:val="20"/>
              </w:rPr>
              <w:t>0,195</w:t>
            </w:r>
          </w:p>
        </w:tc>
      </w:tr>
      <w:tr w:rsidR="00A54310" w:rsidRPr="00F537B9" w14:paraId="7B58C51D" w14:textId="77777777" w:rsidTr="00CF6AB0">
        <w:tc>
          <w:tcPr>
            <w:tcW w:w="3960" w:type="dxa"/>
            <w:vMerge w:val="restart"/>
            <w:vAlign w:val="center"/>
          </w:tcPr>
          <w:p w14:paraId="361F5382" w14:textId="77777777" w:rsidR="00CF6AB0" w:rsidRPr="00F537B9" w:rsidRDefault="00CF6AB0" w:rsidP="00CF6AB0">
            <w:pPr>
              <w:rPr>
                <w:noProof/>
              </w:rPr>
            </w:pPr>
            <w:r w:rsidRPr="00F537B9">
              <w:rPr>
                <w:noProof/>
                <w:sz w:val="20"/>
              </w:rPr>
              <w:t>Rozpočtový riadok</w:t>
            </w:r>
          </w:p>
        </w:tc>
        <w:tc>
          <w:tcPr>
            <w:tcW w:w="1440" w:type="dxa"/>
            <w:vAlign w:val="center"/>
          </w:tcPr>
          <w:p w14:paraId="6AD37B2A" w14:textId="77777777" w:rsidR="00CF6AB0" w:rsidRPr="00F537B9" w:rsidRDefault="00CF6AB0" w:rsidP="00CF6AB0">
            <w:pPr>
              <w:spacing w:before="20" w:after="20"/>
              <w:rPr>
                <w:noProof/>
                <w:sz w:val="18"/>
              </w:rPr>
            </w:pPr>
            <w:r w:rsidRPr="00F537B9">
              <w:rPr>
                <w:noProof/>
                <w:sz w:val="18"/>
              </w:rPr>
              <w:t>Záväzky</w:t>
            </w:r>
          </w:p>
        </w:tc>
        <w:tc>
          <w:tcPr>
            <w:tcW w:w="654" w:type="dxa"/>
            <w:gridSpan w:val="2"/>
            <w:vAlign w:val="center"/>
          </w:tcPr>
          <w:p w14:paraId="4E28EB66" w14:textId="77777777" w:rsidR="00CF6AB0" w:rsidRPr="00F537B9" w:rsidRDefault="00CF6AB0" w:rsidP="00CF6AB0">
            <w:pPr>
              <w:spacing w:before="20" w:after="20"/>
              <w:jc w:val="center"/>
              <w:rPr>
                <w:noProof/>
                <w:sz w:val="14"/>
              </w:rPr>
            </w:pPr>
            <w:r w:rsidRPr="00F537B9">
              <w:rPr>
                <w:noProof/>
                <w:sz w:val="14"/>
              </w:rPr>
              <w:t>(1b)</w:t>
            </w:r>
          </w:p>
        </w:tc>
        <w:tc>
          <w:tcPr>
            <w:tcW w:w="868" w:type="dxa"/>
            <w:vAlign w:val="center"/>
          </w:tcPr>
          <w:p w14:paraId="12DB8CB0" w14:textId="77777777" w:rsidR="00CF6AB0" w:rsidRPr="00F537B9" w:rsidRDefault="00CF6AB0" w:rsidP="00CF6AB0">
            <w:pPr>
              <w:spacing w:before="20" w:after="20"/>
              <w:jc w:val="right"/>
              <w:rPr>
                <w:noProof/>
                <w:sz w:val="20"/>
              </w:rPr>
            </w:pPr>
          </w:p>
        </w:tc>
        <w:tc>
          <w:tcPr>
            <w:tcW w:w="868" w:type="dxa"/>
            <w:vAlign w:val="center"/>
          </w:tcPr>
          <w:p w14:paraId="0BB0ED3E" w14:textId="77777777" w:rsidR="00CF6AB0" w:rsidRPr="00F537B9" w:rsidRDefault="00CF6AB0" w:rsidP="00CF6AB0">
            <w:pPr>
              <w:spacing w:before="20" w:after="20"/>
              <w:jc w:val="right"/>
              <w:rPr>
                <w:noProof/>
                <w:sz w:val="20"/>
              </w:rPr>
            </w:pPr>
          </w:p>
        </w:tc>
        <w:tc>
          <w:tcPr>
            <w:tcW w:w="868" w:type="dxa"/>
            <w:vAlign w:val="center"/>
          </w:tcPr>
          <w:p w14:paraId="1D8A2AEF" w14:textId="77777777" w:rsidR="00CF6AB0" w:rsidRPr="00F537B9" w:rsidRDefault="00CF6AB0" w:rsidP="00CF6AB0">
            <w:pPr>
              <w:spacing w:before="20" w:after="20"/>
              <w:jc w:val="right"/>
              <w:rPr>
                <w:noProof/>
                <w:sz w:val="20"/>
              </w:rPr>
            </w:pPr>
          </w:p>
        </w:tc>
        <w:tc>
          <w:tcPr>
            <w:tcW w:w="868" w:type="dxa"/>
            <w:vAlign w:val="center"/>
          </w:tcPr>
          <w:p w14:paraId="589DCA45" w14:textId="77777777" w:rsidR="00CF6AB0" w:rsidRPr="00F537B9" w:rsidRDefault="00CF6AB0" w:rsidP="00CF6AB0">
            <w:pPr>
              <w:spacing w:before="20" w:after="20"/>
              <w:jc w:val="right"/>
              <w:rPr>
                <w:noProof/>
                <w:sz w:val="20"/>
              </w:rPr>
            </w:pPr>
          </w:p>
        </w:tc>
        <w:tc>
          <w:tcPr>
            <w:tcW w:w="899" w:type="dxa"/>
          </w:tcPr>
          <w:p w14:paraId="3865A2CA" w14:textId="77777777" w:rsidR="00CF6AB0" w:rsidRPr="00F537B9" w:rsidRDefault="00CF6AB0" w:rsidP="00CF6AB0">
            <w:pPr>
              <w:spacing w:before="20" w:after="20"/>
              <w:jc w:val="right"/>
              <w:rPr>
                <w:noProof/>
                <w:sz w:val="20"/>
              </w:rPr>
            </w:pPr>
          </w:p>
        </w:tc>
        <w:tc>
          <w:tcPr>
            <w:tcW w:w="992" w:type="dxa"/>
            <w:vAlign w:val="center"/>
          </w:tcPr>
          <w:p w14:paraId="2E23048A" w14:textId="77777777" w:rsidR="00CF6AB0" w:rsidRPr="00F537B9" w:rsidRDefault="00CF6AB0" w:rsidP="00CF6AB0">
            <w:pPr>
              <w:spacing w:before="20" w:after="20"/>
              <w:jc w:val="right"/>
              <w:rPr>
                <w:noProof/>
                <w:sz w:val="20"/>
              </w:rPr>
            </w:pPr>
          </w:p>
        </w:tc>
        <w:tc>
          <w:tcPr>
            <w:tcW w:w="2693" w:type="dxa"/>
            <w:vAlign w:val="center"/>
          </w:tcPr>
          <w:p w14:paraId="1071DDDB" w14:textId="77777777" w:rsidR="00CF6AB0" w:rsidRPr="00F537B9" w:rsidRDefault="00CF6AB0" w:rsidP="00CF6AB0">
            <w:pPr>
              <w:spacing w:before="20" w:after="20"/>
              <w:jc w:val="right"/>
              <w:rPr>
                <w:b/>
                <w:noProof/>
                <w:sz w:val="20"/>
              </w:rPr>
            </w:pPr>
          </w:p>
        </w:tc>
      </w:tr>
      <w:tr w:rsidR="00A54310" w:rsidRPr="00F537B9" w14:paraId="357ACCBE" w14:textId="77777777" w:rsidTr="00CF6AB0">
        <w:tc>
          <w:tcPr>
            <w:tcW w:w="3960" w:type="dxa"/>
            <w:vMerge/>
          </w:tcPr>
          <w:p w14:paraId="178EF055" w14:textId="77777777" w:rsidR="00CF6AB0" w:rsidRPr="00F537B9" w:rsidRDefault="00CF6AB0" w:rsidP="00CF6AB0">
            <w:pPr>
              <w:jc w:val="center"/>
              <w:rPr>
                <w:noProof/>
                <w:sz w:val="20"/>
              </w:rPr>
            </w:pPr>
          </w:p>
        </w:tc>
        <w:tc>
          <w:tcPr>
            <w:tcW w:w="1440" w:type="dxa"/>
            <w:vAlign w:val="center"/>
          </w:tcPr>
          <w:p w14:paraId="61A6BE06" w14:textId="77777777" w:rsidR="00CF6AB0" w:rsidRPr="00F537B9" w:rsidRDefault="00CF6AB0" w:rsidP="00CF6AB0">
            <w:pPr>
              <w:spacing w:before="20" w:after="20"/>
              <w:rPr>
                <w:noProof/>
                <w:sz w:val="18"/>
              </w:rPr>
            </w:pPr>
            <w:r w:rsidRPr="00F537B9">
              <w:rPr>
                <w:noProof/>
                <w:sz w:val="18"/>
              </w:rPr>
              <w:t>Platby</w:t>
            </w:r>
          </w:p>
        </w:tc>
        <w:tc>
          <w:tcPr>
            <w:tcW w:w="654" w:type="dxa"/>
            <w:gridSpan w:val="2"/>
            <w:vAlign w:val="center"/>
          </w:tcPr>
          <w:p w14:paraId="54D4E184" w14:textId="77777777" w:rsidR="00CF6AB0" w:rsidRPr="00F537B9" w:rsidRDefault="00CF6AB0" w:rsidP="00CF6AB0">
            <w:pPr>
              <w:spacing w:before="20" w:after="20"/>
              <w:jc w:val="center"/>
              <w:rPr>
                <w:noProof/>
                <w:sz w:val="14"/>
              </w:rPr>
            </w:pPr>
            <w:r w:rsidRPr="00F537B9">
              <w:rPr>
                <w:noProof/>
                <w:sz w:val="14"/>
              </w:rPr>
              <w:t>(2b)</w:t>
            </w:r>
          </w:p>
        </w:tc>
        <w:tc>
          <w:tcPr>
            <w:tcW w:w="868" w:type="dxa"/>
            <w:vAlign w:val="center"/>
          </w:tcPr>
          <w:p w14:paraId="05DC7008" w14:textId="77777777" w:rsidR="00CF6AB0" w:rsidRPr="00F537B9" w:rsidRDefault="00CF6AB0" w:rsidP="00CF6AB0">
            <w:pPr>
              <w:spacing w:before="20" w:after="20"/>
              <w:jc w:val="right"/>
              <w:rPr>
                <w:noProof/>
                <w:sz w:val="20"/>
              </w:rPr>
            </w:pPr>
          </w:p>
        </w:tc>
        <w:tc>
          <w:tcPr>
            <w:tcW w:w="868" w:type="dxa"/>
            <w:vAlign w:val="center"/>
          </w:tcPr>
          <w:p w14:paraId="74C285AC" w14:textId="77777777" w:rsidR="00CF6AB0" w:rsidRPr="00F537B9" w:rsidRDefault="00CF6AB0" w:rsidP="00CF6AB0">
            <w:pPr>
              <w:spacing w:before="20" w:after="20"/>
              <w:jc w:val="right"/>
              <w:rPr>
                <w:noProof/>
                <w:sz w:val="20"/>
              </w:rPr>
            </w:pPr>
          </w:p>
        </w:tc>
        <w:tc>
          <w:tcPr>
            <w:tcW w:w="868" w:type="dxa"/>
            <w:vAlign w:val="center"/>
          </w:tcPr>
          <w:p w14:paraId="658EFC1C" w14:textId="77777777" w:rsidR="00CF6AB0" w:rsidRPr="00F537B9" w:rsidRDefault="00CF6AB0" w:rsidP="00CF6AB0">
            <w:pPr>
              <w:spacing w:before="20" w:after="20"/>
              <w:jc w:val="right"/>
              <w:rPr>
                <w:noProof/>
                <w:sz w:val="20"/>
              </w:rPr>
            </w:pPr>
          </w:p>
        </w:tc>
        <w:tc>
          <w:tcPr>
            <w:tcW w:w="868" w:type="dxa"/>
            <w:vAlign w:val="center"/>
          </w:tcPr>
          <w:p w14:paraId="396ABC47" w14:textId="77777777" w:rsidR="00CF6AB0" w:rsidRPr="00F537B9" w:rsidRDefault="00CF6AB0" w:rsidP="00CF6AB0">
            <w:pPr>
              <w:spacing w:before="20" w:after="20"/>
              <w:jc w:val="right"/>
              <w:rPr>
                <w:noProof/>
                <w:sz w:val="20"/>
              </w:rPr>
            </w:pPr>
          </w:p>
        </w:tc>
        <w:tc>
          <w:tcPr>
            <w:tcW w:w="899" w:type="dxa"/>
          </w:tcPr>
          <w:p w14:paraId="4EC5BE2B" w14:textId="77777777" w:rsidR="00CF6AB0" w:rsidRPr="00F537B9" w:rsidRDefault="00CF6AB0" w:rsidP="00CF6AB0">
            <w:pPr>
              <w:spacing w:before="20" w:after="20"/>
              <w:jc w:val="right"/>
              <w:rPr>
                <w:noProof/>
                <w:sz w:val="20"/>
              </w:rPr>
            </w:pPr>
          </w:p>
        </w:tc>
        <w:tc>
          <w:tcPr>
            <w:tcW w:w="992" w:type="dxa"/>
            <w:vAlign w:val="center"/>
          </w:tcPr>
          <w:p w14:paraId="131D5150" w14:textId="77777777" w:rsidR="00CF6AB0" w:rsidRPr="00F537B9" w:rsidRDefault="00CF6AB0" w:rsidP="00CF6AB0">
            <w:pPr>
              <w:spacing w:before="20" w:after="20"/>
              <w:jc w:val="right"/>
              <w:rPr>
                <w:noProof/>
                <w:sz w:val="20"/>
              </w:rPr>
            </w:pPr>
          </w:p>
        </w:tc>
        <w:tc>
          <w:tcPr>
            <w:tcW w:w="2693" w:type="dxa"/>
            <w:vAlign w:val="center"/>
          </w:tcPr>
          <w:p w14:paraId="66C52DCC" w14:textId="77777777" w:rsidR="00CF6AB0" w:rsidRPr="00F537B9" w:rsidRDefault="00CF6AB0" w:rsidP="00CF6AB0">
            <w:pPr>
              <w:spacing w:before="20" w:after="20"/>
              <w:jc w:val="right"/>
              <w:rPr>
                <w:b/>
                <w:noProof/>
                <w:sz w:val="20"/>
              </w:rPr>
            </w:pPr>
          </w:p>
        </w:tc>
      </w:tr>
      <w:tr w:rsidR="00A54310" w:rsidRPr="00F537B9" w14:paraId="2585F795" w14:textId="77777777" w:rsidTr="00CF6AB0">
        <w:trPr>
          <w:trHeight w:val="231"/>
        </w:trPr>
        <w:tc>
          <w:tcPr>
            <w:tcW w:w="6054" w:type="dxa"/>
            <w:gridSpan w:val="4"/>
            <w:vAlign w:val="center"/>
          </w:tcPr>
          <w:p w14:paraId="0304A5B6" w14:textId="77777777" w:rsidR="00F537B9" w:rsidRDefault="00CF6AB0" w:rsidP="00CF6AB0">
            <w:pPr>
              <w:spacing w:before="20" w:after="20"/>
              <w:rPr>
                <w:noProof/>
                <w:sz w:val="21"/>
              </w:rPr>
            </w:pPr>
            <w:r w:rsidRPr="00F537B9">
              <w:rPr>
                <w:noProof/>
                <w:sz w:val="21"/>
              </w:rPr>
              <w:t>Administratívne rozpočtové prostriedky financované</w:t>
            </w:r>
            <w:r w:rsidR="00F537B9">
              <w:rPr>
                <w:noProof/>
                <w:sz w:val="21"/>
              </w:rPr>
              <w:t xml:space="preserve"> z </w:t>
            </w:r>
            <w:r w:rsidRPr="00F537B9">
              <w:rPr>
                <w:noProof/>
                <w:sz w:val="21"/>
              </w:rPr>
              <w:t>finančného krytia na vykonávanie osobitných programov</w:t>
            </w:r>
            <w:r w:rsidRPr="00F537B9">
              <w:rPr>
                <w:rStyle w:val="FootnoteReference"/>
                <w:noProof/>
                <w:sz w:val="21"/>
              </w:rPr>
              <w:footnoteReference w:id="48"/>
            </w:r>
          </w:p>
          <w:p w14:paraId="73889B4B" w14:textId="605DA15F" w:rsidR="00CF6AB0" w:rsidRPr="00F537B9" w:rsidRDefault="00CF6AB0" w:rsidP="00CF6AB0">
            <w:pPr>
              <w:spacing w:before="0" w:after="0"/>
              <w:rPr>
                <w:noProof/>
              </w:rPr>
            </w:pPr>
          </w:p>
        </w:tc>
        <w:tc>
          <w:tcPr>
            <w:tcW w:w="868" w:type="dxa"/>
            <w:vAlign w:val="center"/>
          </w:tcPr>
          <w:p w14:paraId="5ABA816F" w14:textId="77777777" w:rsidR="00CF6AB0" w:rsidRPr="00F537B9" w:rsidRDefault="00CF6AB0" w:rsidP="00CF6AB0">
            <w:pPr>
              <w:rPr>
                <w:b/>
                <w:noProof/>
                <w:sz w:val="20"/>
              </w:rPr>
            </w:pPr>
          </w:p>
        </w:tc>
        <w:tc>
          <w:tcPr>
            <w:tcW w:w="868" w:type="dxa"/>
            <w:vAlign w:val="center"/>
          </w:tcPr>
          <w:p w14:paraId="40045C76" w14:textId="77777777" w:rsidR="00CF6AB0" w:rsidRPr="00F537B9" w:rsidRDefault="00CF6AB0" w:rsidP="00CF6AB0">
            <w:pPr>
              <w:rPr>
                <w:b/>
                <w:noProof/>
                <w:sz w:val="20"/>
              </w:rPr>
            </w:pPr>
          </w:p>
        </w:tc>
        <w:tc>
          <w:tcPr>
            <w:tcW w:w="868" w:type="dxa"/>
            <w:vAlign w:val="center"/>
          </w:tcPr>
          <w:p w14:paraId="025BEC3E" w14:textId="77777777" w:rsidR="00CF6AB0" w:rsidRPr="00F537B9" w:rsidRDefault="00CF6AB0" w:rsidP="00CF6AB0">
            <w:pPr>
              <w:rPr>
                <w:b/>
                <w:noProof/>
                <w:sz w:val="20"/>
              </w:rPr>
            </w:pPr>
          </w:p>
        </w:tc>
        <w:tc>
          <w:tcPr>
            <w:tcW w:w="868" w:type="dxa"/>
            <w:vAlign w:val="center"/>
          </w:tcPr>
          <w:p w14:paraId="1B82C40B" w14:textId="77777777" w:rsidR="00CF6AB0" w:rsidRPr="00F537B9" w:rsidRDefault="00CF6AB0" w:rsidP="00CF6AB0">
            <w:pPr>
              <w:rPr>
                <w:b/>
                <w:noProof/>
                <w:sz w:val="20"/>
              </w:rPr>
            </w:pPr>
          </w:p>
        </w:tc>
        <w:tc>
          <w:tcPr>
            <w:tcW w:w="899" w:type="dxa"/>
          </w:tcPr>
          <w:p w14:paraId="02A79259" w14:textId="77777777" w:rsidR="00CF6AB0" w:rsidRPr="00F537B9" w:rsidRDefault="00CF6AB0" w:rsidP="00CF6AB0">
            <w:pPr>
              <w:rPr>
                <w:b/>
                <w:noProof/>
                <w:sz w:val="20"/>
              </w:rPr>
            </w:pPr>
          </w:p>
        </w:tc>
        <w:tc>
          <w:tcPr>
            <w:tcW w:w="992" w:type="dxa"/>
          </w:tcPr>
          <w:p w14:paraId="71A61B39" w14:textId="77777777" w:rsidR="00CF6AB0" w:rsidRPr="00F537B9" w:rsidRDefault="00CF6AB0" w:rsidP="00CF6AB0">
            <w:pPr>
              <w:rPr>
                <w:b/>
                <w:noProof/>
                <w:sz w:val="20"/>
              </w:rPr>
            </w:pPr>
          </w:p>
        </w:tc>
        <w:tc>
          <w:tcPr>
            <w:tcW w:w="2693" w:type="dxa"/>
            <w:vAlign w:val="center"/>
          </w:tcPr>
          <w:p w14:paraId="0C6F5113" w14:textId="77777777" w:rsidR="00CF6AB0" w:rsidRPr="00F537B9" w:rsidRDefault="00CF6AB0" w:rsidP="00CF6AB0">
            <w:pPr>
              <w:rPr>
                <w:b/>
                <w:noProof/>
                <w:sz w:val="20"/>
              </w:rPr>
            </w:pPr>
          </w:p>
        </w:tc>
      </w:tr>
      <w:tr w:rsidR="00A54310" w:rsidRPr="00F537B9" w14:paraId="23ADE401" w14:textId="77777777" w:rsidTr="00CF6AB0">
        <w:trPr>
          <w:trHeight w:val="319"/>
        </w:trPr>
        <w:tc>
          <w:tcPr>
            <w:tcW w:w="3960" w:type="dxa"/>
            <w:vAlign w:val="center"/>
          </w:tcPr>
          <w:p w14:paraId="1F77D304" w14:textId="77777777" w:rsidR="00CF6AB0" w:rsidRPr="00F537B9" w:rsidRDefault="00CF6AB0" w:rsidP="00CF6AB0">
            <w:pPr>
              <w:spacing w:before="60" w:after="60"/>
              <w:rPr>
                <w:noProof/>
              </w:rPr>
            </w:pPr>
            <w:r w:rsidRPr="00F537B9">
              <w:rPr>
                <w:noProof/>
                <w:sz w:val="20"/>
              </w:rPr>
              <w:t>Rozpočtový riadok</w:t>
            </w:r>
          </w:p>
        </w:tc>
        <w:tc>
          <w:tcPr>
            <w:tcW w:w="1440" w:type="dxa"/>
            <w:vAlign w:val="center"/>
          </w:tcPr>
          <w:p w14:paraId="52E709A8" w14:textId="77777777" w:rsidR="00CF6AB0" w:rsidRPr="00F537B9" w:rsidRDefault="00CF6AB0" w:rsidP="00CF6AB0">
            <w:pPr>
              <w:spacing w:before="40" w:after="40"/>
              <w:jc w:val="right"/>
              <w:rPr>
                <w:noProof/>
                <w:sz w:val="18"/>
              </w:rPr>
            </w:pPr>
          </w:p>
        </w:tc>
        <w:tc>
          <w:tcPr>
            <w:tcW w:w="654" w:type="dxa"/>
            <w:gridSpan w:val="2"/>
            <w:vAlign w:val="center"/>
          </w:tcPr>
          <w:p w14:paraId="046A5DA2" w14:textId="77777777" w:rsidR="00CF6AB0" w:rsidRPr="00F537B9" w:rsidRDefault="00CF6AB0" w:rsidP="00CF6AB0">
            <w:pPr>
              <w:spacing w:before="40" w:after="40"/>
              <w:jc w:val="center"/>
              <w:rPr>
                <w:noProof/>
                <w:sz w:val="14"/>
              </w:rPr>
            </w:pPr>
            <w:r w:rsidRPr="00F537B9">
              <w:rPr>
                <w:noProof/>
                <w:sz w:val="14"/>
              </w:rPr>
              <w:t>(3)</w:t>
            </w:r>
          </w:p>
        </w:tc>
        <w:tc>
          <w:tcPr>
            <w:tcW w:w="868" w:type="dxa"/>
            <w:vAlign w:val="center"/>
          </w:tcPr>
          <w:p w14:paraId="7F96BD08" w14:textId="77777777" w:rsidR="00CF6AB0" w:rsidRPr="00F537B9" w:rsidRDefault="00CF6AB0" w:rsidP="00CF6AB0">
            <w:pPr>
              <w:spacing w:before="40" w:after="40"/>
              <w:jc w:val="right"/>
              <w:rPr>
                <w:b/>
                <w:noProof/>
                <w:sz w:val="20"/>
              </w:rPr>
            </w:pPr>
          </w:p>
        </w:tc>
        <w:tc>
          <w:tcPr>
            <w:tcW w:w="868" w:type="dxa"/>
            <w:vAlign w:val="center"/>
          </w:tcPr>
          <w:p w14:paraId="54DECA0D" w14:textId="77777777" w:rsidR="00CF6AB0" w:rsidRPr="00F537B9" w:rsidRDefault="00CF6AB0" w:rsidP="00CF6AB0">
            <w:pPr>
              <w:spacing w:before="40" w:after="40"/>
              <w:jc w:val="right"/>
              <w:rPr>
                <w:b/>
                <w:noProof/>
                <w:sz w:val="20"/>
              </w:rPr>
            </w:pPr>
          </w:p>
        </w:tc>
        <w:tc>
          <w:tcPr>
            <w:tcW w:w="868" w:type="dxa"/>
            <w:vAlign w:val="center"/>
          </w:tcPr>
          <w:p w14:paraId="01FA2F2A" w14:textId="77777777" w:rsidR="00CF6AB0" w:rsidRPr="00F537B9" w:rsidRDefault="00CF6AB0" w:rsidP="00CF6AB0">
            <w:pPr>
              <w:spacing w:before="40" w:after="40"/>
              <w:jc w:val="right"/>
              <w:rPr>
                <w:b/>
                <w:noProof/>
                <w:sz w:val="20"/>
              </w:rPr>
            </w:pPr>
          </w:p>
        </w:tc>
        <w:tc>
          <w:tcPr>
            <w:tcW w:w="868" w:type="dxa"/>
            <w:vAlign w:val="center"/>
          </w:tcPr>
          <w:p w14:paraId="75F01AF2" w14:textId="77777777" w:rsidR="00CF6AB0" w:rsidRPr="00F537B9" w:rsidRDefault="00CF6AB0" w:rsidP="00CF6AB0">
            <w:pPr>
              <w:spacing w:before="40" w:after="40"/>
              <w:jc w:val="right"/>
              <w:rPr>
                <w:b/>
                <w:noProof/>
                <w:sz w:val="20"/>
              </w:rPr>
            </w:pPr>
          </w:p>
        </w:tc>
        <w:tc>
          <w:tcPr>
            <w:tcW w:w="899" w:type="dxa"/>
          </w:tcPr>
          <w:p w14:paraId="1746BB11" w14:textId="77777777" w:rsidR="00CF6AB0" w:rsidRPr="00F537B9" w:rsidRDefault="00CF6AB0" w:rsidP="00CF6AB0">
            <w:pPr>
              <w:spacing w:before="40" w:after="40"/>
              <w:jc w:val="right"/>
              <w:rPr>
                <w:b/>
                <w:noProof/>
                <w:sz w:val="20"/>
              </w:rPr>
            </w:pPr>
          </w:p>
        </w:tc>
        <w:tc>
          <w:tcPr>
            <w:tcW w:w="992" w:type="dxa"/>
            <w:vAlign w:val="center"/>
          </w:tcPr>
          <w:p w14:paraId="0F833D0B" w14:textId="77777777" w:rsidR="00CF6AB0" w:rsidRPr="00F537B9" w:rsidRDefault="00CF6AB0" w:rsidP="00CF6AB0">
            <w:pPr>
              <w:spacing w:before="40" w:after="40"/>
              <w:jc w:val="right"/>
              <w:rPr>
                <w:b/>
                <w:noProof/>
                <w:sz w:val="20"/>
              </w:rPr>
            </w:pPr>
          </w:p>
        </w:tc>
        <w:tc>
          <w:tcPr>
            <w:tcW w:w="2693" w:type="dxa"/>
            <w:vAlign w:val="center"/>
          </w:tcPr>
          <w:p w14:paraId="38C97583" w14:textId="77777777" w:rsidR="00CF6AB0" w:rsidRPr="00F537B9" w:rsidRDefault="00CF6AB0" w:rsidP="00CF6AB0">
            <w:pPr>
              <w:spacing w:before="40" w:after="40"/>
              <w:jc w:val="right"/>
              <w:rPr>
                <w:b/>
                <w:noProof/>
                <w:sz w:val="20"/>
              </w:rPr>
            </w:pPr>
          </w:p>
        </w:tc>
      </w:tr>
      <w:tr w:rsidR="00A54310" w:rsidRPr="00F537B9" w14:paraId="42FF4BF9" w14:textId="77777777" w:rsidTr="00F65C25">
        <w:tc>
          <w:tcPr>
            <w:tcW w:w="3960" w:type="dxa"/>
            <w:vMerge w:val="restart"/>
            <w:vAlign w:val="center"/>
          </w:tcPr>
          <w:p w14:paraId="6110C3CB" w14:textId="77777777" w:rsidR="00CF6AB0" w:rsidRPr="00F537B9" w:rsidRDefault="00CF6AB0" w:rsidP="00CF6AB0">
            <w:pPr>
              <w:jc w:val="center"/>
              <w:rPr>
                <w:b/>
                <w:noProof/>
              </w:rPr>
            </w:pPr>
            <w:r w:rsidRPr="00F537B9">
              <w:rPr>
                <w:b/>
                <w:noProof/>
              </w:rPr>
              <w:t>Rozpočtové prostriedky</w:t>
            </w:r>
            <w:r w:rsidRPr="00F537B9">
              <w:rPr>
                <w:noProof/>
              </w:rPr>
              <w:t xml:space="preserve"> </w:t>
            </w:r>
            <w:r w:rsidRPr="00F537B9">
              <w:rPr>
                <w:noProof/>
              </w:rPr>
              <w:br/>
            </w:r>
            <w:r w:rsidRPr="00F537B9">
              <w:rPr>
                <w:b/>
                <w:noProof/>
              </w:rPr>
              <w:t>pre GR TAXUD SPOLU</w:t>
            </w:r>
          </w:p>
        </w:tc>
        <w:tc>
          <w:tcPr>
            <w:tcW w:w="1440" w:type="dxa"/>
            <w:vAlign w:val="center"/>
          </w:tcPr>
          <w:p w14:paraId="5B341CE2" w14:textId="77777777" w:rsidR="00CF6AB0" w:rsidRPr="00F537B9" w:rsidRDefault="00CF6AB0" w:rsidP="00CF6AB0">
            <w:pPr>
              <w:rPr>
                <w:noProof/>
                <w:sz w:val="18"/>
              </w:rPr>
            </w:pPr>
            <w:r w:rsidRPr="00F537B9">
              <w:rPr>
                <w:noProof/>
                <w:sz w:val="18"/>
              </w:rPr>
              <w:t>Záväzky</w:t>
            </w:r>
          </w:p>
        </w:tc>
        <w:tc>
          <w:tcPr>
            <w:tcW w:w="654" w:type="dxa"/>
            <w:gridSpan w:val="2"/>
            <w:vAlign w:val="center"/>
          </w:tcPr>
          <w:p w14:paraId="7944F7A5" w14:textId="77777777" w:rsidR="00CF6AB0" w:rsidRPr="00F537B9" w:rsidRDefault="00CF6AB0" w:rsidP="00CF6AB0">
            <w:pPr>
              <w:jc w:val="center"/>
              <w:rPr>
                <w:noProof/>
                <w:sz w:val="14"/>
              </w:rPr>
            </w:pPr>
            <w:r w:rsidRPr="00F537B9">
              <w:rPr>
                <w:noProof/>
                <w:sz w:val="14"/>
              </w:rPr>
              <w:t>= 1a + 1b + 3</w:t>
            </w:r>
          </w:p>
        </w:tc>
        <w:tc>
          <w:tcPr>
            <w:tcW w:w="868" w:type="dxa"/>
            <w:vAlign w:val="center"/>
          </w:tcPr>
          <w:p w14:paraId="65DD6435" w14:textId="77777777" w:rsidR="00CF6AB0" w:rsidRPr="00F537B9" w:rsidRDefault="00CF6AB0" w:rsidP="00CF6AB0">
            <w:pPr>
              <w:spacing w:before="20" w:after="20"/>
              <w:jc w:val="right"/>
              <w:rPr>
                <w:noProof/>
                <w:sz w:val="20"/>
              </w:rPr>
            </w:pPr>
            <w:r w:rsidRPr="00F537B9">
              <w:rPr>
                <w:noProof/>
                <w:sz w:val="20"/>
              </w:rPr>
              <w:t>0,065</w:t>
            </w:r>
          </w:p>
        </w:tc>
        <w:tc>
          <w:tcPr>
            <w:tcW w:w="868" w:type="dxa"/>
            <w:vAlign w:val="center"/>
          </w:tcPr>
          <w:p w14:paraId="795A3B6A" w14:textId="77777777" w:rsidR="00CF6AB0" w:rsidRPr="00F537B9" w:rsidRDefault="00CF6AB0" w:rsidP="00CF6AB0">
            <w:pPr>
              <w:spacing w:before="20" w:after="20"/>
              <w:jc w:val="right"/>
              <w:rPr>
                <w:noProof/>
                <w:sz w:val="20"/>
              </w:rPr>
            </w:pPr>
            <w:r w:rsidRPr="00F537B9">
              <w:rPr>
                <w:noProof/>
                <w:sz w:val="20"/>
              </w:rPr>
              <w:t>0,065</w:t>
            </w:r>
          </w:p>
        </w:tc>
        <w:tc>
          <w:tcPr>
            <w:tcW w:w="868" w:type="dxa"/>
            <w:vAlign w:val="center"/>
          </w:tcPr>
          <w:p w14:paraId="15A63C82" w14:textId="77777777" w:rsidR="00CF6AB0" w:rsidRPr="00F537B9" w:rsidRDefault="00CF6AB0" w:rsidP="00CF6AB0">
            <w:pPr>
              <w:spacing w:before="20" w:after="20"/>
              <w:jc w:val="right"/>
              <w:rPr>
                <w:noProof/>
                <w:sz w:val="20"/>
              </w:rPr>
            </w:pPr>
            <w:r w:rsidRPr="00F537B9">
              <w:rPr>
                <w:noProof/>
                <w:sz w:val="20"/>
              </w:rPr>
              <w:t>0,065</w:t>
            </w:r>
          </w:p>
        </w:tc>
        <w:tc>
          <w:tcPr>
            <w:tcW w:w="868" w:type="dxa"/>
            <w:vAlign w:val="center"/>
          </w:tcPr>
          <w:p w14:paraId="256C0964" w14:textId="77777777" w:rsidR="00CF6AB0" w:rsidRPr="00F537B9" w:rsidRDefault="00CF6AB0" w:rsidP="00CF6AB0">
            <w:pPr>
              <w:spacing w:before="20" w:after="20"/>
              <w:jc w:val="right"/>
              <w:rPr>
                <w:noProof/>
                <w:sz w:val="20"/>
              </w:rPr>
            </w:pPr>
          </w:p>
        </w:tc>
        <w:tc>
          <w:tcPr>
            <w:tcW w:w="899" w:type="dxa"/>
            <w:vAlign w:val="center"/>
          </w:tcPr>
          <w:p w14:paraId="3CB103B7" w14:textId="77777777" w:rsidR="00CF6AB0" w:rsidRPr="00F537B9" w:rsidRDefault="00CF6AB0" w:rsidP="00CF6AB0">
            <w:pPr>
              <w:spacing w:before="20" w:after="20"/>
              <w:jc w:val="right"/>
              <w:rPr>
                <w:noProof/>
                <w:sz w:val="20"/>
              </w:rPr>
            </w:pPr>
          </w:p>
        </w:tc>
        <w:tc>
          <w:tcPr>
            <w:tcW w:w="992" w:type="dxa"/>
            <w:vAlign w:val="center"/>
          </w:tcPr>
          <w:p w14:paraId="6DE85AC5" w14:textId="77777777" w:rsidR="00CF6AB0" w:rsidRPr="00F537B9" w:rsidRDefault="00CF6AB0" w:rsidP="00CF6AB0">
            <w:pPr>
              <w:spacing w:before="20" w:after="20"/>
              <w:jc w:val="right"/>
              <w:rPr>
                <w:noProof/>
                <w:sz w:val="20"/>
              </w:rPr>
            </w:pPr>
          </w:p>
        </w:tc>
        <w:tc>
          <w:tcPr>
            <w:tcW w:w="2693" w:type="dxa"/>
            <w:vAlign w:val="center"/>
          </w:tcPr>
          <w:p w14:paraId="05EF28DD" w14:textId="77777777" w:rsidR="00CF6AB0" w:rsidRPr="00F537B9" w:rsidRDefault="00CF6AB0" w:rsidP="00CF6AB0">
            <w:pPr>
              <w:spacing w:before="20" w:after="20"/>
              <w:jc w:val="right"/>
              <w:rPr>
                <w:b/>
                <w:noProof/>
                <w:sz w:val="20"/>
              </w:rPr>
            </w:pPr>
            <w:r w:rsidRPr="00F537B9">
              <w:rPr>
                <w:b/>
                <w:noProof/>
                <w:sz w:val="20"/>
              </w:rPr>
              <w:t>0,195</w:t>
            </w:r>
          </w:p>
        </w:tc>
      </w:tr>
      <w:tr w:rsidR="00A54310" w:rsidRPr="00F537B9" w14:paraId="211115AB" w14:textId="77777777" w:rsidTr="00F65C25">
        <w:tc>
          <w:tcPr>
            <w:tcW w:w="3960" w:type="dxa"/>
            <w:vMerge/>
          </w:tcPr>
          <w:p w14:paraId="5712774E" w14:textId="77777777" w:rsidR="00CF6AB0" w:rsidRPr="00F537B9" w:rsidRDefault="00CF6AB0" w:rsidP="00CF6AB0">
            <w:pPr>
              <w:rPr>
                <w:noProof/>
                <w:sz w:val="20"/>
              </w:rPr>
            </w:pPr>
          </w:p>
        </w:tc>
        <w:tc>
          <w:tcPr>
            <w:tcW w:w="1440" w:type="dxa"/>
            <w:vAlign w:val="center"/>
          </w:tcPr>
          <w:p w14:paraId="7A77E218" w14:textId="77777777" w:rsidR="00CF6AB0" w:rsidRPr="00F537B9" w:rsidRDefault="00CF6AB0" w:rsidP="00CF6AB0">
            <w:pPr>
              <w:rPr>
                <w:noProof/>
                <w:sz w:val="18"/>
              </w:rPr>
            </w:pPr>
            <w:r w:rsidRPr="00F537B9">
              <w:rPr>
                <w:noProof/>
                <w:sz w:val="18"/>
              </w:rPr>
              <w:t>Platby</w:t>
            </w:r>
          </w:p>
        </w:tc>
        <w:tc>
          <w:tcPr>
            <w:tcW w:w="654" w:type="dxa"/>
            <w:gridSpan w:val="2"/>
            <w:vAlign w:val="center"/>
          </w:tcPr>
          <w:p w14:paraId="6429AF19" w14:textId="77777777" w:rsidR="00CF6AB0" w:rsidRPr="00F537B9" w:rsidRDefault="00CF6AB0" w:rsidP="00CF6AB0">
            <w:pPr>
              <w:jc w:val="center"/>
              <w:rPr>
                <w:noProof/>
                <w:sz w:val="14"/>
              </w:rPr>
            </w:pPr>
            <w:r w:rsidRPr="00F537B9">
              <w:rPr>
                <w:noProof/>
                <w:sz w:val="14"/>
              </w:rPr>
              <w:t>= 2a + 2b</w:t>
            </w:r>
          </w:p>
          <w:p w14:paraId="2E2F4001" w14:textId="77777777" w:rsidR="00CF6AB0" w:rsidRPr="00F537B9" w:rsidRDefault="00CF6AB0" w:rsidP="00CF6AB0">
            <w:pPr>
              <w:jc w:val="center"/>
              <w:rPr>
                <w:noProof/>
                <w:sz w:val="14"/>
              </w:rPr>
            </w:pPr>
            <w:r w:rsidRPr="00F537B9">
              <w:rPr>
                <w:noProof/>
                <w:sz w:val="14"/>
              </w:rPr>
              <w:t>+ 3</w:t>
            </w:r>
          </w:p>
        </w:tc>
        <w:tc>
          <w:tcPr>
            <w:tcW w:w="868" w:type="dxa"/>
            <w:vAlign w:val="center"/>
          </w:tcPr>
          <w:p w14:paraId="65B72BBF" w14:textId="77777777" w:rsidR="00CF6AB0" w:rsidRPr="00F537B9" w:rsidRDefault="00CF6AB0" w:rsidP="00CF6AB0">
            <w:pPr>
              <w:spacing w:before="20" w:after="20"/>
              <w:jc w:val="right"/>
              <w:rPr>
                <w:noProof/>
                <w:sz w:val="20"/>
              </w:rPr>
            </w:pPr>
            <w:r w:rsidRPr="00F537B9">
              <w:rPr>
                <w:noProof/>
                <w:sz w:val="20"/>
              </w:rPr>
              <w:t>0,065</w:t>
            </w:r>
          </w:p>
        </w:tc>
        <w:tc>
          <w:tcPr>
            <w:tcW w:w="868" w:type="dxa"/>
            <w:vAlign w:val="center"/>
          </w:tcPr>
          <w:p w14:paraId="3F161FDE" w14:textId="77777777" w:rsidR="00CF6AB0" w:rsidRPr="00F537B9" w:rsidRDefault="00CF6AB0" w:rsidP="00CF6AB0">
            <w:pPr>
              <w:spacing w:before="20" w:after="20"/>
              <w:jc w:val="right"/>
              <w:rPr>
                <w:noProof/>
                <w:sz w:val="20"/>
              </w:rPr>
            </w:pPr>
            <w:r w:rsidRPr="00F537B9">
              <w:rPr>
                <w:noProof/>
                <w:sz w:val="20"/>
              </w:rPr>
              <w:t>0,065</w:t>
            </w:r>
          </w:p>
        </w:tc>
        <w:tc>
          <w:tcPr>
            <w:tcW w:w="868" w:type="dxa"/>
            <w:vAlign w:val="center"/>
          </w:tcPr>
          <w:p w14:paraId="4ED16D8D" w14:textId="77777777" w:rsidR="00CF6AB0" w:rsidRPr="00F537B9" w:rsidRDefault="00CF6AB0" w:rsidP="00CF6AB0">
            <w:pPr>
              <w:spacing w:before="20" w:after="20"/>
              <w:jc w:val="right"/>
              <w:rPr>
                <w:noProof/>
                <w:sz w:val="20"/>
              </w:rPr>
            </w:pPr>
            <w:r w:rsidRPr="00F537B9">
              <w:rPr>
                <w:noProof/>
                <w:sz w:val="20"/>
              </w:rPr>
              <w:t>0,065</w:t>
            </w:r>
          </w:p>
        </w:tc>
        <w:tc>
          <w:tcPr>
            <w:tcW w:w="868" w:type="dxa"/>
            <w:vAlign w:val="center"/>
          </w:tcPr>
          <w:p w14:paraId="53649542" w14:textId="77777777" w:rsidR="00CF6AB0" w:rsidRPr="00F537B9" w:rsidRDefault="00CF6AB0" w:rsidP="00CF6AB0">
            <w:pPr>
              <w:spacing w:before="20" w:after="20"/>
              <w:jc w:val="right"/>
              <w:rPr>
                <w:noProof/>
                <w:sz w:val="20"/>
              </w:rPr>
            </w:pPr>
          </w:p>
        </w:tc>
        <w:tc>
          <w:tcPr>
            <w:tcW w:w="899" w:type="dxa"/>
            <w:vAlign w:val="center"/>
          </w:tcPr>
          <w:p w14:paraId="54BEF96A" w14:textId="77777777" w:rsidR="00CF6AB0" w:rsidRPr="00F537B9" w:rsidRDefault="00CF6AB0" w:rsidP="00CF6AB0">
            <w:pPr>
              <w:spacing w:before="20" w:after="20"/>
              <w:jc w:val="right"/>
              <w:rPr>
                <w:noProof/>
                <w:sz w:val="20"/>
              </w:rPr>
            </w:pPr>
          </w:p>
        </w:tc>
        <w:tc>
          <w:tcPr>
            <w:tcW w:w="992" w:type="dxa"/>
            <w:vAlign w:val="center"/>
          </w:tcPr>
          <w:p w14:paraId="3D733BB0" w14:textId="77777777" w:rsidR="00CF6AB0" w:rsidRPr="00F537B9" w:rsidRDefault="00CF6AB0" w:rsidP="00CF6AB0">
            <w:pPr>
              <w:spacing w:before="20" w:after="20"/>
              <w:jc w:val="right"/>
              <w:rPr>
                <w:noProof/>
                <w:sz w:val="20"/>
              </w:rPr>
            </w:pPr>
          </w:p>
        </w:tc>
        <w:tc>
          <w:tcPr>
            <w:tcW w:w="2693" w:type="dxa"/>
            <w:vAlign w:val="center"/>
          </w:tcPr>
          <w:p w14:paraId="08C5A329" w14:textId="77777777" w:rsidR="00CF6AB0" w:rsidRPr="00F537B9" w:rsidRDefault="00CF6AB0" w:rsidP="00CF6AB0">
            <w:pPr>
              <w:spacing w:before="20" w:after="20"/>
              <w:jc w:val="right"/>
              <w:rPr>
                <w:b/>
                <w:noProof/>
                <w:sz w:val="20"/>
              </w:rPr>
            </w:pPr>
            <w:r w:rsidRPr="00F537B9">
              <w:rPr>
                <w:b/>
                <w:noProof/>
                <w:sz w:val="20"/>
              </w:rPr>
              <w:t>0,195</w:t>
            </w:r>
          </w:p>
        </w:tc>
      </w:tr>
    </w:tbl>
    <w:p w14:paraId="2778F652" w14:textId="77777777" w:rsidR="00544811" w:rsidRPr="00F537B9" w:rsidRDefault="00544811">
      <w:pPr>
        <w:rPr>
          <w:noProof/>
        </w:rPr>
      </w:pPr>
      <w:r w:rsidRPr="00F537B9">
        <w:rPr>
          <w:noProof/>
        </w:rPr>
        <w:t xml:space="preserve"> </w:t>
      </w:r>
      <w:r w:rsidRPr="00F537B9">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A54310" w:rsidRPr="00F537B9" w14:paraId="448EDB64" w14:textId="77777777">
        <w:trPr>
          <w:trHeight w:val="277"/>
        </w:trPr>
        <w:tc>
          <w:tcPr>
            <w:tcW w:w="3960" w:type="dxa"/>
            <w:vMerge w:val="restart"/>
            <w:vAlign w:val="center"/>
          </w:tcPr>
          <w:p w14:paraId="668E8047" w14:textId="77777777" w:rsidR="00544811" w:rsidRPr="00F537B9" w:rsidRDefault="00544811">
            <w:pPr>
              <w:spacing w:before="20" w:after="20"/>
              <w:rPr>
                <w:noProof/>
              </w:rPr>
            </w:pPr>
            <w:r w:rsidRPr="00F537B9">
              <w:rPr>
                <w:noProof/>
              </w:rPr>
              <w:br w:type="page"/>
            </w:r>
            <w:r w:rsidRPr="00F537B9">
              <w:rPr>
                <w:rFonts w:ascii="Wingdings" w:hAnsi="Wingdings"/>
                <w:noProof/>
                <w:sz w:val="21"/>
              </w:rPr>
              <w:t>□</w:t>
            </w:r>
            <w:r w:rsidRPr="00F537B9">
              <w:rPr>
                <w:noProof/>
                <w:sz w:val="21"/>
              </w:rPr>
              <w:t xml:space="preserve"> Operačné rozpočtové prostriedky SPOLU </w:t>
            </w:r>
          </w:p>
        </w:tc>
        <w:tc>
          <w:tcPr>
            <w:tcW w:w="1440" w:type="dxa"/>
            <w:vAlign w:val="center"/>
          </w:tcPr>
          <w:p w14:paraId="03DC117E" w14:textId="77777777" w:rsidR="00544811" w:rsidRPr="00F537B9" w:rsidRDefault="00544811">
            <w:pPr>
              <w:spacing w:beforeLines="20" w:before="48" w:afterLines="20" w:after="48"/>
              <w:rPr>
                <w:noProof/>
                <w:sz w:val="18"/>
              </w:rPr>
            </w:pPr>
            <w:r w:rsidRPr="00F537B9">
              <w:rPr>
                <w:noProof/>
                <w:sz w:val="18"/>
              </w:rPr>
              <w:t>Záväzky</w:t>
            </w:r>
          </w:p>
        </w:tc>
        <w:tc>
          <w:tcPr>
            <w:tcW w:w="654" w:type="dxa"/>
            <w:vAlign w:val="center"/>
          </w:tcPr>
          <w:p w14:paraId="2C97BF41" w14:textId="77777777" w:rsidR="00544811" w:rsidRPr="00F537B9" w:rsidRDefault="00544811">
            <w:pPr>
              <w:spacing w:beforeLines="20" w:before="48" w:afterLines="20" w:after="48"/>
              <w:jc w:val="center"/>
              <w:rPr>
                <w:noProof/>
                <w:sz w:val="14"/>
              </w:rPr>
            </w:pPr>
            <w:r w:rsidRPr="00F537B9">
              <w:rPr>
                <w:noProof/>
                <w:sz w:val="14"/>
              </w:rPr>
              <w:t>(4)</w:t>
            </w:r>
          </w:p>
        </w:tc>
        <w:tc>
          <w:tcPr>
            <w:tcW w:w="868" w:type="dxa"/>
            <w:vAlign w:val="center"/>
          </w:tcPr>
          <w:p w14:paraId="5490E818" w14:textId="77777777" w:rsidR="00544811" w:rsidRPr="00F537B9" w:rsidRDefault="00544811">
            <w:pPr>
              <w:spacing w:before="20" w:after="20"/>
              <w:jc w:val="right"/>
              <w:rPr>
                <w:noProof/>
                <w:sz w:val="20"/>
              </w:rPr>
            </w:pPr>
          </w:p>
        </w:tc>
        <w:tc>
          <w:tcPr>
            <w:tcW w:w="868" w:type="dxa"/>
            <w:vAlign w:val="center"/>
          </w:tcPr>
          <w:p w14:paraId="5624C57F" w14:textId="77777777" w:rsidR="00544811" w:rsidRPr="00F537B9" w:rsidRDefault="00544811">
            <w:pPr>
              <w:spacing w:before="20" w:after="20"/>
              <w:jc w:val="right"/>
              <w:rPr>
                <w:noProof/>
                <w:sz w:val="20"/>
              </w:rPr>
            </w:pPr>
          </w:p>
        </w:tc>
        <w:tc>
          <w:tcPr>
            <w:tcW w:w="868" w:type="dxa"/>
            <w:vAlign w:val="center"/>
          </w:tcPr>
          <w:p w14:paraId="5BB97EBD" w14:textId="77777777" w:rsidR="00544811" w:rsidRPr="00F537B9" w:rsidRDefault="00544811">
            <w:pPr>
              <w:spacing w:before="20" w:after="20"/>
              <w:jc w:val="right"/>
              <w:rPr>
                <w:noProof/>
                <w:sz w:val="20"/>
              </w:rPr>
            </w:pPr>
          </w:p>
        </w:tc>
        <w:tc>
          <w:tcPr>
            <w:tcW w:w="868" w:type="dxa"/>
            <w:vAlign w:val="center"/>
          </w:tcPr>
          <w:p w14:paraId="763FFE2F" w14:textId="77777777" w:rsidR="00544811" w:rsidRPr="00F537B9" w:rsidRDefault="00544811">
            <w:pPr>
              <w:spacing w:before="20" w:after="20"/>
              <w:jc w:val="right"/>
              <w:rPr>
                <w:noProof/>
                <w:sz w:val="20"/>
              </w:rPr>
            </w:pPr>
          </w:p>
        </w:tc>
        <w:tc>
          <w:tcPr>
            <w:tcW w:w="868" w:type="dxa"/>
            <w:vAlign w:val="center"/>
          </w:tcPr>
          <w:p w14:paraId="10075600" w14:textId="77777777" w:rsidR="00544811" w:rsidRPr="00F537B9" w:rsidRDefault="00544811">
            <w:pPr>
              <w:spacing w:before="20" w:after="20"/>
              <w:jc w:val="right"/>
              <w:rPr>
                <w:noProof/>
                <w:sz w:val="20"/>
              </w:rPr>
            </w:pPr>
          </w:p>
        </w:tc>
        <w:tc>
          <w:tcPr>
            <w:tcW w:w="868" w:type="dxa"/>
            <w:vAlign w:val="center"/>
          </w:tcPr>
          <w:p w14:paraId="047AFA79" w14:textId="77777777" w:rsidR="00544811" w:rsidRPr="00F537B9" w:rsidRDefault="00544811">
            <w:pPr>
              <w:spacing w:before="20" w:after="20"/>
              <w:jc w:val="right"/>
              <w:rPr>
                <w:noProof/>
                <w:sz w:val="20"/>
              </w:rPr>
            </w:pPr>
          </w:p>
        </w:tc>
        <w:tc>
          <w:tcPr>
            <w:tcW w:w="868" w:type="dxa"/>
            <w:vAlign w:val="center"/>
          </w:tcPr>
          <w:p w14:paraId="7CE79778" w14:textId="77777777" w:rsidR="00544811" w:rsidRPr="00F537B9" w:rsidRDefault="00544811">
            <w:pPr>
              <w:spacing w:before="20" w:after="20"/>
              <w:jc w:val="right"/>
              <w:rPr>
                <w:b/>
                <w:noProof/>
                <w:sz w:val="20"/>
              </w:rPr>
            </w:pPr>
          </w:p>
        </w:tc>
        <w:tc>
          <w:tcPr>
            <w:tcW w:w="1777" w:type="dxa"/>
            <w:vAlign w:val="center"/>
          </w:tcPr>
          <w:p w14:paraId="5BAADA8B" w14:textId="77777777" w:rsidR="00544811" w:rsidRPr="00F537B9" w:rsidRDefault="00544811">
            <w:pPr>
              <w:spacing w:before="20" w:after="20"/>
              <w:jc w:val="right"/>
              <w:rPr>
                <w:b/>
                <w:noProof/>
                <w:sz w:val="20"/>
              </w:rPr>
            </w:pPr>
          </w:p>
        </w:tc>
      </w:tr>
      <w:tr w:rsidR="00A54310" w:rsidRPr="00F537B9" w14:paraId="2C687BE3" w14:textId="77777777">
        <w:tc>
          <w:tcPr>
            <w:tcW w:w="3960" w:type="dxa"/>
            <w:vMerge/>
          </w:tcPr>
          <w:p w14:paraId="37835D73" w14:textId="77777777" w:rsidR="00544811" w:rsidRPr="00F537B9" w:rsidRDefault="00544811">
            <w:pPr>
              <w:jc w:val="center"/>
              <w:rPr>
                <w:noProof/>
                <w:sz w:val="20"/>
              </w:rPr>
            </w:pPr>
          </w:p>
        </w:tc>
        <w:tc>
          <w:tcPr>
            <w:tcW w:w="1440" w:type="dxa"/>
            <w:vAlign w:val="center"/>
          </w:tcPr>
          <w:p w14:paraId="45A4E19D" w14:textId="77777777" w:rsidR="00544811" w:rsidRPr="00F537B9" w:rsidRDefault="00544811">
            <w:pPr>
              <w:spacing w:beforeLines="20" w:before="48" w:afterLines="20" w:after="48"/>
              <w:rPr>
                <w:noProof/>
                <w:sz w:val="18"/>
              </w:rPr>
            </w:pPr>
            <w:r w:rsidRPr="00F537B9">
              <w:rPr>
                <w:noProof/>
                <w:sz w:val="18"/>
              </w:rPr>
              <w:t>Platby</w:t>
            </w:r>
          </w:p>
        </w:tc>
        <w:tc>
          <w:tcPr>
            <w:tcW w:w="654" w:type="dxa"/>
            <w:vAlign w:val="center"/>
          </w:tcPr>
          <w:p w14:paraId="61701FE5" w14:textId="77777777" w:rsidR="00544811" w:rsidRPr="00F537B9" w:rsidRDefault="00544811">
            <w:pPr>
              <w:spacing w:beforeLines="20" w:before="48" w:afterLines="20" w:after="48"/>
              <w:jc w:val="center"/>
              <w:rPr>
                <w:noProof/>
                <w:sz w:val="14"/>
              </w:rPr>
            </w:pPr>
            <w:r w:rsidRPr="00F537B9">
              <w:rPr>
                <w:noProof/>
                <w:sz w:val="14"/>
              </w:rPr>
              <w:t>(5)</w:t>
            </w:r>
          </w:p>
        </w:tc>
        <w:tc>
          <w:tcPr>
            <w:tcW w:w="868" w:type="dxa"/>
            <w:vAlign w:val="center"/>
          </w:tcPr>
          <w:p w14:paraId="2584888F" w14:textId="77777777" w:rsidR="00544811" w:rsidRPr="00F537B9" w:rsidRDefault="00544811">
            <w:pPr>
              <w:spacing w:before="20" w:after="20"/>
              <w:jc w:val="right"/>
              <w:rPr>
                <w:noProof/>
                <w:sz w:val="20"/>
              </w:rPr>
            </w:pPr>
          </w:p>
        </w:tc>
        <w:tc>
          <w:tcPr>
            <w:tcW w:w="868" w:type="dxa"/>
            <w:vAlign w:val="center"/>
          </w:tcPr>
          <w:p w14:paraId="68778CCB" w14:textId="77777777" w:rsidR="00544811" w:rsidRPr="00F537B9" w:rsidRDefault="00544811">
            <w:pPr>
              <w:spacing w:before="20" w:after="20"/>
              <w:jc w:val="right"/>
              <w:rPr>
                <w:noProof/>
                <w:sz w:val="20"/>
              </w:rPr>
            </w:pPr>
          </w:p>
        </w:tc>
        <w:tc>
          <w:tcPr>
            <w:tcW w:w="868" w:type="dxa"/>
            <w:vAlign w:val="center"/>
          </w:tcPr>
          <w:p w14:paraId="4D614673" w14:textId="77777777" w:rsidR="00544811" w:rsidRPr="00F537B9" w:rsidRDefault="00544811">
            <w:pPr>
              <w:spacing w:before="20" w:after="20"/>
              <w:jc w:val="right"/>
              <w:rPr>
                <w:noProof/>
                <w:sz w:val="20"/>
              </w:rPr>
            </w:pPr>
          </w:p>
        </w:tc>
        <w:tc>
          <w:tcPr>
            <w:tcW w:w="868" w:type="dxa"/>
            <w:vAlign w:val="center"/>
          </w:tcPr>
          <w:p w14:paraId="27D8898A" w14:textId="77777777" w:rsidR="00544811" w:rsidRPr="00F537B9" w:rsidRDefault="00544811">
            <w:pPr>
              <w:spacing w:before="20" w:after="20"/>
              <w:jc w:val="right"/>
              <w:rPr>
                <w:noProof/>
                <w:sz w:val="20"/>
              </w:rPr>
            </w:pPr>
          </w:p>
        </w:tc>
        <w:tc>
          <w:tcPr>
            <w:tcW w:w="868" w:type="dxa"/>
            <w:vAlign w:val="center"/>
          </w:tcPr>
          <w:p w14:paraId="39212BDB" w14:textId="77777777" w:rsidR="00544811" w:rsidRPr="00F537B9" w:rsidRDefault="00544811">
            <w:pPr>
              <w:spacing w:before="20" w:after="20"/>
              <w:jc w:val="right"/>
              <w:rPr>
                <w:noProof/>
                <w:sz w:val="20"/>
              </w:rPr>
            </w:pPr>
          </w:p>
        </w:tc>
        <w:tc>
          <w:tcPr>
            <w:tcW w:w="868" w:type="dxa"/>
            <w:vAlign w:val="center"/>
          </w:tcPr>
          <w:p w14:paraId="489C374A" w14:textId="77777777" w:rsidR="00544811" w:rsidRPr="00F537B9" w:rsidRDefault="00544811">
            <w:pPr>
              <w:spacing w:before="20" w:after="20"/>
              <w:jc w:val="right"/>
              <w:rPr>
                <w:noProof/>
                <w:sz w:val="20"/>
              </w:rPr>
            </w:pPr>
          </w:p>
        </w:tc>
        <w:tc>
          <w:tcPr>
            <w:tcW w:w="868" w:type="dxa"/>
            <w:vAlign w:val="center"/>
          </w:tcPr>
          <w:p w14:paraId="2C01FDB5" w14:textId="77777777" w:rsidR="00544811" w:rsidRPr="00F537B9" w:rsidRDefault="00544811">
            <w:pPr>
              <w:spacing w:before="20" w:after="20"/>
              <w:jc w:val="right"/>
              <w:rPr>
                <w:b/>
                <w:noProof/>
                <w:sz w:val="20"/>
              </w:rPr>
            </w:pPr>
          </w:p>
        </w:tc>
        <w:tc>
          <w:tcPr>
            <w:tcW w:w="1777" w:type="dxa"/>
            <w:vAlign w:val="center"/>
          </w:tcPr>
          <w:p w14:paraId="636ECAD7" w14:textId="77777777" w:rsidR="00544811" w:rsidRPr="00F537B9" w:rsidRDefault="00544811">
            <w:pPr>
              <w:spacing w:before="20" w:after="20"/>
              <w:jc w:val="right"/>
              <w:rPr>
                <w:b/>
                <w:noProof/>
                <w:sz w:val="20"/>
              </w:rPr>
            </w:pPr>
          </w:p>
        </w:tc>
      </w:tr>
      <w:tr w:rsidR="005076D3" w:rsidRPr="00F537B9" w14:paraId="288A375D" w14:textId="77777777">
        <w:trPr>
          <w:trHeight w:val="533"/>
        </w:trPr>
        <w:tc>
          <w:tcPr>
            <w:tcW w:w="5400" w:type="dxa"/>
            <w:gridSpan w:val="2"/>
            <w:vAlign w:val="center"/>
          </w:tcPr>
          <w:p w14:paraId="3F658EE1" w14:textId="44A5A81F" w:rsidR="00544811" w:rsidRPr="00F537B9" w:rsidRDefault="00544811">
            <w:pPr>
              <w:spacing w:beforeLines="20" w:before="48" w:afterLines="20" w:after="48"/>
              <w:rPr>
                <w:noProof/>
              </w:rPr>
            </w:pPr>
            <w:r w:rsidRPr="00F537B9">
              <w:rPr>
                <w:rFonts w:ascii="Wingdings" w:hAnsi="Wingdings"/>
                <w:noProof/>
                <w:sz w:val="21"/>
              </w:rPr>
              <w:t>□</w:t>
            </w:r>
            <w:r w:rsidRPr="00F537B9">
              <w:rPr>
                <w:noProof/>
                <w:sz w:val="21"/>
              </w:rPr>
              <w:t xml:space="preserve"> Administratívne rozpočtové prostriedky financované</w:t>
            </w:r>
            <w:r w:rsidR="00F537B9">
              <w:rPr>
                <w:noProof/>
                <w:sz w:val="21"/>
              </w:rPr>
              <w:t xml:space="preserve"> z </w:t>
            </w:r>
            <w:r w:rsidRPr="00F537B9">
              <w:rPr>
                <w:noProof/>
                <w:sz w:val="21"/>
              </w:rPr>
              <w:t xml:space="preserve">finančného krytia na vykonávanie osobitných programov SPOLU </w:t>
            </w:r>
          </w:p>
        </w:tc>
        <w:tc>
          <w:tcPr>
            <w:tcW w:w="654" w:type="dxa"/>
            <w:vAlign w:val="center"/>
          </w:tcPr>
          <w:p w14:paraId="3627184B" w14:textId="77777777" w:rsidR="00544811" w:rsidRPr="00F537B9" w:rsidRDefault="00544811">
            <w:pPr>
              <w:spacing w:beforeLines="20" w:before="48" w:afterLines="20" w:after="48"/>
              <w:jc w:val="center"/>
              <w:rPr>
                <w:noProof/>
                <w:sz w:val="14"/>
              </w:rPr>
            </w:pPr>
            <w:r w:rsidRPr="00F537B9">
              <w:rPr>
                <w:noProof/>
                <w:sz w:val="14"/>
              </w:rPr>
              <w:t>(6)</w:t>
            </w:r>
          </w:p>
        </w:tc>
        <w:tc>
          <w:tcPr>
            <w:tcW w:w="868" w:type="dxa"/>
            <w:vAlign w:val="center"/>
          </w:tcPr>
          <w:p w14:paraId="14DBC4D3" w14:textId="77777777" w:rsidR="00544811" w:rsidRPr="00F537B9" w:rsidRDefault="00544811">
            <w:pPr>
              <w:spacing w:before="20" w:after="20"/>
              <w:jc w:val="right"/>
              <w:rPr>
                <w:b/>
                <w:noProof/>
                <w:sz w:val="20"/>
              </w:rPr>
            </w:pPr>
          </w:p>
        </w:tc>
        <w:tc>
          <w:tcPr>
            <w:tcW w:w="868" w:type="dxa"/>
            <w:vAlign w:val="center"/>
          </w:tcPr>
          <w:p w14:paraId="4E1A8262" w14:textId="77777777" w:rsidR="00544811" w:rsidRPr="00F537B9" w:rsidRDefault="00544811">
            <w:pPr>
              <w:spacing w:before="20" w:after="20"/>
              <w:jc w:val="right"/>
              <w:rPr>
                <w:b/>
                <w:noProof/>
                <w:sz w:val="20"/>
              </w:rPr>
            </w:pPr>
          </w:p>
        </w:tc>
        <w:tc>
          <w:tcPr>
            <w:tcW w:w="868" w:type="dxa"/>
            <w:vAlign w:val="center"/>
          </w:tcPr>
          <w:p w14:paraId="6A08B820" w14:textId="77777777" w:rsidR="00544811" w:rsidRPr="00F537B9" w:rsidRDefault="00544811">
            <w:pPr>
              <w:spacing w:before="20" w:after="20"/>
              <w:jc w:val="right"/>
              <w:rPr>
                <w:b/>
                <w:noProof/>
                <w:sz w:val="20"/>
              </w:rPr>
            </w:pPr>
          </w:p>
        </w:tc>
        <w:tc>
          <w:tcPr>
            <w:tcW w:w="868" w:type="dxa"/>
            <w:vAlign w:val="center"/>
          </w:tcPr>
          <w:p w14:paraId="6B8C8B40" w14:textId="77777777" w:rsidR="00544811" w:rsidRPr="00F537B9" w:rsidRDefault="00544811">
            <w:pPr>
              <w:spacing w:before="20" w:after="20"/>
              <w:jc w:val="right"/>
              <w:rPr>
                <w:b/>
                <w:noProof/>
                <w:sz w:val="20"/>
              </w:rPr>
            </w:pPr>
          </w:p>
        </w:tc>
        <w:tc>
          <w:tcPr>
            <w:tcW w:w="868" w:type="dxa"/>
            <w:vAlign w:val="center"/>
          </w:tcPr>
          <w:p w14:paraId="09C6F81C" w14:textId="77777777" w:rsidR="00544811" w:rsidRPr="00F537B9" w:rsidRDefault="00544811">
            <w:pPr>
              <w:spacing w:before="20" w:after="20"/>
              <w:jc w:val="right"/>
              <w:rPr>
                <w:b/>
                <w:noProof/>
                <w:sz w:val="20"/>
              </w:rPr>
            </w:pPr>
          </w:p>
        </w:tc>
        <w:tc>
          <w:tcPr>
            <w:tcW w:w="868" w:type="dxa"/>
            <w:vAlign w:val="center"/>
          </w:tcPr>
          <w:p w14:paraId="31290657" w14:textId="77777777" w:rsidR="00544811" w:rsidRPr="00F537B9" w:rsidRDefault="00544811">
            <w:pPr>
              <w:spacing w:before="20" w:after="20"/>
              <w:jc w:val="right"/>
              <w:rPr>
                <w:b/>
                <w:noProof/>
                <w:sz w:val="20"/>
              </w:rPr>
            </w:pPr>
          </w:p>
        </w:tc>
        <w:tc>
          <w:tcPr>
            <w:tcW w:w="868" w:type="dxa"/>
            <w:vAlign w:val="center"/>
          </w:tcPr>
          <w:p w14:paraId="0DE50BFA" w14:textId="77777777" w:rsidR="00544811" w:rsidRPr="00F537B9" w:rsidRDefault="00544811">
            <w:pPr>
              <w:spacing w:before="20" w:after="20"/>
              <w:jc w:val="right"/>
              <w:rPr>
                <w:b/>
                <w:noProof/>
                <w:sz w:val="20"/>
              </w:rPr>
            </w:pPr>
          </w:p>
        </w:tc>
        <w:tc>
          <w:tcPr>
            <w:tcW w:w="1777" w:type="dxa"/>
            <w:vAlign w:val="center"/>
          </w:tcPr>
          <w:p w14:paraId="27093D87" w14:textId="77777777" w:rsidR="00544811" w:rsidRPr="00F537B9" w:rsidRDefault="00544811">
            <w:pPr>
              <w:spacing w:before="20" w:after="20"/>
              <w:jc w:val="right"/>
              <w:rPr>
                <w:b/>
                <w:noProof/>
                <w:sz w:val="20"/>
              </w:rPr>
            </w:pPr>
          </w:p>
        </w:tc>
      </w:tr>
      <w:tr w:rsidR="003E7FB4" w:rsidRPr="00F537B9" w14:paraId="6D3BA44B" w14:textId="77777777">
        <w:tc>
          <w:tcPr>
            <w:tcW w:w="3960" w:type="dxa"/>
            <w:vMerge w:val="restart"/>
            <w:shd w:val="thinDiagStripe" w:color="C0C0C0" w:fill="auto"/>
            <w:vAlign w:val="center"/>
          </w:tcPr>
          <w:p w14:paraId="597AC406" w14:textId="32F78C95" w:rsidR="00544811" w:rsidRPr="00F537B9" w:rsidRDefault="00544811">
            <w:pPr>
              <w:jc w:val="center"/>
              <w:rPr>
                <w:b/>
                <w:noProof/>
              </w:rPr>
            </w:pPr>
            <w:r w:rsidRPr="00F537B9">
              <w:rPr>
                <w:b/>
                <w:noProof/>
              </w:rPr>
              <w:t>Rozpočtové prostriedky</w:t>
            </w:r>
            <w:r w:rsidR="00F537B9" w:rsidRPr="00F537B9">
              <w:rPr>
                <w:b/>
                <w:noProof/>
              </w:rPr>
              <w:t xml:space="preserve"> </w:t>
            </w:r>
            <w:r w:rsidRPr="00F537B9">
              <w:rPr>
                <w:noProof/>
              </w:rPr>
              <w:br/>
            </w:r>
            <w:r w:rsidRPr="00F537B9">
              <w:rPr>
                <w:b/>
                <w:noProof/>
              </w:rPr>
              <w:t>OKRUHU &lt;….&gt;</w:t>
            </w:r>
            <w:r w:rsidRPr="00F537B9">
              <w:rPr>
                <w:noProof/>
              </w:rPr>
              <w:t xml:space="preserve"> </w:t>
            </w:r>
            <w:r w:rsidRPr="00F537B9">
              <w:rPr>
                <w:noProof/>
              </w:rPr>
              <w:br/>
              <w:t xml:space="preserve">viacročného finančného rámca </w:t>
            </w:r>
            <w:r w:rsidRPr="00F537B9">
              <w:rPr>
                <w:b/>
                <w:noProof/>
              </w:rPr>
              <w:t>SPOLU</w:t>
            </w:r>
          </w:p>
        </w:tc>
        <w:tc>
          <w:tcPr>
            <w:tcW w:w="1440" w:type="dxa"/>
            <w:vAlign w:val="center"/>
          </w:tcPr>
          <w:p w14:paraId="55BF00D5" w14:textId="77777777" w:rsidR="00544811" w:rsidRPr="00F537B9" w:rsidRDefault="00544811">
            <w:pPr>
              <w:rPr>
                <w:noProof/>
                <w:sz w:val="18"/>
              </w:rPr>
            </w:pPr>
            <w:r w:rsidRPr="00F537B9">
              <w:rPr>
                <w:noProof/>
                <w:sz w:val="18"/>
              </w:rPr>
              <w:t>Záväzky</w:t>
            </w:r>
          </w:p>
        </w:tc>
        <w:tc>
          <w:tcPr>
            <w:tcW w:w="654" w:type="dxa"/>
            <w:vAlign w:val="center"/>
          </w:tcPr>
          <w:p w14:paraId="1B8FBF60" w14:textId="77777777" w:rsidR="00544811" w:rsidRPr="00F537B9" w:rsidRDefault="00544811">
            <w:pPr>
              <w:jc w:val="center"/>
              <w:rPr>
                <w:noProof/>
                <w:sz w:val="14"/>
              </w:rPr>
            </w:pPr>
            <w:r w:rsidRPr="00F537B9">
              <w:rPr>
                <w:noProof/>
                <w:sz w:val="14"/>
              </w:rPr>
              <w:t>= 4 + 6</w:t>
            </w:r>
          </w:p>
        </w:tc>
        <w:tc>
          <w:tcPr>
            <w:tcW w:w="868" w:type="dxa"/>
            <w:vAlign w:val="center"/>
          </w:tcPr>
          <w:p w14:paraId="74AD911A" w14:textId="77777777" w:rsidR="00544811" w:rsidRPr="00F537B9" w:rsidRDefault="00544811">
            <w:pPr>
              <w:spacing w:before="20" w:after="20"/>
              <w:jc w:val="right"/>
              <w:rPr>
                <w:noProof/>
                <w:sz w:val="20"/>
              </w:rPr>
            </w:pPr>
          </w:p>
        </w:tc>
        <w:tc>
          <w:tcPr>
            <w:tcW w:w="868" w:type="dxa"/>
            <w:vAlign w:val="center"/>
          </w:tcPr>
          <w:p w14:paraId="41A47A5F" w14:textId="77777777" w:rsidR="00544811" w:rsidRPr="00F537B9" w:rsidRDefault="00544811">
            <w:pPr>
              <w:spacing w:before="20" w:after="20"/>
              <w:jc w:val="right"/>
              <w:rPr>
                <w:noProof/>
                <w:sz w:val="20"/>
              </w:rPr>
            </w:pPr>
          </w:p>
        </w:tc>
        <w:tc>
          <w:tcPr>
            <w:tcW w:w="868" w:type="dxa"/>
            <w:vAlign w:val="center"/>
          </w:tcPr>
          <w:p w14:paraId="5DF765F4" w14:textId="77777777" w:rsidR="00544811" w:rsidRPr="00F537B9" w:rsidRDefault="00544811">
            <w:pPr>
              <w:spacing w:before="20" w:after="20"/>
              <w:jc w:val="right"/>
              <w:rPr>
                <w:noProof/>
                <w:sz w:val="20"/>
              </w:rPr>
            </w:pPr>
          </w:p>
        </w:tc>
        <w:tc>
          <w:tcPr>
            <w:tcW w:w="868" w:type="dxa"/>
            <w:vAlign w:val="center"/>
          </w:tcPr>
          <w:p w14:paraId="770F1A81" w14:textId="77777777" w:rsidR="00544811" w:rsidRPr="00F537B9" w:rsidRDefault="00544811">
            <w:pPr>
              <w:spacing w:before="20" w:after="20"/>
              <w:jc w:val="right"/>
              <w:rPr>
                <w:noProof/>
                <w:sz w:val="20"/>
              </w:rPr>
            </w:pPr>
          </w:p>
        </w:tc>
        <w:tc>
          <w:tcPr>
            <w:tcW w:w="868" w:type="dxa"/>
            <w:vAlign w:val="center"/>
          </w:tcPr>
          <w:p w14:paraId="1978B10A" w14:textId="77777777" w:rsidR="00544811" w:rsidRPr="00F537B9" w:rsidRDefault="00544811">
            <w:pPr>
              <w:spacing w:before="20" w:after="20"/>
              <w:jc w:val="right"/>
              <w:rPr>
                <w:noProof/>
                <w:sz w:val="20"/>
              </w:rPr>
            </w:pPr>
          </w:p>
        </w:tc>
        <w:tc>
          <w:tcPr>
            <w:tcW w:w="868" w:type="dxa"/>
            <w:vAlign w:val="center"/>
          </w:tcPr>
          <w:p w14:paraId="462C8EF2" w14:textId="77777777" w:rsidR="00544811" w:rsidRPr="00F537B9" w:rsidRDefault="00544811">
            <w:pPr>
              <w:spacing w:before="20" w:after="20"/>
              <w:jc w:val="right"/>
              <w:rPr>
                <w:noProof/>
                <w:sz w:val="20"/>
              </w:rPr>
            </w:pPr>
          </w:p>
        </w:tc>
        <w:tc>
          <w:tcPr>
            <w:tcW w:w="868" w:type="dxa"/>
            <w:vAlign w:val="center"/>
          </w:tcPr>
          <w:p w14:paraId="3674AA3D" w14:textId="77777777" w:rsidR="00544811" w:rsidRPr="00F537B9" w:rsidRDefault="00544811">
            <w:pPr>
              <w:spacing w:before="20" w:after="20"/>
              <w:jc w:val="right"/>
              <w:rPr>
                <w:b/>
                <w:noProof/>
                <w:sz w:val="20"/>
              </w:rPr>
            </w:pPr>
          </w:p>
        </w:tc>
        <w:tc>
          <w:tcPr>
            <w:tcW w:w="1777" w:type="dxa"/>
            <w:vAlign w:val="center"/>
          </w:tcPr>
          <w:p w14:paraId="34B3B536" w14:textId="77777777" w:rsidR="00544811" w:rsidRPr="00F537B9" w:rsidRDefault="00544811">
            <w:pPr>
              <w:spacing w:before="20" w:after="20"/>
              <w:jc w:val="right"/>
              <w:rPr>
                <w:b/>
                <w:noProof/>
                <w:sz w:val="20"/>
              </w:rPr>
            </w:pPr>
          </w:p>
        </w:tc>
      </w:tr>
      <w:tr w:rsidR="003E7FB4" w:rsidRPr="00F537B9" w14:paraId="4A5CFCC7" w14:textId="77777777">
        <w:tc>
          <w:tcPr>
            <w:tcW w:w="3960" w:type="dxa"/>
            <w:vMerge/>
            <w:shd w:val="thinDiagStripe" w:color="C0C0C0" w:fill="auto"/>
          </w:tcPr>
          <w:p w14:paraId="241ABC9F" w14:textId="77777777" w:rsidR="00544811" w:rsidRPr="00F537B9" w:rsidRDefault="00544811">
            <w:pPr>
              <w:rPr>
                <w:noProof/>
                <w:sz w:val="20"/>
              </w:rPr>
            </w:pPr>
          </w:p>
        </w:tc>
        <w:tc>
          <w:tcPr>
            <w:tcW w:w="1440" w:type="dxa"/>
            <w:vAlign w:val="center"/>
          </w:tcPr>
          <w:p w14:paraId="30C2DE7A" w14:textId="77777777" w:rsidR="00544811" w:rsidRPr="00F537B9" w:rsidRDefault="00544811">
            <w:pPr>
              <w:rPr>
                <w:noProof/>
                <w:sz w:val="18"/>
              </w:rPr>
            </w:pPr>
            <w:r w:rsidRPr="00F537B9">
              <w:rPr>
                <w:noProof/>
                <w:sz w:val="18"/>
              </w:rPr>
              <w:t>Platby</w:t>
            </w:r>
          </w:p>
        </w:tc>
        <w:tc>
          <w:tcPr>
            <w:tcW w:w="654" w:type="dxa"/>
            <w:vAlign w:val="center"/>
          </w:tcPr>
          <w:p w14:paraId="3EDDC96F" w14:textId="77777777" w:rsidR="00544811" w:rsidRPr="00F537B9" w:rsidRDefault="00544811">
            <w:pPr>
              <w:jc w:val="center"/>
              <w:rPr>
                <w:noProof/>
                <w:sz w:val="14"/>
              </w:rPr>
            </w:pPr>
            <w:r w:rsidRPr="00F537B9">
              <w:rPr>
                <w:noProof/>
                <w:sz w:val="14"/>
              </w:rPr>
              <w:t>= 5 + 6</w:t>
            </w:r>
          </w:p>
        </w:tc>
        <w:tc>
          <w:tcPr>
            <w:tcW w:w="868" w:type="dxa"/>
            <w:vAlign w:val="center"/>
          </w:tcPr>
          <w:p w14:paraId="5D857C5E" w14:textId="77777777" w:rsidR="00544811" w:rsidRPr="00F537B9" w:rsidRDefault="00544811">
            <w:pPr>
              <w:spacing w:before="20" w:after="20"/>
              <w:jc w:val="right"/>
              <w:rPr>
                <w:noProof/>
                <w:sz w:val="20"/>
              </w:rPr>
            </w:pPr>
          </w:p>
        </w:tc>
        <w:tc>
          <w:tcPr>
            <w:tcW w:w="868" w:type="dxa"/>
            <w:vAlign w:val="center"/>
          </w:tcPr>
          <w:p w14:paraId="65010234" w14:textId="77777777" w:rsidR="00544811" w:rsidRPr="00F537B9" w:rsidRDefault="00544811">
            <w:pPr>
              <w:spacing w:before="20" w:after="20"/>
              <w:jc w:val="right"/>
              <w:rPr>
                <w:noProof/>
                <w:sz w:val="20"/>
              </w:rPr>
            </w:pPr>
          </w:p>
        </w:tc>
        <w:tc>
          <w:tcPr>
            <w:tcW w:w="868" w:type="dxa"/>
            <w:vAlign w:val="center"/>
          </w:tcPr>
          <w:p w14:paraId="72BE7FD8" w14:textId="77777777" w:rsidR="00544811" w:rsidRPr="00F537B9" w:rsidRDefault="00544811">
            <w:pPr>
              <w:spacing w:before="20" w:after="20"/>
              <w:jc w:val="right"/>
              <w:rPr>
                <w:noProof/>
                <w:sz w:val="20"/>
              </w:rPr>
            </w:pPr>
          </w:p>
        </w:tc>
        <w:tc>
          <w:tcPr>
            <w:tcW w:w="868" w:type="dxa"/>
            <w:vAlign w:val="center"/>
          </w:tcPr>
          <w:p w14:paraId="113B8472" w14:textId="77777777" w:rsidR="00544811" w:rsidRPr="00F537B9" w:rsidRDefault="00544811">
            <w:pPr>
              <w:spacing w:before="20" w:after="20"/>
              <w:jc w:val="right"/>
              <w:rPr>
                <w:noProof/>
                <w:sz w:val="20"/>
              </w:rPr>
            </w:pPr>
          </w:p>
        </w:tc>
        <w:tc>
          <w:tcPr>
            <w:tcW w:w="868" w:type="dxa"/>
            <w:vAlign w:val="center"/>
          </w:tcPr>
          <w:p w14:paraId="3354D05F" w14:textId="77777777" w:rsidR="00544811" w:rsidRPr="00F537B9" w:rsidRDefault="00544811">
            <w:pPr>
              <w:spacing w:before="20" w:after="20"/>
              <w:jc w:val="right"/>
              <w:rPr>
                <w:noProof/>
                <w:sz w:val="20"/>
              </w:rPr>
            </w:pPr>
          </w:p>
        </w:tc>
        <w:tc>
          <w:tcPr>
            <w:tcW w:w="868" w:type="dxa"/>
            <w:vAlign w:val="center"/>
          </w:tcPr>
          <w:p w14:paraId="57CAA6E0" w14:textId="77777777" w:rsidR="00544811" w:rsidRPr="00F537B9" w:rsidRDefault="00544811">
            <w:pPr>
              <w:spacing w:before="20" w:after="20"/>
              <w:jc w:val="right"/>
              <w:rPr>
                <w:noProof/>
                <w:sz w:val="20"/>
              </w:rPr>
            </w:pPr>
          </w:p>
        </w:tc>
        <w:tc>
          <w:tcPr>
            <w:tcW w:w="868" w:type="dxa"/>
            <w:vAlign w:val="center"/>
          </w:tcPr>
          <w:p w14:paraId="1470BB77" w14:textId="77777777" w:rsidR="00544811" w:rsidRPr="00F537B9" w:rsidRDefault="00544811">
            <w:pPr>
              <w:spacing w:before="20" w:after="20"/>
              <w:jc w:val="right"/>
              <w:rPr>
                <w:b/>
                <w:noProof/>
                <w:sz w:val="20"/>
              </w:rPr>
            </w:pPr>
          </w:p>
        </w:tc>
        <w:tc>
          <w:tcPr>
            <w:tcW w:w="1777" w:type="dxa"/>
            <w:vAlign w:val="center"/>
          </w:tcPr>
          <w:p w14:paraId="43D480C6" w14:textId="77777777" w:rsidR="00544811" w:rsidRPr="00F537B9" w:rsidRDefault="00544811">
            <w:pPr>
              <w:spacing w:before="20" w:after="20"/>
              <w:jc w:val="right"/>
              <w:rPr>
                <w:b/>
                <w:noProof/>
                <w:sz w:val="20"/>
              </w:rPr>
            </w:pPr>
          </w:p>
        </w:tc>
      </w:tr>
    </w:tbl>
    <w:p w14:paraId="6C5A37C1" w14:textId="77777777" w:rsidR="00544811" w:rsidRPr="00F537B9" w:rsidRDefault="00544811">
      <w:pPr>
        <w:spacing w:after="40"/>
        <w:rPr>
          <w:b/>
          <w:noProof/>
          <w:sz w:val="22"/>
          <w:u w:val="single"/>
        </w:rPr>
      </w:pPr>
      <w:r w:rsidRPr="00F537B9">
        <w:rPr>
          <w:b/>
          <w:noProof/>
          <w:sz w:val="22"/>
          <w:u w:val="single"/>
        </w:rPr>
        <w:t>Ak má návrh/iniciatíva vplyv na viaceré operačné okruhy, zopakujte oddiel uvedený vyššie: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B20665" w:rsidRPr="00F537B9" w14:paraId="66368B70" w14:textId="77777777">
        <w:trPr>
          <w:trHeight w:val="277"/>
        </w:trPr>
        <w:tc>
          <w:tcPr>
            <w:tcW w:w="3960" w:type="dxa"/>
            <w:vMerge w:val="restart"/>
            <w:tcBorders>
              <w:top w:val="single" w:sz="4" w:space="0" w:color="auto"/>
              <w:left w:val="single" w:sz="4" w:space="0" w:color="auto"/>
              <w:bottom w:val="single" w:sz="4" w:space="0" w:color="FF0000"/>
            </w:tcBorders>
            <w:vAlign w:val="center"/>
          </w:tcPr>
          <w:p w14:paraId="5C19E2AB" w14:textId="77777777" w:rsidR="00544811" w:rsidRPr="00F537B9" w:rsidRDefault="00544811">
            <w:pPr>
              <w:spacing w:before="20" w:after="20"/>
              <w:rPr>
                <w:noProof/>
              </w:rPr>
            </w:pPr>
            <w:r w:rsidRPr="00F537B9">
              <w:rPr>
                <w:rFonts w:ascii="Wingdings" w:hAnsi="Wingdings"/>
                <w:noProof/>
                <w:sz w:val="21"/>
              </w:rPr>
              <w:t>□</w:t>
            </w:r>
            <w:r w:rsidRPr="00F537B9">
              <w:rPr>
                <w:noProof/>
                <w:sz w:val="21"/>
              </w:rPr>
              <w:t xml:space="preserve"> Operačné rozpočtové prostriedky SPOLU (všetky operačné okruhy)</w:t>
            </w:r>
          </w:p>
        </w:tc>
        <w:tc>
          <w:tcPr>
            <w:tcW w:w="1440" w:type="dxa"/>
            <w:tcBorders>
              <w:top w:val="single" w:sz="4" w:space="0" w:color="auto"/>
            </w:tcBorders>
            <w:vAlign w:val="center"/>
          </w:tcPr>
          <w:p w14:paraId="6819A830" w14:textId="77777777" w:rsidR="00544811" w:rsidRPr="00F537B9" w:rsidRDefault="00544811">
            <w:pPr>
              <w:spacing w:beforeLines="20" w:before="48" w:afterLines="20" w:after="48"/>
              <w:rPr>
                <w:noProof/>
                <w:sz w:val="18"/>
              </w:rPr>
            </w:pPr>
            <w:r w:rsidRPr="00F537B9">
              <w:rPr>
                <w:noProof/>
                <w:sz w:val="18"/>
              </w:rPr>
              <w:t>Záväzky</w:t>
            </w:r>
          </w:p>
        </w:tc>
        <w:tc>
          <w:tcPr>
            <w:tcW w:w="654" w:type="dxa"/>
            <w:tcBorders>
              <w:top w:val="single" w:sz="4" w:space="0" w:color="auto"/>
            </w:tcBorders>
            <w:vAlign w:val="center"/>
          </w:tcPr>
          <w:p w14:paraId="3B56331F" w14:textId="77777777" w:rsidR="00544811" w:rsidRPr="00F537B9" w:rsidRDefault="00544811">
            <w:pPr>
              <w:spacing w:beforeLines="20" w:before="48" w:afterLines="20" w:after="48"/>
              <w:jc w:val="center"/>
              <w:rPr>
                <w:noProof/>
                <w:sz w:val="14"/>
              </w:rPr>
            </w:pPr>
            <w:r w:rsidRPr="00F537B9">
              <w:rPr>
                <w:noProof/>
                <w:sz w:val="14"/>
              </w:rPr>
              <w:t>(4)</w:t>
            </w:r>
          </w:p>
        </w:tc>
        <w:tc>
          <w:tcPr>
            <w:tcW w:w="868" w:type="dxa"/>
            <w:tcBorders>
              <w:top w:val="single" w:sz="4" w:space="0" w:color="auto"/>
            </w:tcBorders>
            <w:vAlign w:val="center"/>
          </w:tcPr>
          <w:p w14:paraId="74F40580" w14:textId="77777777" w:rsidR="00544811" w:rsidRPr="00F537B9" w:rsidRDefault="00544811">
            <w:pPr>
              <w:spacing w:before="20" w:after="20"/>
              <w:jc w:val="right"/>
              <w:rPr>
                <w:noProof/>
                <w:sz w:val="20"/>
              </w:rPr>
            </w:pPr>
          </w:p>
        </w:tc>
        <w:tc>
          <w:tcPr>
            <w:tcW w:w="868" w:type="dxa"/>
            <w:tcBorders>
              <w:top w:val="single" w:sz="4" w:space="0" w:color="auto"/>
            </w:tcBorders>
            <w:vAlign w:val="center"/>
          </w:tcPr>
          <w:p w14:paraId="5083E627" w14:textId="77777777" w:rsidR="00544811" w:rsidRPr="00F537B9" w:rsidRDefault="00544811">
            <w:pPr>
              <w:spacing w:before="20" w:after="20"/>
              <w:jc w:val="right"/>
              <w:rPr>
                <w:noProof/>
                <w:sz w:val="20"/>
              </w:rPr>
            </w:pPr>
          </w:p>
        </w:tc>
        <w:tc>
          <w:tcPr>
            <w:tcW w:w="868" w:type="dxa"/>
            <w:tcBorders>
              <w:top w:val="single" w:sz="4" w:space="0" w:color="auto"/>
            </w:tcBorders>
            <w:vAlign w:val="center"/>
          </w:tcPr>
          <w:p w14:paraId="6F213A4F" w14:textId="77777777" w:rsidR="00544811" w:rsidRPr="00F537B9" w:rsidRDefault="00544811">
            <w:pPr>
              <w:spacing w:before="20" w:after="20"/>
              <w:jc w:val="right"/>
              <w:rPr>
                <w:noProof/>
                <w:sz w:val="20"/>
              </w:rPr>
            </w:pPr>
          </w:p>
        </w:tc>
        <w:tc>
          <w:tcPr>
            <w:tcW w:w="868" w:type="dxa"/>
            <w:tcBorders>
              <w:top w:val="single" w:sz="4" w:space="0" w:color="auto"/>
            </w:tcBorders>
            <w:vAlign w:val="center"/>
          </w:tcPr>
          <w:p w14:paraId="68C6E83A" w14:textId="77777777" w:rsidR="00544811" w:rsidRPr="00F537B9" w:rsidRDefault="00544811">
            <w:pPr>
              <w:spacing w:before="20" w:after="20"/>
              <w:jc w:val="right"/>
              <w:rPr>
                <w:noProof/>
                <w:sz w:val="20"/>
              </w:rPr>
            </w:pPr>
          </w:p>
        </w:tc>
        <w:tc>
          <w:tcPr>
            <w:tcW w:w="868" w:type="dxa"/>
            <w:tcBorders>
              <w:top w:val="single" w:sz="4" w:space="0" w:color="auto"/>
            </w:tcBorders>
            <w:vAlign w:val="center"/>
          </w:tcPr>
          <w:p w14:paraId="31C7D8E8" w14:textId="77777777" w:rsidR="00544811" w:rsidRPr="00F537B9" w:rsidRDefault="00544811">
            <w:pPr>
              <w:spacing w:before="20" w:after="20"/>
              <w:jc w:val="right"/>
              <w:rPr>
                <w:noProof/>
                <w:sz w:val="20"/>
              </w:rPr>
            </w:pPr>
          </w:p>
        </w:tc>
        <w:tc>
          <w:tcPr>
            <w:tcW w:w="868" w:type="dxa"/>
            <w:tcBorders>
              <w:top w:val="single" w:sz="4" w:space="0" w:color="auto"/>
            </w:tcBorders>
            <w:vAlign w:val="center"/>
          </w:tcPr>
          <w:p w14:paraId="5AD8FBF8" w14:textId="77777777" w:rsidR="00544811" w:rsidRPr="00F537B9" w:rsidRDefault="00544811">
            <w:pPr>
              <w:spacing w:before="20" w:after="20"/>
              <w:jc w:val="right"/>
              <w:rPr>
                <w:noProof/>
                <w:sz w:val="20"/>
              </w:rPr>
            </w:pPr>
          </w:p>
        </w:tc>
        <w:tc>
          <w:tcPr>
            <w:tcW w:w="868" w:type="dxa"/>
            <w:tcBorders>
              <w:top w:val="single" w:sz="4" w:space="0" w:color="auto"/>
            </w:tcBorders>
            <w:vAlign w:val="center"/>
          </w:tcPr>
          <w:p w14:paraId="51474211" w14:textId="77777777" w:rsidR="00544811" w:rsidRPr="00F537B9" w:rsidRDefault="00544811">
            <w:pPr>
              <w:spacing w:before="20" w:after="20"/>
              <w:jc w:val="right"/>
              <w:rPr>
                <w:b/>
                <w:noProof/>
                <w:sz w:val="20"/>
              </w:rPr>
            </w:pPr>
          </w:p>
        </w:tc>
        <w:tc>
          <w:tcPr>
            <w:tcW w:w="1777" w:type="dxa"/>
            <w:tcBorders>
              <w:top w:val="single" w:sz="4" w:space="0" w:color="auto"/>
              <w:right w:val="single" w:sz="4" w:space="0" w:color="auto"/>
            </w:tcBorders>
            <w:vAlign w:val="center"/>
          </w:tcPr>
          <w:p w14:paraId="35BE7260" w14:textId="77777777" w:rsidR="00544811" w:rsidRPr="00F537B9" w:rsidRDefault="00544811">
            <w:pPr>
              <w:spacing w:before="20" w:after="20"/>
              <w:jc w:val="right"/>
              <w:rPr>
                <w:b/>
                <w:noProof/>
                <w:sz w:val="20"/>
              </w:rPr>
            </w:pPr>
          </w:p>
        </w:tc>
      </w:tr>
      <w:tr w:rsidR="00B20665" w:rsidRPr="00F537B9" w14:paraId="59A36F24" w14:textId="77777777">
        <w:tc>
          <w:tcPr>
            <w:tcW w:w="3960" w:type="dxa"/>
            <w:vMerge/>
            <w:tcBorders>
              <w:top w:val="single" w:sz="4" w:space="0" w:color="FF0000"/>
              <w:left w:val="single" w:sz="4" w:space="0" w:color="auto"/>
              <w:bottom w:val="single" w:sz="4" w:space="0" w:color="FF0000"/>
            </w:tcBorders>
          </w:tcPr>
          <w:p w14:paraId="55903B3A" w14:textId="77777777" w:rsidR="00544811" w:rsidRPr="00F537B9" w:rsidRDefault="00544811">
            <w:pPr>
              <w:jc w:val="center"/>
              <w:rPr>
                <w:noProof/>
                <w:sz w:val="20"/>
              </w:rPr>
            </w:pPr>
          </w:p>
        </w:tc>
        <w:tc>
          <w:tcPr>
            <w:tcW w:w="1440" w:type="dxa"/>
            <w:vAlign w:val="center"/>
          </w:tcPr>
          <w:p w14:paraId="193CFD5C" w14:textId="77777777" w:rsidR="00544811" w:rsidRPr="00F537B9" w:rsidRDefault="00544811">
            <w:pPr>
              <w:spacing w:beforeLines="20" w:before="48" w:afterLines="20" w:after="48"/>
              <w:rPr>
                <w:noProof/>
                <w:sz w:val="18"/>
              </w:rPr>
            </w:pPr>
            <w:r w:rsidRPr="00F537B9">
              <w:rPr>
                <w:noProof/>
                <w:sz w:val="18"/>
              </w:rPr>
              <w:t>Platby</w:t>
            </w:r>
          </w:p>
        </w:tc>
        <w:tc>
          <w:tcPr>
            <w:tcW w:w="654" w:type="dxa"/>
            <w:vAlign w:val="center"/>
          </w:tcPr>
          <w:p w14:paraId="53D06B5E" w14:textId="77777777" w:rsidR="00544811" w:rsidRPr="00F537B9" w:rsidRDefault="00544811">
            <w:pPr>
              <w:spacing w:beforeLines="20" w:before="48" w:afterLines="20" w:after="48"/>
              <w:jc w:val="center"/>
              <w:rPr>
                <w:noProof/>
                <w:sz w:val="14"/>
              </w:rPr>
            </w:pPr>
            <w:r w:rsidRPr="00F537B9">
              <w:rPr>
                <w:noProof/>
                <w:sz w:val="14"/>
              </w:rPr>
              <w:t>(5)</w:t>
            </w:r>
          </w:p>
        </w:tc>
        <w:tc>
          <w:tcPr>
            <w:tcW w:w="868" w:type="dxa"/>
            <w:vAlign w:val="center"/>
          </w:tcPr>
          <w:p w14:paraId="7DB3D0C8" w14:textId="77777777" w:rsidR="00544811" w:rsidRPr="00F537B9" w:rsidRDefault="00544811">
            <w:pPr>
              <w:spacing w:before="20" w:after="20"/>
              <w:jc w:val="right"/>
              <w:rPr>
                <w:noProof/>
                <w:sz w:val="20"/>
              </w:rPr>
            </w:pPr>
          </w:p>
        </w:tc>
        <w:tc>
          <w:tcPr>
            <w:tcW w:w="868" w:type="dxa"/>
            <w:vAlign w:val="center"/>
          </w:tcPr>
          <w:p w14:paraId="765D8E7A" w14:textId="77777777" w:rsidR="00544811" w:rsidRPr="00F537B9" w:rsidRDefault="00544811">
            <w:pPr>
              <w:spacing w:before="20" w:after="20"/>
              <w:jc w:val="right"/>
              <w:rPr>
                <w:noProof/>
                <w:sz w:val="20"/>
              </w:rPr>
            </w:pPr>
          </w:p>
        </w:tc>
        <w:tc>
          <w:tcPr>
            <w:tcW w:w="868" w:type="dxa"/>
            <w:vAlign w:val="center"/>
          </w:tcPr>
          <w:p w14:paraId="7E2FC80A" w14:textId="77777777" w:rsidR="00544811" w:rsidRPr="00F537B9" w:rsidRDefault="00544811">
            <w:pPr>
              <w:spacing w:before="20" w:after="20"/>
              <w:jc w:val="right"/>
              <w:rPr>
                <w:noProof/>
                <w:sz w:val="20"/>
              </w:rPr>
            </w:pPr>
          </w:p>
        </w:tc>
        <w:tc>
          <w:tcPr>
            <w:tcW w:w="868" w:type="dxa"/>
            <w:vAlign w:val="center"/>
          </w:tcPr>
          <w:p w14:paraId="0A1A333A" w14:textId="77777777" w:rsidR="00544811" w:rsidRPr="00F537B9" w:rsidRDefault="00544811">
            <w:pPr>
              <w:spacing w:before="20" w:after="20"/>
              <w:jc w:val="right"/>
              <w:rPr>
                <w:noProof/>
                <w:sz w:val="20"/>
              </w:rPr>
            </w:pPr>
          </w:p>
        </w:tc>
        <w:tc>
          <w:tcPr>
            <w:tcW w:w="868" w:type="dxa"/>
            <w:vAlign w:val="center"/>
          </w:tcPr>
          <w:p w14:paraId="2A2BFAD5" w14:textId="77777777" w:rsidR="00544811" w:rsidRPr="00F537B9" w:rsidRDefault="00544811">
            <w:pPr>
              <w:spacing w:before="20" w:after="20"/>
              <w:jc w:val="right"/>
              <w:rPr>
                <w:noProof/>
                <w:sz w:val="20"/>
              </w:rPr>
            </w:pPr>
          </w:p>
        </w:tc>
        <w:tc>
          <w:tcPr>
            <w:tcW w:w="868" w:type="dxa"/>
            <w:vAlign w:val="center"/>
          </w:tcPr>
          <w:p w14:paraId="74429125" w14:textId="77777777" w:rsidR="00544811" w:rsidRPr="00F537B9" w:rsidRDefault="00544811">
            <w:pPr>
              <w:spacing w:before="20" w:after="20"/>
              <w:jc w:val="right"/>
              <w:rPr>
                <w:noProof/>
                <w:sz w:val="20"/>
              </w:rPr>
            </w:pPr>
          </w:p>
        </w:tc>
        <w:tc>
          <w:tcPr>
            <w:tcW w:w="868" w:type="dxa"/>
            <w:vAlign w:val="center"/>
          </w:tcPr>
          <w:p w14:paraId="38C73B7E" w14:textId="77777777" w:rsidR="00544811" w:rsidRPr="00F537B9" w:rsidRDefault="00544811">
            <w:pPr>
              <w:spacing w:before="20" w:after="20"/>
              <w:jc w:val="right"/>
              <w:rPr>
                <w:b/>
                <w:noProof/>
                <w:sz w:val="20"/>
              </w:rPr>
            </w:pPr>
          </w:p>
        </w:tc>
        <w:tc>
          <w:tcPr>
            <w:tcW w:w="1777" w:type="dxa"/>
            <w:tcBorders>
              <w:right w:val="single" w:sz="4" w:space="0" w:color="auto"/>
            </w:tcBorders>
            <w:vAlign w:val="center"/>
          </w:tcPr>
          <w:p w14:paraId="4E421EC6" w14:textId="77777777" w:rsidR="00544811" w:rsidRPr="00F537B9" w:rsidRDefault="00544811">
            <w:pPr>
              <w:spacing w:before="20" w:after="20"/>
              <w:jc w:val="right"/>
              <w:rPr>
                <w:b/>
                <w:noProof/>
                <w:sz w:val="20"/>
              </w:rPr>
            </w:pPr>
          </w:p>
        </w:tc>
      </w:tr>
      <w:tr w:rsidR="005076D3" w:rsidRPr="00F537B9" w14:paraId="1F694328" w14:textId="77777777">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6DEB906B" w14:textId="148F9FEC" w:rsidR="00544811" w:rsidRPr="00F537B9" w:rsidRDefault="00544811">
            <w:pPr>
              <w:spacing w:beforeLines="20" w:before="48" w:afterLines="20" w:after="48"/>
              <w:rPr>
                <w:noProof/>
              </w:rPr>
            </w:pPr>
            <w:r w:rsidRPr="00F537B9">
              <w:rPr>
                <w:noProof/>
                <w:sz w:val="21"/>
              </w:rPr>
              <w:t xml:space="preserve"> Administratívne rozpočtové prostriedky financované</w:t>
            </w:r>
            <w:r w:rsidR="00F537B9">
              <w:rPr>
                <w:noProof/>
                <w:sz w:val="21"/>
              </w:rPr>
              <w:t xml:space="preserve"> z </w:t>
            </w:r>
            <w:r w:rsidRPr="00F537B9">
              <w:rPr>
                <w:noProof/>
                <w:sz w:val="21"/>
              </w:rPr>
              <w:t>finančného krytia na vykonávanie osobitných programov SPOLU (všetky operačné okruhy)</w:t>
            </w:r>
          </w:p>
        </w:tc>
        <w:tc>
          <w:tcPr>
            <w:tcW w:w="654" w:type="dxa"/>
            <w:vAlign w:val="center"/>
          </w:tcPr>
          <w:p w14:paraId="011038A2" w14:textId="77777777" w:rsidR="00544811" w:rsidRPr="00F537B9" w:rsidRDefault="00544811">
            <w:pPr>
              <w:rPr>
                <w:noProof/>
              </w:rPr>
            </w:pPr>
          </w:p>
          <w:p w14:paraId="665957B8" w14:textId="77777777" w:rsidR="00544811" w:rsidRPr="00F537B9" w:rsidRDefault="00544811">
            <w:pPr>
              <w:spacing w:beforeLines="20" w:before="48" w:afterLines="20" w:after="48"/>
              <w:jc w:val="center"/>
              <w:rPr>
                <w:noProof/>
                <w:sz w:val="14"/>
              </w:rPr>
            </w:pPr>
            <w:r w:rsidRPr="00F537B9">
              <w:rPr>
                <w:noProof/>
                <w:sz w:val="14"/>
              </w:rPr>
              <w:t>(6)</w:t>
            </w:r>
          </w:p>
        </w:tc>
        <w:tc>
          <w:tcPr>
            <w:tcW w:w="868" w:type="dxa"/>
            <w:vAlign w:val="center"/>
          </w:tcPr>
          <w:p w14:paraId="0C8728E1" w14:textId="77777777" w:rsidR="00544811" w:rsidRPr="00F537B9" w:rsidRDefault="00544811">
            <w:pPr>
              <w:spacing w:before="20" w:after="20"/>
              <w:jc w:val="right"/>
              <w:rPr>
                <w:b/>
                <w:noProof/>
                <w:sz w:val="20"/>
              </w:rPr>
            </w:pPr>
          </w:p>
        </w:tc>
        <w:tc>
          <w:tcPr>
            <w:tcW w:w="868" w:type="dxa"/>
            <w:vAlign w:val="center"/>
          </w:tcPr>
          <w:p w14:paraId="3838086B" w14:textId="77777777" w:rsidR="00544811" w:rsidRPr="00F537B9" w:rsidRDefault="00544811">
            <w:pPr>
              <w:spacing w:before="20" w:after="20"/>
              <w:jc w:val="right"/>
              <w:rPr>
                <w:b/>
                <w:noProof/>
                <w:sz w:val="20"/>
              </w:rPr>
            </w:pPr>
          </w:p>
        </w:tc>
        <w:tc>
          <w:tcPr>
            <w:tcW w:w="868" w:type="dxa"/>
            <w:vAlign w:val="center"/>
          </w:tcPr>
          <w:p w14:paraId="58A7D20D" w14:textId="77777777" w:rsidR="00544811" w:rsidRPr="00F537B9" w:rsidRDefault="00544811">
            <w:pPr>
              <w:spacing w:before="20" w:after="20"/>
              <w:jc w:val="right"/>
              <w:rPr>
                <w:b/>
                <w:noProof/>
                <w:sz w:val="20"/>
              </w:rPr>
            </w:pPr>
          </w:p>
        </w:tc>
        <w:tc>
          <w:tcPr>
            <w:tcW w:w="868" w:type="dxa"/>
            <w:vAlign w:val="center"/>
          </w:tcPr>
          <w:p w14:paraId="39322D1E" w14:textId="77777777" w:rsidR="00544811" w:rsidRPr="00F537B9" w:rsidRDefault="00544811">
            <w:pPr>
              <w:spacing w:before="20" w:after="20"/>
              <w:jc w:val="right"/>
              <w:rPr>
                <w:b/>
                <w:noProof/>
                <w:sz w:val="20"/>
              </w:rPr>
            </w:pPr>
          </w:p>
        </w:tc>
        <w:tc>
          <w:tcPr>
            <w:tcW w:w="868" w:type="dxa"/>
            <w:vAlign w:val="center"/>
          </w:tcPr>
          <w:p w14:paraId="54F99D0E" w14:textId="77777777" w:rsidR="00544811" w:rsidRPr="00F537B9" w:rsidRDefault="00544811">
            <w:pPr>
              <w:spacing w:before="20" w:after="20"/>
              <w:jc w:val="right"/>
              <w:rPr>
                <w:b/>
                <w:noProof/>
                <w:sz w:val="20"/>
              </w:rPr>
            </w:pPr>
          </w:p>
        </w:tc>
        <w:tc>
          <w:tcPr>
            <w:tcW w:w="868" w:type="dxa"/>
            <w:vAlign w:val="center"/>
          </w:tcPr>
          <w:p w14:paraId="070B1508" w14:textId="77777777" w:rsidR="00544811" w:rsidRPr="00F537B9" w:rsidRDefault="00544811">
            <w:pPr>
              <w:spacing w:before="20" w:after="20"/>
              <w:jc w:val="right"/>
              <w:rPr>
                <w:b/>
                <w:noProof/>
                <w:sz w:val="20"/>
              </w:rPr>
            </w:pPr>
          </w:p>
        </w:tc>
        <w:tc>
          <w:tcPr>
            <w:tcW w:w="868" w:type="dxa"/>
            <w:vAlign w:val="center"/>
          </w:tcPr>
          <w:p w14:paraId="4F327972" w14:textId="77777777" w:rsidR="00544811" w:rsidRPr="00F537B9" w:rsidRDefault="00544811">
            <w:pPr>
              <w:spacing w:before="20" w:after="20"/>
              <w:jc w:val="right"/>
              <w:rPr>
                <w:b/>
                <w:noProof/>
                <w:sz w:val="20"/>
              </w:rPr>
            </w:pPr>
          </w:p>
        </w:tc>
        <w:tc>
          <w:tcPr>
            <w:tcW w:w="1777" w:type="dxa"/>
            <w:vAlign w:val="center"/>
          </w:tcPr>
          <w:p w14:paraId="5E69E454" w14:textId="77777777" w:rsidR="00544811" w:rsidRPr="00F537B9" w:rsidRDefault="00544811">
            <w:pPr>
              <w:spacing w:before="20" w:after="20"/>
              <w:jc w:val="right"/>
              <w:rPr>
                <w:b/>
                <w:noProof/>
                <w:sz w:val="20"/>
              </w:rPr>
            </w:pPr>
          </w:p>
        </w:tc>
      </w:tr>
      <w:tr w:rsidR="0086748C" w:rsidRPr="00F537B9" w14:paraId="2651F93E" w14:textId="77777777">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24422ACD" w14:textId="698E6A34" w:rsidR="00544811" w:rsidRPr="00F537B9" w:rsidRDefault="00544811">
            <w:pPr>
              <w:jc w:val="center"/>
              <w:rPr>
                <w:b/>
                <w:noProof/>
              </w:rPr>
            </w:pPr>
            <w:r w:rsidRPr="00F537B9">
              <w:rPr>
                <w:b/>
                <w:noProof/>
              </w:rPr>
              <w:t>Rozpočtové prostriedky</w:t>
            </w:r>
            <w:r w:rsidR="00F537B9" w:rsidRPr="00F537B9">
              <w:rPr>
                <w:b/>
                <w:noProof/>
              </w:rPr>
              <w:t xml:space="preserve"> </w:t>
            </w:r>
            <w:r w:rsidRPr="00F537B9">
              <w:rPr>
                <w:noProof/>
              </w:rPr>
              <w:br/>
            </w:r>
            <w:r w:rsidRPr="00F537B9">
              <w:rPr>
                <w:b/>
                <w:noProof/>
              </w:rPr>
              <w:t>OKRUHOV 1 až 6</w:t>
            </w:r>
            <w:r w:rsidRPr="00F537B9">
              <w:rPr>
                <w:noProof/>
              </w:rPr>
              <w:t xml:space="preserve"> </w:t>
            </w:r>
            <w:r w:rsidRPr="00F537B9">
              <w:rPr>
                <w:noProof/>
              </w:rPr>
              <w:br/>
              <w:t xml:space="preserve">viacročného finančného rámca </w:t>
            </w:r>
            <w:r w:rsidRPr="00F537B9">
              <w:rPr>
                <w:b/>
                <w:noProof/>
              </w:rPr>
              <w:t>SPOLU</w:t>
            </w:r>
            <w:r w:rsidRPr="00F537B9">
              <w:rPr>
                <w:noProof/>
              </w:rPr>
              <w:t xml:space="preserve"> </w:t>
            </w:r>
            <w:r w:rsidRPr="00F537B9">
              <w:rPr>
                <w:noProof/>
              </w:rPr>
              <w:br/>
            </w:r>
            <w:r w:rsidRPr="00F537B9">
              <w:rPr>
                <w:noProof/>
                <w:sz w:val="20"/>
              </w:rPr>
              <w:t>(referenčná suma)</w:t>
            </w:r>
          </w:p>
        </w:tc>
        <w:tc>
          <w:tcPr>
            <w:tcW w:w="1440" w:type="dxa"/>
            <w:vAlign w:val="center"/>
          </w:tcPr>
          <w:p w14:paraId="1970C913" w14:textId="77777777" w:rsidR="00544811" w:rsidRPr="00F537B9" w:rsidRDefault="00544811">
            <w:pPr>
              <w:rPr>
                <w:noProof/>
                <w:sz w:val="18"/>
              </w:rPr>
            </w:pPr>
            <w:r w:rsidRPr="00F537B9">
              <w:rPr>
                <w:noProof/>
                <w:sz w:val="18"/>
              </w:rPr>
              <w:t>Záväzky</w:t>
            </w:r>
          </w:p>
        </w:tc>
        <w:tc>
          <w:tcPr>
            <w:tcW w:w="654" w:type="dxa"/>
            <w:vAlign w:val="center"/>
          </w:tcPr>
          <w:p w14:paraId="16DEA623" w14:textId="77777777" w:rsidR="00544811" w:rsidRPr="00F537B9" w:rsidRDefault="00544811">
            <w:pPr>
              <w:jc w:val="center"/>
              <w:rPr>
                <w:noProof/>
                <w:sz w:val="14"/>
              </w:rPr>
            </w:pPr>
            <w:r w:rsidRPr="00F537B9">
              <w:rPr>
                <w:noProof/>
                <w:sz w:val="14"/>
              </w:rPr>
              <w:t>= 4 + 6</w:t>
            </w:r>
          </w:p>
        </w:tc>
        <w:tc>
          <w:tcPr>
            <w:tcW w:w="868" w:type="dxa"/>
            <w:vAlign w:val="center"/>
          </w:tcPr>
          <w:p w14:paraId="76984415" w14:textId="77777777" w:rsidR="00544811" w:rsidRPr="00F537B9" w:rsidRDefault="00544811">
            <w:pPr>
              <w:spacing w:before="20" w:after="20"/>
              <w:jc w:val="right"/>
              <w:rPr>
                <w:noProof/>
                <w:sz w:val="20"/>
              </w:rPr>
            </w:pPr>
          </w:p>
        </w:tc>
        <w:tc>
          <w:tcPr>
            <w:tcW w:w="868" w:type="dxa"/>
            <w:vAlign w:val="center"/>
          </w:tcPr>
          <w:p w14:paraId="4A78E2BF" w14:textId="77777777" w:rsidR="00544811" w:rsidRPr="00F537B9" w:rsidRDefault="00544811">
            <w:pPr>
              <w:spacing w:before="20" w:after="20"/>
              <w:jc w:val="right"/>
              <w:rPr>
                <w:noProof/>
                <w:sz w:val="20"/>
              </w:rPr>
            </w:pPr>
          </w:p>
        </w:tc>
        <w:tc>
          <w:tcPr>
            <w:tcW w:w="868" w:type="dxa"/>
            <w:vAlign w:val="center"/>
          </w:tcPr>
          <w:p w14:paraId="1A9FA2D0" w14:textId="77777777" w:rsidR="00544811" w:rsidRPr="00F537B9" w:rsidRDefault="00544811">
            <w:pPr>
              <w:spacing w:before="20" w:after="20"/>
              <w:jc w:val="right"/>
              <w:rPr>
                <w:noProof/>
                <w:sz w:val="20"/>
              </w:rPr>
            </w:pPr>
          </w:p>
        </w:tc>
        <w:tc>
          <w:tcPr>
            <w:tcW w:w="868" w:type="dxa"/>
            <w:vAlign w:val="center"/>
          </w:tcPr>
          <w:p w14:paraId="7935CED7" w14:textId="77777777" w:rsidR="00544811" w:rsidRPr="00F537B9" w:rsidRDefault="00544811">
            <w:pPr>
              <w:spacing w:before="20" w:after="20"/>
              <w:jc w:val="right"/>
              <w:rPr>
                <w:noProof/>
                <w:sz w:val="20"/>
              </w:rPr>
            </w:pPr>
          </w:p>
        </w:tc>
        <w:tc>
          <w:tcPr>
            <w:tcW w:w="868" w:type="dxa"/>
            <w:vAlign w:val="center"/>
          </w:tcPr>
          <w:p w14:paraId="204D00AC" w14:textId="77777777" w:rsidR="00544811" w:rsidRPr="00F537B9" w:rsidRDefault="00544811">
            <w:pPr>
              <w:spacing w:before="20" w:after="20"/>
              <w:jc w:val="right"/>
              <w:rPr>
                <w:noProof/>
                <w:sz w:val="20"/>
              </w:rPr>
            </w:pPr>
          </w:p>
        </w:tc>
        <w:tc>
          <w:tcPr>
            <w:tcW w:w="868" w:type="dxa"/>
            <w:vAlign w:val="center"/>
          </w:tcPr>
          <w:p w14:paraId="451F95FC" w14:textId="77777777" w:rsidR="00544811" w:rsidRPr="00F537B9" w:rsidRDefault="00544811">
            <w:pPr>
              <w:spacing w:before="20" w:after="20"/>
              <w:jc w:val="right"/>
              <w:rPr>
                <w:noProof/>
                <w:sz w:val="20"/>
              </w:rPr>
            </w:pPr>
          </w:p>
        </w:tc>
        <w:tc>
          <w:tcPr>
            <w:tcW w:w="868" w:type="dxa"/>
            <w:vAlign w:val="center"/>
          </w:tcPr>
          <w:p w14:paraId="67C9B3AB" w14:textId="77777777" w:rsidR="00544811" w:rsidRPr="00F537B9" w:rsidRDefault="00544811">
            <w:pPr>
              <w:spacing w:before="20" w:after="20"/>
              <w:jc w:val="right"/>
              <w:rPr>
                <w:b/>
                <w:noProof/>
                <w:sz w:val="20"/>
              </w:rPr>
            </w:pPr>
          </w:p>
        </w:tc>
        <w:tc>
          <w:tcPr>
            <w:tcW w:w="1777" w:type="dxa"/>
            <w:tcBorders>
              <w:right w:val="single" w:sz="4" w:space="0" w:color="auto"/>
            </w:tcBorders>
            <w:vAlign w:val="center"/>
          </w:tcPr>
          <w:p w14:paraId="3FFEA021" w14:textId="77777777" w:rsidR="00544811" w:rsidRPr="00F537B9" w:rsidRDefault="00544811">
            <w:pPr>
              <w:spacing w:before="20" w:after="20"/>
              <w:jc w:val="right"/>
              <w:rPr>
                <w:b/>
                <w:noProof/>
                <w:sz w:val="20"/>
              </w:rPr>
            </w:pPr>
          </w:p>
        </w:tc>
      </w:tr>
      <w:tr w:rsidR="0086748C" w:rsidRPr="00F537B9" w14:paraId="074DB495" w14:textId="77777777">
        <w:tc>
          <w:tcPr>
            <w:tcW w:w="3960" w:type="dxa"/>
            <w:vMerge/>
            <w:tcBorders>
              <w:top w:val="single" w:sz="4" w:space="0" w:color="FF0000"/>
              <w:left w:val="single" w:sz="4" w:space="0" w:color="auto"/>
              <w:bottom w:val="single" w:sz="4" w:space="0" w:color="auto"/>
            </w:tcBorders>
            <w:shd w:val="thinDiagStripe" w:color="C0C0C0" w:fill="auto"/>
          </w:tcPr>
          <w:p w14:paraId="31D37E8A" w14:textId="77777777" w:rsidR="00544811" w:rsidRPr="00F537B9" w:rsidRDefault="00544811">
            <w:pPr>
              <w:rPr>
                <w:noProof/>
                <w:sz w:val="20"/>
              </w:rPr>
            </w:pPr>
          </w:p>
        </w:tc>
        <w:tc>
          <w:tcPr>
            <w:tcW w:w="1440" w:type="dxa"/>
            <w:tcBorders>
              <w:bottom w:val="single" w:sz="4" w:space="0" w:color="auto"/>
            </w:tcBorders>
            <w:vAlign w:val="center"/>
          </w:tcPr>
          <w:p w14:paraId="19AA44C2" w14:textId="77777777" w:rsidR="00544811" w:rsidRPr="00F537B9" w:rsidRDefault="00544811">
            <w:pPr>
              <w:rPr>
                <w:noProof/>
                <w:sz w:val="18"/>
              </w:rPr>
            </w:pPr>
            <w:r w:rsidRPr="00F537B9">
              <w:rPr>
                <w:noProof/>
                <w:sz w:val="18"/>
              </w:rPr>
              <w:t>Platby</w:t>
            </w:r>
          </w:p>
        </w:tc>
        <w:tc>
          <w:tcPr>
            <w:tcW w:w="654" w:type="dxa"/>
            <w:tcBorders>
              <w:bottom w:val="single" w:sz="4" w:space="0" w:color="auto"/>
            </w:tcBorders>
            <w:vAlign w:val="center"/>
          </w:tcPr>
          <w:p w14:paraId="341C8B09" w14:textId="77777777" w:rsidR="00544811" w:rsidRPr="00F537B9" w:rsidRDefault="00544811">
            <w:pPr>
              <w:jc w:val="center"/>
              <w:rPr>
                <w:noProof/>
                <w:sz w:val="14"/>
              </w:rPr>
            </w:pPr>
            <w:r w:rsidRPr="00F537B9">
              <w:rPr>
                <w:noProof/>
                <w:sz w:val="14"/>
              </w:rPr>
              <w:t>= 5 + 6</w:t>
            </w:r>
          </w:p>
        </w:tc>
        <w:tc>
          <w:tcPr>
            <w:tcW w:w="868" w:type="dxa"/>
            <w:tcBorders>
              <w:bottom w:val="single" w:sz="4" w:space="0" w:color="auto"/>
            </w:tcBorders>
            <w:vAlign w:val="center"/>
          </w:tcPr>
          <w:p w14:paraId="460EB9D3" w14:textId="77777777" w:rsidR="00544811" w:rsidRPr="00F537B9" w:rsidRDefault="00544811">
            <w:pPr>
              <w:spacing w:before="20" w:after="20"/>
              <w:jc w:val="right"/>
              <w:rPr>
                <w:noProof/>
                <w:sz w:val="20"/>
              </w:rPr>
            </w:pPr>
          </w:p>
        </w:tc>
        <w:tc>
          <w:tcPr>
            <w:tcW w:w="868" w:type="dxa"/>
            <w:tcBorders>
              <w:bottom w:val="single" w:sz="4" w:space="0" w:color="auto"/>
            </w:tcBorders>
            <w:vAlign w:val="center"/>
          </w:tcPr>
          <w:p w14:paraId="3DFBC086" w14:textId="77777777" w:rsidR="00544811" w:rsidRPr="00F537B9" w:rsidRDefault="00544811">
            <w:pPr>
              <w:spacing w:before="20" w:after="20"/>
              <w:jc w:val="right"/>
              <w:rPr>
                <w:noProof/>
                <w:sz w:val="20"/>
              </w:rPr>
            </w:pPr>
          </w:p>
        </w:tc>
        <w:tc>
          <w:tcPr>
            <w:tcW w:w="868" w:type="dxa"/>
            <w:tcBorders>
              <w:bottom w:val="single" w:sz="4" w:space="0" w:color="auto"/>
            </w:tcBorders>
            <w:vAlign w:val="center"/>
          </w:tcPr>
          <w:p w14:paraId="7E15AB98" w14:textId="77777777" w:rsidR="00544811" w:rsidRPr="00F537B9" w:rsidRDefault="00544811">
            <w:pPr>
              <w:spacing w:before="20" w:after="20"/>
              <w:jc w:val="right"/>
              <w:rPr>
                <w:noProof/>
                <w:sz w:val="20"/>
              </w:rPr>
            </w:pPr>
          </w:p>
        </w:tc>
        <w:tc>
          <w:tcPr>
            <w:tcW w:w="868" w:type="dxa"/>
            <w:tcBorders>
              <w:bottom w:val="single" w:sz="4" w:space="0" w:color="auto"/>
            </w:tcBorders>
            <w:vAlign w:val="center"/>
          </w:tcPr>
          <w:p w14:paraId="2064DB09" w14:textId="77777777" w:rsidR="00544811" w:rsidRPr="00F537B9" w:rsidRDefault="00544811">
            <w:pPr>
              <w:spacing w:before="20" w:after="20"/>
              <w:jc w:val="right"/>
              <w:rPr>
                <w:noProof/>
                <w:sz w:val="20"/>
              </w:rPr>
            </w:pPr>
          </w:p>
        </w:tc>
        <w:tc>
          <w:tcPr>
            <w:tcW w:w="868" w:type="dxa"/>
            <w:tcBorders>
              <w:bottom w:val="single" w:sz="4" w:space="0" w:color="auto"/>
            </w:tcBorders>
            <w:vAlign w:val="center"/>
          </w:tcPr>
          <w:p w14:paraId="5833A2A3" w14:textId="77777777" w:rsidR="00544811" w:rsidRPr="00F537B9" w:rsidRDefault="00544811">
            <w:pPr>
              <w:spacing w:before="20" w:after="20"/>
              <w:jc w:val="right"/>
              <w:rPr>
                <w:noProof/>
                <w:sz w:val="20"/>
              </w:rPr>
            </w:pPr>
          </w:p>
        </w:tc>
        <w:tc>
          <w:tcPr>
            <w:tcW w:w="868" w:type="dxa"/>
            <w:tcBorders>
              <w:bottom w:val="single" w:sz="4" w:space="0" w:color="auto"/>
            </w:tcBorders>
            <w:vAlign w:val="center"/>
          </w:tcPr>
          <w:p w14:paraId="4FF33429" w14:textId="77777777" w:rsidR="00544811" w:rsidRPr="00F537B9" w:rsidRDefault="00544811">
            <w:pPr>
              <w:spacing w:before="20" w:after="20"/>
              <w:jc w:val="right"/>
              <w:rPr>
                <w:noProof/>
                <w:sz w:val="20"/>
              </w:rPr>
            </w:pPr>
          </w:p>
        </w:tc>
        <w:tc>
          <w:tcPr>
            <w:tcW w:w="868" w:type="dxa"/>
            <w:tcBorders>
              <w:bottom w:val="single" w:sz="4" w:space="0" w:color="auto"/>
            </w:tcBorders>
            <w:vAlign w:val="center"/>
          </w:tcPr>
          <w:p w14:paraId="4024E6C8" w14:textId="77777777" w:rsidR="00544811" w:rsidRPr="00F537B9" w:rsidRDefault="00544811">
            <w:pPr>
              <w:spacing w:before="20" w:after="20"/>
              <w:jc w:val="right"/>
              <w:rPr>
                <w:b/>
                <w:noProof/>
                <w:sz w:val="20"/>
              </w:rPr>
            </w:pPr>
          </w:p>
        </w:tc>
        <w:tc>
          <w:tcPr>
            <w:tcW w:w="1777" w:type="dxa"/>
            <w:tcBorders>
              <w:bottom w:val="single" w:sz="4" w:space="0" w:color="auto"/>
              <w:right w:val="single" w:sz="4" w:space="0" w:color="auto"/>
            </w:tcBorders>
            <w:vAlign w:val="center"/>
          </w:tcPr>
          <w:p w14:paraId="62B650FC" w14:textId="77777777" w:rsidR="00544811" w:rsidRPr="00F537B9" w:rsidRDefault="00544811">
            <w:pPr>
              <w:spacing w:before="20" w:after="20"/>
              <w:jc w:val="right"/>
              <w:rPr>
                <w:b/>
                <w:noProof/>
                <w:sz w:val="20"/>
              </w:rPr>
            </w:pPr>
          </w:p>
        </w:tc>
      </w:tr>
    </w:tbl>
    <w:p w14:paraId="4B157439" w14:textId="77777777" w:rsidR="00544811" w:rsidRPr="00F537B9" w:rsidRDefault="00544811">
      <w:pPr>
        <w:rPr>
          <w:noProof/>
        </w:rPr>
      </w:pPr>
    </w:p>
    <w:p w14:paraId="11187C1C" w14:textId="77777777" w:rsidR="00544811" w:rsidRPr="00F537B9" w:rsidRDefault="00544811">
      <w:pPr>
        <w:spacing w:before="0" w:after="0"/>
        <w:jc w:val="left"/>
        <w:rPr>
          <w:noProof/>
        </w:rPr>
      </w:pPr>
      <w:r w:rsidRPr="00F537B9">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44811" w:rsidRPr="00F537B9" w14:paraId="1F8355B0" w14:textId="77777777">
        <w:trPr>
          <w:jc w:val="center"/>
        </w:trPr>
        <w:tc>
          <w:tcPr>
            <w:tcW w:w="4744" w:type="dxa"/>
            <w:shd w:val="thinDiagStripe" w:color="C0C0C0" w:fill="auto"/>
            <w:vAlign w:val="center"/>
          </w:tcPr>
          <w:p w14:paraId="735E09FF" w14:textId="21D94EA5" w:rsidR="00544811" w:rsidRPr="00F537B9" w:rsidRDefault="00544811">
            <w:pPr>
              <w:spacing w:before="60" w:after="60"/>
              <w:jc w:val="center"/>
              <w:rPr>
                <w:b/>
                <w:noProof/>
              </w:rPr>
            </w:pPr>
            <w:r w:rsidRPr="00F537B9">
              <w:rPr>
                <w:noProof/>
              </w:rPr>
              <w:br w:type="page"/>
            </w:r>
            <w:r w:rsidRPr="00F537B9">
              <w:rPr>
                <w:b/>
                <w:noProof/>
              </w:rPr>
              <w:t>Okruh viacročného finančného</w:t>
            </w:r>
            <w:r w:rsidR="00F537B9" w:rsidRPr="00F537B9">
              <w:rPr>
                <w:b/>
                <w:noProof/>
              </w:rPr>
              <w:t xml:space="preserve"> </w:t>
            </w:r>
            <w:r w:rsidRPr="00F537B9">
              <w:rPr>
                <w:noProof/>
              </w:rPr>
              <w:br/>
            </w:r>
            <w:r w:rsidRPr="00F537B9">
              <w:rPr>
                <w:b/>
                <w:noProof/>
              </w:rPr>
              <w:t xml:space="preserve">rámca </w:t>
            </w:r>
          </w:p>
        </w:tc>
        <w:tc>
          <w:tcPr>
            <w:tcW w:w="1080" w:type="dxa"/>
            <w:shd w:val="thinDiagStripe" w:color="C0C0C0" w:fill="auto"/>
            <w:vAlign w:val="center"/>
          </w:tcPr>
          <w:p w14:paraId="79B274F1" w14:textId="77777777" w:rsidR="00544811" w:rsidRPr="00F537B9" w:rsidRDefault="00544811">
            <w:pPr>
              <w:spacing w:before="60" w:after="60"/>
              <w:jc w:val="center"/>
              <w:rPr>
                <w:noProof/>
              </w:rPr>
            </w:pPr>
            <w:r w:rsidRPr="00F537B9">
              <w:rPr>
                <w:b/>
                <w:noProof/>
              </w:rPr>
              <w:t>7</w:t>
            </w:r>
          </w:p>
        </w:tc>
        <w:tc>
          <w:tcPr>
            <w:tcW w:w="7817" w:type="dxa"/>
            <w:vAlign w:val="center"/>
          </w:tcPr>
          <w:p w14:paraId="4E3D44C0" w14:textId="77777777" w:rsidR="00544811" w:rsidRPr="00F537B9" w:rsidRDefault="00544811">
            <w:pPr>
              <w:spacing w:before="60" w:after="60"/>
              <w:rPr>
                <w:noProof/>
              </w:rPr>
            </w:pPr>
            <w:r w:rsidRPr="00F537B9">
              <w:rPr>
                <w:noProof/>
              </w:rPr>
              <w:t>„Administratívne výdavky“</w:t>
            </w:r>
          </w:p>
        </w:tc>
      </w:tr>
    </w:tbl>
    <w:p w14:paraId="0C7B15E9" w14:textId="217A71BA" w:rsidR="00544811" w:rsidRPr="00F537B9" w:rsidRDefault="00544811">
      <w:pPr>
        <w:jc w:val="left"/>
        <w:rPr>
          <w:noProof/>
          <w:sz w:val="20"/>
        </w:rPr>
      </w:pPr>
      <w:r w:rsidRPr="00F537B9">
        <w:rPr>
          <w:noProof/>
        </w:rPr>
        <w:t>Tento oddiel treba vyplniť</w:t>
      </w:r>
      <w:r w:rsidR="00F537B9">
        <w:rPr>
          <w:noProof/>
        </w:rPr>
        <w:t xml:space="preserve"> s </w:t>
      </w:r>
      <w:r w:rsidRPr="00F537B9">
        <w:rPr>
          <w:noProof/>
        </w:rPr>
        <w:t>použitím rozpočtových údajov administratívnej povahy, ktoré sa najprv uvedú</w:t>
      </w:r>
      <w:r w:rsidR="00F537B9">
        <w:rPr>
          <w:noProof/>
        </w:rPr>
        <w:t xml:space="preserve"> v </w:t>
      </w:r>
      <w:hyperlink r:id="rId16" w:history="1">
        <w:r w:rsidRPr="00F537B9">
          <w:rPr>
            <w:rStyle w:val="Hyperlink"/>
            <w:noProof/>
          </w:rPr>
          <w:t>prílohe</w:t>
        </w:r>
        <w:r w:rsidR="00F537B9">
          <w:rPr>
            <w:rStyle w:val="Hyperlink"/>
            <w:noProof/>
          </w:rPr>
          <w:t xml:space="preserve"> k </w:t>
        </w:r>
        <w:r w:rsidRPr="00F537B9">
          <w:rPr>
            <w:rStyle w:val="Hyperlink"/>
            <w:noProof/>
          </w:rPr>
          <w:t>legislatívnemu finančnému výkazu</w:t>
        </w:r>
      </w:hyperlink>
      <w:r w:rsidRPr="00F537B9">
        <w:rPr>
          <w:noProof/>
        </w:rPr>
        <w:t xml:space="preserve"> (príloha 5</w:t>
      </w:r>
      <w:r w:rsidR="00F537B9">
        <w:rPr>
          <w:noProof/>
        </w:rPr>
        <w:t xml:space="preserve"> k </w:t>
      </w:r>
      <w:r w:rsidRPr="00F537B9">
        <w:rPr>
          <w:noProof/>
        </w:rPr>
        <w:t>rozhodnutiu Komisie</w:t>
      </w:r>
      <w:r w:rsidR="00F537B9">
        <w:rPr>
          <w:noProof/>
        </w:rPr>
        <w:t xml:space="preserve"> o </w:t>
      </w:r>
      <w:r w:rsidRPr="00F537B9">
        <w:rPr>
          <w:noProof/>
        </w:rPr>
        <w:t>interných pravidlách plnenia oddielu všeobecného rozpočtu Európskej únie týkajúceho sa Komisie), ktorá sa na účely medziútvarovej konzultácie nahrá do aplikácie DECIDE.</w:t>
      </w:r>
    </w:p>
    <w:p w14:paraId="69043E5E" w14:textId="77777777" w:rsidR="00544811" w:rsidRPr="00F537B9" w:rsidRDefault="00544811">
      <w:pPr>
        <w:jc w:val="right"/>
        <w:rPr>
          <w:noProof/>
          <w:sz w:val="20"/>
        </w:rPr>
      </w:pPr>
      <w:r w:rsidRPr="00F537B9">
        <w:rPr>
          <w:noProof/>
          <w:sz w:val="20"/>
        </w:rPr>
        <w:t>v mil. EUR (zaokrúhlené na 3 desatinné miesta)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3E7FB4" w:rsidRPr="00F537B9" w14:paraId="12B2217E" w14:textId="77777777">
        <w:tc>
          <w:tcPr>
            <w:tcW w:w="3960" w:type="dxa"/>
            <w:tcBorders>
              <w:top w:val="nil"/>
              <w:left w:val="nil"/>
              <w:right w:val="nil"/>
            </w:tcBorders>
            <w:vAlign w:val="center"/>
          </w:tcPr>
          <w:p w14:paraId="62D99B3A" w14:textId="77777777" w:rsidR="00544811" w:rsidRPr="00F537B9" w:rsidRDefault="00544811">
            <w:pPr>
              <w:jc w:val="center"/>
              <w:rPr>
                <w:noProof/>
              </w:rPr>
            </w:pPr>
          </w:p>
        </w:tc>
        <w:tc>
          <w:tcPr>
            <w:tcW w:w="1560" w:type="dxa"/>
            <w:tcBorders>
              <w:top w:val="nil"/>
              <w:left w:val="nil"/>
              <w:right w:val="nil"/>
            </w:tcBorders>
          </w:tcPr>
          <w:p w14:paraId="5124DC4E" w14:textId="77777777" w:rsidR="00544811" w:rsidRPr="00F537B9" w:rsidRDefault="00544811">
            <w:pPr>
              <w:rPr>
                <w:noProof/>
                <w:sz w:val="20"/>
              </w:rPr>
            </w:pPr>
          </w:p>
        </w:tc>
        <w:tc>
          <w:tcPr>
            <w:tcW w:w="534" w:type="dxa"/>
            <w:tcBorders>
              <w:top w:val="nil"/>
              <w:left w:val="nil"/>
            </w:tcBorders>
          </w:tcPr>
          <w:p w14:paraId="0E248D2E" w14:textId="77777777" w:rsidR="00544811" w:rsidRPr="00F537B9" w:rsidRDefault="00544811">
            <w:pPr>
              <w:jc w:val="center"/>
              <w:rPr>
                <w:noProof/>
                <w:sz w:val="20"/>
              </w:rPr>
            </w:pPr>
          </w:p>
        </w:tc>
        <w:tc>
          <w:tcPr>
            <w:tcW w:w="868" w:type="dxa"/>
            <w:vAlign w:val="center"/>
          </w:tcPr>
          <w:p w14:paraId="2B48E651" w14:textId="77777777" w:rsidR="00544811" w:rsidRPr="00F537B9" w:rsidRDefault="00544811">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2025</w:t>
            </w:r>
          </w:p>
        </w:tc>
        <w:tc>
          <w:tcPr>
            <w:tcW w:w="868" w:type="dxa"/>
            <w:vAlign w:val="center"/>
          </w:tcPr>
          <w:p w14:paraId="26B88BA4" w14:textId="77777777" w:rsidR="00544811" w:rsidRPr="00F537B9" w:rsidRDefault="00544811">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2026</w:t>
            </w:r>
          </w:p>
        </w:tc>
        <w:tc>
          <w:tcPr>
            <w:tcW w:w="868" w:type="dxa"/>
            <w:vAlign w:val="center"/>
          </w:tcPr>
          <w:p w14:paraId="10D1E0BB" w14:textId="77777777" w:rsidR="00544811" w:rsidRPr="00F537B9" w:rsidRDefault="00544811">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2027</w:t>
            </w:r>
          </w:p>
        </w:tc>
        <w:tc>
          <w:tcPr>
            <w:tcW w:w="868" w:type="dxa"/>
            <w:vAlign w:val="center"/>
          </w:tcPr>
          <w:p w14:paraId="5EA72AB7" w14:textId="77777777" w:rsidR="00544811" w:rsidRPr="00F537B9" w:rsidRDefault="00544811">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N + 3</w:t>
            </w:r>
          </w:p>
        </w:tc>
        <w:tc>
          <w:tcPr>
            <w:tcW w:w="2604" w:type="dxa"/>
            <w:gridSpan w:val="3"/>
            <w:vAlign w:val="center"/>
          </w:tcPr>
          <w:p w14:paraId="4E1EA4F1" w14:textId="77777777" w:rsidR="00544811" w:rsidRPr="00F537B9" w:rsidRDefault="00544811">
            <w:pPr>
              <w:jc w:val="center"/>
              <w:rPr>
                <w:b/>
                <w:noProof/>
                <w:sz w:val="18"/>
              </w:rPr>
            </w:pPr>
            <w:r w:rsidRPr="00F537B9">
              <w:rPr>
                <w:noProof/>
                <w:sz w:val="18"/>
              </w:rPr>
              <w:t xml:space="preserve">Uveďte všetky roky, počas ktorých vplyv trvá (pozri bod 1.6) </w:t>
            </w:r>
          </w:p>
        </w:tc>
        <w:tc>
          <w:tcPr>
            <w:tcW w:w="1777" w:type="dxa"/>
            <w:vAlign w:val="center"/>
          </w:tcPr>
          <w:p w14:paraId="08AA9210" w14:textId="77777777" w:rsidR="00544811" w:rsidRPr="00F537B9" w:rsidRDefault="00544811">
            <w:pPr>
              <w:jc w:val="center"/>
              <w:rPr>
                <w:b/>
                <w:noProof/>
                <w:sz w:val="20"/>
              </w:rPr>
            </w:pPr>
            <w:r w:rsidRPr="00F537B9">
              <w:rPr>
                <w:b/>
                <w:noProof/>
                <w:sz w:val="20"/>
              </w:rPr>
              <w:t>SPOLU</w:t>
            </w:r>
          </w:p>
        </w:tc>
      </w:tr>
      <w:tr w:rsidR="00A54310" w:rsidRPr="00F537B9" w14:paraId="775BF699" w14:textId="77777777">
        <w:trPr>
          <w:gridAfter w:val="10"/>
          <w:wAfter w:w="9947" w:type="dxa"/>
        </w:trPr>
        <w:tc>
          <w:tcPr>
            <w:tcW w:w="3960" w:type="dxa"/>
            <w:vAlign w:val="center"/>
          </w:tcPr>
          <w:p w14:paraId="56BBA2A8" w14:textId="77777777" w:rsidR="00544811" w:rsidRPr="00F537B9" w:rsidRDefault="00544811">
            <w:pPr>
              <w:spacing w:before="60" w:after="60"/>
              <w:jc w:val="center"/>
              <w:rPr>
                <w:noProof/>
              </w:rPr>
            </w:pPr>
            <w:r w:rsidRPr="00F537B9">
              <w:rPr>
                <w:noProof/>
              </w:rPr>
              <w:t>GR TAXUD</w:t>
            </w:r>
          </w:p>
        </w:tc>
      </w:tr>
      <w:tr w:rsidR="00DA254B" w:rsidRPr="00F537B9" w14:paraId="2289A1AB" w14:textId="77777777">
        <w:trPr>
          <w:trHeight w:val="313"/>
        </w:trPr>
        <w:tc>
          <w:tcPr>
            <w:tcW w:w="6054" w:type="dxa"/>
            <w:gridSpan w:val="3"/>
            <w:vAlign w:val="center"/>
          </w:tcPr>
          <w:p w14:paraId="1E10372E" w14:textId="77777777" w:rsidR="00DA254B" w:rsidRPr="00F537B9" w:rsidRDefault="00DA254B" w:rsidP="00DA254B">
            <w:pPr>
              <w:spacing w:before="20" w:after="20"/>
              <w:rPr>
                <w:noProof/>
              </w:rPr>
            </w:pPr>
            <w:r w:rsidRPr="00F537B9">
              <w:rPr>
                <w:rFonts w:ascii="Wingdings" w:hAnsi="Wingdings"/>
                <w:noProof/>
              </w:rPr>
              <w:t>□</w:t>
            </w:r>
            <w:r w:rsidRPr="00F537B9">
              <w:rPr>
                <w:noProof/>
              </w:rPr>
              <w:t xml:space="preserve"> Ľudské zdroje </w:t>
            </w:r>
          </w:p>
        </w:tc>
        <w:tc>
          <w:tcPr>
            <w:tcW w:w="868" w:type="dxa"/>
            <w:vAlign w:val="center"/>
          </w:tcPr>
          <w:p w14:paraId="6F21B341" w14:textId="77777777" w:rsidR="00DA254B" w:rsidRPr="00F537B9" w:rsidRDefault="0008481A" w:rsidP="00DA254B">
            <w:pPr>
              <w:spacing w:before="20" w:after="20"/>
              <w:jc w:val="right"/>
              <w:rPr>
                <w:noProof/>
                <w:sz w:val="20"/>
              </w:rPr>
            </w:pPr>
            <w:r w:rsidRPr="00F537B9">
              <w:rPr>
                <w:rFonts w:ascii="Arial Narrow" w:hAnsi="Arial Narrow"/>
                <w:noProof/>
                <w:color w:val="000000"/>
                <w:sz w:val="20"/>
              </w:rPr>
              <w:t>1,026</w:t>
            </w:r>
          </w:p>
        </w:tc>
        <w:tc>
          <w:tcPr>
            <w:tcW w:w="868" w:type="dxa"/>
            <w:vAlign w:val="center"/>
          </w:tcPr>
          <w:p w14:paraId="7AE6B2C1" w14:textId="77777777" w:rsidR="00DA254B" w:rsidRPr="00F537B9" w:rsidRDefault="0008481A" w:rsidP="00DA254B">
            <w:pPr>
              <w:spacing w:before="20" w:after="20"/>
              <w:jc w:val="right"/>
              <w:rPr>
                <w:noProof/>
                <w:sz w:val="20"/>
              </w:rPr>
            </w:pPr>
            <w:r w:rsidRPr="00F537B9">
              <w:rPr>
                <w:rFonts w:ascii="Arial Narrow" w:hAnsi="Arial Narrow"/>
                <w:noProof/>
                <w:color w:val="000000"/>
                <w:sz w:val="20"/>
              </w:rPr>
              <w:t>1,026</w:t>
            </w:r>
          </w:p>
        </w:tc>
        <w:tc>
          <w:tcPr>
            <w:tcW w:w="868" w:type="dxa"/>
            <w:vAlign w:val="center"/>
          </w:tcPr>
          <w:p w14:paraId="7F6496E9" w14:textId="77777777" w:rsidR="00DA254B" w:rsidRPr="00F537B9" w:rsidRDefault="0008481A" w:rsidP="00DA254B">
            <w:pPr>
              <w:spacing w:before="20" w:after="20"/>
              <w:jc w:val="right"/>
              <w:rPr>
                <w:noProof/>
                <w:sz w:val="20"/>
              </w:rPr>
            </w:pPr>
            <w:r w:rsidRPr="00F537B9">
              <w:rPr>
                <w:rFonts w:ascii="Arial Narrow" w:hAnsi="Arial Narrow"/>
                <w:noProof/>
                <w:color w:val="000000"/>
                <w:sz w:val="20"/>
              </w:rPr>
              <w:t>1,026</w:t>
            </w:r>
          </w:p>
        </w:tc>
        <w:tc>
          <w:tcPr>
            <w:tcW w:w="868" w:type="dxa"/>
            <w:vAlign w:val="center"/>
          </w:tcPr>
          <w:p w14:paraId="50FE7223" w14:textId="77777777" w:rsidR="00DA254B" w:rsidRPr="00F537B9" w:rsidRDefault="00DA254B" w:rsidP="00DA254B">
            <w:pPr>
              <w:spacing w:before="20" w:after="20"/>
              <w:jc w:val="right"/>
              <w:rPr>
                <w:noProof/>
                <w:sz w:val="20"/>
              </w:rPr>
            </w:pPr>
          </w:p>
        </w:tc>
        <w:tc>
          <w:tcPr>
            <w:tcW w:w="868" w:type="dxa"/>
            <w:vAlign w:val="center"/>
          </w:tcPr>
          <w:p w14:paraId="4C6D8E8B" w14:textId="77777777" w:rsidR="00DA254B" w:rsidRPr="00F537B9" w:rsidRDefault="00DA254B" w:rsidP="00DA254B">
            <w:pPr>
              <w:spacing w:before="20" w:after="20"/>
              <w:jc w:val="right"/>
              <w:rPr>
                <w:noProof/>
                <w:sz w:val="20"/>
              </w:rPr>
            </w:pPr>
          </w:p>
        </w:tc>
        <w:tc>
          <w:tcPr>
            <w:tcW w:w="868" w:type="dxa"/>
            <w:vAlign w:val="center"/>
          </w:tcPr>
          <w:p w14:paraId="22023E91" w14:textId="77777777" w:rsidR="00DA254B" w:rsidRPr="00F537B9" w:rsidRDefault="00DA254B" w:rsidP="00DA254B">
            <w:pPr>
              <w:spacing w:before="20" w:after="20"/>
              <w:jc w:val="right"/>
              <w:rPr>
                <w:noProof/>
                <w:sz w:val="20"/>
              </w:rPr>
            </w:pPr>
          </w:p>
        </w:tc>
        <w:tc>
          <w:tcPr>
            <w:tcW w:w="868" w:type="dxa"/>
            <w:vAlign w:val="center"/>
          </w:tcPr>
          <w:p w14:paraId="4B2712DF" w14:textId="77777777" w:rsidR="00DA254B" w:rsidRPr="00F537B9" w:rsidRDefault="00DA254B" w:rsidP="00DA254B">
            <w:pPr>
              <w:spacing w:before="20" w:after="20"/>
              <w:jc w:val="right"/>
              <w:rPr>
                <w:b/>
                <w:noProof/>
                <w:sz w:val="20"/>
              </w:rPr>
            </w:pPr>
          </w:p>
        </w:tc>
        <w:tc>
          <w:tcPr>
            <w:tcW w:w="1777" w:type="dxa"/>
            <w:vAlign w:val="center"/>
          </w:tcPr>
          <w:p w14:paraId="350BD8D1" w14:textId="77777777" w:rsidR="00DA254B" w:rsidRPr="00F537B9" w:rsidRDefault="0008481A" w:rsidP="00DA254B">
            <w:pPr>
              <w:spacing w:before="20" w:after="20"/>
              <w:jc w:val="right"/>
              <w:rPr>
                <w:b/>
                <w:noProof/>
                <w:sz w:val="20"/>
              </w:rPr>
            </w:pPr>
            <w:r w:rsidRPr="00F537B9">
              <w:rPr>
                <w:b/>
                <w:noProof/>
                <w:sz w:val="20"/>
              </w:rPr>
              <w:t>3,078</w:t>
            </w:r>
          </w:p>
        </w:tc>
      </w:tr>
      <w:tr w:rsidR="00DA254B" w:rsidRPr="00F537B9" w14:paraId="3C4CC60E" w14:textId="77777777">
        <w:trPr>
          <w:trHeight w:val="351"/>
        </w:trPr>
        <w:tc>
          <w:tcPr>
            <w:tcW w:w="6054" w:type="dxa"/>
            <w:gridSpan w:val="3"/>
            <w:vAlign w:val="center"/>
          </w:tcPr>
          <w:p w14:paraId="150BEB80" w14:textId="77777777" w:rsidR="00DA254B" w:rsidRPr="00F537B9" w:rsidRDefault="00DA254B" w:rsidP="00DA254B">
            <w:pPr>
              <w:spacing w:before="20" w:after="20"/>
              <w:rPr>
                <w:noProof/>
              </w:rPr>
            </w:pPr>
            <w:r w:rsidRPr="00F537B9">
              <w:rPr>
                <w:rFonts w:ascii="Wingdings" w:hAnsi="Wingdings"/>
                <w:noProof/>
              </w:rPr>
              <w:t>□</w:t>
            </w:r>
            <w:r w:rsidRPr="00F537B9">
              <w:rPr>
                <w:noProof/>
              </w:rPr>
              <w:t xml:space="preserve"> Ostatné administratívne výdavky </w:t>
            </w:r>
          </w:p>
        </w:tc>
        <w:tc>
          <w:tcPr>
            <w:tcW w:w="868" w:type="dxa"/>
            <w:vAlign w:val="center"/>
          </w:tcPr>
          <w:p w14:paraId="055640D4" w14:textId="77777777" w:rsidR="00DA254B" w:rsidRPr="00F537B9" w:rsidRDefault="00883A80" w:rsidP="00DA254B">
            <w:pPr>
              <w:spacing w:before="20" w:after="20"/>
              <w:jc w:val="right"/>
              <w:rPr>
                <w:b/>
                <w:noProof/>
                <w:sz w:val="20"/>
              </w:rPr>
            </w:pPr>
            <w:r w:rsidRPr="00F537B9">
              <w:rPr>
                <w:b/>
                <w:noProof/>
                <w:sz w:val="20"/>
              </w:rPr>
              <w:t>0,052</w:t>
            </w:r>
          </w:p>
        </w:tc>
        <w:tc>
          <w:tcPr>
            <w:tcW w:w="868" w:type="dxa"/>
            <w:vAlign w:val="center"/>
          </w:tcPr>
          <w:p w14:paraId="5901C8C0" w14:textId="77777777" w:rsidR="00DA254B" w:rsidRPr="00F537B9" w:rsidRDefault="00883A80" w:rsidP="00DA254B">
            <w:pPr>
              <w:spacing w:before="20" w:after="20"/>
              <w:jc w:val="right"/>
              <w:rPr>
                <w:b/>
                <w:noProof/>
                <w:sz w:val="20"/>
              </w:rPr>
            </w:pPr>
            <w:r w:rsidRPr="00F537B9">
              <w:rPr>
                <w:b/>
                <w:noProof/>
                <w:sz w:val="20"/>
              </w:rPr>
              <w:t>0,052</w:t>
            </w:r>
          </w:p>
        </w:tc>
        <w:tc>
          <w:tcPr>
            <w:tcW w:w="868" w:type="dxa"/>
            <w:vAlign w:val="center"/>
          </w:tcPr>
          <w:p w14:paraId="347F4F62" w14:textId="77777777" w:rsidR="00DA254B" w:rsidRPr="00F537B9" w:rsidRDefault="00883A80" w:rsidP="00DA254B">
            <w:pPr>
              <w:spacing w:before="20" w:after="20"/>
              <w:jc w:val="right"/>
              <w:rPr>
                <w:b/>
                <w:noProof/>
                <w:sz w:val="20"/>
              </w:rPr>
            </w:pPr>
            <w:r w:rsidRPr="00F537B9">
              <w:rPr>
                <w:b/>
                <w:noProof/>
                <w:sz w:val="20"/>
              </w:rPr>
              <w:t>0,52</w:t>
            </w:r>
          </w:p>
        </w:tc>
        <w:tc>
          <w:tcPr>
            <w:tcW w:w="868" w:type="dxa"/>
            <w:vAlign w:val="center"/>
          </w:tcPr>
          <w:p w14:paraId="13153015" w14:textId="77777777" w:rsidR="00DA254B" w:rsidRPr="00F537B9" w:rsidRDefault="00DA254B" w:rsidP="00DA254B">
            <w:pPr>
              <w:spacing w:before="20" w:after="20"/>
              <w:jc w:val="right"/>
              <w:rPr>
                <w:b/>
                <w:noProof/>
                <w:sz w:val="20"/>
              </w:rPr>
            </w:pPr>
          </w:p>
        </w:tc>
        <w:tc>
          <w:tcPr>
            <w:tcW w:w="868" w:type="dxa"/>
            <w:vAlign w:val="center"/>
          </w:tcPr>
          <w:p w14:paraId="2EE24210" w14:textId="77777777" w:rsidR="00DA254B" w:rsidRPr="00F537B9" w:rsidRDefault="00DA254B" w:rsidP="00DA254B">
            <w:pPr>
              <w:spacing w:before="20" w:after="20"/>
              <w:jc w:val="right"/>
              <w:rPr>
                <w:b/>
                <w:noProof/>
                <w:sz w:val="20"/>
              </w:rPr>
            </w:pPr>
          </w:p>
        </w:tc>
        <w:tc>
          <w:tcPr>
            <w:tcW w:w="868" w:type="dxa"/>
            <w:vAlign w:val="center"/>
          </w:tcPr>
          <w:p w14:paraId="390D2EA3" w14:textId="77777777" w:rsidR="00DA254B" w:rsidRPr="00F537B9" w:rsidRDefault="00DA254B" w:rsidP="00DA254B">
            <w:pPr>
              <w:spacing w:before="20" w:after="20"/>
              <w:jc w:val="right"/>
              <w:rPr>
                <w:b/>
                <w:noProof/>
                <w:sz w:val="20"/>
              </w:rPr>
            </w:pPr>
          </w:p>
        </w:tc>
        <w:tc>
          <w:tcPr>
            <w:tcW w:w="868" w:type="dxa"/>
            <w:vAlign w:val="center"/>
          </w:tcPr>
          <w:p w14:paraId="49C3005A" w14:textId="77777777" w:rsidR="00DA254B" w:rsidRPr="00F537B9" w:rsidRDefault="00DA254B" w:rsidP="00DA254B">
            <w:pPr>
              <w:spacing w:before="20" w:after="20"/>
              <w:jc w:val="right"/>
              <w:rPr>
                <w:b/>
                <w:noProof/>
                <w:sz w:val="20"/>
              </w:rPr>
            </w:pPr>
          </w:p>
        </w:tc>
        <w:tc>
          <w:tcPr>
            <w:tcW w:w="1777" w:type="dxa"/>
            <w:vAlign w:val="center"/>
          </w:tcPr>
          <w:p w14:paraId="58F14E11" w14:textId="77777777" w:rsidR="00DA254B" w:rsidRPr="00F537B9" w:rsidRDefault="00883A80" w:rsidP="00DA254B">
            <w:pPr>
              <w:spacing w:before="20" w:after="20"/>
              <w:jc w:val="right"/>
              <w:rPr>
                <w:b/>
                <w:noProof/>
                <w:sz w:val="20"/>
              </w:rPr>
            </w:pPr>
            <w:r w:rsidRPr="00F537B9">
              <w:rPr>
                <w:b/>
                <w:noProof/>
                <w:sz w:val="20"/>
              </w:rPr>
              <w:t>0,156</w:t>
            </w:r>
          </w:p>
        </w:tc>
      </w:tr>
      <w:tr w:rsidR="00DA254B" w:rsidRPr="00F537B9" w14:paraId="0B881C85" w14:textId="77777777">
        <w:tc>
          <w:tcPr>
            <w:tcW w:w="3960" w:type="dxa"/>
            <w:vAlign w:val="center"/>
          </w:tcPr>
          <w:p w14:paraId="6856E5CB" w14:textId="77777777" w:rsidR="00DA254B" w:rsidRPr="00F537B9" w:rsidRDefault="00DA254B" w:rsidP="00DA254B">
            <w:pPr>
              <w:jc w:val="center"/>
              <w:rPr>
                <w:b/>
                <w:noProof/>
              </w:rPr>
            </w:pPr>
            <w:r w:rsidRPr="00F537B9">
              <w:rPr>
                <w:b/>
                <w:noProof/>
              </w:rPr>
              <w:t>GR TAXUD SPOLU</w:t>
            </w:r>
          </w:p>
        </w:tc>
        <w:tc>
          <w:tcPr>
            <w:tcW w:w="2094" w:type="dxa"/>
            <w:gridSpan w:val="2"/>
            <w:vAlign w:val="center"/>
          </w:tcPr>
          <w:p w14:paraId="68BA8D5C" w14:textId="77777777" w:rsidR="00DA254B" w:rsidRPr="00F537B9" w:rsidRDefault="00DA254B" w:rsidP="00DA254B">
            <w:pPr>
              <w:rPr>
                <w:noProof/>
                <w:sz w:val="14"/>
              </w:rPr>
            </w:pPr>
            <w:r w:rsidRPr="00F537B9">
              <w:rPr>
                <w:noProof/>
                <w:sz w:val="18"/>
              </w:rPr>
              <w:t xml:space="preserve">Rozpočtové prostriedky </w:t>
            </w:r>
          </w:p>
        </w:tc>
        <w:tc>
          <w:tcPr>
            <w:tcW w:w="868" w:type="dxa"/>
            <w:vAlign w:val="center"/>
          </w:tcPr>
          <w:p w14:paraId="57CE02D9" w14:textId="77777777" w:rsidR="00DA254B" w:rsidRPr="00F537B9" w:rsidRDefault="00883A80" w:rsidP="00DA254B">
            <w:pPr>
              <w:spacing w:before="60" w:after="60"/>
              <w:jc w:val="right"/>
              <w:rPr>
                <w:noProof/>
                <w:sz w:val="20"/>
              </w:rPr>
            </w:pPr>
            <w:r w:rsidRPr="00F537B9">
              <w:rPr>
                <w:noProof/>
                <w:sz w:val="20"/>
              </w:rPr>
              <w:t>1,078</w:t>
            </w:r>
          </w:p>
        </w:tc>
        <w:tc>
          <w:tcPr>
            <w:tcW w:w="868" w:type="dxa"/>
            <w:vAlign w:val="center"/>
          </w:tcPr>
          <w:p w14:paraId="15502569" w14:textId="77777777" w:rsidR="00DA254B" w:rsidRPr="00F537B9" w:rsidRDefault="00883A80" w:rsidP="00DA254B">
            <w:pPr>
              <w:spacing w:before="20" w:after="20"/>
              <w:jc w:val="right"/>
              <w:rPr>
                <w:noProof/>
                <w:sz w:val="20"/>
              </w:rPr>
            </w:pPr>
            <w:r w:rsidRPr="00F537B9">
              <w:rPr>
                <w:noProof/>
                <w:sz w:val="20"/>
              </w:rPr>
              <w:t>1,078</w:t>
            </w:r>
          </w:p>
        </w:tc>
        <w:tc>
          <w:tcPr>
            <w:tcW w:w="868" w:type="dxa"/>
            <w:vAlign w:val="center"/>
          </w:tcPr>
          <w:p w14:paraId="3EB7FA2C" w14:textId="77777777" w:rsidR="00DA254B" w:rsidRPr="00F537B9" w:rsidRDefault="00883A80" w:rsidP="00DA254B">
            <w:pPr>
              <w:spacing w:before="20" w:after="20"/>
              <w:jc w:val="right"/>
              <w:rPr>
                <w:noProof/>
                <w:sz w:val="20"/>
              </w:rPr>
            </w:pPr>
            <w:r w:rsidRPr="00F537B9">
              <w:rPr>
                <w:noProof/>
                <w:sz w:val="20"/>
              </w:rPr>
              <w:t>1,078</w:t>
            </w:r>
          </w:p>
        </w:tc>
        <w:tc>
          <w:tcPr>
            <w:tcW w:w="868" w:type="dxa"/>
            <w:vAlign w:val="center"/>
          </w:tcPr>
          <w:p w14:paraId="33053956" w14:textId="77777777" w:rsidR="00DA254B" w:rsidRPr="00F537B9" w:rsidRDefault="00DA254B" w:rsidP="00DA254B">
            <w:pPr>
              <w:spacing w:before="20" w:after="20"/>
              <w:jc w:val="right"/>
              <w:rPr>
                <w:noProof/>
                <w:sz w:val="20"/>
              </w:rPr>
            </w:pPr>
          </w:p>
        </w:tc>
        <w:tc>
          <w:tcPr>
            <w:tcW w:w="868" w:type="dxa"/>
            <w:vAlign w:val="center"/>
          </w:tcPr>
          <w:p w14:paraId="6A75596D" w14:textId="77777777" w:rsidR="00DA254B" w:rsidRPr="00F537B9" w:rsidRDefault="00DA254B" w:rsidP="00DA254B">
            <w:pPr>
              <w:spacing w:before="20" w:after="20"/>
              <w:jc w:val="right"/>
              <w:rPr>
                <w:noProof/>
                <w:sz w:val="20"/>
              </w:rPr>
            </w:pPr>
          </w:p>
        </w:tc>
        <w:tc>
          <w:tcPr>
            <w:tcW w:w="868" w:type="dxa"/>
            <w:vAlign w:val="center"/>
          </w:tcPr>
          <w:p w14:paraId="32F4ABDA" w14:textId="77777777" w:rsidR="00DA254B" w:rsidRPr="00F537B9" w:rsidRDefault="00DA254B" w:rsidP="00DA254B">
            <w:pPr>
              <w:spacing w:before="20" w:after="20"/>
              <w:jc w:val="right"/>
              <w:rPr>
                <w:noProof/>
                <w:sz w:val="20"/>
              </w:rPr>
            </w:pPr>
          </w:p>
        </w:tc>
        <w:tc>
          <w:tcPr>
            <w:tcW w:w="868" w:type="dxa"/>
            <w:vAlign w:val="center"/>
          </w:tcPr>
          <w:p w14:paraId="6F718A55" w14:textId="77777777" w:rsidR="00DA254B" w:rsidRPr="00F537B9" w:rsidRDefault="00DA254B" w:rsidP="00DA254B">
            <w:pPr>
              <w:spacing w:before="20" w:after="20"/>
              <w:jc w:val="right"/>
              <w:rPr>
                <w:b/>
                <w:noProof/>
                <w:sz w:val="20"/>
              </w:rPr>
            </w:pPr>
          </w:p>
        </w:tc>
        <w:tc>
          <w:tcPr>
            <w:tcW w:w="1777" w:type="dxa"/>
            <w:vAlign w:val="center"/>
          </w:tcPr>
          <w:p w14:paraId="71D4CB4C" w14:textId="77777777" w:rsidR="00DA254B" w:rsidRPr="00F537B9" w:rsidRDefault="00883A80" w:rsidP="00DA254B">
            <w:pPr>
              <w:spacing w:before="20" w:after="20"/>
              <w:jc w:val="right"/>
              <w:rPr>
                <w:b/>
                <w:noProof/>
                <w:sz w:val="20"/>
              </w:rPr>
            </w:pPr>
            <w:r w:rsidRPr="00F537B9">
              <w:rPr>
                <w:b/>
                <w:noProof/>
                <w:sz w:val="20"/>
              </w:rPr>
              <w:t>3,234</w:t>
            </w:r>
          </w:p>
        </w:tc>
      </w:tr>
    </w:tbl>
    <w:p w14:paraId="7FBAE22B" w14:textId="77777777" w:rsidR="00544811" w:rsidRPr="00F537B9" w:rsidRDefault="0054481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9D301A" w:rsidRPr="00F537B9" w14:paraId="18C49259" w14:textId="77777777">
        <w:tc>
          <w:tcPr>
            <w:tcW w:w="3960" w:type="dxa"/>
            <w:shd w:val="thinDiagStripe" w:color="C0C0C0" w:fill="auto"/>
            <w:vAlign w:val="center"/>
          </w:tcPr>
          <w:p w14:paraId="3F83933E" w14:textId="77777777" w:rsidR="009D301A" w:rsidRPr="00F537B9" w:rsidRDefault="009D301A" w:rsidP="009D301A">
            <w:pPr>
              <w:jc w:val="center"/>
              <w:rPr>
                <w:b/>
                <w:noProof/>
              </w:rPr>
            </w:pPr>
            <w:r w:rsidRPr="00F537B9">
              <w:rPr>
                <w:b/>
                <w:noProof/>
              </w:rPr>
              <w:t>Rozpočtové prostriedky</w:t>
            </w:r>
            <w:r w:rsidRPr="00F537B9">
              <w:rPr>
                <w:noProof/>
              </w:rPr>
              <w:t xml:space="preserve"> </w:t>
            </w:r>
            <w:r w:rsidRPr="00F537B9">
              <w:rPr>
                <w:noProof/>
              </w:rPr>
              <w:br/>
            </w:r>
            <w:r w:rsidRPr="00F537B9">
              <w:rPr>
                <w:b/>
                <w:noProof/>
              </w:rPr>
              <w:t>OKRUHU 7</w:t>
            </w:r>
            <w:r w:rsidRPr="00F537B9">
              <w:rPr>
                <w:noProof/>
              </w:rPr>
              <w:t xml:space="preserve"> </w:t>
            </w:r>
            <w:r w:rsidRPr="00F537B9">
              <w:rPr>
                <w:noProof/>
              </w:rPr>
              <w:br/>
              <w:t xml:space="preserve">viacročného finančného rámca </w:t>
            </w:r>
            <w:r w:rsidRPr="00F537B9">
              <w:rPr>
                <w:b/>
                <w:noProof/>
              </w:rPr>
              <w:t xml:space="preserve">SPOLU </w:t>
            </w:r>
          </w:p>
        </w:tc>
        <w:tc>
          <w:tcPr>
            <w:tcW w:w="2094" w:type="dxa"/>
            <w:vAlign w:val="center"/>
          </w:tcPr>
          <w:p w14:paraId="35B482AC" w14:textId="77777777" w:rsidR="009D301A" w:rsidRPr="00F537B9" w:rsidRDefault="009D301A" w:rsidP="009D301A">
            <w:pPr>
              <w:spacing w:before="40" w:after="40"/>
              <w:rPr>
                <w:noProof/>
              </w:rPr>
            </w:pPr>
            <w:r w:rsidRPr="00F537B9">
              <w:rPr>
                <w:noProof/>
                <w:sz w:val="18"/>
              </w:rPr>
              <w:t>(Záväzky spolu = Platby spolu)</w:t>
            </w:r>
          </w:p>
        </w:tc>
        <w:tc>
          <w:tcPr>
            <w:tcW w:w="868" w:type="dxa"/>
            <w:vAlign w:val="center"/>
          </w:tcPr>
          <w:p w14:paraId="6905CF75" w14:textId="77777777" w:rsidR="009D301A" w:rsidRPr="00F537B9" w:rsidRDefault="00883A80" w:rsidP="009D301A">
            <w:pPr>
              <w:spacing w:before="20" w:after="20"/>
              <w:jc w:val="right"/>
              <w:rPr>
                <w:noProof/>
                <w:sz w:val="20"/>
              </w:rPr>
            </w:pPr>
            <w:r w:rsidRPr="00F537B9">
              <w:rPr>
                <w:noProof/>
                <w:sz w:val="20"/>
              </w:rPr>
              <w:t>1,078</w:t>
            </w:r>
          </w:p>
        </w:tc>
        <w:tc>
          <w:tcPr>
            <w:tcW w:w="868" w:type="dxa"/>
            <w:vAlign w:val="center"/>
          </w:tcPr>
          <w:p w14:paraId="1EF4A694" w14:textId="77777777" w:rsidR="009D301A" w:rsidRPr="00F537B9" w:rsidRDefault="00883A80" w:rsidP="009D301A">
            <w:pPr>
              <w:spacing w:before="20" w:after="20"/>
              <w:jc w:val="right"/>
              <w:rPr>
                <w:noProof/>
                <w:sz w:val="20"/>
              </w:rPr>
            </w:pPr>
            <w:r w:rsidRPr="00F537B9">
              <w:rPr>
                <w:rFonts w:ascii="Arial Narrow" w:hAnsi="Arial Narrow"/>
                <w:noProof/>
                <w:color w:val="000000"/>
                <w:sz w:val="20"/>
              </w:rPr>
              <w:t>1,078</w:t>
            </w:r>
          </w:p>
        </w:tc>
        <w:tc>
          <w:tcPr>
            <w:tcW w:w="868" w:type="dxa"/>
            <w:vAlign w:val="center"/>
          </w:tcPr>
          <w:p w14:paraId="2AA744E6" w14:textId="77777777" w:rsidR="009D301A" w:rsidRPr="00F537B9" w:rsidRDefault="00883A80" w:rsidP="009D301A">
            <w:pPr>
              <w:spacing w:before="20" w:after="20"/>
              <w:jc w:val="right"/>
              <w:rPr>
                <w:noProof/>
                <w:sz w:val="20"/>
              </w:rPr>
            </w:pPr>
            <w:r w:rsidRPr="00F537B9">
              <w:rPr>
                <w:rFonts w:ascii="Arial Narrow" w:hAnsi="Arial Narrow"/>
                <w:noProof/>
                <w:color w:val="000000"/>
                <w:sz w:val="20"/>
              </w:rPr>
              <w:t>1,078</w:t>
            </w:r>
          </w:p>
        </w:tc>
        <w:tc>
          <w:tcPr>
            <w:tcW w:w="868" w:type="dxa"/>
            <w:vAlign w:val="center"/>
          </w:tcPr>
          <w:p w14:paraId="6E0AE9D1" w14:textId="77777777" w:rsidR="009D301A" w:rsidRPr="00F537B9" w:rsidRDefault="009D301A" w:rsidP="009D301A">
            <w:pPr>
              <w:spacing w:before="20" w:after="20"/>
              <w:jc w:val="right"/>
              <w:rPr>
                <w:noProof/>
                <w:sz w:val="20"/>
              </w:rPr>
            </w:pPr>
          </w:p>
        </w:tc>
        <w:tc>
          <w:tcPr>
            <w:tcW w:w="868" w:type="dxa"/>
            <w:vAlign w:val="center"/>
          </w:tcPr>
          <w:p w14:paraId="33B8F4F5" w14:textId="77777777" w:rsidR="009D301A" w:rsidRPr="00F537B9" w:rsidRDefault="009D301A" w:rsidP="009D301A">
            <w:pPr>
              <w:spacing w:before="20" w:after="20"/>
              <w:jc w:val="right"/>
              <w:rPr>
                <w:noProof/>
                <w:sz w:val="20"/>
              </w:rPr>
            </w:pPr>
          </w:p>
        </w:tc>
        <w:tc>
          <w:tcPr>
            <w:tcW w:w="868" w:type="dxa"/>
            <w:vAlign w:val="center"/>
          </w:tcPr>
          <w:p w14:paraId="599A228F" w14:textId="77777777" w:rsidR="009D301A" w:rsidRPr="00F537B9" w:rsidRDefault="009D301A" w:rsidP="009D301A">
            <w:pPr>
              <w:spacing w:before="20" w:after="20"/>
              <w:jc w:val="right"/>
              <w:rPr>
                <w:noProof/>
                <w:sz w:val="20"/>
              </w:rPr>
            </w:pPr>
          </w:p>
        </w:tc>
        <w:tc>
          <w:tcPr>
            <w:tcW w:w="868" w:type="dxa"/>
            <w:vAlign w:val="center"/>
          </w:tcPr>
          <w:p w14:paraId="092CB3B3" w14:textId="77777777" w:rsidR="009D301A" w:rsidRPr="00F537B9" w:rsidRDefault="009D301A" w:rsidP="009D301A">
            <w:pPr>
              <w:spacing w:before="20" w:after="20"/>
              <w:jc w:val="right"/>
              <w:rPr>
                <w:b/>
                <w:noProof/>
                <w:sz w:val="20"/>
              </w:rPr>
            </w:pPr>
          </w:p>
        </w:tc>
        <w:tc>
          <w:tcPr>
            <w:tcW w:w="1777" w:type="dxa"/>
            <w:vAlign w:val="center"/>
          </w:tcPr>
          <w:p w14:paraId="12F69526" w14:textId="77777777" w:rsidR="009D301A" w:rsidRPr="00F537B9" w:rsidRDefault="009D301A" w:rsidP="009D301A">
            <w:pPr>
              <w:spacing w:before="20" w:after="20"/>
              <w:jc w:val="right"/>
              <w:rPr>
                <w:b/>
                <w:noProof/>
                <w:sz w:val="20"/>
              </w:rPr>
            </w:pPr>
          </w:p>
        </w:tc>
      </w:tr>
    </w:tbl>
    <w:p w14:paraId="482F1502" w14:textId="77777777" w:rsidR="00544811" w:rsidRPr="00F537B9" w:rsidRDefault="00544811">
      <w:pPr>
        <w:jc w:val="right"/>
        <w:rPr>
          <w:noProof/>
          <w:sz w:val="20"/>
        </w:rPr>
      </w:pPr>
      <w:r w:rsidRPr="00F537B9">
        <w:rPr>
          <w:noProof/>
          <w:sz w:val="20"/>
        </w:rPr>
        <w:t>v mil. EUR (zaokrúhlené na 3 desatinné miesta)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3E7FB4" w:rsidRPr="00F537B9" w14:paraId="56DD77D6" w14:textId="77777777">
        <w:tc>
          <w:tcPr>
            <w:tcW w:w="3960" w:type="dxa"/>
            <w:tcBorders>
              <w:top w:val="nil"/>
              <w:left w:val="nil"/>
              <w:right w:val="nil"/>
            </w:tcBorders>
            <w:vAlign w:val="center"/>
          </w:tcPr>
          <w:p w14:paraId="5145BBCD" w14:textId="77777777" w:rsidR="00544811" w:rsidRPr="00F537B9" w:rsidRDefault="00544811">
            <w:pPr>
              <w:jc w:val="center"/>
              <w:rPr>
                <w:noProof/>
              </w:rPr>
            </w:pPr>
          </w:p>
        </w:tc>
        <w:tc>
          <w:tcPr>
            <w:tcW w:w="1560" w:type="dxa"/>
            <w:tcBorders>
              <w:top w:val="nil"/>
              <w:left w:val="nil"/>
              <w:right w:val="nil"/>
            </w:tcBorders>
          </w:tcPr>
          <w:p w14:paraId="7B428BA6" w14:textId="77777777" w:rsidR="00544811" w:rsidRPr="00F537B9" w:rsidRDefault="00544811">
            <w:pPr>
              <w:rPr>
                <w:noProof/>
                <w:sz w:val="20"/>
              </w:rPr>
            </w:pPr>
          </w:p>
        </w:tc>
        <w:tc>
          <w:tcPr>
            <w:tcW w:w="534" w:type="dxa"/>
            <w:tcBorders>
              <w:top w:val="nil"/>
              <w:left w:val="nil"/>
            </w:tcBorders>
          </w:tcPr>
          <w:p w14:paraId="42F459E3" w14:textId="77777777" w:rsidR="00544811" w:rsidRPr="00F537B9" w:rsidRDefault="00544811">
            <w:pPr>
              <w:jc w:val="center"/>
              <w:rPr>
                <w:noProof/>
                <w:sz w:val="20"/>
              </w:rPr>
            </w:pPr>
          </w:p>
        </w:tc>
        <w:tc>
          <w:tcPr>
            <w:tcW w:w="868" w:type="dxa"/>
            <w:vAlign w:val="center"/>
          </w:tcPr>
          <w:p w14:paraId="33293999" w14:textId="77777777" w:rsidR="00544811" w:rsidRPr="00F537B9" w:rsidRDefault="00544811">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N</w:t>
            </w:r>
            <w:r w:rsidRPr="00F537B9">
              <w:rPr>
                <w:rStyle w:val="FootnoteReference"/>
                <w:b/>
                <w:noProof/>
                <w:sz w:val="20"/>
              </w:rPr>
              <w:footnoteReference w:id="49"/>
            </w:r>
          </w:p>
        </w:tc>
        <w:tc>
          <w:tcPr>
            <w:tcW w:w="868" w:type="dxa"/>
            <w:vAlign w:val="center"/>
          </w:tcPr>
          <w:p w14:paraId="4F937E25" w14:textId="77777777" w:rsidR="00544811" w:rsidRPr="00F537B9" w:rsidRDefault="00544811">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N + 1</w:t>
            </w:r>
          </w:p>
        </w:tc>
        <w:tc>
          <w:tcPr>
            <w:tcW w:w="868" w:type="dxa"/>
            <w:vAlign w:val="center"/>
          </w:tcPr>
          <w:p w14:paraId="685B29EE" w14:textId="77777777" w:rsidR="00544811" w:rsidRPr="00F537B9" w:rsidRDefault="00544811">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N + 2</w:t>
            </w:r>
          </w:p>
        </w:tc>
        <w:tc>
          <w:tcPr>
            <w:tcW w:w="868" w:type="dxa"/>
            <w:vAlign w:val="center"/>
          </w:tcPr>
          <w:p w14:paraId="0C647D29" w14:textId="77777777" w:rsidR="00544811" w:rsidRPr="00F537B9" w:rsidRDefault="00544811">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N + 3</w:t>
            </w:r>
          </w:p>
        </w:tc>
        <w:tc>
          <w:tcPr>
            <w:tcW w:w="2604" w:type="dxa"/>
            <w:gridSpan w:val="3"/>
            <w:vAlign w:val="center"/>
          </w:tcPr>
          <w:p w14:paraId="06223E61" w14:textId="77777777" w:rsidR="00544811" w:rsidRPr="00F537B9" w:rsidRDefault="00544811">
            <w:pPr>
              <w:jc w:val="center"/>
              <w:rPr>
                <w:b/>
                <w:noProof/>
                <w:sz w:val="18"/>
              </w:rPr>
            </w:pPr>
            <w:r w:rsidRPr="00F537B9">
              <w:rPr>
                <w:noProof/>
                <w:sz w:val="18"/>
              </w:rPr>
              <w:t>Uveďte všetky roky, počas ktorých vplyv trvá (pozri bod 1.6)</w:t>
            </w:r>
          </w:p>
        </w:tc>
        <w:tc>
          <w:tcPr>
            <w:tcW w:w="1777" w:type="dxa"/>
            <w:vAlign w:val="center"/>
          </w:tcPr>
          <w:p w14:paraId="6ABFB05B" w14:textId="77777777" w:rsidR="00544811" w:rsidRPr="00F537B9" w:rsidRDefault="00544811">
            <w:pPr>
              <w:jc w:val="center"/>
              <w:rPr>
                <w:b/>
                <w:noProof/>
                <w:sz w:val="20"/>
              </w:rPr>
            </w:pPr>
            <w:r w:rsidRPr="00F537B9">
              <w:rPr>
                <w:b/>
                <w:noProof/>
                <w:sz w:val="20"/>
              </w:rPr>
              <w:t>SPOLU</w:t>
            </w:r>
          </w:p>
        </w:tc>
      </w:tr>
      <w:tr w:rsidR="003E7FB4" w:rsidRPr="00F537B9" w14:paraId="731FEE91" w14:textId="77777777">
        <w:tc>
          <w:tcPr>
            <w:tcW w:w="3960" w:type="dxa"/>
            <w:vMerge w:val="restart"/>
            <w:shd w:val="clear" w:color="auto" w:fill="C0C0C0"/>
            <w:vAlign w:val="center"/>
          </w:tcPr>
          <w:p w14:paraId="094B3259" w14:textId="3C033B6E" w:rsidR="00544811" w:rsidRPr="00F537B9" w:rsidRDefault="00544811">
            <w:pPr>
              <w:jc w:val="center"/>
              <w:rPr>
                <w:b/>
                <w:noProof/>
              </w:rPr>
            </w:pPr>
            <w:r w:rsidRPr="00F537B9">
              <w:rPr>
                <w:b/>
                <w:noProof/>
              </w:rPr>
              <w:t>Rozpočtové prostriedky</w:t>
            </w:r>
            <w:r w:rsidR="00F537B9" w:rsidRPr="00F537B9">
              <w:rPr>
                <w:b/>
                <w:noProof/>
              </w:rPr>
              <w:t xml:space="preserve"> </w:t>
            </w:r>
            <w:r w:rsidRPr="00F537B9">
              <w:rPr>
                <w:noProof/>
              </w:rPr>
              <w:br/>
            </w:r>
            <w:r w:rsidRPr="00F537B9">
              <w:rPr>
                <w:b/>
                <w:noProof/>
              </w:rPr>
              <w:t>OKRUHOV 1 až 7</w:t>
            </w:r>
            <w:r w:rsidRPr="00F537B9">
              <w:rPr>
                <w:noProof/>
              </w:rPr>
              <w:t xml:space="preserve"> </w:t>
            </w:r>
            <w:r w:rsidRPr="00F537B9">
              <w:rPr>
                <w:noProof/>
              </w:rPr>
              <w:br/>
              <w:t xml:space="preserve">viacročného finančného rámca </w:t>
            </w:r>
            <w:r w:rsidRPr="00F537B9">
              <w:rPr>
                <w:b/>
                <w:noProof/>
              </w:rPr>
              <w:t xml:space="preserve">SPOLU </w:t>
            </w:r>
          </w:p>
        </w:tc>
        <w:tc>
          <w:tcPr>
            <w:tcW w:w="2094" w:type="dxa"/>
            <w:gridSpan w:val="2"/>
            <w:vAlign w:val="center"/>
          </w:tcPr>
          <w:p w14:paraId="24D73F80" w14:textId="77777777" w:rsidR="00544811" w:rsidRPr="00F537B9" w:rsidRDefault="00544811">
            <w:pPr>
              <w:rPr>
                <w:noProof/>
                <w:sz w:val="14"/>
              </w:rPr>
            </w:pPr>
            <w:r w:rsidRPr="00F537B9">
              <w:rPr>
                <w:noProof/>
                <w:sz w:val="18"/>
              </w:rPr>
              <w:t>Záväzky</w:t>
            </w:r>
          </w:p>
        </w:tc>
        <w:tc>
          <w:tcPr>
            <w:tcW w:w="868" w:type="dxa"/>
            <w:vAlign w:val="center"/>
          </w:tcPr>
          <w:p w14:paraId="70ABC9B2" w14:textId="77777777" w:rsidR="00544811" w:rsidRPr="00F537B9" w:rsidRDefault="00883A80">
            <w:pPr>
              <w:spacing w:before="60" w:after="60"/>
              <w:jc w:val="right"/>
              <w:rPr>
                <w:noProof/>
                <w:sz w:val="20"/>
              </w:rPr>
            </w:pPr>
            <w:r w:rsidRPr="00F537B9">
              <w:rPr>
                <w:noProof/>
                <w:sz w:val="20"/>
              </w:rPr>
              <w:t>1,143</w:t>
            </w:r>
          </w:p>
        </w:tc>
        <w:tc>
          <w:tcPr>
            <w:tcW w:w="868" w:type="dxa"/>
            <w:vAlign w:val="center"/>
          </w:tcPr>
          <w:p w14:paraId="09659459" w14:textId="77777777" w:rsidR="00544811" w:rsidRPr="00F537B9" w:rsidRDefault="00883A80">
            <w:pPr>
              <w:spacing w:before="60" w:after="60"/>
              <w:jc w:val="right"/>
              <w:rPr>
                <w:noProof/>
                <w:sz w:val="20"/>
              </w:rPr>
            </w:pPr>
            <w:r w:rsidRPr="00F537B9">
              <w:rPr>
                <w:noProof/>
                <w:sz w:val="20"/>
              </w:rPr>
              <w:t>1,143</w:t>
            </w:r>
          </w:p>
        </w:tc>
        <w:tc>
          <w:tcPr>
            <w:tcW w:w="868" w:type="dxa"/>
            <w:vAlign w:val="center"/>
          </w:tcPr>
          <w:p w14:paraId="18F8D65A" w14:textId="77777777" w:rsidR="00544811" w:rsidRPr="00F537B9" w:rsidRDefault="00883A80">
            <w:pPr>
              <w:spacing w:before="60" w:after="60"/>
              <w:jc w:val="right"/>
              <w:rPr>
                <w:noProof/>
                <w:sz w:val="20"/>
              </w:rPr>
            </w:pPr>
            <w:r w:rsidRPr="00F537B9">
              <w:rPr>
                <w:noProof/>
                <w:sz w:val="20"/>
              </w:rPr>
              <w:t>1,143</w:t>
            </w:r>
          </w:p>
        </w:tc>
        <w:tc>
          <w:tcPr>
            <w:tcW w:w="868" w:type="dxa"/>
            <w:vAlign w:val="center"/>
          </w:tcPr>
          <w:p w14:paraId="1D440121" w14:textId="77777777" w:rsidR="00544811" w:rsidRPr="00F537B9" w:rsidRDefault="00544811">
            <w:pPr>
              <w:spacing w:before="60" w:after="60"/>
              <w:jc w:val="right"/>
              <w:rPr>
                <w:noProof/>
                <w:sz w:val="20"/>
              </w:rPr>
            </w:pPr>
          </w:p>
        </w:tc>
        <w:tc>
          <w:tcPr>
            <w:tcW w:w="868" w:type="dxa"/>
            <w:vAlign w:val="center"/>
          </w:tcPr>
          <w:p w14:paraId="54EC1EF0" w14:textId="77777777" w:rsidR="00544811" w:rsidRPr="00F537B9" w:rsidRDefault="00544811">
            <w:pPr>
              <w:spacing w:before="60" w:after="60"/>
              <w:jc w:val="right"/>
              <w:rPr>
                <w:noProof/>
                <w:sz w:val="20"/>
              </w:rPr>
            </w:pPr>
          </w:p>
        </w:tc>
        <w:tc>
          <w:tcPr>
            <w:tcW w:w="868" w:type="dxa"/>
            <w:vAlign w:val="center"/>
          </w:tcPr>
          <w:p w14:paraId="016BAFC3" w14:textId="77777777" w:rsidR="00544811" w:rsidRPr="00F537B9" w:rsidRDefault="00544811">
            <w:pPr>
              <w:spacing w:before="60" w:after="60"/>
              <w:jc w:val="right"/>
              <w:rPr>
                <w:noProof/>
                <w:sz w:val="20"/>
              </w:rPr>
            </w:pPr>
          </w:p>
        </w:tc>
        <w:tc>
          <w:tcPr>
            <w:tcW w:w="868" w:type="dxa"/>
            <w:vAlign w:val="center"/>
          </w:tcPr>
          <w:p w14:paraId="1B4285C3" w14:textId="77777777" w:rsidR="00544811" w:rsidRPr="00F537B9" w:rsidRDefault="00544811">
            <w:pPr>
              <w:spacing w:before="60" w:after="60"/>
              <w:jc w:val="right"/>
              <w:rPr>
                <w:b/>
                <w:noProof/>
                <w:sz w:val="20"/>
              </w:rPr>
            </w:pPr>
          </w:p>
        </w:tc>
        <w:tc>
          <w:tcPr>
            <w:tcW w:w="1777" w:type="dxa"/>
            <w:vAlign w:val="center"/>
          </w:tcPr>
          <w:p w14:paraId="62124CFA" w14:textId="77777777" w:rsidR="00544811" w:rsidRPr="00F537B9" w:rsidRDefault="00883A80">
            <w:pPr>
              <w:spacing w:before="60" w:after="60"/>
              <w:jc w:val="right"/>
              <w:rPr>
                <w:b/>
                <w:noProof/>
                <w:sz w:val="20"/>
              </w:rPr>
            </w:pPr>
            <w:r w:rsidRPr="00F537B9">
              <w:rPr>
                <w:b/>
                <w:noProof/>
                <w:sz w:val="20"/>
              </w:rPr>
              <w:t>3,429</w:t>
            </w:r>
          </w:p>
        </w:tc>
      </w:tr>
      <w:tr w:rsidR="003E7FB4" w:rsidRPr="00F537B9" w14:paraId="485BE23A" w14:textId="77777777">
        <w:tc>
          <w:tcPr>
            <w:tcW w:w="3960" w:type="dxa"/>
            <w:vMerge/>
            <w:shd w:val="clear" w:color="auto" w:fill="C0C0C0"/>
          </w:tcPr>
          <w:p w14:paraId="2B102DCF" w14:textId="77777777" w:rsidR="00544811" w:rsidRPr="00F537B9" w:rsidRDefault="00544811">
            <w:pPr>
              <w:rPr>
                <w:noProof/>
                <w:sz w:val="20"/>
              </w:rPr>
            </w:pPr>
          </w:p>
        </w:tc>
        <w:tc>
          <w:tcPr>
            <w:tcW w:w="2094" w:type="dxa"/>
            <w:gridSpan w:val="2"/>
            <w:vAlign w:val="center"/>
          </w:tcPr>
          <w:p w14:paraId="26BA1EDD" w14:textId="77777777" w:rsidR="00544811" w:rsidRPr="00F537B9" w:rsidRDefault="00544811">
            <w:pPr>
              <w:rPr>
                <w:noProof/>
                <w:sz w:val="14"/>
              </w:rPr>
            </w:pPr>
            <w:r w:rsidRPr="00F537B9">
              <w:rPr>
                <w:noProof/>
                <w:sz w:val="18"/>
              </w:rPr>
              <w:t>Platby</w:t>
            </w:r>
          </w:p>
        </w:tc>
        <w:tc>
          <w:tcPr>
            <w:tcW w:w="868" w:type="dxa"/>
            <w:vAlign w:val="center"/>
          </w:tcPr>
          <w:p w14:paraId="4D3ED4C2" w14:textId="77777777" w:rsidR="00544811" w:rsidRPr="00F537B9" w:rsidRDefault="00883A80">
            <w:pPr>
              <w:spacing w:before="60" w:after="60"/>
              <w:jc w:val="right"/>
              <w:rPr>
                <w:noProof/>
                <w:sz w:val="20"/>
              </w:rPr>
            </w:pPr>
            <w:r w:rsidRPr="00F537B9">
              <w:rPr>
                <w:noProof/>
                <w:sz w:val="20"/>
              </w:rPr>
              <w:t>0,065</w:t>
            </w:r>
          </w:p>
        </w:tc>
        <w:tc>
          <w:tcPr>
            <w:tcW w:w="868" w:type="dxa"/>
            <w:vAlign w:val="center"/>
          </w:tcPr>
          <w:p w14:paraId="7E74F376" w14:textId="77777777" w:rsidR="00544811" w:rsidRPr="00F537B9" w:rsidRDefault="00883A80">
            <w:pPr>
              <w:spacing w:before="60" w:after="60"/>
              <w:jc w:val="right"/>
              <w:rPr>
                <w:noProof/>
                <w:sz w:val="20"/>
              </w:rPr>
            </w:pPr>
            <w:r w:rsidRPr="00F537B9">
              <w:rPr>
                <w:noProof/>
                <w:sz w:val="20"/>
              </w:rPr>
              <w:t>0,065</w:t>
            </w:r>
          </w:p>
        </w:tc>
        <w:tc>
          <w:tcPr>
            <w:tcW w:w="868" w:type="dxa"/>
            <w:vAlign w:val="center"/>
          </w:tcPr>
          <w:p w14:paraId="67ACDFAA" w14:textId="77777777" w:rsidR="00544811" w:rsidRPr="00F537B9" w:rsidRDefault="00883A80">
            <w:pPr>
              <w:spacing w:before="60" w:after="60"/>
              <w:jc w:val="right"/>
              <w:rPr>
                <w:noProof/>
                <w:sz w:val="20"/>
              </w:rPr>
            </w:pPr>
            <w:r w:rsidRPr="00F537B9">
              <w:rPr>
                <w:noProof/>
                <w:sz w:val="20"/>
              </w:rPr>
              <w:t>0,065</w:t>
            </w:r>
          </w:p>
        </w:tc>
        <w:tc>
          <w:tcPr>
            <w:tcW w:w="868" w:type="dxa"/>
            <w:vAlign w:val="center"/>
          </w:tcPr>
          <w:p w14:paraId="6E0D68E0" w14:textId="77777777" w:rsidR="00544811" w:rsidRPr="00F537B9" w:rsidRDefault="00544811">
            <w:pPr>
              <w:spacing w:before="60" w:after="60"/>
              <w:jc w:val="right"/>
              <w:rPr>
                <w:noProof/>
                <w:sz w:val="20"/>
              </w:rPr>
            </w:pPr>
          </w:p>
        </w:tc>
        <w:tc>
          <w:tcPr>
            <w:tcW w:w="868" w:type="dxa"/>
            <w:vAlign w:val="center"/>
          </w:tcPr>
          <w:p w14:paraId="137D5DB4" w14:textId="77777777" w:rsidR="00544811" w:rsidRPr="00F537B9" w:rsidRDefault="00544811">
            <w:pPr>
              <w:spacing w:before="60" w:after="60"/>
              <w:jc w:val="right"/>
              <w:rPr>
                <w:noProof/>
                <w:sz w:val="20"/>
              </w:rPr>
            </w:pPr>
          </w:p>
        </w:tc>
        <w:tc>
          <w:tcPr>
            <w:tcW w:w="868" w:type="dxa"/>
            <w:vAlign w:val="center"/>
          </w:tcPr>
          <w:p w14:paraId="4B806D79" w14:textId="77777777" w:rsidR="00544811" w:rsidRPr="00F537B9" w:rsidRDefault="00544811">
            <w:pPr>
              <w:spacing w:before="60" w:after="60"/>
              <w:jc w:val="right"/>
              <w:rPr>
                <w:noProof/>
                <w:sz w:val="20"/>
              </w:rPr>
            </w:pPr>
          </w:p>
        </w:tc>
        <w:tc>
          <w:tcPr>
            <w:tcW w:w="868" w:type="dxa"/>
            <w:vAlign w:val="center"/>
          </w:tcPr>
          <w:p w14:paraId="18F4A5CF" w14:textId="77777777" w:rsidR="00544811" w:rsidRPr="00F537B9" w:rsidRDefault="00544811">
            <w:pPr>
              <w:spacing w:before="60" w:after="60"/>
              <w:jc w:val="right"/>
              <w:rPr>
                <w:b/>
                <w:noProof/>
                <w:sz w:val="20"/>
              </w:rPr>
            </w:pPr>
          </w:p>
        </w:tc>
        <w:tc>
          <w:tcPr>
            <w:tcW w:w="1777" w:type="dxa"/>
            <w:vAlign w:val="center"/>
          </w:tcPr>
          <w:p w14:paraId="7C89AA6C" w14:textId="77777777" w:rsidR="00544811" w:rsidRPr="00F537B9" w:rsidRDefault="00883A80">
            <w:pPr>
              <w:spacing w:before="60" w:after="60"/>
              <w:jc w:val="right"/>
              <w:rPr>
                <w:b/>
                <w:noProof/>
                <w:sz w:val="20"/>
              </w:rPr>
            </w:pPr>
            <w:r w:rsidRPr="00F537B9">
              <w:rPr>
                <w:b/>
                <w:noProof/>
                <w:sz w:val="20"/>
              </w:rPr>
              <w:t>0,195</w:t>
            </w:r>
          </w:p>
        </w:tc>
      </w:tr>
    </w:tbl>
    <w:p w14:paraId="50BF07C1" w14:textId="77777777" w:rsidR="00F537B9" w:rsidRDefault="00544811">
      <w:pPr>
        <w:pStyle w:val="ManualHeading3"/>
        <w:rPr>
          <w:noProof/>
        </w:rPr>
      </w:pPr>
      <w:bookmarkStart w:id="101" w:name="_Toc514938054"/>
      <w:bookmarkStart w:id="102" w:name="_Toc520485053"/>
      <w:r w:rsidRPr="00F537B9">
        <w:rPr>
          <w:noProof/>
        </w:rPr>
        <w:t>3.2.2.</w:t>
      </w:r>
      <w:r w:rsidRPr="00F537B9">
        <w:rPr>
          <w:noProof/>
        </w:rPr>
        <w:tab/>
        <w:t>Odhadované výstupy financované</w:t>
      </w:r>
      <w:r w:rsidR="00F537B9">
        <w:rPr>
          <w:noProof/>
        </w:rPr>
        <w:t xml:space="preserve"> z </w:t>
      </w:r>
      <w:r w:rsidRPr="00F537B9">
        <w:rPr>
          <w:noProof/>
        </w:rPr>
        <w:t>operačných rozpočtových prostriedkov</w:t>
      </w:r>
      <w:bookmarkEnd w:id="101"/>
      <w:bookmarkEnd w:id="102"/>
    </w:p>
    <w:p w14:paraId="67FED601" w14:textId="6455F5AE" w:rsidR="00544811" w:rsidRPr="00F537B9" w:rsidRDefault="00544811">
      <w:pPr>
        <w:jc w:val="right"/>
        <w:rPr>
          <w:noProof/>
          <w:sz w:val="20"/>
        </w:rPr>
      </w:pPr>
      <w:r w:rsidRPr="00F537B9">
        <w:rPr>
          <w:noProof/>
          <w:sz w:val="20"/>
        </w:rPr>
        <w:t>viazané rozpočtové prostriedky</w:t>
      </w:r>
      <w:r w:rsidR="00F537B9">
        <w:rPr>
          <w:noProof/>
          <w:sz w:val="20"/>
        </w:rPr>
        <w:t xml:space="preserve"> v </w:t>
      </w:r>
      <w:r w:rsidRPr="00F537B9">
        <w:rPr>
          <w:noProof/>
          <w:sz w:val="20"/>
        </w:rPr>
        <w:t>mil. EUR (zaokrúhlené na 3 desatinné miesta)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544811" w:rsidRPr="00F537B9" w14:paraId="6FF0C564" w14:textId="77777777" w:rsidTr="00E459A2">
        <w:trPr>
          <w:jc w:val="center"/>
        </w:trPr>
        <w:tc>
          <w:tcPr>
            <w:tcW w:w="1423" w:type="dxa"/>
            <w:vMerge w:val="restart"/>
            <w:tcMar>
              <w:left w:w="28" w:type="dxa"/>
              <w:right w:w="28" w:type="dxa"/>
            </w:tcMar>
            <w:vAlign w:val="center"/>
          </w:tcPr>
          <w:p w14:paraId="51FA66E0" w14:textId="77777777" w:rsidR="00F537B9" w:rsidRDefault="00544811">
            <w:pPr>
              <w:ind w:right="-29"/>
              <w:jc w:val="center"/>
              <w:rPr>
                <w:b/>
                <w:noProof/>
                <w:sz w:val="18"/>
              </w:rPr>
            </w:pPr>
            <w:r w:rsidRPr="00F537B9">
              <w:rPr>
                <w:b/>
                <w:noProof/>
                <w:sz w:val="18"/>
              </w:rPr>
              <w:t>Uveďte ciele</w:t>
            </w:r>
            <w:r w:rsidR="00F537B9">
              <w:rPr>
                <w:b/>
                <w:noProof/>
                <w:sz w:val="18"/>
              </w:rPr>
              <w:t xml:space="preserve"> a </w:t>
            </w:r>
            <w:r w:rsidRPr="00F537B9">
              <w:rPr>
                <w:b/>
                <w:noProof/>
                <w:sz w:val="18"/>
              </w:rPr>
              <w:t>výstupy</w:t>
            </w:r>
          </w:p>
          <w:p w14:paraId="55FDB33A" w14:textId="4B99450A" w:rsidR="00544811" w:rsidRPr="00F537B9" w:rsidRDefault="00544811">
            <w:pPr>
              <w:ind w:right="-29"/>
              <w:jc w:val="center"/>
              <w:rPr>
                <w:b/>
                <w:noProof/>
                <w:sz w:val="18"/>
                <w:szCs w:val="18"/>
              </w:rPr>
            </w:pPr>
          </w:p>
          <w:p w14:paraId="00D1ABB0" w14:textId="77777777" w:rsidR="00544811" w:rsidRPr="00F537B9" w:rsidRDefault="00544811">
            <w:pPr>
              <w:ind w:right="-29"/>
              <w:jc w:val="center"/>
              <w:rPr>
                <w:noProof/>
                <w:sz w:val="18"/>
                <w:szCs w:val="18"/>
              </w:rPr>
            </w:pPr>
            <w:r w:rsidRPr="00F537B9">
              <w:rPr>
                <w:rFonts w:ascii="Wingdings" w:hAnsi="Wingdings"/>
                <w:noProof/>
                <w:sz w:val="18"/>
              </w:rPr>
              <w:t></w:t>
            </w:r>
          </w:p>
        </w:tc>
        <w:tc>
          <w:tcPr>
            <w:tcW w:w="720" w:type="dxa"/>
            <w:tcMar>
              <w:left w:w="28" w:type="dxa"/>
              <w:right w:w="28" w:type="dxa"/>
            </w:tcMar>
            <w:vAlign w:val="center"/>
          </w:tcPr>
          <w:p w14:paraId="06B43CD5" w14:textId="77777777" w:rsidR="00544811" w:rsidRPr="00F537B9" w:rsidRDefault="00544811">
            <w:pPr>
              <w:ind w:right="-29"/>
              <w:jc w:val="center"/>
              <w:rPr>
                <w:noProof/>
                <w:sz w:val="18"/>
                <w:szCs w:val="18"/>
              </w:rPr>
            </w:pPr>
          </w:p>
        </w:tc>
        <w:tc>
          <w:tcPr>
            <w:tcW w:w="701" w:type="dxa"/>
            <w:tcMar>
              <w:left w:w="28" w:type="dxa"/>
              <w:right w:w="28" w:type="dxa"/>
            </w:tcMar>
            <w:vAlign w:val="center"/>
          </w:tcPr>
          <w:p w14:paraId="4B8E6C34" w14:textId="77777777" w:rsidR="00544811" w:rsidRPr="00F537B9" w:rsidRDefault="00544811">
            <w:pPr>
              <w:ind w:right="-29"/>
              <w:jc w:val="center"/>
              <w:rPr>
                <w:noProof/>
                <w:sz w:val="18"/>
                <w:szCs w:val="18"/>
              </w:rPr>
            </w:pPr>
          </w:p>
        </w:tc>
        <w:tc>
          <w:tcPr>
            <w:tcW w:w="1224" w:type="dxa"/>
            <w:gridSpan w:val="2"/>
            <w:tcBorders>
              <w:left w:val="nil"/>
            </w:tcBorders>
            <w:tcMar>
              <w:left w:w="28" w:type="dxa"/>
              <w:right w:w="28" w:type="dxa"/>
            </w:tcMar>
            <w:vAlign w:val="center"/>
          </w:tcPr>
          <w:p w14:paraId="31D9EE68" w14:textId="77777777" w:rsidR="00544811" w:rsidRPr="00F537B9" w:rsidRDefault="00544811">
            <w:pPr>
              <w:ind w:right="-29"/>
              <w:jc w:val="center"/>
              <w:rPr>
                <w:noProof/>
                <w:sz w:val="18"/>
                <w:szCs w:val="18"/>
              </w:rPr>
            </w:pPr>
            <w:r w:rsidRPr="00F537B9">
              <w:rPr>
                <w:noProof/>
                <w:sz w:val="18"/>
              </w:rPr>
              <w:t>Rok</w:t>
            </w:r>
            <w:r w:rsidRPr="00F537B9">
              <w:rPr>
                <w:noProof/>
              </w:rPr>
              <w:t xml:space="preserve"> </w:t>
            </w:r>
            <w:r w:rsidRPr="00F537B9">
              <w:rPr>
                <w:noProof/>
              </w:rPr>
              <w:br/>
            </w:r>
            <w:r w:rsidRPr="00F537B9">
              <w:rPr>
                <w:b/>
                <w:noProof/>
                <w:sz w:val="18"/>
              </w:rPr>
              <w:t>N</w:t>
            </w:r>
          </w:p>
        </w:tc>
        <w:tc>
          <w:tcPr>
            <w:tcW w:w="1260" w:type="dxa"/>
            <w:gridSpan w:val="2"/>
            <w:tcMar>
              <w:left w:w="28" w:type="dxa"/>
              <w:right w:w="28" w:type="dxa"/>
            </w:tcMar>
            <w:vAlign w:val="center"/>
          </w:tcPr>
          <w:p w14:paraId="109BCFF8" w14:textId="77777777" w:rsidR="00544811" w:rsidRPr="00F537B9" w:rsidRDefault="00544811">
            <w:pPr>
              <w:ind w:right="-29"/>
              <w:jc w:val="center"/>
              <w:rPr>
                <w:noProof/>
                <w:sz w:val="18"/>
                <w:szCs w:val="18"/>
              </w:rPr>
            </w:pPr>
            <w:r w:rsidRPr="00F537B9">
              <w:rPr>
                <w:noProof/>
                <w:sz w:val="18"/>
              </w:rPr>
              <w:t>Rok</w:t>
            </w:r>
            <w:r w:rsidRPr="00F537B9">
              <w:rPr>
                <w:noProof/>
              </w:rPr>
              <w:t xml:space="preserve"> </w:t>
            </w:r>
            <w:r w:rsidRPr="00F537B9">
              <w:rPr>
                <w:noProof/>
              </w:rPr>
              <w:br/>
            </w:r>
            <w:r w:rsidRPr="00F537B9">
              <w:rPr>
                <w:b/>
                <w:noProof/>
                <w:sz w:val="18"/>
              </w:rPr>
              <w:t>N + 1</w:t>
            </w:r>
          </w:p>
        </w:tc>
        <w:tc>
          <w:tcPr>
            <w:tcW w:w="1440" w:type="dxa"/>
            <w:gridSpan w:val="2"/>
            <w:tcMar>
              <w:left w:w="28" w:type="dxa"/>
              <w:right w:w="28" w:type="dxa"/>
            </w:tcMar>
            <w:vAlign w:val="center"/>
          </w:tcPr>
          <w:p w14:paraId="44861BCF" w14:textId="77777777" w:rsidR="00544811" w:rsidRPr="00F537B9" w:rsidRDefault="00544811">
            <w:pPr>
              <w:ind w:right="-29"/>
              <w:jc w:val="center"/>
              <w:rPr>
                <w:noProof/>
                <w:sz w:val="18"/>
                <w:szCs w:val="18"/>
              </w:rPr>
            </w:pPr>
            <w:r w:rsidRPr="00F537B9">
              <w:rPr>
                <w:noProof/>
                <w:sz w:val="18"/>
              </w:rPr>
              <w:t>Rok</w:t>
            </w:r>
            <w:r w:rsidRPr="00F537B9">
              <w:rPr>
                <w:noProof/>
              </w:rPr>
              <w:t xml:space="preserve"> </w:t>
            </w:r>
            <w:r w:rsidRPr="00F537B9">
              <w:rPr>
                <w:noProof/>
              </w:rPr>
              <w:br/>
            </w:r>
            <w:r w:rsidRPr="00F537B9">
              <w:rPr>
                <w:b/>
                <w:noProof/>
                <w:sz w:val="18"/>
              </w:rPr>
              <w:t>N + 2</w:t>
            </w:r>
          </w:p>
        </w:tc>
        <w:tc>
          <w:tcPr>
            <w:tcW w:w="1620" w:type="dxa"/>
            <w:gridSpan w:val="3"/>
            <w:tcMar>
              <w:left w:w="28" w:type="dxa"/>
              <w:right w:w="28" w:type="dxa"/>
            </w:tcMar>
            <w:vAlign w:val="center"/>
          </w:tcPr>
          <w:p w14:paraId="67E5AF4F" w14:textId="77777777" w:rsidR="00544811" w:rsidRPr="00F537B9" w:rsidRDefault="00544811">
            <w:pPr>
              <w:ind w:right="-29"/>
              <w:jc w:val="center"/>
              <w:rPr>
                <w:noProof/>
                <w:sz w:val="18"/>
                <w:szCs w:val="18"/>
              </w:rPr>
            </w:pPr>
            <w:r w:rsidRPr="00F537B9">
              <w:rPr>
                <w:noProof/>
                <w:sz w:val="18"/>
              </w:rPr>
              <w:t>Rok</w:t>
            </w:r>
            <w:r w:rsidRPr="00F537B9">
              <w:rPr>
                <w:noProof/>
              </w:rPr>
              <w:t xml:space="preserve"> </w:t>
            </w:r>
            <w:r w:rsidRPr="00F537B9">
              <w:rPr>
                <w:noProof/>
              </w:rPr>
              <w:br/>
            </w:r>
            <w:r w:rsidRPr="00F537B9">
              <w:rPr>
                <w:b/>
                <w:noProof/>
                <w:sz w:val="18"/>
              </w:rPr>
              <w:t>N + 3</w:t>
            </w:r>
          </w:p>
        </w:tc>
        <w:tc>
          <w:tcPr>
            <w:tcW w:w="3600" w:type="dxa"/>
            <w:gridSpan w:val="6"/>
            <w:tcMar>
              <w:left w:w="28" w:type="dxa"/>
              <w:right w:w="28" w:type="dxa"/>
            </w:tcMar>
            <w:vAlign w:val="center"/>
          </w:tcPr>
          <w:p w14:paraId="7183651A" w14:textId="77777777" w:rsidR="00544811" w:rsidRPr="00F537B9" w:rsidRDefault="00544811">
            <w:pPr>
              <w:jc w:val="center"/>
              <w:rPr>
                <w:noProof/>
                <w:sz w:val="18"/>
                <w:szCs w:val="18"/>
              </w:rPr>
            </w:pPr>
            <w:r w:rsidRPr="00F537B9">
              <w:rPr>
                <w:noProof/>
                <w:sz w:val="18"/>
              </w:rPr>
              <w:t>Uveďte všetky roky, počas ktorých vplyv trvá (pozri bod 1.6)</w:t>
            </w:r>
          </w:p>
        </w:tc>
        <w:tc>
          <w:tcPr>
            <w:tcW w:w="1620" w:type="dxa"/>
            <w:gridSpan w:val="2"/>
            <w:tcBorders>
              <w:left w:val="nil"/>
              <w:bottom w:val="nil"/>
            </w:tcBorders>
            <w:tcMar>
              <w:left w:w="28" w:type="dxa"/>
              <w:right w:w="28" w:type="dxa"/>
            </w:tcMar>
            <w:vAlign w:val="center"/>
          </w:tcPr>
          <w:p w14:paraId="58CA9CDE" w14:textId="77777777" w:rsidR="00544811" w:rsidRPr="00F537B9" w:rsidRDefault="00544811">
            <w:pPr>
              <w:ind w:right="-29"/>
              <w:jc w:val="center"/>
              <w:rPr>
                <w:noProof/>
                <w:sz w:val="18"/>
                <w:szCs w:val="18"/>
              </w:rPr>
            </w:pPr>
            <w:r w:rsidRPr="00F537B9">
              <w:rPr>
                <w:b/>
                <w:noProof/>
                <w:sz w:val="18"/>
              </w:rPr>
              <w:t>SPOLU</w:t>
            </w:r>
          </w:p>
        </w:tc>
      </w:tr>
      <w:tr w:rsidR="00544811" w:rsidRPr="00F537B9" w14:paraId="04DA4A00" w14:textId="77777777" w:rsidTr="00E459A2">
        <w:trPr>
          <w:jc w:val="center"/>
        </w:trPr>
        <w:tc>
          <w:tcPr>
            <w:tcW w:w="1423" w:type="dxa"/>
            <w:vMerge/>
            <w:tcMar>
              <w:left w:w="28" w:type="dxa"/>
              <w:right w:w="28" w:type="dxa"/>
            </w:tcMar>
            <w:vAlign w:val="center"/>
          </w:tcPr>
          <w:p w14:paraId="02D177E1" w14:textId="77777777" w:rsidR="00544811" w:rsidRPr="00F537B9" w:rsidRDefault="00544811">
            <w:pPr>
              <w:ind w:right="-29"/>
              <w:jc w:val="center"/>
              <w:rPr>
                <w:noProof/>
                <w:sz w:val="18"/>
                <w:szCs w:val="18"/>
              </w:rPr>
            </w:pPr>
          </w:p>
        </w:tc>
        <w:tc>
          <w:tcPr>
            <w:tcW w:w="12185" w:type="dxa"/>
            <w:gridSpan w:val="19"/>
            <w:tcMar>
              <w:left w:w="28" w:type="dxa"/>
              <w:right w:w="28" w:type="dxa"/>
            </w:tcMar>
            <w:vAlign w:val="center"/>
          </w:tcPr>
          <w:p w14:paraId="38F0B19B" w14:textId="77777777" w:rsidR="00544811" w:rsidRPr="00F537B9" w:rsidRDefault="00544811">
            <w:pPr>
              <w:spacing w:before="60" w:after="60"/>
              <w:ind w:right="-29"/>
              <w:jc w:val="center"/>
              <w:rPr>
                <w:noProof/>
                <w:sz w:val="18"/>
                <w:szCs w:val="18"/>
              </w:rPr>
            </w:pPr>
            <w:r w:rsidRPr="00F537B9">
              <w:rPr>
                <w:b/>
                <w:noProof/>
                <w:sz w:val="18"/>
              </w:rPr>
              <w:t>VÝSTUPY</w:t>
            </w:r>
          </w:p>
        </w:tc>
      </w:tr>
      <w:tr w:rsidR="00544811" w:rsidRPr="00F537B9" w14:paraId="43205D79" w14:textId="77777777" w:rsidTr="00E459A2">
        <w:trPr>
          <w:cantSplit/>
          <w:trHeight w:val="1134"/>
          <w:jc w:val="center"/>
        </w:trPr>
        <w:tc>
          <w:tcPr>
            <w:tcW w:w="1423" w:type="dxa"/>
            <w:vMerge/>
            <w:tcMar>
              <w:left w:w="28" w:type="dxa"/>
              <w:right w:w="28" w:type="dxa"/>
            </w:tcMar>
            <w:vAlign w:val="center"/>
          </w:tcPr>
          <w:p w14:paraId="45559F71" w14:textId="77777777" w:rsidR="00544811" w:rsidRPr="00F537B9" w:rsidRDefault="00544811">
            <w:pPr>
              <w:rPr>
                <w:noProof/>
                <w:sz w:val="18"/>
                <w:szCs w:val="18"/>
              </w:rPr>
            </w:pPr>
          </w:p>
        </w:tc>
        <w:tc>
          <w:tcPr>
            <w:tcW w:w="720" w:type="dxa"/>
            <w:tcMar>
              <w:left w:w="28" w:type="dxa"/>
              <w:right w:w="28" w:type="dxa"/>
            </w:tcMar>
            <w:vAlign w:val="center"/>
          </w:tcPr>
          <w:p w14:paraId="00D289CC" w14:textId="77777777" w:rsidR="00544811" w:rsidRPr="00F537B9" w:rsidRDefault="00544811">
            <w:pPr>
              <w:jc w:val="center"/>
              <w:rPr>
                <w:noProof/>
                <w:sz w:val="18"/>
                <w:szCs w:val="18"/>
              </w:rPr>
            </w:pPr>
            <w:r w:rsidRPr="00F537B9">
              <w:rPr>
                <w:noProof/>
                <w:sz w:val="18"/>
              </w:rPr>
              <w:t>Druh</w:t>
            </w:r>
            <w:r w:rsidRPr="00F537B9">
              <w:rPr>
                <w:rStyle w:val="FootnoteReference"/>
                <w:noProof/>
                <w:sz w:val="18"/>
              </w:rPr>
              <w:footnoteReference w:id="50"/>
            </w:r>
          </w:p>
          <w:p w14:paraId="27FCFF1F" w14:textId="77777777" w:rsidR="00544811" w:rsidRPr="00F537B9" w:rsidRDefault="00544811">
            <w:pPr>
              <w:spacing w:before="0" w:after="0"/>
              <w:jc w:val="center"/>
              <w:rPr>
                <w:noProof/>
                <w:sz w:val="18"/>
                <w:szCs w:val="18"/>
              </w:rPr>
            </w:pPr>
          </w:p>
        </w:tc>
        <w:tc>
          <w:tcPr>
            <w:tcW w:w="701" w:type="dxa"/>
            <w:tcMar>
              <w:left w:w="28" w:type="dxa"/>
              <w:right w:w="28" w:type="dxa"/>
            </w:tcMar>
            <w:vAlign w:val="center"/>
          </w:tcPr>
          <w:p w14:paraId="2FD421F4" w14:textId="77777777" w:rsidR="00544811" w:rsidRPr="00F537B9" w:rsidRDefault="00544811">
            <w:pPr>
              <w:jc w:val="center"/>
              <w:rPr>
                <w:noProof/>
                <w:sz w:val="18"/>
                <w:szCs w:val="18"/>
              </w:rPr>
            </w:pPr>
            <w:r w:rsidRPr="00F537B9">
              <w:rPr>
                <w:noProof/>
                <w:sz w:val="18"/>
              </w:rPr>
              <w:t>Priemerné náklady</w:t>
            </w:r>
          </w:p>
        </w:tc>
        <w:tc>
          <w:tcPr>
            <w:tcW w:w="504" w:type="dxa"/>
            <w:tcBorders>
              <w:left w:val="nil"/>
              <w:right w:val="dashSmallGap" w:sz="4" w:space="0" w:color="auto"/>
            </w:tcBorders>
            <w:shd w:val="pct10" w:color="auto" w:fill="auto"/>
            <w:tcMar>
              <w:left w:w="28" w:type="dxa"/>
              <w:right w:w="28" w:type="dxa"/>
            </w:tcMar>
            <w:textDirection w:val="btLr"/>
            <w:vAlign w:val="center"/>
          </w:tcPr>
          <w:p w14:paraId="78275CE0" w14:textId="77777777" w:rsidR="00544811" w:rsidRPr="00F537B9" w:rsidRDefault="00544811">
            <w:pPr>
              <w:ind w:left="113" w:right="113"/>
              <w:jc w:val="center"/>
              <w:rPr>
                <w:noProof/>
                <w:sz w:val="18"/>
                <w:szCs w:val="18"/>
              </w:rPr>
            </w:pPr>
            <w:r w:rsidRPr="00F537B9">
              <w:rPr>
                <w:noProof/>
                <w:sz w:val="18"/>
              </w:rPr>
              <w:t>Počet</w:t>
            </w:r>
          </w:p>
        </w:tc>
        <w:tc>
          <w:tcPr>
            <w:tcW w:w="720" w:type="dxa"/>
            <w:tcBorders>
              <w:left w:val="dashSmallGap" w:sz="4" w:space="0" w:color="auto"/>
            </w:tcBorders>
            <w:shd w:val="pct10" w:color="auto" w:fill="auto"/>
            <w:tcMar>
              <w:left w:w="28" w:type="dxa"/>
              <w:right w:w="28" w:type="dxa"/>
            </w:tcMar>
            <w:vAlign w:val="center"/>
          </w:tcPr>
          <w:p w14:paraId="1922EDA8" w14:textId="77777777" w:rsidR="00544811" w:rsidRPr="00F537B9" w:rsidRDefault="00544811">
            <w:pPr>
              <w:jc w:val="center"/>
              <w:rPr>
                <w:noProof/>
                <w:sz w:val="18"/>
                <w:szCs w:val="18"/>
              </w:rPr>
            </w:pPr>
            <w:r w:rsidRPr="00F537B9">
              <w:rPr>
                <w:noProof/>
                <w:sz w:val="18"/>
              </w:rPr>
              <w:t>Náklady</w:t>
            </w:r>
          </w:p>
        </w:tc>
        <w:tc>
          <w:tcPr>
            <w:tcW w:w="540" w:type="dxa"/>
            <w:tcBorders>
              <w:right w:val="dashSmallGap" w:sz="4" w:space="0" w:color="auto"/>
            </w:tcBorders>
            <w:shd w:val="pct10" w:color="auto" w:fill="auto"/>
            <w:tcMar>
              <w:left w:w="28" w:type="dxa"/>
              <w:right w:w="28" w:type="dxa"/>
            </w:tcMar>
            <w:textDirection w:val="btLr"/>
            <w:vAlign w:val="center"/>
          </w:tcPr>
          <w:p w14:paraId="6C041407" w14:textId="77777777" w:rsidR="00544811" w:rsidRPr="00F537B9" w:rsidRDefault="00544811">
            <w:pPr>
              <w:ind w:left="113" w:right="113"/>
              <w:jc w:val="center"/>
              <w:rPr>
                <w:noProof/>
                <w:sz w:val="18"/>
                <w:szCs w:val="18"/>
              </w:rPr>
            </w:pPr>
            <w:r w:rsidRPr="00F537B9">
              <w:rPr>
                <w:noProof/>
                <w:sz w:val="18"/>
              </w:rPr>
              <w:t>Počet</w:t>
            </w:r>
          </w:p>
        </w:tc>
        <w:tc>
          <w:tcPr>
            <w:tcW w:w="720" w:type="dxa"/>
            <w:tcBorders>
              <w:left w:val="dashSmallGap" w:sz="4" w:space="0" w:color="auto"/>
            </w:tcBorders>
            <w:shd w:val="pct10" w:color="auto" w:fill="auto"/>
            <w:tcMar>
              <w:left w:w="28" w:type="dxa"/>
              <w:right w:w="28" w:type="dxa"/>
            </w:tcMar>
            <w:vAlign w:val="center"/>
          </w:tcPr>
          <w:p w14:paraId="7381541D" w14:textId="77777777" w:rsidR="00544811" w:rsidRPr="00F537B9" w:rsidRDefault="00544811">
            <w:pPr>
              <w:jc w:val="center"/>
              <w:rPr>
                <w:noProof/>
                <w:sz w:val="18"/>
                <w:szCs w:val="18"/>
              </w:rPr>
            </w:pPr>
            <w:r w:rsidRPr="00F537B9">
              <w:rPr>
                <w:noProof/>
                <w:sz w:val="18"/>
              </w:rPr>
              <w:t>Náklady</w:t>
            </w:r>
          </w:p>
        </w:tc>
        <w:tc>
          <w:tcPr>
            <w:tcW w:w="720" w:type="dxa"/>
            <w:tcBorders>
              <w:right w:val="dashSmallGap" w:sz="4" w:space="0" w:color="auto"/>
            </w:tcBorders>
            <w:shd w:val="pct10" w:color="auto" w:fill="auto"/>
            <w:tcMar>
              <w:left w:w="28" w:type="dxa"/>
              <w:right w:w="28" w:type="dxa"/>
            </w:tcMar>
            <w:textDirection w:val="btLr"/>
            <w:vAlign w:val="center"/>
          </w:tcPr>
          <w:p w14:paraId="4384DB3D" w14:textId="77777777" w:rsidR="00544811" w:rsidRPr="00F537B9" w:rsidRDefault="00544811">
            <w:pPr>
              <w:ind w:left="113" w:right="113"/>
              <w:jc w:val="center"/>
              <w:rPr>
                <w:noProof/>
                <w:sz w:val="18"/>
                <w:szCs w:val="18"/>
              </w:rPr>
            </w:pPr>
            <w:r w:rsidRPr="00F537B9">
              <w:rPr>
                <w:noProof/>
                <w:sz w:val="18"/>
              </w:rPr>
              <w:t>Počet</w:t>
            </w:r>
          </w:p>
        </w:tc>
        <w:tc>
          <w:tcPr>
            <w:tcW w:w="720" w:type="dxa"/>
            <w:tcBorders>
              <w:left w:val="dashSmallGap" w:sz="4" w:space="0" w:color="auto"/>
            </w:tcBorders>
            <w:shd w:val="pct10" w:color="auto" w:fill="auto"/>
            <w:tcMar>
              <w:left w:w="28" w:type="dxa"/>
              <w:right w:w="28" w:type="dxa"/>
            </w:tcMar>
            <w:vAlign w:val="center"/>
          </w:tcPr>
          <w:p w14:paraId="5ADB92FE" w14:textId="77777777" w:rsidR="00544811" w:rsidRPr="00F537B9" w:rsidRDefault="00544811">
            <w:pPr>
              <w:jc w:val="center"/>
              <w:rPr>
                <w:noProof/>
                <w:sz w:val="18"/>
                <w:szCs w:val="18"/>
              </w:rPr>
            </w:pPr>
            <w:r w:rsidRPr="00F537B9">
              <w:rPr>
                <w:noProof/>
                <w:sz w:val="18"/>
              </w:rPr>
              <w:t>Náklady</w:t>
            </w:r>
          </w:p>
        </w:tc>
        <w:tc>
          <w:tcPr>
            <w:tcW w:w="900" w:type="dxa"/>
            <w:tcBorders>
              <w:right w:val="dashSmallGap" w:sz="4" w:space="0" w:color="auto"/>
            </w:tcBorders>
            <w:shd w:val="pct10" w:color="auto" w:fill="auto"/>
            <w:tcMar>
              <w:left w:w="28" w:type="dxa"/>
              <w:right w:w="28" w:type="dxa"/>
            </w:tcMar>
            <w:textDirection w:val="btLr"/>
            <w:vAlign w:val="center"/>
          </w:tcPr>
          <w:p w14:paraId="34A30054" w14:textId="77777777" w:rsidR="00544811" w:rsidRPr="00F537B9" w:rsidRDefault="00544811">
            <w:pPr>
              <w:ind w:left="113" w:right="113"/>
              <w:jc w:val="center"/>
              <w:rPr>
                <w:noProof/>
                <w:sz w:val="18"/>
                <w:szCs w:val="18"/>
              </w:rPr>
            </w:pPr>
            <w:r w:rsidRPr="00F537B9">
              <w:rPr>
                <w:noProof/>
                <w:sz w:val="18"/>
              </w:rPr>
              <w:t>Počet</w:t>
            </w:r>
          </w:p>
        </w:tc>
        <w:tc>
          <w:tcPr>
            <w:tcW w:w="720" w:type="dxa"/>
            <w:gridSpan w:val="2"/>
            <w:tcBorders>
              <w:left w:val="dashSmallGap" w:sz="4" w:space="0" w:color="auto"/>
            </w:tcBorders>
            <w:shd w:val="pct10" w:color="auto" w:fill="auto"/>
            <w:tcMar>
              <w:left w:w="28" w:type="dxa"/>
              <w:right w:w="28" w:type="dxa"/>
            </w:tcMar>
            <w:vAlign w:val="center"/>
          </w:tcPr>
          <w:p w14:paraId="6C505920" w14:textId="77777777" w:rsidR="00544811" w:rsidRPr="00F537B9" w:rsidRDefault="00544811">
            <w:pPr>
              <w:jc w:val="center"/>
              <w:rPr>
                <w:noProof/>
                <w:sz w:val="18"/>
                <w:szCs w:val="18"/>
              </w:rPr>
            </w:pPr>
            <w:r w:rsidRPr="00F537B9">
              <w:rPr>
                <w:noProof/>
                <w:sz w:val="18"/>
              </w:rPr>
              <w:t>Náklady</w:t>
            </w:r>
          </w:p>
        </w:tc>
        <w:tc>
          <w:tcPr>
            <w:tcW w:w="540" w:type="dxa"/>
            <w:tcBorders>
              <w:right w:val="dashSmallGap" w:sz="4" w:space="0" w:color="auto"/>
            </w:tcBorders>
            <w:shd w:val="pct10" w:color="auto" w:fill="auto"/>
            <w:tcMar>
              <w:left w:w="28" w:type="dxa"/>
              <w:right w:w="28" w:type="dxa"/>
            </w:tcMar>
            <w:textDirection w:val="btLr"/>
            <w:vAlign w:val="center"/>
          </w:tcPr>
          <w:p w14:paraId="61780CD2" w14:textId="77777777" w:rsidR="00544811" w:rsidRPr="00F537B9" w:rsidRDefault="00544811">
            <w:pPr>
              <w:ind w:left="113" w:right="113"/>
              <w:jc w:val="center"/>
              <w:rPr>
                <w:noProof/>
                <w:sz w:val="18"/>
                <w:szCs w:val="18"/>
              </w:rPr>
            </w:pPr>
            <w:r w:rsidRPr="00F537B9">
              <w:rPr>
                <w:noProof/>
                <w:sz w:val="18"/>
              </w:rPr>
              <w:t>Počet</w:t>
            </w:r>
          </w:p>
        </w:tc>
        <w:tc>
          <w:tcPr>
            <w:tcW w:w="648" w:type="dxa"/>
            <w:tcBorders>
              <w:left w:val="dashSmallGap" w:sz="4" w:space="0" w:color="auto"/>
            </w:tcBorders>
            <w:shd w:val="pct10" w:color="auto" w:fill="auto"/>
            <w:tcMar>
              <w:left w:w="28" w:type="dxa"/>
              <w:right w:w="28" w:type="dxa"/>
            </w:tcMar>
            <w:vAlign w:val="center"/>
          </w:tcPr>
          <w:p w14:paraId="5590B937" w14:textId="77777777" w:rsidR="00544811" w:rsidRPr="00F537B9" w:rsidRDefault="00544811">
            <w:pPr>
              <w:jc w:val="center"/>
              <w:rPr>
                <w:noProof/>
                <w:sz w:val="18"/>
                <w:szCs w:val="18"/>
              </w:rPr>
            </w:pPr>
            <w:r w:rsidRPr="00F537B9">
              <w:rPr>
                <w:noProof/>
                <w:sz w:val="18"/>
              </w:rPr>
              <w:t>Náklady</w:t>
            </w:r>
          </w:p>
        </w:tc>
        <w:tc>
          <w:tcPr>
            <w:tcW w:w="432" w:type="dxa"/>
            <w:tcBorders>
              <w:right w:val="dashSmallGap" w:sz="4" w:space="0" w:color="auto"/>
            </w:tcBorders>
            <w:shd w:val="pct10" w:color="auto" w:fill="auto"/>
            <w:tcMar>
              <w:left w:w="28" w:type="dxa"/>
              <w:right w:w="28" w:type="dxa"/>
            </w:tcMar>
            <w:textDirection w:val="btLr"/>
            <w:vAlign w:val="center"/>
          </w:tcPr>
          <w:p w14:paraId="2C1E6685" w14:textId="77777777" w:rsidR="00544811" w:rsidRPr="00F537B9" w:rsidRDefault="00544811">
            <w:pPr>
              <w:ind w:left="113" w:right="113"/>
              <w:jc w:val="center"/>
              <w:rPr>
                <w:noProof/>
                <w:sz w:val="18"/>
                <w:szCs w:val="18"/>
              </w:rPr>
            </w:pPr>
            <w:r w:rsidRPr="00F537B9">
              <w:rPr>
                <w:noProof/>
                <w:sz w:val="18"/>
              </w:rPr>
              <w:t>Počet</w:t>
            </w:r>
          </w:p>
        </w:tc>
        <w:tc>
          <w:tcPr>
            <w:tcW w:w="720" w:type="dxa"/>
            <w:tcBorders>
              <w:left w:val="dashSmallGap" w:sz="4" w:space="0" w:color="auto"/>
            </w:tcBorders>
            <w:shd w:val="pct10" w:color="auto" w:fill="auto"/>
            <w:tcMar>
              <w:left w:w="28" w:type="dxa"/>
              <w:right w:w="28" w:type="dxa"/>
            </w:tcMar>
            <w:vAlign w:val="center"/>
          </w:tcPr>
          <w:p w14:paraId="254FD99B" w14:textId="77777777" w:rsidR="00544811" w:rsidRPr="00F537B9" w:rsidRDefault="00544811">
            <w:pPr>
              <w:jc w:val="center"/>
              <w:rPr>
                <w:noProof/>
                <w:sz w:val="18"/>
                <w:szCs w:val="18"/>
              </w:rPr>
            </w:pPr>
            <w:r w:rsidRPr="00F537B9">
              <w:rPr>
                <w:noProof/>
                <w:sz w:val="18"/>
              </w:rPr>
              <w:t>Náklady</w:t>
            </w:r>
          </w:p>
        </w:tc>
        <w:tc>
          <w:tcPr>
            <w:tcW w:w="540" w:type="dxa"/>
            <w:tcBorders>
              <w:right w:val="dashSmallGap" w:sz="4" w:space="0" w:color="auto"/>
            </w:tcBorders>
            <w:shd w:val="pct10" w:color="auto" w:fill="auto"/>
            <w:tcMar>
              <w:left w:w="28" w:type="dxa"/>
              <w:right w:w="28" w:type="dxa"/>
            </w:tcMar>
            <w:textDirection w:val="btLr"/>
            <w:vAlign w:val="center"/>
          </w:tcPr>
          <w:p w14:paraId="035BC842" w14:textId="77777777" w:rsidR="00544811" w:rsidRPr="00F537B9" w:rsidRDefault="00544811">
            <w:pPr>
              <w:ind w:left="113" w:right="113"/>
              <w:jc w:val="center"/>
              <w:rPr>
                <w:noProof/>
                <w:sz w:val="18"/>
                <w:szCs w:val="18"/>
              </w:rPr>
            </w:pPr>
            <w:r w:rsidRPr="00F537B9">
              <w:rPr>
                <w:noProof/>
                <w:sz w:val="18"/>
              </w:rPr>
              <w:t>Počet</w:t>
            </w:r>
          </w:p>
        </w:tc>
        <w:tc>
          <w:tcPr>
            <w:tcW w:w="720" w:type="dxa"/>
            <w:tcBorders>
              <w:left w:val="dashSmallGap" w:sz="4" w:space="0" w:color="auto"/>
            </w:tcBorders>
            <w:shd w:val="pct10" w:color="auto" w:fill="auto"/>
            <w:tcMar>
              <w:left w:w="28" w:type="dxa"/>
              <w:right w:w="28" w:type="dxa"/>
            </w:tcMar>
            <w:vAlign w:val="center"/>
          </w:tcPr>
          <w:p w14:paraId="731E413F" w14:textId="77777777" w:rsidR="00544811" w:rsidRPr="00F537B9" w:rsidRDefault="00544811">
            <w:pPr>
              <w:jc w:val="center"/>
              <w:rPr>
                <w:noProof/>
                <w:sz w:val="18"/>
                <w:szCs w:val="18"/>
              </w:rPr>
            </w:pPr>
            <w:r w:rsidRPr="00F537B9">
              <w:rPr>
                <w:noProof/>
                <w:sz w:val="18"/>
              </w:rPr>
              <w:t>Náklady</w:t>
            </w:r>
          </w:p>
        </w:tc>
        <w:tc>
          <w:tcPr>
            <w:tcW w:w="720" w:type="dxa"/>
            <w:tcBorders>
              <w:right w:val="dashSmallGap" w:sz="4" w:space="0" w:color="auto"/>
            </w:tcBorders>
            <w:shd w:val="pct10" w:color="auto" w:fill="auto"/>
            <w:tcMar>
              <w:left w:w="28" w:type="dxa"/>
              <w:right w:w="28" w:type="dxa"/>
            </w:tcMar>
            <w:vAlign w:val="center"/>
          </w:tcPr>
          <w:p w14:paraId="6ABA13B5" w14:textId="77777777" w:rsidR="00544811" w:rsidRPr="00F537B9" w:rsidRDefault="00544811">
            <w:pPr>
              <w:jc w:val="center"/>
              <w:rPr>
                <w:noProof/>
                <w:sz w:val="18"/>
                <w:szCs w:val="18"/>
              </w:rPr>
            </w:pPr>
            <w:r w:rsidRPr="00F537B9">
              <w:rPr>
                <w:noProof/>
                <w:sz w:val="18"/>
              </w:rPr>
              <w:t>Počet spolu</w:t>
            </w:r>
          </w:p>
        </w:tc>
        <w:tc>
          <w:tcPr>
            <w:tcW w:w="900" w:type="dxa"/>
            <w:tcBorders>
              <w:left w:val="dashSmallGap" w:sz="4" w:space="0" w:color="auto"/>
            </w:tcBorders>
            <w:shd w:val="pct10" w:color="auto" w:fill="auto"/>
            <w:tcMar>
              <w:left w:w="28" w:type="dxa"/>
              <w:right w:w="28" w:type="dxa"/>
            </w:tcMar>
            <w:vAlign w:val="center"/>
          </w:tcPr>
          <w:p w14:paraId="7F92F079" w14:textId="77777777" w:rsidR="00544811" w:rsidRPr="00F537B9" w:rsidRDefault="00544811">
            <w:pPr>
              <w:jc w:val="center"/>
              <w:rPr>
                <w:noProof/>
                <w:sz w:val="18"/>
                <w:szCs w:val="18"/>
              </w:rPr>
            </w:pPr>
            <w:r w:rsidRPr="00F537B9">
              <w:rPr>
                <w:noProof/>
                <w:sz w:val="18"/>
              </w:rPr>
              <w:t>Náklady spolu</w:t>
            </w:r>
          </w:p>
        </w:tc>
      </w:tr>
      <w:tr w:rsidR="00544811" w:rsidRPr="00F537B9" w14:paraId="6920DC99" w14:textId="77777777" w:rsidTr="00E459A2">
        <w:trPr>
          <w:jc w:val="center"/>
        </w:trPr>
        <w:tc>
          <w:tcPr>
            <w:tcW w:w="2844" w:type="dxa"/>
            <w:gridSpan w:val="3"/>
            <w:tcMar>
              <w:left w:w="28" w:type="dxa"/>
              <w:right w:w="28" w:type="dxa"/>
            </w:tcMar>
            <w:vAlign w:val="center"/>
          </w:tcPr>
          <w:p w14:paraId="4BAECD30" w14:textId="4AF92B4C" w:rsidR="00544811" w:rsidRPr="00F537B9" w:rsidRDefault="00544811">
            <w:pPr>
              <w:spacing w:before="60" w:after="60"/>
              <w:ind w:right="-29"/>
              <w:jc w:val="center"/>
              <w:rPr>
                <w:noProof/>
                <w:sz w:val="18"/>
                <w:szCs w:val="18"/>
              </w:rPr>
            </w:pPr>
            <w:r w:rsidRPr="00F537B9">
              <w:rPr>
                <w:noProof/>
                <w:sz w:val="18"/>
              </w:rPr>
              <w:t xml:space="preserve">ŠPECIFICKÝ CIEĽ </w:t>
            </w:r>
            <w:r w:rsidR="00F537B9">
              <w:rPr>
                <w:noProof/>
                <w:sz w:val="18"/>
              </w:rPr>
              <w:t>č. </w:t>
            </w:r>
            <w:r w:rsidRPr="00F537B9">
              <w:rPr>
                <w:noProof/>
                <w:sz w:val="18"/>
              </w:rPr>
              <w:t>1</w:t>
            </w:r>
            <w:r w:rsidRPr="00F537B9">
              <w:rPr>
                <w:rStyle w:val="FootnoteReference"/>
                <w:noProof/>
                <w:sz w:val="18"/>
              </w:rPr>
              <w:footnoteReference w:id="51"/>
            </w:r>
            <w:r w:rsidRPr="00F537B9">
              <w:rPr>
                <w:noProof/>
                <w:sz w:val="18"/>
              </w:rPr>
              <w:t>…</w:t>
            </w:r>
          </w:p>
        </w:tc>
        <w:tc>
          <w:tcPr>
            <w:tcW w:w="504" w:type="dxa"/>
            <w:tcBorders>
              <w:top w:val="nil"/>
              <w:left w:val="nil"/>
              <w:bottom w:val="nil"/>
              <w:right w:val="nil"/>
            </w:tcBorders>
            <w:tcMar>
              <w:left w:w="28" w:type="dxa"/>
              <w:right w:w="28" w:type="dxa"/>
            </w:tcMar>
          </w:tcPr>
          <w:p w14:paraId="0C02894D" w14:textId="77777777" w:rsidR="00544811" w:rsidRPr="00F537B9" w:rsidRDefault="00544811">
            <w:pPr>
              <w:spacing w:before="60" w:after="60"/>
              <w:ind w:right="-29"/>
              <w:jc w:val="center"/>
              <w:rPr>
                <w:noProof/>
                <w:sz w:val="18"/>
                <w:szCs w:val="18"/>
              </w:rPr>
            </w:pPr>
          </w:p>
        </w:tc>
        <w:tc>
          <w:tcPr>
            <w:tcW w:w="720" w:type="dxa"/>
            <w:tcBorders>
              <w:top w:val="nil"/>
              <w:left w:val="nil"/>
              <w:bottom w:val="nil"/>
              <w:right w:val="nil"/>
            </w:tcBorders>
            <w:tcMar>
              <w:left w:w="28" w:type="dxa"/>
              <w:right w:w="28" w:type="dxa"/>
            </w:tcMar>
          </w:tcPr>
          <w:p w14:paraId="585A00CC" w14:textId="77777777" w:rsidR="00544811" w:rsidRPr="00F537B9" w:rsidRDefault="00544811">
            <w:pPr>
              <w:spacing w:before="60" w:after="60"/>
              <w:ind w:right="-29"/>
              <w:jc w:val="center"/>
              <w:rPr>
                <w:noProof/>
                <w:sz w:val="18"/>
                <w:szCs w:val="18"/>
              </w:rPr>
            </w:pPr>
          </w:p>
        </w:tc>
        <w:tc>
          <w:tcPr>
            <w:tcW w:w="540" w:type="dxa"/>
            <w:tcBorders>
              <w:top w:val="nil"/>
              <w:left w:val="nil"/>
              <w:bottom w:val="nil"/>
              <w:right w:val="nil"/>
            </w:tcBorders>
            <w:tcMar>
              <w:left w:w="28" w:type="dxa"/>
              <w:right w:w="28" w:type="dxa"/>
            </w:tcMar>
          </w:tcPr>
          <w:p w14:paraId="0FDD8A4C" w14:textId="77777777" w:rsidR="00544811" w:rsidRPr="00F537B9" w:rsidRDefault="00544811">
            <w:pPr>
              <w:spacing w:before="60" w:after="60"/>
              <w:ind w:right="-29"/>
              <w:jc w:val="center"/>
              <w:rPr>
                <w:noProof/>
                <w:sz w:val="18"/>
                <w:szCs w:val="18"/>
              </w:rPr>
            </w:pPr>
          </w:p>
        </w:tc>
        <w:tc>
          <w:tcPr>
            <w:tcW w:w="720" w:type="dxa"/>
            <w:tcBorders>
              <w:top w:val="nil"/>
              <w:left w:val="nil"/>
              <w:bottom w:val="nil"/>
              <w:right w:val="nil"/>
            </w:tcBorders>
            <w:tcMar>
              <w:left w:w="28" w:type="dxa"/>
              <w:right w:w="28" w:type="dxa"/>
            </w:tcMar>
          </w:tcPr>
          <w:p w14:paraId="410F4693" w14:textId="77777777" w:rsidR="00544811" w:rsidRPr="00F537B9" w:rsidRDefault="00544811">
            <w:pPr>
              <w:spacing w:before="60" w:after="60"/>
              <w:ind w:right="-29"/>
              <w:jc w:val="center"/>
              <w:rPr>
                <w:noProof/>
                <w:sz w:val="18"/>
                <w:szCs w:val="18"/>
              </w:rPr>
            </w:pPr>
          </w:p>
        </w:tc>
        <w:tc>
          <w:tcPr>
            <w:tcW w:w="720" w:type="dxa"/>
            <w:tcBorders>
              <w:top w:val="nil"/>
              <w:left w:val="nil"/>
              <w:bottom w:val="nil"/>
              <w:right w:val="nil"/>
            </w:tcBorders>
            <w:tcMar>
              <w:left w:w="28" w:type="dxa"/>
              <w:right w:w="28" w:type="dxa"/>
            </w:tcMar>
          </w:tcPr>
          <w:p w14:paraId="02133B64" w14:textId="77777777" w:rsidR="00544811" w:rsidRPr="00F537B9" w:rsidRDefault="00544811">
            <w:pPr>
              <w:spacing w:before="60" w:after="60"/>
              <w:ind w:right="-29"/>
              <w:jc w:val="center"/>
              <w:rPr>
                <w:noProof/>
                <w:sz w:val="18"/>
                <w:szCs w:val="18"/>
              </w:rPr>
            </w:pPr>
          </w:p>
        </w:tc>
        <w:tc>
          <w:tcPr>
            <w:tcW w:w="720" w:type="dxa"/>
            <w:tcBorders>
              <w:top w:val="nil"/>
              <w:left w:val="nil"/>
              <w:bottom w:val="nil"/>
              <w:right w:val="nil"/>
            </w:tcBorders>
            <w:tcMar>
              <w:left w:w="28" w:type="dxa"/>
              <w:right w:w="28" w:type="dxa"/>
            </w:tcMar>
          </w:tcPr>
          <w:p w14:paraId="36DA1178" w14:textId="77777777" w:rsidR="00544811" w:rsidRPr="00F537B9" w:rsidRDefault="00544811">
            <w:pPr>
              <w:spacing w:before="60" w:after="60"/>
              <w:ind w:right="-29"/>
              <w:jc w:val="center"/>
              <w:rPr>
                <w:noProof/>
                <w:sz w:val="18"/>
                <w:szCs w:val="18"/>
              </w:rPr>
            </w:pPr>
          </w:p>
        </w:tc>
        <w:tc>
          <w:tcPr>
            <w:tcW w:w="900" w:type="dxa"/>
            <w:tcBorders>
              <w:top w:val="nil"/>
              <w:left w:val="nil"/>
              <w:bottom w:val="nil"/>
              <w:right w:val="nil"/>
            </w:tcBorders>
            <w:tcMar>
              <w:left w:w="28" w:type="dxa"/>
              <w:right w:w="28" w:type="dxa"/>
            </w:tcMar>
          </w:tcPr>
          <w:p w14:paraId="66DCED87" w14:textId="77777777" w:rsidR="00544811" w:rsidRPr="00F537B9" w:rsidRDefault="00544811">
            <w:pPr>
              <w:spacing w:before="60" w:after="60"/>
              <w:ind w:right="-29"/>
              <w:jc w:val="center"/>
              <w:rPr>
                <w:noProof/>
                <w:sz w:val="18"/>
                <w:szCs w:val="18"/>
              </w:rPr>
            </w:pPr>
          </w:p>
        </w:tc>
        <w:tc>
          <w:tcPr>
            <w:tcW w:w="720" w:type="dxa"/>
            <w:gridSpan w:val="2"/>
            <w:tcBorders>
              <w:top w:val="nil"/>
              <w:left w:val="nil"/>
              <w:bottom w:val="nil"/>
              <w:right w:val="nil"/>
            </w:tcBorders>
            <w:tcMar>
              <w:left w:w="28" w:type="dxa"/>
              <w:right w:w="28" w:type="dxa"/>
            </w:tcMar>
          </w:tcPr>
          <w:p w14:paraId="44914915" w14:textId="77777777" w:rsidR="00544811" w:rsidRPr="00F537B9" w:rsidRDefault="00544811">
            <w:pPr>
              <w:spacing w:before="60" w:after="60"/>
              <w:ind w:right="-29"/>
              <w:jc w:val="center"/>
              <w:rPr>
                <w:noProof/>
                <w:sz w:val="18"/>
                <w:szCs w:val="18"/>
              </w:rPr>
            </w:pPr>
          </w:p>
        </w:tc>
        <w:tc>
          <w:tcPr>
            <w:tcW w:w="540" w:type="dxa"/>
            <w:tcBorders>
              <w:top w:val="nil"/>
              <w:left w:val="nil"/>
              <w:bottom w:val="nil"/>
              <w:right w:val="nil"/>
            </w:tcBorders>
            <w:tcMar>
              <w:left w:w="28" w:type="dxa"/>
              <w:right w:w="28" w:type="dxa"/>
            </w:tcMar>
          </w:tcPr>
          <w:p w14:paraId="14AD79D5" w14:textId="77777777" w:rsidR="00544811" w:rsidRPr="00F537B9" w:rsidRDefault="00544811">
            <w:pPr>
              <w:spacing w:before="60" w:after="60"/>
              <w:ind w:right="-29"/>
              <w:jc w:val="center"/>
              <w:rPr>
                <w:noProof/>
                <w:sz w:val="18"/>
                <w:szCs w:val="18"/>
              </w:rPr>
            </w:pPr>
          </w:p>
        </w:tc>
        <w:tc>
          <w:tcPr>
            <w:tcW w:w="648" w:type="dxa"/>
            <w:tcBorders>
              <w:top w:val="nil"/>
              <w:left w:val="nil"/>
              <w:bottom w:val="nil"/>
              <w:right w:val="nil"/>
            </w:tcBorders>
            <w:tcMar>
              <w:left w:w="28" w:type="dxa"/>
              <w:right w:w="28" w:type="dxa"/>
            </w:tcMar>
          </w:tcPr>
          <w:p w14:paraId="5E2793A1" w14:textId="77777777" w:rsidR="00544811" w:rsidRPr="00F537B9" w:rsidRDefault="00544811">
            <w:pPr>
              <w:spacing w:before="60" w:after="60"/>
              <w:ind w:right="-29"/>
              <w:jc w:val="center"/>
              <w:rPr>
                <w:noProof/>
                <w:sz w:val="18"/>
                <w:szCs w:val="18"/>
              </w:rPr>
            </w:pPr>
          </w:p>
        </w:tc>
        <w:tc>
          <w:tcPr>
            <w:tcW w:w="432" w:type="dxa"/>
            <w:tcBorders>
              <w:top w:val="nil"/>
              <w:left w:val="nil"/>
              <w:bottom w:val="nil"/>
              <w:right w:val="nil"/>
            </w:tcBorders>
            <w:tcMar>
              <w:left w:w="28" w:type="dxa"/>
              <w:right w:w="28" w:type="dxa"/>
            </w:tcMar>
          </w:tcPr>
          <w:p w14:paraId="2F576A9F" w14:textId="77777777" w:rsidR="00544811" w:rsidRPr="00F537B9" w:rsidRDefault="00544811">
            <w:pPr>
              <w:spacing w:before="60" w:after="60"/>
              <w:ind w:right="-29"/>
              <w:jc w:val="center"/>
              <w:rPr>
                <w:noProof/>
                <w:sz w:val="18"/>
                <w:szCs w:val="18"/>
              </w:rPr>
            </w:pPr>
          </w:p>
        </w:tc>
        <w:tc>
          <w:tcPr>
            <w:tcW w:w="720" w:type="dxa"/>
            <w:tcBorders>
              <w:top w:val="nil"/>
              <w:left w:val="nil"/>
              <w:bottom w:val="nil"/>
              <w:right w:val="nil"/>
            </w:tcBorders>
            <w:tcMar>
              <w:left w:w="28" w:type="dxa"/>
              <w:right w:w="28" w:type="dxa"/>
            </w:tcMar>
          </w:tcPr>
          <w:p w14:paraId="47A21527" w14:textId="77777777" w:rsidR="00544811" w:rsidRPr="00F537B9" w:rsidRDefault="00544811">
            <w:pPr>
              <w:spacing w:before="60" w:after="60"/>
              <w:ind w:right="-29"/>
              <w:jc w:val="center"/>
              <w:rPr>
                <w:noProof/>
                <w:sz w:val="18"/>
                <w:szCs w:val="18"/>
              </w:rPr>
            </w:pPr>
          </w:p>
        </w:tc>
        <w:tc>
          <w:tcPr>
            <w:tcW w:w="540" w:type="dxa"/>
            <w:tcBorders>
              <w:top w:val="nil"/>
              <w:left w:val="nil"/>
              <w:bottom w:val="nil"/>
              <w:right w:val="nil"/>
            </w:tcBorders>
            <w:tcMar>
              <w:left w:w="28" w:type="dxa"/>
              <w:right w:w="28" w:type="dxa"/>
            </w:tcMar>
          </w:tcPr>
          <w:p w14:paraId="30124645" w14:textId="77777777" w:rsidR="00544811" w:rsidRPr="00F537B9" w:rsidRDefault="00544811">
            <w:pPr>
              <w:spacing w:before="60" w:after="60"/>
              <w:ind w:right="-29"/>
              <w:jc w:val="center"/>
              <w:rPr>
                <w:noProof/>
                <w:sz w:val="18"/>
                <w:szCs w:val="18"/>
              </w:rPr>
            </w:pPr>
          </w:p>
        </w:tc>
        <w:tc>
          <w:tcPr>
            <w:tcW w:w="720" w:type="dxa"/>
            <w:tcBorders>
              <w:top w:val="nil"/>
              <w:left w:val="nil"/>
              <w:bottom w:val="nil"/>
              <w:right w:val="nil"/>
            </w:tcBorders>
            <w:tcMar>
              <w:left w:w="28" w:type="dxa"/>
              <w:right w:w="28" w:type="dxa"/>
            </w:tcMar>
          </w:tcPr>
          <w:p w14:paraId="481E9B62" w14:textId="77777777" w:rsidR="00544811" w:rsidRPr="00F537B9" w:rsidRDefault="00544811">
            <w:pPr>
              <w:spacing w:before="60" w:after="60"/>
              <w:ind w:right="-29"/>
              <w:jc w:val="center"/>
              <w:rPr>
                <w:noProof/>
                <w:sz w:val="18"/>
                <w:szCs w:val="18"/>
              </w:rPr>
            </w:pPr>
          </w:p>
        </w:tc>
        <w:tc>
          <w:tcPr>
            <w:tcW w:w="720" w:type="dxa"/>
            <w:tcBorders>
              <w:top w:val="nil"/>
              <w:left w:val="nil"/>
              <w:bottom w:val="nil"/>
              <w:right w:val="nil"/>
            </w:tcBorders>
            <w:tcMar>
              <w:left w:w="28" w:type="dxa"/>
              <w:right w:w="28" w:type="dxa"/>
            </w:tcMar>
          </w:tcPr>
          <w:p w14:paraId="593BE208" w14:textId="77777777" w:rsidR="00544811" w:rsidRPr="00F537B9" w:rsidRDefault="00544811">
            <w:pPr>
              <w:spacing w:before="60" w:after="60"/>
              <w:ind w:right="-29"/>
              <w:jc w:val="center"/>
              <w:rPr>
                <w:noProof/>
                <w:sz w:val="18"/>
                <w:szCs w:val="18"/>
              </w:rPr>
            </w:pPr>
          </w:p>
        </w:tc>
        <w:tc>
          <w:tcPr>
            <w:tcW w:w="900" w:type="dxa"/>
            <w:tcBorders>
              <w:top w:val="nil"/>
              <w:left w:val="nil"/>
              <w:bottom w:val="nil"/>
              <w:right w:val="nil"/>
            </w:tcBorders>
            <w:tcMar>
              <w:left w:w="28" w:type="dxa"/>
              <w:right w:w="28" w:type="dxa"/>
            </w:tcMar>
          </w:tcPr>
          <w:p w14:paraId="695B282B" w14:textId="77777777" w:rsidR="00544811" w:rsidRPr="00F537B9" w:rsidRDefault="00544811">
            <w:pPr>
              <w:spacing w:before="60" w:after="60"/>
              <w:ind w:right="-29"/>
              <w:jc w:val="center"/>
              <w:rPr>
                <w:noProof/>
                <w:sz w:val="18"/>
                <w:szCs w:val="18"/>
              </w:rPr>
            </w:pPr>
          </w:p>
        </w:tc>
      </w:tr>
      <w:tr w:rsidR="00544811" w:rsidRPr="00F537B9" w14:paraId="7D669734" w14:textId="77777777" w:rsidTr="00E459A2">
        <w:trPr>
          <w:trHeight w:hRule="exact" w:val="369"/>
          <w:jc w:val="center"/>
        </w:trPr>
        <w:tc>
          <w:tcPr>
            <w:tcW w:w="1423" w:type="dxa"/>
            <w:tcMar>
              <w:left w:w="28" w:type="dxa"/>
              <w:right w:w="28" w:type="dxa"/>
            </w:tcMar>
          </w:tcPr>
          <w:p w14:paraId="2CBBD7C3" w14:textId="77777777" w:rsidR="00544811" w:rsidRPr="00F537B9" w:rsidRDefault="00544811">
            <w:pPr>
              <w:ind w:right="-29"/>
              <w:jc w:val="center"/>
              <w:rPr>
                <w:noProof/>
                <w:sz w:val="18"/>
                <w:szCs w:val="18"/>
              </w:rPr>
            </w:pPr>
            <w:r w:rsidRPr="00F537B9">
              <w:rPr>
                <w:noProof/>
                <w:sz w:val="18"/>
              </w:rPr>
              <w:t>‒ Výstup</w:t>
            </w:r>
          </w:p>
        </w:tc>
        <w:tc>
          <w:tcPr>
            <w:tcW w:w="720" w:type="dxa"/>
            <w:tcMar>
              <w:left w:w="28" w:type="dxa"/>
              <w:right w:w="28" w:type="dxa"/>
            </w:tcMar>
          </w:tcPr>
          <w:p w14:paraId="3D51292F" w14:textId="77777777" w:rsidR="00544811" w:rsidRPr="00F537B9" w:rsidRDefault="00544811">
            <w:pPr>
              <w:ind w:right="-29"/>
              <w:jc w:val="center"/>
              <w:rPr>
                <w:noProof/>
                <w:sz w:val="18"/>
                <w:szCs w:val="18"/>
              </w:rPr>
            </w:pPr>
          </w:p>
        </w:tc>
        <w:tc>
          <w:tcPr>
            <w:tcW w:w="701" w:type="dxa"/>
            <w:tcMar>
              <w:left w:w="28" w:type="dxa"/>
              <w:right w:w="28" w:type="dxa"/>
            </w:tcMar>
          </w:tcPr>
          <w:p w14:paraId="6DA5C5A4" w14:textId="77777777" w:rsidR="00544811" w:rsidRPr="00F537B9" w:rsidRDefault="00544811">
            <w:pPr>
              <w:ind w:right="-29"/>
              <w:jc w:val="center"/>
              <w:rPr>
                <w:noProof/>
                <w:sz w:val="18"/>
                <w:szCs w:val="18"/>
              </w:rPr>
            </w:pPr>
          </w:p>
        </w:tc>
        <w:tc>
          <w:tcPr>
            <w:tcW w:w="504" w:type="dxa"/>
            <w:tcBorders>
              <w:right w:val="dashSmallGap" w:sz="4" w:space="0" w:color="auto"/>
            </w:tcBorders>
            <w:tcMar>
              <w:left w:w="28" w:type="dxa"/>
              <w:right w:w="28" w:type="dxa"/>
            </w:tcMar>
          </w:tcPr>
          <w:p w14:paraId="0B9C0F0E" w14:textId="77777777" w:rsidR="00544811" w:rsidRPr="00F537B9" w:rsidRDefault="00544811">
            <w:pPr>
              <w:ind w:right="-29"/>
              <w:jc w:val="center"/>
              <w:rPr>
                <w:noProof/>
                <w:sz w:val="18"/>
                <w:szCs w:val="18"/>
              </w:rPr>
            </w:pPr>
          </w:p>
        </w:tc>
        <w:tc>
          <w:tcPr>
            <w:tcW w:w="720" w:type="dxa"/>
            <w:tcBorders>
              <w:left w:val="dashSmallGap" w:sz="4" w:space="0" w:color="auto"/>
            </w:tcBorders>
            <w:tcMar>
              <w:left w:w="28" w:type="dxa"/>
              <w:right w:w="28" w:type="dxa"/>
            </w:tcMar>
          </w:tcPr>
          <w:p w14:paraId="7CFA43E7" w14:textId="77777777" w:rsidR="00544811" w:rsidRPr="00F537B9" w:rsidRDefault="00544811">
            <w:pPr>
              <w:ind w:right="-29"/>
              <w:jc w:val="center"/>
              <w:rPr>
                <w:noProof/>
                <w:sz w:val="18"/>
                <w:szCs w:val="18"/>
              </w:rPr>
            </w:pPr>
          </w:p>
        </w:tc>
        <w:tc>
          <w:tcPr>
            <w:tcW w:w="540" w:type="dxa"/>
            <w:tcBorders>
              <w:right w:val="dashSmallGap" w:sz="4" w:space="0" w:color="auto"/>
            </w:tcBorders>
            <w:tcMar>
              <w:left w:w="28" w:type="dxa"/>
              <w:right w:w="28" w:type="dxa"/>
            </w:tcMar>
          </w:tcPr>
          <w:p w14:paraId="280C017C" w14:textId="77777777" w:rsidR="00544811" w:rsidRPr="00F537B9" w:rsidRDefault="00544811">
            <w:pPr>
              <w:ind w:right="-29"/>
              <w:jc w:val="center"/>
              <w:rPr>
                <w:noProof/>
                <w:sz w:val="18"/>
                <w:szCs w:val="18"/>
              </w:rPr>
            </w:pPr>
          </w:p>
        </w:tc>
        <w:tc>
          <w:tcPr>
            <w:tcW w:w="720" w:type="dxa"/>
            <w:tcBorders>
              <w:left w:val="dashSmallGap" w:sz="4" w:space="0" w:color="auto"/>
            </w:tcBorders>
            <w:tcMar>
              <w:left w:w="28" w:type="dxa"/>
              <w:right w:w="28" w:type="dxa"/>
            </w:tcMar>
          </w:tcPr>
          <w:p w14:paraId="6FA1C298" w14:textId="77777777" w:rsidR="00544811" w:rsidRPr="00F537B9" w:rsidRDefault="00544811">
            <w:pPr>
              <w:ind w:right="-29"/>
              <w:jc w:val="center"/>
              <w:rPr>
                <w:noProof/>
                <w:sz w:val="18"/>
                <w:szCs w:val="18"/>
              </w:rPr>
            </w:pPr>
          </w:p>
        </w:tc>
        <w:tc>
          <w:tcPr>
            <w:tcW w:w="720" w:type="dxa"/>
            <w:tcBorders>
              <w:right w:val="dashSmallGap" w:sz="4" w:space="0" w:color="auto"/>
            </w:tcBorders>
            <w:tcMar>
              <w:left w:w="28" w:type="dxa"/>
              <w:right w:w="28" w:type="dxa"/>
            </w:tcMar>
          </w:tcPr>
          <w:p w14:paraId="2BB3252D" w14:textId="77777777" w:rsidR="00544811" w:rsidRPr="00F537B9" w:rsidRDefault="00544811">
            <w:pPr>
              <w:ind w:right="-29"/>
              <w:jc w:val="center"/>
              <w:rPr>
                <w:noProof/>
                <w:sz w:val="18"/>
                <w:szCs w:val="18"/>
              </w:rPr>
            </w:pPr>
          </w:p>
        </w:tc>
        <w:tc>
          <w:tcPr>
            <w:tcW w:w="720" w:type="dxa"/>
            <w:tcBorders>
              <w:left w:val="dashSmallGap" w:sz="4" w:space="0" w:color="auto"/>
            </w:tcBorders>
            <w:tcMar>
              <w:left w:w="28" w:type="dxa"/>
              <w:right w:w="28" w:type="dxa"/>
            </w:tcMar>
          </w:tcPr>
          <w:p w14:paraId="12A5EED1" w14:textId="77777777" w:rsidR="00544811" w:rsidRPr="00F537B9" w:rsidRDefault="00544811">
            <w:pPr>
              <w:ind w:right="-29"/>
              <w:jc w:val="center"/>
              <w:rPr>
                <w:noProof/>
                <w:sz w:val="18"/>
                <w:szCs w:val="18"/>
              </w:rPr>
            </w:pPr>
          </w:p>
        </w:tc>
        <w:tc>
          <w:tcPr>
            <w:tcW w:w="900" w:type="dxa"/>
            <w:tcBorders>
              <w:right w:val="dashSmallGap" w:sz="4" w:space="0" w:color="auto"/>
            </w:tcBorders>
            <w:tcMar>
              <w:left w:w="28" w:type="dxa"/>
              <w:right w:w="28" w:type="dxa"/>
            </w:tcMar>
          </w:tcPr>
          <w:p w14:paraId="02C775A3" w14:textId="77777777" w:rsidR="00544811" w:rsidRPr="00F537B9" w:rsidRDefault="00544811">
            <w:pPr>
              <w:ind w:right="-29"/>
              <w:jc w:val="center"/>
              <w:rPr>
                <w:noProof/>
                <w:sz w:val="18"/>
                <w:szCs w:val="18"/>
              </w:rPr>
            </w:pPr>
          </w:p>
        </w:tc>
        <w:tc>
          <w:tcPr>
            <w:tcW w:w="720" w:type="dxa"/>
            <w:gridSpan w:val="2"/>
            <w:tcBorders>
              <w:left w:val="dashSmallGap" w:sz="4" w:space="0" w:color="auto"/>
            </w:tcBorders>
            <w:tcMar>
              <w:left w:w="28" w:type="dxa"/>
              <w:right w:w="28" w:type="dxa"/>
            </w:tcMar>
          </w:tcPr>
          <w:p w14:paraId="38F89A0C" w14:textId="77777777" w:rsidR="00544811" w:rsidRPr="00F537B9" w:rsidRDefault="00544811">
            <w:pPr>
              <w:ind w:right="-29"/>
              <w:jc w:val="center"/>
              <w:rPr>
                <w:noProof/>
                <w:sz w:val="18"/>
                <w:szCs w:val="18"/>
              </w:rPr>
            </w:pPr>
          </w:p>
        </w:tc>
        <w:tc>
          <w:tcPr>
            <w:tcW w:w="540" w:type="dxa"/>
            <w:tcBorders>
              <w:right w:val="dashSmallGap" w:sz="4" w:space="0" w:color="auto"/>
            </w:tcBorders>
            <w:tcMar>
              <w:left w:w="28" w:type="dxa"/>
              <w:right w:w="28" w:type="dxa"/>
            </w:tcMar>
          </w:tcPr>
          <w:p w14:paraId="343AA22B" w14:textId="77777777" w:rsidR="00544811" w:rsidRPr="00F537B9" w:rsidRDefault="00544811">
            <w:pPr>
              <w:ind w:right="-29"/>
              <w:jc w:val="center"/>
              <w:rPr>
                <w:noProof/>
                <w:sz w:val="18"/>
                <w:szCs w:val="18"/>
              </w:rPr>
            </w:pPr>
          </w:p>
        </w:tc>
        <w:tc>
          <w:tcPr>
            <w:tcW w:w="648" w:type="dxa"/>
            <w:tcBorders>
              <w:left w:val="dashSmallGap" w:sz="4" w:space="0" w:color="auto"/>
            </w:tcBorders>
            <w:tcMar>
              <w:left w:w="28" w:type="dxa"/>
              <w:right w:w="28" w:type="dxa"/>
            </w:tcMar>
          </w:tcPr>
          <w:p w14:paraId="486C1400" w14:textId="77777777" w:rsidR="00544811" w:rsidRPr="00F537B9" w:rsidRDefault="00544811">
            <w:pPr>
              <w:ind w:right="-29"/>
              <w:jc w:val="center"/>
              <w:rPr>
                <w:noProof/>
                <w:sz w:val="18"/>
                <w:szCs w:val="18"/>
              </w:rPr>
            </w:pPr>
          </w:p>
        </w:tc>
        <w:tc>
          <w:tcPr>
            <w:tcW w:w="432" w:type="dxa"/>
            <w:tcBorders>
              <w:right w:val="dashSmallGap" w:sz="4" w:space="0" w:color="auto"/>
            </w:tcBorders>
            <w:tcMar>
              <w:left w:w="28" w:type="dxa"/>
              <w:right w:w="28" w:type="dxa"/>
            </w:tcMar>
          </w:tcPr>
          <w:p w14:paraId="75482FAB" w14:textId="77777777" w:rsidR="00544811" w:rsidRPr="00F537B9" w:rsidRDefault="00544811">
            <w:pPr>
              <w:ind w:right="-29"/>
              <w:jc w:val="center"/>
              <w:rPr>
                <w:noProof/>
                <w:sz w:val="18"/>
                <w:szCs w:val="18"/>
              </w:rPr>
            </w:pPr>
          </w:p>
        </w:tc>
        <w:tc>
          <w:tcPr>
            <w:tcW w:w="720" w:type="dxa"/>
            <w:tcBorders>
              <w:left w:val="dashSmallGap" w:sz="4" w:space="0" w:color="auto"/>
            </w:tcBorders>
            <w:tcMar>
              <w:left w:w="28" w:type="dxa"/>
              <w:right w:w="28" w:type="dxa"/>
            </w:tcMar>
          </w:tcPr>
          <w:p w14:paraId="6D59B3FF" w14:textId="77777777" w:rsidR="00544811" w:rsidRPr="00F537B9" w:rsidRDefault="00544811">
            <w:pPr>
              <w:ind w:right="-29"/>
              <w:jc w:val="center"/>
              <w:rPr>
                <w:noProof/>
                <w:sz w:val="18"/>
                <w:szCs w:val="18"/>
              </w:rPr>
            </w:pPr>
          </w:p>
        </w:tc>
        <w:tc>
          <w:tcPr>
            <w:tcW w:w="540" w:type="dxa"/>
            <w:tcBorders>
              <w:right w:val="dashSmallGap" w:sz="4" w:space="0" w:color="auto"/>
            </w:tcBorders>
            <w:tcMar>
              <w:left w:w="28" w:type="dxa"/>
              <w:right w:w="28" w:type="dxa"/>
            </w:tcMar>
          </w:tcPr>
          <w:p w14:paraId="255B27AA" w14:textId="77777777" w:rsidR="00544811" w:rsidRPr="00F537B9" w:rsidRDefault="00544811">
            <w:pPr>
              <w:ind w:right="-29"/>
              <w:jc w:val="center"/>
              <w:rPr>
                <w:noProof/>
                <w:sz w:val="18"/>
                <w:szCs w:val="18"/>
              </w:rPr>
            </w:pPr>
          </w:p>
        </w:tc>
        <w:tc>
          <w:tcPr>
            <w:tcW w:w="720" w:type="dxa"/>
            <w:tcBorders>
              <w:left w:val="dashSmallGap" w:sz="4" w:space="0" w:color="auto"/>
            </w:tcBorders>
            <w:tcMar>
              <w:left w:w="28" w:type="dxa"/>
              <w:right w:w="28" w:type="dxa"/>
            </w:tcMar>
          </w:tcPr>
          <w:p w14:paraId="350D5922" w14:textId="77777777" w:rsidR="00544811" w:rsidRPr="00F537B9" w:rsidRDefault="00544811">
            <w:pPr>
              <w:ind w:right="-29"/>
              <w:jc w:val="center"/>
              <w:rPr>
                <w:noProof/>
                <w:sz w:val="18"/>
                <w:szCs w:val="18"/>
              </w:rPr>
            </w:pPr>
          </w:p>
        </w:tc>
        <w:tc>
          <w:tcPr>
            <w:tcW w:w="720" w:type="dxa"/>
            <w:tcMar>
              <w:left w:w="28" w:type="dxa"/>
              <w:right w:w="28" w:type="dxa"/>
            </w:tcMar>
          </w:tcPr>
          <w:p w14:paraId="5C2145EA" w14:textId="77777777" w:rsidR="00544811" w:rsidRPr="00F537B9" w:rsidRDefault="00544811">
            <w:pPr>
              <w:ind w:right="-29"/>
              <w:jc w:val="center"/>
              <w:rPr>
                <w:noProof/>
                <w:sz w:val="18"/>
                <w:szCs w:val="18"/>
              </w:rPr>
            </w:pPr>
          </w:p>
        </w:tc>
        <w:tc>
          <w:tcPr>
            <w:tcW w:w="900" w:type="dxa"/>
            <w:tcMar>
              <w:left w:w="28" w:type="dxa"/>
              <w:right w:w="28" w:type="dxa"/>
            </w:tcMar>
          </w:tcPr>
          <w:p w14:paraId="038416AD" w14:textId="77777777" w:rsidR="00544811" w:rsidRPr="00F537B9" w:rsidRDefault="00544811">
            <w:pPr>
              <w:ind w:right="-29"/>
              <w:jc w:val="center"/>
              <w:rPr>
                <w:noProof/>
                <w:sz w:val="18"/>
                <w:szCs w:val="18"/>
              </w:rPr>
            </w:pPr>
          </w:p>
        </w:tc>
      </w:tr>
      <w:tr w:rsidR="00544811" w:rsidRPr="00F537B9" w14:paraId="7814D9A1" w14:textId="77777777" w:rsidTr="00E459A2">
        <w:trPr>
          <w:trHeight w:hRule="exact" w:val="369"/>
          <w:jc w:val="center"/>
        </w:trPr>
        <w:tc>
          <w:tcPr>
            <w:tcW w:w="1423" w:type="dxa"/>
            <w:tcMar>
              <w:left w:w="28" w:type="dxa"/>
              <w:right w:w="28" w:type="dxa"/>
            </w:tcMar>
          </w:tcPr>
          <w:p w14:paraId="63C3941C" w14:textId="77777777" w:rsidR="00544811" w:rsidRPr="00F537B9" w:rsidRDefault="00544811">
            <w:pPr>
              <w:ind w:right="-29"/>
              <w:jc w:val="center"/>
              <w:rPr>
                <w:noProof/>
                <w:sz w:val="18"/>
                <w:szCs w:val="18"/>
              </w:rPr>
            </w:pPr>
            <w:r w:rsidRPr="00F537B9">
              <w:rPr>
                <w:noProof/>
                <w:sz w:val="18"/>
              </w:rPr>
              <w:t>‒ Výstup</w:t>
            </w:r>
          </w:p>
        </w:tc>
        <w:tc>
          <w:tcPr>
            <w:tcW w:w="720" w:type="dxa"/>
            <w:tcMar>
              <w:left w:w="28" w:type="dxa"/>
              <w:right w:w="28" w:type="dxa"/>
            </w:tcMar>
          </w:tcPr>
          <w:p w14:paraId="6115D781" w14:textId="77777777" w:rsidR="00544811" w:rsidRPr="00F537B9" w:rsidRDefault="00544811">
            <w:pPr>
              <w:ind w:right="-29"/>
              <w:jc w:val="center"/>
              <w:rPr>
                <w:noProof/>
                <w:sz w:val="18"/>
                <w:szCs w:val="18"/>
              </w:rPr>
            </w:pPr>
          </w:p>
        </w:tc>
        <w:tc>
          <w:tcPr>
            <w:tcW w:w="701" w:type="dxa"/>
            <w:tcMar>
              <w:left w:w="28" w:type="dxa"/>
              <w:right w:w="28" w:type="dxa"/>
            </w:tcMar>
          </w:tcPr>
          <w:p w14:paraId="1DF947D5" w14:textId="77777777" w:rsidR="00544811" w:rsidRPr="00F537B9" w:rsidRDefault="00544811">
            <w:pPr>
              <w:ind w:right="-29"/>
              <w:jc w:val="center"/>
              <w:rPr>
                <w:noProof/>
                <w:sz w:val="18"/>
                <w:szCs w:val="18"/>
              </w:rPr>
            </w:pPr>
          </w:p>
        </w:tc>
        <w:tc>
          <w:tcPr>
            <w:tcW w:w="504" w:type="dxa"/>
            <w:tcBorders>
              <w:right w:val="dashSmallGap" w:sz="4" w:space="0" w:color="auto"/>
            </w:tcBorders>
            <w:tcMar>
              <w:left w:w="28" w:type="dxa"/>
              <w:right w:w="28" w:type="dxa"/>
            </w:tcMar>
          </w:tcPr>
          <w:p w14:paraId="7F45734B" w14:textId="77777777" w:rsidR="00544811" w:rsidRPr="00F537B9" w:rsidRDefault="00544811">
            <w:pPr>
              <w:ind w:right="-29"/>
              <w:jc w:val="center"/>
              <w:rPr>
                <w:noProof/>
                <w:sz w:val="18"/>
                <w:szCs w:val="18"/>
              </w:rPr>
            </w:pPr>
          </w:p>
        </w:tc>
        <w:tc>
          <w:tcPr>
            <w:tcW w:w="720" w:type="dxa"/>
            <w:tcBorders>
              <w:left w:val="dashSmallGap" w:sz="4" w:space="0" w:color="auto"/>
            </w:tcBorders>
            <w:tcMar>
              <w:left w:w="28" w:type="dxa"/>
              <w:right w:w="28" w:type="dxa"/>
            </w:tcMar>
          </w:tcPr>
          <w:p w14:paraId="2664F7F0" w14:textId="77777777" w:rsidR="00544811" w:rsidRPr="00F537B9" w:rsidRDefault="00544811">
            <w:pPr>
              <w:ind w:right="-29"/>
              <w:jc w:val="center"/>
              <w:rPr>
                <w:noProof/>
                <w:sz w:val="18"/>
                <w:szCs w:val="18"/>
              </w:rPr>
            </w:pPr>
          </w:p>
        </w:tc>
        <w:tc>
          <w:tcPr>
            <w:tcW w:w="540" w:type="dxa"/>
            <w:tcBorders>
              <w:right w:val="dashSmallGap" w:sz="4" w:space="0" w:color="auto"/>
            </w:tcBorders>
            <w:tcMar>
              <w:left w:w="28" w:type="dxa"/>
              <w:right w:w="28" w:type="dxa"/>
            </w:tcMar>
          </w:tcPr>
          <w:p w14:paraId="0A88770D" w14:textId="77777777" w:rsidR="00544811" w:rsidRPr="00F537B9" w:rsidRDefault="00544811">
            <w:pPr>
              <w:ind w:right="-29"/>
              <w:jc w:val="center"/>
              <w:rPr>
                <w:noProof/>
                <w:sz w:val="18"/>
                <w:szCs w:val="18"/>
              </w:rPr>
            </w:pPr>
          </w:p>
        </w:tc>
        <w:tc>
          <w:tcPr>
            <w:tcW w:w="720" w:type="dxa"/>
            <w:tcBorders>
              <w:left w:val="dashSmallGap" w:sz="4" w:space="0" w:color="auto"/>
            </w:tcBorders>
            <w:tcMar>
              <w:left w:w="28" w:type="dxa"/>
              <w:right w:w="28" w:type="dxa"/>
            </w:tcMar>
          </w:tcPr>
          <w:p w14:paraId="304BDE6D" w14:textId="77777777" w:rsidR="00544811" w:rsidRPr="00F537B9" w:rsidRDefault="00544811">
            <w:pPr>
              <w:ind w:right="-29"/>
              <w:jc w:val="center"/>
              <w:rPr>
                <w:noProof/>
                <w:sz w:val="18"/>
                <w:szCs w:val="18"/>
              </w:rPr>
            </w:pPr>
          </w:p>
        </w:tc>
        <w:tc>
          <w:tcPr>
            <w:tcW w:w="720" w:type="dxa"/>
            <w:tcBorders>
              <w:right w:val="dashSmallGap" w:sz="4" w:space="0" w:color="auto"/>
            </w:tcBorders>
            <w:tcMar>
              <w:left w:w="28" w:type="dxa"/>
              <w:right w:w="28" w:type="dxa"/>
            </w:tcMar>
          </w:tcPr>
          <w:p w14:paraId="69A0D7FB" w14:textId="77777777" w:rsidR="00544811" w:rsidRPr="00F537B9" w:rsidRDefault="00544811">
            <w:pPr>
              <w:ind w:right="-29"/>
              <w:jc w:val="center"/>
              <w:rPr>
                <w:noProof/>
                <w:sz w:val="18"/>
                <w:szCs w:val="18"/>
              </w:rPr>
            </w:pPr>
          </w:p>
        </w:tc>
        <w:tc>
          <w:tcPr>
            <w:tcW w:w="720" w:type="dxa"/>
            <w:tcBorders>
              <w:left w:val="dashSmallGap" w:sz="4" w:space="0" w:color="auto"/>
            </w:tcBorders>
            <w:tcMar>
              <w:left w:w="28" w:type="dxa"/>
              <w:right w:w="28" w:type="dxa"/>
            </w:tcMar>
          </w:tcPr>
          <w:p w14:paraId="5A8AB6F6" w14:textId="77777777" w:rsidR="00544811" w:rsidRPr="00F537B9" w:rsidRDefault="00544811">
            <w:pPr>
              <w:ind w:right="-29"/>
              <w:jc w:val="center"/>
              <w:rPr>
                <w:noProof/>
                <w:sz w:val="18"/>
                <w:szCs w:val="18"/>
              </w:rPr>
            </w:pPr>
          </w:p>
        </w:tc>
        <w:tc>
          <w:tcPr>
            <w:tcW w:w="900" w:type="dxa"/>
            <w:tcBorders>
              <w:right w:val="dashSmallGap" w:sz="4" w:space="0" w:color="auto"/>
            </w:tcBorders>
            <w:tcMar>
              <w:left w:w="28" w:type="dxa"/>
              <w:right w:w="28" w:type="dxa"/>
            </w:tcMar>
          </w:tcPr>
          <w:p w14:paraId="1699E219" w14:textId="77777777" w:rsidR="00544811" w:rsidRPr="00F537B9" w:rsidRDefault="00544811">
            <w:pPr>
              <w:ind w:right="-29"/>
              <w:jc w:val="center"/>
              <w:rPr>
                <w:noProof/>
                <w:sz w:val="18"/>
                <w:szCs w:val="18"/>
              </w:rPr>
            </w:pPr>
          </w:p>
        </w:tc>
        <w:tc>
          <w:tcPr>
            <w:tcW w:w="720" w:type="dxa"/>
            <w:gridSpan w:val="2"/>
            <w:tcBorders>
              <w:left w:val="dashSmallGap" w:sz="4" w:space="0" w:color="auto"/>
            </w:tcBorders>
            <w:tcMar>
              <w:left w:w="28" w:type="dxa"/>
              <w:right w:w="28" w:type="dxa"/>
            </w:tcMar>
          </w:tcPr>
          <w:p w14:paraId="28838DAF" w14:textId="77777777" w:rsidR="00544811" w:rsidRPr="00F537B9" w:rsidRDefault="00544811">
            <w:pPr>
              <w:ind w:right="-29"/>
              <w:jc w:val="center"/>
              <w:rPr>
                <w:noProof/>
                <w:sz w:val="18"/>
                <w:szCs w:val="18"/>
              </w:rPr>
            </w:pPr>
          </w:p>
        </w:tc>
        <w:tc>
          <w:tcPr>
            <w:tcW w:w="540" w:type="dxa"/>
            <w:tcBorders>
              <w:right w:val="dashSmallGap" w:sz="4" w:space="0" w:color="auto"/>
            </w:tcBorders>
            <w:tcMar>
              <w:left w:w="28" w:type="dxa"/>
              <w:right w:w="28" w:type="dxa"/>
            </w:tcMar>
          </w:tcPr>
          <w:p w14:paraId="59DF39AE" w14:textId="77777777" w:rsidR="00544811" w:rsidRPr="00F537B9" w:rsidRDefault="00544811">
            <w:pPr>
              <w:ind w:right="-29"/>
              <w:jc w:val="center"/>
              <w:rPr>
                <w:noProof/>
                <w:sz w:val="18"/>
                <w:szCs w:val="18"/>
              </w:rPr>
            </w:pPr>
          </w:p>
        </w:tc>
        <w:tc>
          <w:tcPr>
            <w:tcW w:w="648" w:type="dxa"/>
            <w:tcBorders>
              <w:left w:val="dashSmallGap" w:sz="4" w:space="0" w:color="auto"/>
            </w:tcBorders>
            <w:tcMar>
              <w:left w:w="28" w:type="dxa"/>
              <w:right w:w="28" w:type="dxa"/>
            </w:tcMar>
          </w:tcPr>
          <w:p w14:paraId="63B4B082" w14:textId="77777777" w:rsidR="00544811" w:rsidRPr="00F537B9" w:rsidRDefault="00544811">
            <w:pPr>
              <w:ind w:right="-29"/>
              <w:jc w:val="center"/>
              <w:rPr>
                <w:noProof/>
                <w:sz w:val="18"/>
                <w:szCs w:val="18"/>
              </w:rPr>
            </w:pPr>
          </w:p>
        </w:tc>
        <w:tc>
          <w:tcPr>
            <w:tcW w:w="432" w:type="dxa"/>
            <w:tcBorders>
              <w:right w:val="dashSmallGap" w:sz="4" w:space="0" w:color="auto"/>
            </w:tcBorders>
            <w:tcMar>
              <w:left w:w="28" w:type="dxa"/>
              <w:right w:w="28" w:type="dxa"/>
            </w:tcMar>
          </w:tcPr>
          <w:p w14:paraId="25E46570" w14:textId="77777777" w:rsidR="00544811" w:rsidRPr="00F537B9" w:rsidRDefault="00544811">
            <w:pPr>
              <w:ind w:right="-29"/>
              <w:jc w:val="center"/>
              <w:rPr>
                <w:noProof/>
                <w:sz w:val="18"/>
                <w:szCs w:val="18"/>
              </w:rPr>
            </w:pPr>
          </w:p>
        </w:tc>
        <w:tc>
          <w:tcPr>
            <w:tcW w:w="720" w:type="dxa"/>
            <w:tcBorders>
              <w:left w:val="dashSmallGap" w:sz="4" w:space="0" w:color="auto"/>
            </w:tcBorders>
            <w:tcMar>
              <w:left w:w="28" w:type="dxa"/>
              <w:right w:w="28" w:type="dxa"/>
            </w:tcMar>
          </w:tcPr>
          <w:p w14:paraId="461436FB" w14:textId="77777777" w:rsidR="00544811" w:rsidRPr="00F537B9" w:rsidRDefault="00544811">
            <w:pPr>
              <w:ind w:right="-29"/>
              <w:jc w:val="center"/>
              <w:rPr>
                <w:noProof/>
                <w:sz w:val="18"/>
                <w:szCs w:val="18"/>
              </w:rPr>
            </w:pPr>
          </w:p>
        </w:tc>
        <w:tc>
          <w:tcPr>
            <w:tcW w:w="540" w:type="dxa"/>
            <w:tcBorders>
              <w:right w:val="dashSmallGap" w:sz="4" w:space="0" w:color="auto"/>
            </w:tcBorders>
            <w:tcMar>
              <w:left w:w="28" w:type="dxa"/>
              <w:right w:w="28" w:type="dxa"/>
            </w:tcMar>
          </w:tcPr>
          <w:p w14:paraId="108E04FE" w14:textId="77777777" w:rsidR="00544811" w:rsidRPr="00F537B9" w:rsidRDefault="00544811">
            <w:pPr>
              <w:ind w:right="-29"/>
              <w:jc w:val="center"/>
              <w:rPr>
                <w:noProof/>
                <w:sz w:val="18"/>
                <w:szCs w:val="18"/>
              </w:rPr>
            </w:pPr>
          </w:p>
        </w:tc>
        <w:tc>
          <w:tcPr>
            <w:tcW w:w="720" w:type="dxa"/>
            <w:tcBorders>
              <w:left w:val="dashSmallGap" w:sz="4" w:space="0" w:color="auto"/>
            </w:tcBorders>
            <w:tcMar>
              <w:left w:w="28" w:type="dxa"/>
              <w:right w:w="28" w:type="dxa"/>
            </w:tcMar>
          </w:tcPr>
          <w:p w14:paraId="33623487" w14:textId="77777777" w:rsidR="00544811" w:rsidRPr="00F537B9" w:rsidRDefault="00544811">
            <w:pPr>
              <w:ind w:right="-29"/>
              <w:jc w:val="center"/>
              <w:rPr>
                <w:noProof/>
                <w:sz w:val="18"/>
                <w:szCs w:val="18"/>
              </w:rPr>
            </w:pPr>
          </w:p>
        </w:tc>
        <w:tc>
          <w:tcPr>
            <w:tcW w:w="720" w:type="dxa"/>
            <w:tcMar>
              <w:left w:w="28" w:type="dxa"/>
              <w:right w:w="28" w:type="dxa"/>
            </w:tcMar>
          </w:tcPr>
          <w:p w14:paraId="5985F7FB" w14:textId="77777777" w:rsidR="00544811" w:rsidRPr="00F537B9" w:rsidRDefault="00544811">
            <w:pPr>
              <w:ind w:right="-29"/>
              <w:jc w:val="center"/>
              <w:rPr>
                <w:noProof/>
                <w:sz w:val="18"/>
                <w:szCs w:val="18"/>
              </w:rPr>
            </w:pPr>
          </w:p>
        </w:tc>
        <w:tc>
          <w:tcPr>
            <w:tcW w:w="900" w:type="dxa"/>
            <w:tcMar>
              <w:left w:w="28" w:type="dxa"/>
              <w:right w:w="28" w:type="dxa"/>
            </w:tcMar>
          </w:tcPr>
          <w:p w14:paraId="03874954" w14:textId="77777777" w:rsidR="00544811" w:rsidRPr="00F537B9" w:rsidRDefault="00544811">
            <w:pPr>
              <w:ind w:right="-29"/>
              <w:jc w:val="center"/>
              <w:rPr>
                <w:noProof/>
                <w:sz w:val="18"/>
                <w:szCs w:val="18"/>
              </w:rPr>
            </w:pPr>
          </w:p>
        </w:tc>
      </w:tr>
      <w:tr w:rsidR="00544811" w:rsidRPr="00F537B9" w14:paraId="1ED29B65" w14:textId="77777777" w:rsidTr="00E459A2">
        <w:trPr>
          <w:trHeight w:hRule="exact" w:val="369"/>
          <w:jc w:val="center"/>
        </w:trPr>
        <w:tc>
          <w:tcPr>
            <w:tcW w:w="1423" w:type="dxa"/>
            <w:tcMar>
              <w:left w:w="28" w:type="dxa"/>
              <w:right w:w="28" w:type="dxa"/>
            </w:tcMar>
          </w:tcPr>
          <w:p w14:paraId="52EDE595" w14:textId="77777777" w:rsidR="00544811" w:rsidRPr="00F537B9" w:rsidRDefault="00544811">
            <w:pPr>
              <w:ind w:right="-29"/>
              <w:jc w:val="center"/>
              <w:rPr>
                <w:noProof/>
                <w:sz w:val="18"/>
                <w:szCs w:val="18"/>
              </w:rPr>
            </w:pPr>
            <w:r w:rsidRPr="00F537B9">
              <w:rPr>
                <w:noProof/>
                <w:sz w:val="18"/>
              </w:rPr>
              <w:t>‒ Výstup</w:t>
            </w:r>
          </w:p>
        </w:tc>
        <w:tc>
          <w:tcPr>
            <w:tcW w:w="720" w:type="dxa"/>
            <w:tcMar>
              <w:left w:w="28" w:type="dxa"/>
              <w:right w:w="28" w:type="dxa"/>
            </w:tcMar>
          </w:tcPr>
          <w:p w14:paraId="0B8D54C8" w14:textId="77777777" w:rsidR="00544811" w:rsidRPr="00F537B9" w:rsidRDefault="00544811">
            <w:pPr>
              <w:ind w:right="-29"/>
              <w:jc w:val="center"/>
              <w:rPr>
                <w:noProof/>
                <w:sz w:val="18"/>
                <w:szCs w:val="18"/>
              </w:rPr>
            </w:pPr>
          </w:p>
        </w:tc>
        <w:tc>
          <w:tcPr>
            <w:tcW w:w="701" w:type="dxa"/>
            <w:tcMar>
              <w:left w:w="28" w:type="dxa"/>
              <w:right w:w="28" w:type="dxa"/>
            </w:tcMar>
          </w:tcPr>
          <w:p w14:paraId="47FA335B" w14:textId="77777777" w:rsidR="00544811" w:rsidRPr="00F537B9" w:rsidRDefault="00544811">
            <w:pPr>
              <w:ind w:right="-29"/>
              <w:jc w:val="center"/>
              <w:rPr>
                <w:noProof/>
                <w:sz w:val="18"/>
                <w:szCs w:val="18"/>
              </w:rPr>
            </w:pPr>
          </w:p>
        </w:tc>
        <w:tc>
          <w:tcPr>
            <w:tcW w:w="504" w:type="dxa"/>
            <w:tcMar>
              <w:left w:w="28" w:type="dxa"/>
              <w:right w:w="28" w:type="dxa"/>
            </w:tcMar>
          </w:tcPr>
          <w:p w14:paraId="6490F476" w14:textId="77777777" w:rsidR="00544811" w:rsidRPr="00F537B9" w:rsidRDefault="00544811">
            <w:pPr>
              <w:ind w:right="-29"/>
              <w:jc w:val="center"/>
              <w:rPr>
                <w:noProof/>
                <w:sz w:val="18"/>
                <w:szCs w:val="18"/>
              </w:rPr>
            </w:pPr>
          </w:p>
        </w:tc>
        <w:tc>
          <w:tcPr>
            <w:tcW w:w="720" w:type="dxa"/>
            <w:tcMar>
              <w:left w:w="28" w:type="dxa"/>
              <w:right w:w="28" w:type="dxa"/>
            </w:tcMar>
          </w:tcPr>
          <w:p w14:paraId="27FF3ADF" w14:textId="77777777" w:rsidR="00544811" w:rsidRPr="00F537B9" w:rsidRDefault="00544811">
            <w:pPr>
              <w:ind w:right="-29"/>
              <w:jc w:val="center"/>
              <w:rPr>
                <w:noProof/>
                <w:sz w:val="18"/>
                <w:szCs w:val="18"/>
              </w:rPr>
            </w:pPr>
          </w:p>
        </w:tc>
        <w:tc>
          <w:tcPr>
            <w:tcW w:w="540" w:type="dxa"/>
            <w:tcMar>
              <w:left w:w="28" w:type="dxa"/>
              <w:right w:w="28" w:type="dxa"/>
            </w:tcMar>
          </w:tcPr>
          <w:p w14:paraId="058234FD" w14:textId="77777777" w:rsidR="00544811" w:rsidRPr="00F537B9" w:rsidRDefault="00544811">
            <w:pPr>
              <w:ind w:right="-29"/>
              <w:jc w:val="center"/>
              <w:rPr>
                <w:noProof/>
                <w:sz w:val="18"/>
                <w:szCs w:val="18"/>
              </w:rPr>
            </w:pPr>
          </w:p>
        </w:tc>
        <w:tc>
          <w:tcPr>
            <w:tcW w:w="720" w:type="dxa"/>
            <w:tcMar>
              <w:left w:w="28" w:type="dxa"/>
              <w:right w:w="28" w:type="dxa"/>
            </w:tcMar>
          </w:tcPr>
          <w:p w14:paraId="6F377552" w14:textId="77777777" w:rsidR="00544811" w:rsidRPr="00F537B9" w:rsidRDefault="00544811">
            <w:pPr>
              <w:ind w:right="-29"/>
              <w:jc w:val="center"/>
              <w:rPr>
                <w:noProof/>
                <w:sz w:val="18"/>
                <w:szCs w:val="18"/>
              </w:rPr>
            </w:pPr>
          </w:p>
        </w:tc>
        <w:tc>
          <w:tcPr>
            <w:tcW w:w="720" w:type="dxa"/>
            <w:tcMar>
              <w:left w:w="28" w:type="dxa"/>
              <w:right w:w="28" w:type="dxa"/>
            </w:tcMar>
          </w:tcPr>
          <w:p w14:paraId="3D9CB975" w14:textId="77777777" w:rsidR="00544811" w:rsidRPr="00F537B9" w:rsidRDefault="00544811">
            <w:pPr>
              <w:ind w:right="-29"/>
              <w:jc w:val="center"/>
              <w:rPr>
                <w:noProof/>
                <w:sz w:val="18"/>
                <w:szCs w:val="18"/>
              </w:rPr>
            </w:pPr>
          </w:p>
        </w:tc>
        <w:tc>
          <w:tcPr>
            <w:tcW w:w="720" w:type="dxa"/>
            <w:tcMar>
              <w:left w:w="28" w:type="dxa"/>
              <w:right w:w="28" w:type="dxa"/>
            </w:tcMar>
          </w:tcPr>
          <w:p w14:paraId="4083A248" w14:textId="77777777" w:rsidR="00544811" w:rsidRPr="00F537B9" w:rsidRDefault="00544811">
            <w:pPr>
              <w:ind w:right="-29"/>
              <w:jc w:val="center"/>
              <w:rPr>
                <w:noProof/>
                <w:sz w:val="18"/>
                <w:szCs w:val="18"/>
              </w:rPr>
            </w:pPr>
          </w:p>
        </w:tc>
        <w:tc>
          <w:tcPr>
            <w:tcW w:w="900" w:type="dxa"/>
            <w:tcMar>
              <w:left w:w="28" w:type="dxa"/>
              <w:right w:w="28" w:type="dxa"/>
            </w:tcMar>
          </w:tcPr>
          <w:p w14:paraId="14F589C3" w14:textId="77777777" w:rsidR="00544811" w:rsidRPr="00F537B9" w:rsidRDefault="00544811">
            <w:pPr>
              <w:ind w:right="-29"/>
              <w:jc w:val="center"/>
              <w:rPr>
                <w:noProof/>
                <w:sz w:val="18"/>
                <w:szCs w:val="18"/>
              </w:rPr>
            </w:pPr>
          </w:p>
        </w:tc>
        <w:tc>
          <w:tcPr>
            <w:tcW w:w="720" w:type="dxa"/>
            <w:gridSpan w:val="2"/>
            <w:tcMar>
              <w:left w:w="28" w:type="dxa"/>
              <w:right w:w="28" w:type="dxa"/>
            </w:tcMar>
          </w:tcPr>
          <w:p w14:paraId="2AB2BD02" w14:textId="77777777" w:rsidR="00544811" w:rsidRPr="00F537B9" w:rsidRDefault="00544811">
            <w:pPr>
              <w:ind w:right="-29"/>
              <w:jc w:val="center"/>
              <w:rPr>
                <w:noProof/>
                <w:sz w:val="18"/>
                <w:szCs w:val="18"/>
              </w:rPr>
            </w:pPr>
          </w:p>
        </w:tc>
        <w:tc>
          <w:tcPr>
            <w:tcW w:w="540" w:type="dxa"/>
            <w:tcMar>
              <w:left w:w="28" w:type="dxa"/>
              <w:right w:w="28" w:type="dxa"/>
            </w:tcMar>
          </w:tcPr>
          <w:p w14:paraId="2609ADED" w14:textId="77777777" w:rsidR="00544811" w:rsidRPr="00F537B9" w:rsidRDefault="00544811">
            <w:pPr>
              <w:ind w:right="-29"/>
              <w:jc w:val="center"/>
              <w:rPr>
                <w:noProof/>
                <w:sz w:val="18"/>
                <w:szCs w:val="18"/>
              </w:rPr>
            </w:pPr>
          </w:p>
        </w:tc>
        <w:tc>
          <w:tcPr>
            <w:tcW w:w="648" w:type="dxa"/>
            <w:tcMar>
              <w:left w:w="28" w:type="dxa"/>
              <w:right w:w="28" w:type="dxa"/>
            </w:tcMar>
          </w:tcPr>
          <w:p w14:paraId="5C62196A" w14:textId="77777777" w:rsidR="00544811" w:rsidRPr="00F537B9" w:rsidRDefault="00544811">
            <w:pPr>
              <w:ind w:right="-29"/>
              <w:jc w:val="center"/>
              <w:rPr>
                <w:noProof/>
                <w:sz w:val="18"/>
                <w:szCs w:val="18"/>
              </w:rPr>
            </w:pPr>
          </w:p>
        </w:tc>
        <w:tc>
          <w:tcPr>
            <w:tcW w:w="432" w:type="dxa"/>
            <w:tcMar>
              <w:left w:w="28" w:type="dxa"/>
              <w:right w:w="28" w:type="dxa"/>
            </w:tcMar>
          </w:tcPr>
          <w:p w14:paraId="3A75D9D0" w14:textId="77777777" w:rsidR="00544811" w:rsidRPr="00F537B9" w:rsidRDefault="00544811">
            <w:pPr>
              <w:ind w:right="-29"/>
              <w:jc w:val="center"/>
              <w:rPr>
                <w:noProof/>
                <w:sz w:val="18"/>
                <w:szCs w:val="18"/>
              </w:rPr>
            </w:pPr>
          </w:p>
        </w:tc>
        <w:tc>
          <w:tcPr>
            <w:tcW w:w="720" w:type="dxa"/>
            <w:tcMar>
              <w:left w:w="28" w:type="dxa"/>
              <w:right w:w="28" w:type="dxa"/>
            </w:tcMar>
          </w:tcPr>
          <w:p w14:paraId="5631E664" w14:textId="77777777" w:rsidR="00544811" w:rsidRPr="00F537B9" w:rsidRDefault="00544811">
            <w:pPr>
              <w:ind w:right="-29"/>
              <w:jc w:val="center"/>
              <w:rPr>
                <w:noProof/>
                <w:sz w:val="18"/>
                <w:szCs w:val="18"/>
              </w:rPr>
            </w:pPr>
          </w:p>
        </w:tc>
        <w:tc>
          <w:tcPr>
            <w:tcW w:w="540" w:type="dxa"/>
            <w:tcMar>
              <w:left w:w="28" w:type="dxa"/>
              <w:right w:w="28" w:type="dxa"/>
            </w:tcMar>
          </w:tcPr>
          <w:p w14:paraId="53605E66" w14:textId="77777777" w:rsidR="00544811" w:rsidRPr="00F537B9" w:rsidRDefault="00544811">
            <w:pPr>
              <w:ind w:right="-29"/>
              <w:jc w:val="center"/>
              <w:rPr>
                <w:noProof/>
                <w:sz w:val="18"/>
                <w:szCs w:val="18"/>
              </w:rPr>
            </w:pPr>
          </w:p>
        </w:tc>
        <w:tc>
          <w:tcPr>
            <w:tcW w:w="720" w:type="dxa"/>
            <w:tcMar>
              <w:left w:w="28" w:type="dxa"/>
              <w:right w:w="28" w:type="dxa"/>
            </w:tcMar>
          </w:tcPr>
          <w:p w14:paraId="33124141" w14:textId="77777777" w:rsidR="00544811" w:rsidRPr="00F537B9" w:rsidRDefault="00544811">
            <w:pPr>
              <w:ind w:right="-29"/>
              <w:jc w:val="center"/>
              <w:rPr>
                <w:noProof/>
                <w:sz w:val="18"/>
                <w:szCs w:val="18"/>
              </w:rPr>
            </w:pPr>
          </w:p>
        </w:tc>
        <w:tc>
          <w:tcPr>
            <w:tcW w:w="720" w:type="dxa"/>
            <w:tcMar>
              <w:left w:w="28" w:type="dxa"/>
              <w:right w:w="28" w:type="dxa"/>
            </w:tcMar>
          </w:tcPr>
          <w:p w14:paraId="5E5E180E" w14:textId="77777777" w:rsidR="00544811" w:rsidRPr="00F537B9" w:rsidRDefault="00544811">
            <w:pPr>
              <w:ind w:right="-29"/>
              <w:jc w:val="center"/>
              <w:rPr>
                <w:noProof/>
                <w:sz w:val="18"/>
                <w:szCs w:val="18"/>
              </w:rPr>
            </w:pPr>
          </w:p>
        </w:tc>
        <w:tc>
          <w:tcPr>
            <w:tcW w:w="900" w:type="dxa"/>
            <w:tcMar>
              <w:left w:w="28" w:type="dxa"/>
              <w:right w:w="28" w:type="dxa"/>
            </w:tcMar>
          </w:tcPr>
          <w:p w14:paraId="5ACDA8D3" w14:textId="77777777" w:rsidR="00544811" w:rsidRPr="00F537B9" w:rsidRDefault="00544811">
            <w:pPr>
              <w:ind w:right="-29"/>
              <w:jc w:val="center"/>
              <w:rPr>
                <w:noProof/>
                <w:sz w:val="18"/>
                <w:szCs w:val="18"/>
              </w:rPr>
            </w:pPr>
          </w:p>
        </w:tc>
      </w:tr>
      <w:tr w:rsidR="00544811" w:rsidRPr="00F537B9" w14:paraId="43A88064" w14:textId="77777777" w:rsidTr="00E459A2">
        <w:trPr>
          <w:trHeight w:val="77"/>
          <w:jc w:val="center"/>
        </w:trPr>
        <w:tc>
          <w:tcPr>
            <w:tcW w:w="2844" w:type="dxa"/>
            <w:gridSpan w:val="3"/>
            <w:tcBorders>
              <w:bottom w:val="single" w:sz="12" w:space="0" w:color="auto"/>
            </w:tcBorders>
            <w:tcMar>
              <w:left w:w="28" w:type="dxa"/>
              <w:right w:w="28" w:type="dxa"/>
            </w:tcMar>
            <w:vAlign w:val="center"/>
          </w:tcPr>
          <w:p w14:paraId="10A02505" w14:textId="75CE9D41" w:rsidR="00544811" w:rsidRPr="00F537B9" w:rsidRDefault="00544811">
            <w:pPr>
              <w:ind w:right="-29"/>
              <w:jc w:val="center"/>
              <w:rPr>
                <w:noProof/>
                <w:sz w:val="18"/>
                <w:szCs w:val="18"/>
              </w:rPr>
            </w:pPr>
            <w:r w:rsidRPr="00F537B9">
              <w:rPr>
                <w:noProof/>
                <w:sz w:val="18"/>
              </w:rPr>
              <w:t xml:space="preserve">Špecifický cieľ </w:t>
            </w:r>
            <w:r w:rsidR="00F537B9">
              <w:rPr>
                <w:noProof/>
                <w:sz w:val="18"/>
              </w:rPr>
              <w:t>č. </w:t>
            </w:r>
            <w:r w:rsidRPr="00F537B9">
              <w:rPr>
                <w:noProof/>
                <w:sz w:val="18"/>
              </w:rPr>
              <w:t>1 medzisúčet</w:t>
            </w:r>
          </w:p>
        </w:tc>
        <w:tc>
          <w:tcPr>
            <w:tcW w:w="504" w:type="dxa"/>
            <w:tcBorders>
              <w:bottom w:val="single" w:sz="12" w:space="0" w:color="auto"/>
            </w:tcBorders>
            <w:tcMar>
              <w:left w:w="28" w:type="dxa"/>
              <w:right w:w="28" w:type="dxa"/>
            </w:tcMar>
          </w:tcPr>
          <w:p w14:paraId="6AB8F48D" w14:textId="77777777" w:rsidR="00544811" w:rsidRPr="00F537B9" w:rsidRDefault="00544811">
            <w:pPr>
              <w:ind w:right="-29"/>
              <w:jc w:val="center"/>
              <w:rPr>
                <w:noProof/>
                <w:sz w:val="18"/>
                <w:szCs w:val="18"/>
              </w:rPr>
            </w:pPr>
          </w:p>
        </w:tc>
        <w:tc>
          <w:tcPr>
            <w:tcW w:w="720" w:type="dxa"/>
            <w:tcBorders>
              <w:bottom w:val="single" w:sz="12" w:space="0" w:color="auto"/>
            </w:tcBorders>
            <w:tcMar>
              <w:left w:w="28" w:type="dxa"/>
              <w:right w:w="28" w:type="dxa"/>
            </w:tcMar>
          </w:tcPr>
          <w:p w14:paraId="548AA6DA" w14:textId="77777777" w:rsidR="00544811" w:rsidRPr="00F537B9" w:rsidRDefault="00544811">
            <w:pPr>
              <w:ind w:right="-29"/>
              <w:jc w:val="center"/>
              <w:rPr>
                <w:noProof/>
                <w:sz w:val="18"/>
                <w:szCs w:val="18"/>
              </w:rPr>
            </w:pPr>
          </w:p>
        </w:tc>
        <w:tc>
          <w:tcPr>
            <w:tcW w:w="540" w:type="dxa"/>
            <w:tcBorders>
              <w:bottom w:val="single" w:sz="12" w:space="0" w:color="auto"/>
            </w:tcBorders>
            <w:tcMar>
              <w:left w:w="28" w:type="dxa"/>
              <w:right w:w="28" w:type="dxa"/>
            </w:tcMar>
          </w:tcPr>
          <w:p w14:paraId="662FED08" w14:textId="77777777" w:rsidR="00544811" w:rsidRPr="00F537B9" w:rsidRDefault="00544811">
            <w:pPr>
              <w:ind w:right="-29"/>
              <w:jc w:val="center"/>
              <w:rPr>
                <w:noProof/>
                <w:sz w:val="18"/>
                <w:szCs w:val="18"/>
              </w:rPr>
            </w:pPr>
          </w:p>
        </w:tc>
        <w:tc>
          <w:tcPr>
            <w:tcW w:w="720" w:type="dxa"/>
            <w:tcBorders>
              <w:bottom w:val="single" w:sz="12" w:space="0" w:color="auto"/>
            </w:tcBorders>
            <w:tcMar>
              <w:left w:w="28" w:type="dxa"/>
              <w:right w:w="28" w:type="dxa"/>
            </w:tcMar>
          </w:tcPr>
          <w:p w14:paraId="57A54510" w14:textId="77777777" w:rsidR="00544811" w:rsidRPr="00F537B9" w:rsidRDefault="00544811">
            <w:pPr>
              <w:ind w:right="-29"/>
              <w:jc w:val="center"/>
              <w:rPr>
                <w:noProof/>
                <w:sz w:val="18"/>
                <w:szCs w:val="18"/>
              </w:rPr>
            </w:pPr>
          </w:p>
        </w:tc>
        <w:tc>
          <w:tcPr>
            <w:tcW w:w="720" w:type="dxa"/>
            <w:tcBorders>
              <w:bottom w:val="single" w:sz="12" w:space="0" w:color="auto"/>
            </w:tcBorders>
            <w:tcMar>
              <w:left w:w="28" w:type="dxa"/>
              <w:right w:w="28" w:type="dxa"/>
            </w:tcMar>
          </w:tcPr>
          <w:p w14:paraId="7A576BFF" w14:textId="77777777" w:rsidR="00544811" w:rsidRPr="00F537B9" w:rsidRDefault="00544811">
            <w:pPr>
              <w:ind w:right="-29"/>
              <w:jc w:val="center"/>
              <w:rPr>
                <w:noProof/>
                <w:sz w:val="18"/>
                <w:szCs w:val="18"/>
              </w:rPr>
            </w:pPr>
          </w:p>
        </w:tc>
        <w:tc>
          <w:tcPr>
            <w:tcW w:w="720" w:type="dxa"/>
            <w:tcBorders>
              <w:bottom w:val="single" w:sz="12" w:space="0" w:color="auto"/>
            </w:tcBorders>
            <w:tcMar>
              <w:left w:w="28" w:type="dxa"/>
              <w:right w:w="28" w:type="dxa"/>
            </w:tcMar>
          </w:tcPr>
          <w:p w14:paraId="06D71924" w14:textId="77777777" w:rsidR="00544811" w:rsidRPr="00F537B9" w:rsidRDefault="00544811">
            <w:pPr>
              <w:ind w:right="-29"/>
              <w:jc w:val="center"/>
              <w:rPr>
                <w:noProof/>
                <w:sz w:val="18"/>
                <w:szCs w:val="18"/>
              </w:rPr>
            </w:pPr>
          </w:p>
        </w:tc>
        <w:tc>
          <w:tcPr>
            <w:tcW w:w="900" w:type="dxa"/>
            <w:tcBorders>
              <w:bottom w:val="single" w:sz="12" w:space="0" w:color="auto"/>
            </w:tcBorders>
            <w:tcMar>
              <w:left w:w="28" w:type="dxa"/>
              <w:right w:w="28" w:type="dxa"/>
            </w:tcMar>
          </w:tcPr>
          <w:p w14:paraId="04EC252A" w14:textId="77777777" w:rsidR="00544811" w:rsidRPr="00F537B9" w:rsidRDefault="00544811">
            <w:pPr>
              <w:ind w:right="-29"/>
              <w:jc w:val="center"/>
              <w:rPr>
                <w:noProof/>
                <w:sz w:val="18"/>
                <w:szCs w:val="18"/>
              </w:rPr>
            </w:pPr>
          </w:p>
        </w:tc>
        <w:tc>
          <w:tcPr>
            <w:tcW w:w="720" w:type="dxa"/>
            <w:gridSpan w:val="2"/>
            <w:tcBorders>
              <w:bottom w:val="single" w:sz="12" w:space="0" w:color="auto"/>
            </w:tcBorders>
            <w:tcMar>
              <w:left w:w="28" w:type="dxa"/>
              <w:right w:w="28" w:type="dxa"/>
            </w:tcMar>
          </w:tcPr>
          <w:p w14:paraId="725A80BD" w14:textId="77777777" w:rsidR="00544811" w:rsidRPr="00F537B9" w:rsidRDefault="00544811">
            <w:pPr>
              <w:ind w:right="-29"/>
              <w:jc w:val="center"/>
              <w:rPr>
                <w:noProof/>
                <w:sz w:val="18"/>
                <w:szCs w:val="18"/>
              </w:rPr>
            </w:pPr>
          </w:p>
        </w:tc>
        <w:tc>
          <w:tcPr>
            <w:tcW w:w="540" w:type="dxa"/>
            <w:tcBorders>
              <w:bottom w:val="single" w:sz="12" w:space="0" w:color="auto"/>
            </w:tcBorders>
            <w:tcMar>
              <w:left w:w="28" w:type="dxa"/>
              <w:right w:w="28" w:type="dxa"/>
            </w:tcMar>
          </w:tcPr>
          <w:p w14:paraId="1509D39D" w14:textId="77777777" w:rsidR="00544811" w:rsidRPr="00F537B9" w:rsidRDefault="00544811">
            <w:pPr>
              <w:ind w:right="-29"/>
              <w:jc w:val="center"/>
              <w:rPr>
                <w:noProof/>
                <w:sz w:val="18"/>
                <w:szCs w:val="18"/>
              </w:rPr>
            </w:pPr>
          </w:p>
        </w:tc>
        <w:tc>
          <w:tcPr>
            <w:tcW w:w="648" w:type="dxa"/>
            <w:tcBorders>
              <w:bottom w:val="single" w:sz="12" w:space="0" w:color="auto"/>
            </w:tcBorders>
            <w:tcMar>
              <w:left w:w="28" w:type="dxa"/>
              <w:right w:w="28" w:type="dxa"/>
            </w:tcMar>
          </w:tcPr>
          <w:p w14:paraId="3507F8BD" w14:textId="77777777" w:rsidR="00544811" w:rsidRPr="00F537B9" w:rsidRDefault="00544811">
            <w:pPr>
              <w:ind w:right="-29"/>
              <w:jc w:val="center"/>
              <w:rPr>
                <w:noProof/>
                <w:sz w:val="18"/>
                <w:szCs w:val="18"/>
              </w:rPr>
            </w:pPr>
          </w:p>
        </w:tc>
        <w:tc>
          <w:tcPr>
            <w:tcW w:w="432" w:type="dxa"/>
            <w:tcBorders>
              <w:bottom w:val="single" w:sz="12" w:space="0" w:color="auto"/>
            </w:tcBorders>
            <w:tcMar>
              <w:left w:w="28" w:type="dxa"/>
              <w:right w:w="28" w:type="dxa"/>
            </w:tcMar>
          </w:tcPr>
          <w:p w14:paraId="0DDE482D" w14:textId="77777777" w:rsidR="00544811" w:rsidRPr="00F537B9" w:rsidRDefault="00544811">
            <w:pPr>
              <w:ind w:right="-29"/>
              <w:jc w:val="center"/>
              <w:rPr>
                <w:noProof/>
                <w:sz w:val="18"/>
                <w:szCs w:val="18"/>
              </w:rPr>
            </w:pPr>
          </w:p>
        </w:tc>
        <w:tc>
          <w:tcPr>
            <w:tcW w:w="720" w:type="dxa"/>
            <w:tcBorders>
              <w:bottom w:val="single" w:sz="12" w:space="0" w:color="auto"/>
            </w:tcBorders>
            <w:tcMar>
              <w:left w:w="28" w:type="dxa"/>
              <w:right w:w="28" w:type="dxa"/>
            </w:tcMar>
          </w:tcPr>
          <w:p w14:paraId="23838DD6" w14:textId="77777777" w:rsidR="00544811" w:rsidRPr="00F537B9" w:rsidRDefault="00544811">
            <w:pPr>
              <w:ind w:right="-29"/>
              <w:jc w:val="center"/>
              <w:rPr>
                <w:noProof/>
                <w:sz w:val="18"/>
                <w:szCs w:val="18"/>
              </w:rPr>
            </w:pPr>
          </w:p>
        </w:tc>
        <w:tc>
          <w:tcPr>
            <w:tcW w:w="540" w:type="dxa"/>
            <w:tcBorders>
              <w:bottom w:val="single" w:sz="12" w:space="0" w:color="auto"/>
            </w:tcBorders>
            <w:tcMar>
              <w:left w:w="28" w:type="dxa"/>
              <w:right w:w="28" w:type="dxa"/>
            </w:tcMar>
          </w:tcPr>
          <w:p w14:paraId="08E51A05" w14:textId="77777777" w:rsidR="00544811" w:rsidRPr="00F537B9" w:rsidRDefault="00544811">
            <w:pPr>
              <w:ind w:right="-29"/>
              <w:jc w:val="center"/>
              <w:rPr>
                <w:noProof/>
                <w:sz w:val="18"/>
                <w:szCs w:val="18"/>
              </w:rPr>
            </w:pPr>
          </w:p>
        </w:tc>
        <w:tc>
          <w:tcPr>
            <w:tcW w:w="720" w:type="dxa"/>
            <w:tcBorders>
              <w:bottom w:val="single" w:sz="12" w:space="0" w:color="auto"/>
            </w:tcBorders>
            <w:tcMar>
              <w:left w:w="28" w:type="dxa"/>
              <w:right w:w="28" w:type="dxa"/>
            </w:tcMar>
          </w:tcPr>
          <w:p w14:paraId="5823EC09" w14:textId="77777777" w:rsidR="00544811" w:rsidRPr="00F537B9" w:rsidRDefault="00544811">
            <w:pPr>
              <w:ind w:right="-29"/>
              <w:jc w:val="center"/>
              <w:rPr>
                <w:noProof/>
                <w:sz w:val="18"/>
                <w:szCs w:val="18"/>
              </w:rPr>
            </w:pPr>
          </w:p>
        </w:tc>
        <w:tc>
          <w:tcPr>
            <w:tcW w:w="720" w:type="dxa"/>
            <w:tcBorders>
              <w:bottom w:val="single" w:sz="12" w:space="0" w:color="auto"/>
            </w:tcBorders>
            <w:tcMar>
              <w:left w:w="28" w:type="dxa"/>
              <w:right w:w="28" w:type="dxa"/>
            </w:tcMar>
          </w:tcPr>
          <w:p w14:paraId="7522F447" w14:textId="77777777" w:rsidR="00544811" w:rsidRPr="00F537B9" w:rsidRDefault="00544811">
            <w:pPr>
              <w:ind w:right="-29"/>
              <w:jc w:val="center"/>
              <w:rPr>
                <w:noProof/>
                <w:sz w:val="18"/>
                <w:szCs w:val="18"/>
              </w:rPr>
            </w:pPr>
          </w:p>
        </w:tc>
        <w:tc>
          <w:tcPr>
            <w:tcW w:w="900" w:type="dxa"/>
            <w:tcBorders>
              <w:bottom w:val="single" w:sz="12" w:space="0" w:color="auto"/>
            </w:tcBorders>
            <w:tcMar>
              <w:left w:w="28" w:type="dxa"/>
              <w:right w:w="28" w:type="dxa"/>
            </w:tcMar>
          </w:tcPr>
          <w:p w14:paraId="59022DEB" w14:textId="77777777" w:rsidR="00544811" w:rsidRPr="00F537B9" w:rsidRDefault="00544811">
            <w:pPr>
              <w:ind w:right="-29"/>
              <w:jc w:val="center"/>
              <w:rPr>
                <w:noProof/>
                <w:sz w:val="18"/>
                <w:szCs w:val="18"/>
              </w:rPr>
            </w:pPr>
          </w:p>
        </w:tc>
      </w:tr>
      <w:tr w:rsidR="00544811" w:rsidRPr="00F537B9" w14:paraId="19956FA8" w14:textId="77777777" w:rsidTr="00E459A2">
        <w:trPr>
          <w:jc w:val="center"/>
        </w:trPr>
        <w:tc>
          <w:tcPr>
            <w:tcW w:w="2844" w:type="dxa"/>
            <w:gridSpan w:val="3"/>
            <w:tcMar>
              <w:left w:w="28" w:type="dxa"/>
              <w:right w:w="28" w:type="dxa"/>
            </w:tcMar>
            <w:vAlign w:val="center"/>
          </w:tcPr>
          <w:p w14:paraId="32524502" w14:textId="7C26AE1F" w:rsidR="00544811" w:rsidRPr="00F537B9" w:rsidRDefault="00544811">
            <w:pPr>
              <w:spacing w:before="60" w:after="60"/>
              <w:ind w:right="-29"/>
              <w:jc w:val="center"/>
              <w:rPr>
                <w:noProof/>
                <w:sz w:val="18"/>
                <w:szCs w:val="18"/>
              </w:rPr>
            </w:pPr>
            <w:r w:rsidRPr="00F537B9">
              <w:rPr>
                <w:noProof/>
                <w:sz w:val="18"/>
              </w:rPr>
              <w:t xml:space="preserve">ŠPECIFICKÝ CIEĽ </w:t>
            </w:r>
            <w:r w:rsidR="00F537B9">
              <w:rPr>
                <w:noProof/>
                <w:sz w:val="18"/>
              </w:rPr>
              <w:t>č. </w:t>
            </w:r>
            <w:r w:rsidRPr="00F537B9">
              <w:rPr>
                <w:noProof/>
                <w:sz w:val="18"/>
              </w:rPr>
              <w:t>2…</w:t>
            </w:r>
          </w:p>
        </w:tc>
        <w:tc>
          <w:tcPr>
            <w:tcW w:w="504" w:type="dxa"/>
            <w:tcBorders>
              <w:top w:val="nil"/>
              <w:left w:val="nil"/>
              <w:bottom w:val="nil"/>
              <w:right w:val="nil"/>
            </w:tcBorders>
            <w:tcMar>
              <w:left w:w="28" w:type="dxa"/>
              <w:right w:w="28" w:type="dxa"/>
            </w:tcMar>
          </w:tcPr>
          <w:p w14:paraId="192E3EE9" w14:textId="77777777" w:rsidR="00544811" w:rsidRPr="00F537B9" w:rsidRDefault="00544811">
            <w:pPr>
              <w:spacing w:before="60" w:after="60"/>
              <w:ind w:right="-29"/>
              <w:jc w:val="center"/>
              <w:rPr>
                <w:noProof/>
                <w:sz w:val="18"/>
                <w:szCs w:val="18"/>
              </w:rPr>
            </w:pPr>
          </w:p>
        </w:tc>
        <w:tc>
          <w:tcPr>
            <w:tcW w:w="720" w:type="dxa"/>
            <w:tcBorders>
              <w:top w:val="nil"/>
              <w:left w:val="nil"/>
              <w:bottom w:val="nil"/>
              <w:right w:val="nil"/>
            </w:tcBorders>
            <w:tcMar>
              <w:left w:w="28" w:type="dxa"/>
              <w:right w:w="28" w:type="dxa"/>
            </w:tcMar>
          </w:tcPr>
          <w:p w14:paraId="1E303AAD" w14:textId="77777777" w:rsidR="00544811" w:rsidRPr="00F537B9" w:rsidRDefault="00544811">
            <w:pPr>
              <w:spacing w:before="60" w:after="60"/>
              <w:ind w:right="-29"/>
              <w:jc w:val="center"/>
              <w:rPr>
                <w:noProof/>
                <w:sz w:val="18"/>
                <w:szCs w:val="18"/>
              </w:rPr>
            </w:pPr>
          </w:p>
        </w:tc>
        <w:tc>
          <w:tcPr>
            <w:tcW w:w="540" w:type="dxa"/>
            <w:tcBorders>
              <w:top w:val="nil"/>
              <w:left w:val="nil"/>
              <w:bottom w:val="nil"/>
              <w:right w:val="nil"/>
            </w:tcBorders>
            <w:tcMar>
              <w:left w:w="28" w:type="dxa"/>
              <w:right w:w="28" w:type="dxa"/>
            </w:tcMar>
          </w:tcPr>
          <w:p w14:paraId="3B47C402" w14:textId="77777777" w:rsidR="00544811" w:rsidRPr="00F537B9" w:rsidRDefault="00544811">
            <w:pPr>
              <w:spacing w:before="60" w:after="60"/>
              <w:ind w:right="-29"/>
              <w:jc w:val="center"/>
              <w:rPr>
                <w:noProof/>
                <w:sz w:val="18"/>
                <w:szCs w:val="18"/>
              </w:rPr>
            </w:pPr>
          </w:p>
        </w:tc>
        <w:tc>
          <w:tcPr>
            <w:tcW w:w="720" w:type="dxa"/>
            <w:tcBorders>
              <w:top w:val="nil"/>
              <w:left w:val="nil"/>
              <w:bottom w:val="nil"/>
              <w:right w:val="nil"/>
            </w:tcBorders>
            <w:tcMar>
              <w:left w:w="28" w:type="dxa"/>
              <w:right w:w="28" w:type="dxa"/>
            </w:tcMar>
          </w:tcPr>
          <w:p w14:paraId="4B374D4E" w14:textId="77777777" w:rsidR="00544811" w:rsidRPr="00F537B9" w:rsidRDefault="00544811">
            <w:pPr>
              <w:spacing w:before="60" w:after="60"/>
              <w:ind w:right="-29"/>
              <w:jc w:val="center"/>
              <w:rPr>
                <w:noProof/>
                <w:sz w:val="18"/>
                <w:szCs w:val="18"/>
              </w:rPr>
            </w:pPr>
          </w:p>
        </w:tc>
        <w:tc>
          <w:tcPr>
            <w:tcW w:w="720" w:type="dxa"/>
            <w:tcBorders>
              <w:top w:val="nil"/>
              <w:left w:val="nil"/>
              <w:bottom w:val="nil"/>
              <w:right w:val="nil"/>
            </w:tcBorders>
            <w:tcMar>
              <w:left w:w="28" w:type="dxa"/>
              <w:right w:w="28" w:type="dxa"/>
            </w:tcMar>
          </w:tcPr>
          <w:p w14:paraId="239D753E" w14:textId="77777777" w:rsidR="00544811" w:rsidRPr="00F537B9" w:rsidRDefault="00544811">
            <w:pPr>
              <w:spacing w:before="60" w:after="60"/>
              <w:ind w:right="-29"/>
              <w:jc w:val="center"/>
              <w:rPr>
                <w:noProof/>
                <w:sz w:val="18"/>
                <w:szCs w:val="18"/>
              </w:rPr>
            </w:pPr>
          </w:p>
        </w:tc>
        <w:tc>
          <w:tcPr>
            <w:tcW w:w="720" w:type="dxa"/>
            <w:tcBorders>
              <w:top w:val="nil"/>
              <w:left w:val="nil"/>
              <w:bottom w:val="nil"/>
              <w:right w:val="nil"/>
            </w:tcBorders>
            <w:tcMar>
              <w:left w:w="28" w:type="dxa"/>
              <w:right w:w="28" w:type="dxa"/>
            </w:tcMar>
          </w:tcPr>
          <w:p w14:paraId="6AA77F12" w14:textId="77777777" w:rsidR="00544811" w:rsidRPr="00F537B9" w:rsidRDefault="00544811">
            <w:pPr>
              <w:spacing w:before="60" w:after="60"/>
              <w:ind w:right="-29"/>
              <w:jc w:val="center"/>
              <w:rPr>
                <w:noProof/>
                <w:sz w:val="18"/>
                <w:szCs w:val="18"/>
              </w:rPr>
            </w:pPr>
          </w:p>
        </w:tc>
        <w:tc>
          <w:tcPr>
            <w:tcW w:w="900" w:type="dxa"/>
            <w:tcBorders>
              <w:top w:val="nil"/>
              <w:left w:val="nil"/>
              <w:bottom w:val="nil"/>
              <w:right w:val="nil"/>
            </w:tcBorders>
            <w:tcMar>
              <w:left w:w="28" w:type="dxa"/>
              <w:right w:w="28" w:type="dxa"/>
            </w:tcMar>
          </w:tcPr>
          <w:p w14:paraId="36C2D48B" w14:textId="77777777" w:rsidR="00544811" w:rsidRPr="00F537B9" w:rsidRDefault="00544811">
            <w:pPr>
              <w:spacing w:before="60" w:after="60"/>
              <w:ind w:right="-29"/>
              <w:jc w:val="center"/>
              <w:rPr>
                <w:noProof/>
                <w:sz w:val="18"/>
                <w:szCs w:val="18"/>
              </w:rPr>
            </w:pPr>
          </w:p>
        </w:tc>
        <w:tc>
          <w:tcPr>
            <w:tcW w:w="720" w:type="dxa"/>
            <w:gridSpan w:val="2"/>
            <w:tcBorders>
              <w:top w:val="nil"/>
              <w:left w:val="nil"/>
              <w:bottom w:val="nil"/>
              <w:right w:val="nil"/>
            </w:tcBorders>
            <w:tcMar>
              <w:left w:w="28" w:type="dxa"/>
              <w:right w:w="28" w:type="dxa"/>
            </w:tcMar>
          </w:tcPr>
          <w:p w14:paraId="6B60ADC3" w14:textId="77777777" w:rsidR="00544811" w:rsidRPr="00F537B9" w:rsidRDefault="00544811">
            <w:pPr>
              <w:spacing w:before="60" w:after="60"/>
              <w:ind w:right="-29"/>
              <w:jc w:val="center"/>
              <w:rPr>
                <w:noProof/>
                <w:sz w:val="18"/>
                <w:szCs w:val="18"/>
              </w:rPr>
            </w:pPr>
          </w:p>
        </w:tc>
        <w:tc>
          <w:tcPr>
            <w:tcW w:w="540" w:type="dxa"/>
            <w:tcBorders>
              <w:top w:val="nil"/>
              <w:left w:val="nil"/>
              <w:bottom w:val="nil"/>
              <w:right w:val="nil"/>
            </w:tcBorders>
            <w:tcMar>
              <w:left w:w="28" w:type="dxa"/>
              <w:right w:w="28" w:type="dxa"/>
            </w:tcMar>
          </w:tcPr>
          <w:p w14:paraId="76F706CD" w14:textId="77777777" w:rsidR="00544811" w:rsidRPr="00F537B9" w:rsidRDefault="00544811">
            <w:pPr>
              <w:spacing w:before="60" w:after="60"/>
              <w:ind w:right="-29"/>
              <w:jc w:val="center"/>
              <w:rPr>
                <w:noProof/>
                <w:sz w:val="18"/>
                <w:szCs w:val="18"/>
              </w:rPr>
            </w:pPr>
          </w:p>
        </w:tc>
        <w:tc>
          <w:tcPr>
            <w:tcW w:w="648" w:type="dxa"/>
            <w:tcBorders>
              <w:top w:val="nil"/>
              <w:left w:val="nil"/>
              <w:bottom w:val="nil"/>
              <w:right w:val="nil"/>
            </w:tcBorders>
            <w:tcMar>
              <w:left w:w="28" w:type="dxa"/>
              <w:right w:w="28" w:type="dxa"/>
            </w:tcMar>
          </w:tcPr>
          <w:p w14:paraId="7DCCD523" w14:textId="77777777" w:rsidR="00544811" w:rsidRPr="00F537B9" w:rsidRDefault="00544811">
            <w:pPr>
              <w:spacing w:before="60" w:after="60"/>
              <w:ind w:right="-29"/>
              <w:jc w:val="center"/>
              <w:rPr>
                <w:noProof/>
                <w:sz w:val="18"/>
                <w:szCs w:val="18"/>
              </w:rPr>
            </w:pPr>
          </w:p>
        </w:tc>
        <w:tc>
          <w:tcPr>
            <w:tcW w:w="432" w:type="dxa"/>
            <w:tcBorders>
              <w:top w:val="nil"/>
              <w:left w:val="nil"/>
              <w:bottom w:val="nil"/>
              <w:right w:val="nil"/>
            </w:tcBorders>
            <w:tcMar>
              <w:left w:w="28" w:type="dxa"/>
              <w:right w:w="28" w:type="dxa"/>
            </w:tcMar>
          </w:tcPr>
          <w:p w14:paraId="3619AADC" w14:textId="77777777" w:rsidR="00544811" w:rsidRPr="00F537B9" w:rsidRDefault="00544811">
            <w:pPr>
              <w:spacing w:before="60" w:after="60"/>
              <w:ind w:right="-29"/>
              <w:jc w:val="center"/>
              <w:rPr>
                <w:noProof/>
                <w:sz w:val="18"/>
                <w:szCs w:val="18"/>
              </w:rPr>
            </w:pPr>
          </w:p>
        </w:tc>
        <w:tc>
          <w:tcPr>
            <w:tcW w:w="720" w:type="dxa"/>
            <w:tcBorders>
              <w:top w:val="nil"/>
              <w:left w:val="nil"/>
              <w:bottom w:val="nil"/>
              <w:right w:val="nil"/>
            </w:tcBorders>
            <w:tcMar>
              <w:left w:w="28" w:type="dxa"/>
              <w:right w:w="28" w:type="dxa"/>
            </w:tcMar>
          </w:tcPr>
          <w:p w14:paraId="11BC793D" w14:textId="77777777" w:rsidR="00544811" w:rsidRPr="00F537B9" w:rsidRDefault="00544811">
            <w:pPr>
              <w:spacing w:before="60" w:after="60"/>
              <w:ind w:right="-29"/>
              <w:jc w:val="center"/>
              <w:rPr>
                <w:noProof/>
                <w:sz w:val="18"/>
                <w:szCs w:val="18"/>
              </w:rPr>
            </w:pPr>
          </w:p>
        </w:tc>
        <w:tc>
          <w:tcPr>
            <w:tcW w:w="540" w:type="dxa"/>
            <w:tcBorders>
              <w:top w:val="nil"/>
              <w:left w:val="nil"/>
              <w:bottom w:val="nil"/>
              <w:right w:val="nil"/>
            </w:tcBorders>
            <w:tcMar>
              <w:left w:w="28" w:type="dxa"/>
              <w:right w:w="28" w:type="dxa"/>
            </w:tcMar>
          </w:tcPr>
          <w:p w14:paraId="0683DF4C" w14:textId="77777777" w:rsidR="00544811" w:rsidRPr="00F537B9" w:rsidRDefault="00544811">
            <w:pPr>
              <w:spacing w:before="60" w:after="60"/>
              <w:ind w:right="-29"/>
              <w:jc w:val="center"/>
              <w:rPr>
                <w:noProof/>
                <w:sz w:val="18"/>
                <w:szCs w:val="18"/>
              </w:rPr>
            </w:pPr>
          </w:p>
        </w:tc>
        <w:tc>
          <w:tcPr>
            <w:tcW w:w="720" w:type="dxa"/>
            <w:tcBorders>
              <w:top w:val="nil"/>
              <w:left w:val="nil"/>
              <w:bottom w:val="nil"/>
              <w:right w:val="nil"/>
            </w:tcBorders>
            <w:tcMar>
              <w:left w:w="28" w:type="dxa"/>
              <w:right w:w="28" w:type="dxa"/>
            </w:tcMar>
          </w:tcPr>
          <w:p w14:paraId="0C1A1AB0" w14:textId="77777777" w:rsidR="00544811" w:rsidRPr="00F537B9" w:rsidRDefault="00544811">
            <w:pPr>
              <w:spacing w:before="60" w:after="60"/>
              <w:ind w:right="-29"/>
              <w:jc w:val="center"/>
              <w:rPr>
                <w:noProof/>
                <w:sz w:val="18"/>
                <w:szCs w:val="18"/>
              </w:rPr>
            </w:pPr>
          </w:p>
        </w:tc>
        <w:tc>
          <w:tcPr>
            <w:tcW w:w="720" w:type="dxa"/>
            <w:tcBorders>
              <w:top w:val="nil"/>
              <w:left w:val="nil"/>
              <w:bottom w:val="nil"/>
              <w:right w:val="nil"/>
            </w:tcBorders>
            <w:tcMar>
              <w:left w:w="28" w:type="dxa"/>
              <w:right w:w="28" w:type="dxa"/>
            </w:tcMar>
          </w:tcPr>
          <w:p w14:paraId="607E8EA1" w14:textId="77777777" w:rsidR="00544811" w:rsidRPr="00F537B9" w:rsidRDefault="00544811">
            <w:pPr>
              <w:spacing w:before="60" w:after="60"/>
              <w:ind w:right="-29"/>
              <w:jc w:val="center"/>
              <w:rPr>
                <w:noProof/>
                <w:sz w:val="18"/>
                <w:szCs w:val="18"/>
              </w:rPr>
            </w:pPr>
          </w:p>
        </w:tc>
        <w:tc>
          <w:tcPr>
            <w:tcW w:w="900" w:type="dxa"/>
            <w:tcBorders>
              <w:top w:val="nil"/>
              <w:left w:val="nil"/>
              <w:bottom w:val="nil"/>
              <w:right w:val="nil"/>
            </w:tcBorders>
            <w:tcMar>
              <w:left w:w="28" w:type="dxa"/>
              <w:right w:w="28" w:type="dxa"/>
            </w:tcMar>
          </w:tcPr>
          <w:p w14:paraId="72329545" w14:textId="77777777" w:rsidR="00544811" w:rsidRPr="00F537B9" w:rsidRDefault="00544811">
            <w:pPr>
              <w:spacing w:before="60" w:after="60"/>
              <w:ind w:right="-29"/>
              <w:jc w:val="center"/>
              <w:rPr>
                <w:noProof/>
                <w:sz w:val="18"/>
                <w:szCs w:val="18"/>
              </w:rPr>
            </w:pPr>
          </w:p>
        </w:tc>
      </w:tr>
      <w:tr w:rsidR="00544811" w:rsidRPr="00F537B9" w14:paraId="1275766D" w14:textId="77777777" w:rsidTr="00E459A2">
        <w:trPr>
          <w:trHeight w:hRule="exact" w:val="369"/>
          <w:jc w:val="center"/>
        </w:trPr>
        <w:tc>
          <w:tcPr>
            <w:tcW w:w="1423" w:type="dxa"/>
            <w:tcMar>
              <w:left w:w="28" w:type="dxa"/>
              <w:right w:w="28" w:type="dxa"/>
            </w:tcMar>
          </w:tcPr>
          <w:p w14:paraId="14E92F9D" w14:textId="77777777" w:rsidR="00544811" w:rsidRPr="00F537B9" w:rsidRDefault="00544811">
            <w:pPr>
              <w:ind w:right="-29"/>
              <w:jc w:val="center"/>
              <w:rPr>
                <w:noProof/>
                <w:sz w:val="18"/>
                <w:szCs w:val="18"/>
              </w:rPr>
            </w:pPr>
            <w:r w:rsidRPr="00F537B9">
              <w:rPr>
                <w:noProof/>
                <w:sz w:val="18"/>
              </w:rPr>
              <w:t>‒ Výstup</w:t>
            </w:r>
          </w:p>
        </w:tc>
        <w:tc>
          <w:tcPr>
            <w:tcW w:w="720" w:type="dxa"/>
            <w:tcMar>
              <w:left w:w="28" w:type="dxa"/>
              <w:right w:w="28" w:type="dxa"/>
            </w:tcMar>
          </w:tcPr>
          <w:p w14:paraId="50D45A9F" w14:textId="77777777" w:rsidR="00544811" w:rsidRPr="00F537B9" w:rsidRDefault="00544811">
            <w:pPr>
              <w:ind w:right="-29"/>
              <w:jc w:val="center"/>
              <w:rPr>
                <w:noProof/>
                <w:sz w:val="18"/>
                <w:szCs w:val="18"/>
              </w:rPr>
            </w:pPr>
          </w:p>
        </w:tc>
        <w:tc>
          <w:tcPr>
            <w:tcW w:w="701" w:type="dxa"/>
            <w:tcMar>
              <w:left w:w="28" w:type="dxa"/>
              <w:right w:w="28" w:type="dxa"/>
            </w:tcMar>
          </w:tcPr>
          <w:p w14:paraId="7DA575A0" w14:textId="77777777" w:rsidR="00544811" w:rsidRPr="00F537B9" w:rsidRDefault="00544811">
            <w:pPr>
              <w:ind w:right="-29"/>
              <w:jc w:val="center"/>
              <w:rPr>
                <w:noProof/>
                <w:sz w:val="18"/>
                <w:szCs w:val="18"/>
              </w:rPr>
            </w:pPr>
          </w:p>
        </w:tc>
        <w:tc>
          <w:tcPr>
            <w:tcW w:w="504" w:type="dxa"/>
            <w:tcMar>
              <w:left w:w="28" w:type="dxa"/>
              <w:right w:w="28" w:type="dxa"/>
            </w:tcMar>
          </w:tcPr>
          <w:p w14:paraId="4F9E8298" w14:textId="77777777" w:rsidR="00544811" w:rsidRPr="00F537B9" w:rsidRDefault="00544811">
            <w:pPr>
              <w:ind w:right="-29"/>
              <w:jc w:val="center"/>
              <w:rPr>
                <w:noProof/>
                <w:sz w:val="18"/>
                <w:szCs w:val="18"/>
              </w:rPr>
            </w:pPr>
          </w:p>
        </w:tc>
        <w:tc>
          <w:tcPr>
            <w:tcW w:w="720" w:type="dxa"/>
            <w:tcMar>
              <w:left w:w="28" w:type="dxa"/>
              <w:right w:w="28" w:type="dxa"/>
            </w:tcMar>
          </w:tcPr>
          <w:p w14:paraId="0F04EAA5" w14:textId="77777777" w:rsidR="00544811" w:rsidRPr="00F537B9" w:rsidRDefault="00544811">
            <w:pPr>
              <w:ind w:right="-29"/>
              <w:jc w:val="center"/>
              <w:rPr>
                <w:noProof/>
                <w:sz w:val="18"/>
                <w:szCs w:val="18"/>
              </w:rPr>
            </w:pPr>
          </w:p>
        </w:tc>
        <w:tc>
          <w:tcPr>
            <w:tcW w:w="540" w:type="dxa"/>
            <w:tcMar>
              <w:left w:w="28" w:type="dxa"/>
              <w:right w:w="28" w:type="dxa"/>
            </w:tcMar>
          </w:tcPr>
          <w:p w14:paraId="4AAA8539" w14:textId="77777777" w:rsidR="00544811" w:rsidRPr="00F537B9" w:rsidRDefault="00544811">
            <w:pPr>
              <w:ind w:right="-29"/>
              <w:jc w:val="center"/>
              <w:rPr>
                <w:noProof/>
                <w:sz w:val="18"/>
                <w:szCs w:val="18"/>
              </w:rPr>
            </w:pPr>
          </w:p>
        </w:tc>
        <w:tc>
          <w:tcPr>
            <w:tcW w:w="720" w:type="dxa"/>
            <w:tcMar>
              <w:left w:w="28" w:type="dxa"/>
              <w:right w:w="28" w:type="dxa"/>
            </w:tcMar>
          </w:tcPr>
          <w:p w14:paraId="0AC5A7EA" w14:textId="77777777" w:rsidR="00544811" w:rsidRPr="00F537B9" w:rsidRDefault="00544811">
            <w:pPr>
              <w:ind w:right="-29"/>
              <w:jc w:val="center"/>
              <w:rPr>
                <w:noProof/>
                <w:sz w:val="18"/>
                <w:szCs w:val="18"/>
              </w:rPr>
            </w:pPr>
          </w:p>
        </w:tc>
        <w:tc>
          <w:tcPr>
            <w:tcW w:w="720" w:type="dxa"/>
            <w:tcMar>
              <w:left w:w="28" w:type="dxa"/>
              <w:right w:w="28" w:type="dxa"/>
            </w:tcMar>
          </w:tcPr>
          <w:p w14:paraId="5BC76511" w14:textId="77777777" w:rsidR="00544811" w:rsidRPr="00F537B9" w:rsidRDefault="00544811">
            <w:pPr>
              <w:ind w:right="-29"/>
              <w:jc w:val="center"/>
              <w:rPr>
                <w:noProof/>
                <w:sz w:val="18"/>
                <w:szCs w:val="18"/>
              </w:rPr>
            </w:pPr>
          </w:p>
        </w:tc>
        <w:tc>
          <w:tcPr>
            <w:tcW w:w="720" w:type="dxa"/>
            <w:tcMar>
              <w:left w:w="28" w:type="dxa"/>
              <w:right w:w="28" w:type="dxa"/>
            </w:tcMar>
          </w:tcPr>
          <w:p w14:paraId="0B7D2BB3" w14:textId="77777777" w:rsidR="00544811" w:rsidRPr="00F537B9" w:rsidRDefault="00544811">
            <w:pPr>
              <w:ind w:right="-29"/>
              <w:jc w:val="center"/>
              <w:rPr>
                <w:noProof/>
                <w:sz w:val="18"/>
                <w:szCs w:val="18"/>
              </w:rPr>
            </w:pPr>
          </w:p>
        </w:tc>
        <w:tc>
          <w:tcPr>
            <w:tcW w:w="900" w:type="dxa"/>
            <w:tcMar>
              <w:left w:w="28" w:type="dxa"/>
              <w:right w:w="28" w:type="dxa"/>
            </w:tcMar>
          </w:tcPr>
          <w:p w14:paraId="5C02226E" w14:textId="77777777" w:rsidR="00544811" w:rsidRPr="00F537B9" w:rsidRDefault="00544811">
            <w:pPr>
              <w:ind w:right="-29"/>
              <w:jc w:val="center"/>
              <w:rPr>
                <w:noProof/>
                <w:sz w:val="18"/>
                <w:szCs w:val="18"/>
              </w:rPr>
            </w:pPr>
          </w:p>
        </w:tc>
        <w:tc>
          <w:tcPr>
            <w:tcW w:w="720" w:type="dxa"/>
            <w:gridSpan w:val="2"/>
            <w:tcMar>
              <w:left w:w="28" w:type="dxa"/>
              <w:right w:w="28" w:type="dxa"/>
            </w:tcMar>
          </w:tcPr>
          <w:p w14:paraId="58EFBCD6" w14:textId="77777777" w:rsidR="00544811" w:rsidRPr="00F537B9" w:rsidRDefault="00544811">
            <w:pPr>
              <w:ind w:right="-29"/>
              <w:jc w:val="center"/>
              <w:rPr>
                <w:noProof/>
                <w:sz w:val="18"/>
                <w:szCs w:val="18"/>
              </w:rPr>
            </w:pPr>
          </w:p>
        </w:tc>
        <w:tc>
          <w:tcPr>
            <w:tcW w:w="540" w:type="dxa"/>
            <w:tcMar>
              <w:left w:w="28" w:type="dxa"/>
              <w:right w:w="28" w:type="dxa"/>
            </w:tcMar>
          </w:tcPr>
          <w:p w14:paraId="002C46A5" w14:textId="77777777" w:rsidR="00544811" w:rsidRPr="00F537B9" w:rsidRDefault="00544811">
            <w:pPr>
              <w:ind w:right="-29"/>
              <w:jc w:val="center"/>
              <w:rPr>
                <w:noProof/>
                <w:sz w:val="18"/>
                <w:szCs w:val="18"/>
              </w:rPr>
            </w:pPr>
          </w:p>
        </w:tc>
        <w:tc>
          <w:tcPr>
            <w:tcW w:w="648" w:type="dxa"/>
            <w:tcMar>
              <w:left w:w="28" w:type="dxa"/>
              <w:right w:w="28" w:type="dxa"/>
            </w:tcMar>
          </w:tcPr>
          <w:p w14:paraId="3D9EE6CF" w14:textId="77777777" w:rsidR="00544811" w:rsidRPr="00F537B9" w:rsidRDefault="00544811">
            <w:pPr>
              <w:ind w:right="-29"/>
              <w:jc w:val="center"/>
              <w:rPr>
                <w:noProof/>
                <w:sz w:val="18"/>
                <w:szCs w:val="18"/>
              </w:rPr>
            </w:pPr>
          </w:p>
        </w:tc>
        <w:tc>
          <w:tcPr>
            <w:tcW w:w="432" w:type="dxa"/>
            <w:tcMar>
              <w:left w:w="28" w:type="dxa"/>
              <w:right w:w="28" w:type="dxa"/>
            </w:tcMar>
          </w:tcPr>
          <w:p w14:paraId="140955E4" w14:textId="77777777" w:rsidR="00544811" w:rsidRPr="00F537B9" w:rsidRDefault="00544811">
            <w:pPr>
              <w:ind w:right="-29"/>
              <w:jc w:val="center"/>
              <w:rPr>
                <w:noProof/>
                <w:sz w:val="18"/>
                <w:szCs w:val="18"/>
              </w:rPr>
            </w:pPr>
          </w:p>
        </w:tc>
        <w:tc>
          <w:tcPr>
            <w:tcW w:w="720" w:type="dxa"/>
            <w:tcMar>
              <w:left w:w="28" w:type="dxa"/>
              <w:right w:w="28" w:type="dxa"/>
            </w:tcMar>
          </w:tcPr>
          <w:p w14:paraId="4530C0A7" w14:textId="77777777" w:rsidR="00544811" w:rsidRPr="00F537B9" w:rsidRDefault="00544811">
            <w:pPr>
              <w:ind w:right="-29"/>
              <w:jc w:val="center"/>
              <w:rPr>
                <w:noProof/>
                <w:sz w:val="18"/>
                <w:szCs w:val="18"/>
              </w:rPr>
            </w:pPr>
          </w:p>
        </w:tc>
        <w:tc>
          <w:tcPr>
            <w:tcW w:w="540" w:type="dxa"/>
            <w:tcMar>
              <w:left w:w="28" w:type="dxa"/>
              <w:right w:w="28" w:type="dxa"/>
            </w:tcMar>
          </w:tcPr>
          <w:p w14:paraId="7A5BA2AD" w14:textId="77777777" w:rsidR="00544811" w:rsidRPr="00F537B9" w:rsidRDefault="00544811">
            <w:pPr>
              <w:ind w:right="-29"/>
              <w:jc w:val="center"/>
              <w:rPr>
                <w:noProof/>
                <w:sz w:val="18"/>
                <w:szCs w:val="18"/>
              </w:rPr>
            </w:pPr>
          </w:p>
        </w:tc>
        <w:tc>
          <w:tcPr>
            <w:tcW w:w="720" w:type="dxa"/>
            <w:tcMar>
              <w:left w:w="28" w:type="dxa"/>
              <w:right w:w="28" w:type="dxa"/>
            </w:tcMar>
          </w:tcPr>
          <w:p w14:paraId="287CC926" w14:textId="77777777" w:rsidR="00544811" w:rsidRPr="00F537B9" w:rsidRDefault="00544811">
            <w:pPr>
              <w:ind w:right="-29"/>
              <w:jc w:val="center"/>
              <w:rPr>
                <w:noProof/>
                <w:sz w:val="18"/>
                <w:szCs w:val="18"/>
              </w:rPr>
            </w:pPr>
          </w:p>
        </w:tc>
        <w:tc>
          <w:tcPr>
            <w:tcW w:w="720" w:type="dxa"/>
            <w:tcMar>
              <w:left w:w="28" w:type="dxa"/>
              <w:right w:w="28" w:type="dxa"/>
            </w:tcMar>
          </w:tcPr>
          <w:p w14:paraId="563D8BD9" w14:textId="77777777" w:rsidR="00544811" w:rsidRPr="00F537B9" w:rsidRDefault="00544811">
            <w:pPr>
              <w:ind w:right="-29"/>
              <w:jc w:val="center"/>
              <w:rPr>
                <w:noProof/>
                <w:sz w:val="18"/>
                <w:szCs w:val="18"/>
              </w:rPr>
            </w:pPr>
          </w:p>
        </w:tc>
        <w:tc>
          <w:tcPr>
            <w:tcW w:w="900" w:type="dxa"/>
            <w:tcMar>
              <w:left w:w="28" w:type="dxa"/>
              <w:right w:w="28" w:type="dxa"/>
            </w:tcMar>
          </w:tcPr>
          <w:p w14:paraId="122AE3E5" w14:textId="77777777" w:rsidR="00544811" w:rsidRPr="00F537B9" w:rsidRDefault="00544811">
            <w:pPr>
              <w:ind w:right="-29"/>
              <w:jc w:val="center"/>
              <w:rPr>
                <w:noProof/>
                <w:sz w:val="18"/>
                <w:szCs w:val="18"/>
              </w:rPr>
            </w:pPr>
          </w:p>
        </w:tc>
      </w:tr>
      <w:tr w:rsidR="00544811" w:rsidRPr="00F537B9" w14:paraId="572FD21F" w14:textId="77777777" w:rsidTr="00E459A2">
        <w:trPr>
          <w:jc w:val="center"/>
        </w:trPr>
        <w:tc>
          <w:tcPr>
            <w:tcW w:w="2844" w:type="dxa"/>
            <w:gridSpan w:val="3"/>
            <w:tcBorders>
              <w:bottom w:val="single" w:sz="12" w:space="0" w:color="auto"/>
            </w:tcBorders>
            <w:tcMar>
              <w:left w:w="28" w:type="dxa"/>
              <w:right w:w="28" w:type="dxa"/>
            </w:tcMar>
            <w:vAlign w:val="center"/>
          </w:tcPr>
          <w:p w14:paraId="3F4CE9D9" w14:textId="68B7E31D" w:rsidR="00544811" w:rsidRPr="00F537B9" w:rsidRDefault="00544811">
            <w:pPr>
              <w:jc w:val="center"/>
              <w:rPr>
                <w:noProof/>
                <w:sz w:val="18"/>
                <w:szCs w:val="18"/>
              </w:rPr>
            </w:pPr>
            <w:r w:rsidRPr="00F537B9">
              <w:rPr>
                <w:noProof/>
                <w:sz w:val="18"/>
              </w:rPr>
              <w:t xml:space="preserve">Špecifický cieľ </w:t>
            </w:r>
            <w:r w:rsidR="00F537B9">
              <w:rPr>
                <w:noProof/>
                <w:sz w:val="18"/>
              </w:rPr>
              <w:t>č. </w:t>
            </w:r>
            <w:r w:rsidRPr="00F537B9">
              <w:rPr>
                <w:noProof/>
                <w:sz w:val="18"/>
              </w:rPr>
              <w:t>2 medzisúčet</w:t>
            </w:r>
          </w:p>
        </w:tc>
        <w:tc>
          <w:tcPr>
            <w:tcW w:w="504" w:type="dxa"/>
            <w:tcBorders>
              <w:bottom w:val="single" w:sz="12" w:space="0" w:color="auto"/>
            </w:tcBorders>
            <w:tcMar>
              <w:left w:w="28" w:type="dxa"/>
              <w:right w:w="28" w:type="dxa"/>
            </w:tcMar>
          </w:tcPr>
          <w:p w14:paraId="04B3F0CB" w14:textId="77777777" w:rsidR="00544811" w:rsidRPr="00F537B9" w:rsidRDefault="00544811">
            <w:pPr>
              <w:ind w:right="-29"/>
              <w:jc w:val="center"/>
              <w:rPr>
                <w:noProof/>
                <w:sz w:val="18"/>
                <w:szCs w:val="18"/>
              </w:rPr>
            </w:pPr>
          </w:p>
        </w:tc>
        <w:tc>
          <w:tcPr>
            <w:tcW w:w="720" w:type="dxa"/>
            <w:tcBorders>
              <w:bottom w:val="single" w:sz="12" w:space="0" w:color="auto"/>
            </w:tcBorders>
            <w:tcMar>
              <w:left w:w="28" w:type="dxa"/>
              <w:right w:w="28" w:type="dxa"/>
            </w:tcMar>
          </w:tcPr>
          <w:p w14:paraId="06294FC0" w14:textId="77777777" w:rsidR="00544811" w:rsidRPr="00F537B9" w:rsidRDefault="00544811">
            <w:pPr>
              <w:ind w:right="-29"/>
              <w:jc w:val="center"/>
              <w:rPr>
                <w:noProof/>
                <w:sz w:val="18"/>
                <w:szCs w:val="18"/>
              </w:rPr>
            </w:pPr>
          </w:p>
        </w:tc>
        <w:tc>
          <w:tcPr>
            <w:tcW w:w="540" w:type="dxa"/>
            <w:tcBorders>
              <w:bottom w:val="single" w:sz="12" w:space="0" w:color="auto"/>
            </w:tcBorders>
            <w:tcMar>
              <w:left w:w="28" w:type="dxa"/>
              <w:right w:w="28" w:type="dxa"/>
            </w:tcMar>
          </w:tcPr>
          <w:p w14:paraId="79E52E78" w14:textId="77777777" w:rsidR="00544811" w:rsidRPr="00F537B9" w:rsidRDefault="00544811">
            <w:pPr>
              <w:ind w:right="-29"/>
              <w:jc w:val="center"/>
              <w:rPr>
                <w:noProof/>
                <w:sz w:val="18"/>
                <w:szCs w:val="18"/>
              </w:rPr>
            </w:pPr>
          </w:p>
        </w:tc>
        <w:tc>
          <w:tcPr>
            <w:tcW w:w="720" w:type="dxa"/>
            <w:tcBorders>
              <w:bottom w:val="single" w:sz="12" w:space="0" w:color="auto"/>
            </w:tcBorders>
            <w:tcMar>
              <w:left w:w="28" w:type="dxa"/>
              <w:right w:w="28" w:type="dxa"/>
            </w:tcMar>
          </w:tcPr>
          <w:p w14:paraId="6834BADC" w14:textId="77777777" w:rsidR="00544811" w:rsidRPr="00F537B9" w:rsidRDefault="00544811">
            <w:pPr>
              <w:ind w:right="-29"/>
              <w:jc w:val="center"/>
              <w:rPr>
                <w:noProof/>
                <w:sz w:val="18"/>
                <w:szCs w:val="18"/>
              </w:rPr>
            </w:pPr>
          </w:p>
        </w:tc>
        <w:tc>
          <w:tcPr>
            <w:tcW w:w="720" w:type="dxa"/>
            <w:tcBorders>
              <w:bottom w:val="single" w:sz="12" w:space="0" w:color="auto"/>
            </w:tcBorders>
            <w:tcMar>
              <w:left w:w="28" w:type="dxa"/>
              <w:right w:w="28" w:type="dxa"/>
            </w:tcMar>
          </w:tcPr>
          <w:p w14:paraId="49F18122" w14:textId="77777777" w:rsidR="00544811" w:rsidRPr="00F537B9" w:rsidRDefault="00544811">
            <w:pPr>
              <w:ind w:right="-29"/>
              <w:jc w:val="center"/>
              <w:rPr>
                <w:noProof/>
                <w:sz w:val="18"/>
                <w:szCs w:val="18"/>
              </w:rPr>
            </w:pPr>
          </w:p>
        </w:tc>
        <w:tc>
          <w:tcPr>
            <w:tcW w:w="720" w:type="dxa"/>
            <w:tcBorders>
              <w:bottom w:val="single" w:sz="12" w:space="0" w:color="auto"/>
            </w:tcBorders>
            <w:tcMar>
              <w:left w:w="28" w:type="dxa"/>
              <w:right w:w="28" w:type="dxa"/>
            </w:tcMar>
          </w:tcPr>
          <w:p w14:paraId="50F3CED1" w14:textId="77777777" w:rsidR="00544811" w:rsidRPr="00F537B9" w:rsidRDefault="00544811">
            <w:pPr>
              <w:ind w:right="-29"/>
              <w:jc w:val="center"/>
              <w:rPr>
                <w:noProof/>
                <w:sz w:val="18"/>
                <w:szCs w:val="18"/>
              </w:rPr>
            </w:pPr>
          </w:p>
        </w:tc>
        <w:tc>
          <w:tcPr>
            <w:tcW w:w="951" w:type="dxa"/>
            <w:gridSpan w:val="2"/>
            <w:tcBorders>
              <w:bottom w:val="single" w:sz="12" w:space="0" w:color="auto"/>
            </w:tcBorders>
            <w:tcMar>
              <w:left w:w="28" w:type="dxa"/>
              <w:right w:w="28" w:type="dxa"/>
            </w:tcMar>
          </w:tcPr>
          <w:p w14:paraId="3451FD1F" w14:textId="77777777" w:rsidR="00544811" w:rsidRPr="00F537B9" w:rsidRDefault="00544811">
            <w:pPr>
              <w:ind w:right="-29"/>
              <w:jc w:val="center"/>
              <w:rPr>
                <w:noProof/>
                <w:sz w:val="18"/>
                <w:szCs w:val="18"/>
              </w:rPr>
            </w:pPr>
          </w:p>
        </w:tc>
        <w:tc>
          <w:tcPr>
            <w:tcW w:w="669" w:type="dxa"/>
            <w:tcBorders>
              <w:bottom w:val="single" w:sz="12" w:space="0" w:color="auto"/>
            </w:tcBorders>
            <w:tcMar>
              <w:left w:w="28" w:type="dxa"/>
              <w:right w:w="28" w:type="dxa"/>
            </w:tcMar>
          </w:tcPr>
          <w:p w14:paraId="486855E5" w14:textId="77777777" w:rsidR="00544811" w:rsidRPr="00F537B9" w:rsidRDefault="00544811">
            <w:pPr>
              <w:ind w:right="-29"/>
              <w:jc w:val="center"/>
              <w:rPr>
                <w:noProof/>
                <w:sz w:val="18"/>
                <w:szCs w:val="18"/>
              </w:rPr>
            </w:pPr>
          </w:p>
        </w:tc>
        <w:tc>
          <w:tcPr>
            <w:tcW w:w="540" w:type="dxa"/>
            <w:tcBorders>
              <w:bottom w:val="single" w:sz="12" w:space="0" w:color="auto"/>
            </w:tcBorders>
            <w:tcMar>
              <w:left w:w="28" w:type="dxa"/>
              <w:right w:w="28" w:type="dxa"/>
            </w:tcMar>
          </w:tcPr>
          <w:p w14:paraId="65B3FE8B" w14:textId="77777777" w:rsidR="00544811" w:rsidRPr="00F537B9" w:rsidRDefault="00544811">
            <w:pPr>
              <w:ind w:right="-29"/>
              <w:jc w:val="center"/>
              <w:rPr>
                <w:noProof/>
                <w:sz w:val="18"/>
                <w:szCs w:val="18"/>
              </w:rPr>
            </w:pPr>
          </w:p>
        </w:tc>
        <w:tc>
          <w:tcPr>
            <w:tcW w:w="648" w:type="dxa"/>
            <w:tcBorders>
              <w:bottom w:val="single" w:sz="12" w:space="0" w:color="auto"/>
            </w:tcBorders>
            <w:tcMar>
              <w:left w:w="28" w:type="dxa"/>
              <w:right w:w="28" w:type="dxa"/>
            </w:tcMar>
          </w:tcPr>
          <w:p w14:paraId="4538F7DB" w14:textId="77777777" w:rsidR="00544811" w:rsidRPr="00F537B9" w:rsidRDefault="00544811">
            <w:pPr>
              <w:ind w:right="-29"/>
              <w:jc w:val="center"/>
              <w:rPr>
                <w:noProof/>
                <w:sz w:val="18"/>
                <w:szCs w:val="18"/>
              </w:rPr>
            </w:pPr>
          </w:p>
        </w:tc>
        <w:tc>
          <w:tcPr>
            <w:tcW w:w="432" w:type="dxa"/>
            <w:tcBorders>
              <w:bottom w:val="single" w:sz="12" w:space="0" w:color="auto"/>
            </w:tcBorders>
            <w:tcMar>
              <w:left w:w="28" w:type="dxa"/>
              <w:right w:w="28" w:type="dxa"/>
            </w:tcMar>
          </w:tcPr>
          <w:p w14:paraId="358972D6" w14:textId="77777777" w:rsidR="00544811" w:rsidRPr="00F537B9" w:rsidRDefault="00544811">
            <w:pPr>
              <w:ind w:right="-29"/>
              <w:jc w:val="center"/>
              <w:rPr>
                <w:noProof/>
                <w:sz w:val="18"/>
                <w:szCs w:val="18"/>
              </w:rPr>
            </w:pPr>
          </w:p>
        </w:tc>
        <w:tc>
          <w:tcPr>
            <w:tcW w:w="720" w:type="dxa"/>
            <w:tcBorders>
              <w:bottom w:val="single" w:sz="12" w:space="0" w:color="auto"/>
            </w:tcBorders>
            <w:tcMar>
              <w:left w:w="28" w:type="dxa"/>
              <w:right w:w="28" w:type="dxa"/>
            </w:tcMar>
          </w:tcPr>
          <w:p w14:paraId="75075341" w14:textId="77777777" w:rsidR="00544811" w:rsidRPr="00F537B9" w:rsidRDefault="00544811">
            <w:pPr>
              <w:ind w:right="-29"/>
              <w:jc w:val="center"/>
              <w:rPr>
                <w:noProof/>
                <w:sz w:val="18"/>
                <w:szCs w:val="18"/>
              </w:rPr>
            </w:pPr>
          </w:p>
        </w:tc>
        <w:tc>
          <w:tcPr>
            <w:tcW w:w="540" w:type="dxa"/>
            <w:tcBorders>
              <w:bottom w:val="single" w:sz="12" w:space="0" w:color="auto"/>
            </w:tcBorders>
            <w:tcMar>
              <w:left w:w="28" w:type="dxa"/>
              <w:right w:w="28" w:type="dxa"/>
            </w:tcMar>
          </w:tcPr>
          <w:p w14:paraId="3511EAD0" w14:textId="77777777" w:rsidR="00544811" w:rsidRPr="00F537B9" w:rsidRDefault="00544811">
            <w:pPr>
              <w:ind w:right="-29"/>
              <w:jc w:val="center"/>
              <w:rPr>
                <w:noProof/>
                <w:sz w:val="18"/>
                <w:szCs w:val="18"/>
              </w:rPr>
            </w:pPr>
          </w:p>
        </w:tc>
        <w:tc>
          <w:tcPr>
            <w:tcW w:w="720" w:type="dxa"/>
            <w:tcBorders>
              <w:bottom w:val="single" w:sz="12" w:space="0" w:color="auto"/>
            </w:tcBorders>
            <w:tcMar>
              <w:left w:w="28" w:type="dxa"/>
              <w:right w:w="28" w:type="dxa"/>
            </w:tcMar>
          </w:tcPr>
          <w:p w14:paraId="0B69ED54" w14:textId="77777777" w:rsidR="00544811" w:rsidRPr="00F537B9" w:rsidRDefault="00544811">
            <w:pPr>
              <w:ind w:right="-29"/>
              <w:jc w:val="center"/>
              <w:rPr>
                <w:noProof/>
                <w:sz w:val="18"/>
                <w:szCs w:val="18"/>
              </w:rPr>
            </w:pPr>
          </w:p>
        </w:tc>
        <w:tc>
          <w:tcPr>
            <w:tcW w:w="720" w:type="dxa"/>
            <w:tcBorders>
              <w:bottom w:val="single" w:sz="12" w:space="0" w:color="auto"/>
            </w:tcBorders>
            <w:tcMar>
              <w:left w:w="28" w:type="dxa"/>
              <w:right w:w="28" w:type="dxa"/>
            </w:tcMar>
          </w:tcPr>
          <w:p w14:paraId="79C27918" w14:textId="77777777" w:rsidR="00544811" w:rsidRPr="00F537B9" w:rsidRDefault="00544811">
            <w:pPr>
              <w:ind w:right="-29"/>
              <w:jc w:val="center"/>
              <w:rPr>
                <w:noProof/>
                <w:sz w:val="18"/>
                <w:szCs w:val="18"/>
              </w:rPr>
            </w:pPr>
          </w:p>
        </w:tc>
        <w:tc>
          <w:tcPr>
            <w:tcW w:w="900" w:type="dxa"/>
            <w:tcBorders>
              <w:bottom w:val="single" w:sz="12" w:space="0" w:color="auto"/>
            </w:tcBorders>
            <w:tcMar>
              <w:left w:w="28" w:type="dxa"/>
              <w:right w:w="28" w:type="dxa"/>
            </w:tcMar>
          </w:tcPr>
          <w:p w14:paraId="34AC75CC" w14:textId="77777777" w:rsidR="00544811" w:rsidRPr="00F537B9" w:rsidRDefault="00544811">
            <w:pPr>
              <w:ind w:right="-29"/>
              <w:jc w:val="center"/>
              <w:rPr>
                <w:noProof/>
                <w:sz w:val="18"/>
                <w:szCs w:val="18"/>
              </w:rPr>
            </w:pPr>
          </w:p>
        </w:tc>
      </w:tr>
      <w:tr w:rsidR="00544811" w:rsidRPr="00F537B9" w14:paraId="73270FCC" w14:textId="77777777" w:rsidTr="00E459A2">
        <w:trPr>
          <w:jc w:val="center"/>
        </w:trPr>
        <w:tc>
          <w:tcPr>
            <w:tcW w:w="2844" w:type="dxa"/>
            <w:gridSpan w:val="3"/>
            <w:tcBorders>
              <w:top w:val="single" w:sz="12" w:space="0" w:color="auto"/>
              <w:left w:val="single" w:sz="12" w:space="0" w:color="auto"/>
              <w:bottom w:val="single" w:sz="12" w:space="0" w:color="auto"/>
            </w:tcBorders>
            <w:tcMar>
              <w:left w:w="28" w:type="dxa"/>
              <w:right w:w="28" w:type="dxa"/>
            </w:tcMar>
            <w:vAlign w:val="center"/>
          </w:tcPr>
          <w:p w14:paraId="609CE63F" w14:textId="77777777" w:rsidR="00544811" w:rsidRPr="00F537B9" w:rsidRDefault="00544811">
            <w:pPr>
              <w:ind w:right="-29"/>
              <w:jc w:val="center"/>
              <w:rPr>
                <w:noProof/>
                <w:sz w:val="18"/>
                <w:szCs w:val="18"/>
              </w:rPr>
            </w:pPr>
            <w:r w:rsidRPr="00F537B9">
              <w:rPr>
                <w:b/>
                <w:noProof/>
                <w:sz w:val="18"/>
              </w:rPr>
              <w:t>SPOLU</w:t>
            </w:r>
          </w:p>
        </w:tc>
        <w:tc>
          <w:tcPr>
            <w:tcW w:w="504" w:type="dxa"/>
            <w:tcBorders>
              <w:top w:val="single" w:sz="12" w:space="0" w:color="auto"/>
              <w:bottom w:val="single" w:sz="12" w:space="0" w:color="auto"/>
            </w:tcBorders>
            <w:tcMar>
              <w:left w:w="28" w:type="dxa"/>
              <w:right w:w="28" w:type="dxa"/>
            </w:tcMar>
          </w:tcPr>
          <w:p w14:paraId="7E39E9CE" w14:textId="77777777" w:rsidR="00544811" w:rsidRPr="00F537B9" w:rsidRDefault="00544811">
            <w:pPr>
              <w:spacing w:before="180" w:after="180"/>
              <w:ind w:right="-29"/>
              <w:jc w:val="center"/>
              <w:rPr>
                <w:noProof/>
                <w:sz w:val="18"/>
                <w:szCs w:val="18"/>
              </w:rPr>
            </w:pPr>
          </w:p>
        </w:tc>
        <w:tc>
          <w:tcPr>
            <w:tcW w:w="720" w:type="dxa"/>
            <w:tcBorders>
              <w:top w:val="single" w:sz="12" w:space="0" w:color="auto"/>
              <w:bottom w:val="single" w:sz="12" w:space="0" w:color="auto"/>
            </w:tcBorders>
            <w:tcMar>
              <w:left w:w="28" w:type="dxa"/>
              <w:right w:w="28" w:type="dxa"/>
            </w:tcMar>
          </w:tcPr>
          <w:p w14:paraId="0ECB8BC2" w14:textId="77777777" w:rsidR="00544811" w:rsidRPr="00F537B9" w:rsidRDefault="00544811">
            <w:pPr>
              <w:spacing w:before="180" w:after="180"/>
              <w:ind w:right="-29"/>
              <w:jc w:val="center"/>
              <w:rPr>
                <w:noProof/>
                <w:sz w:val="18"/>
                <w:szCs w:val="18"/>
              </w:rPr>
            </w:pPr>
          </w:p>
        </w:tc>
        <w:tc>
          <w:tcPr>
            <w:tcW w:w="540" w:type="dxa"/>
            <w:tcBorders>
              <w:top w:val="single" w:sz="12" w:space="0" w:color="auto"/>
              <w:bottom w:val="single" w:sz="12" w:space="0" w:color="auto"/>
            </w:tcBorders>
            <w:tcMar>
              <w:left w:w="28" w:type="dxa"/>
              <w:right w:w="28" w:type="dxa"/>
            </w:tcMar>
          </w:tcPr>
          <w:p w14:paraId="31BD5823" w14:textId="77777777" w:rsidR="00544811" w:rsidRPr="00F537B9" w:rsidRDefault="00544811">
            <w:pPr>
              <w:spacing w:before="180" w:after="180"/>
              <w:ind w:right="-29"/>
              <w:jc w:val="center"/>
              <w:rPr>
                <w:noProof/>
                <w:sz w:val="18"/>
                <w:szCs w:val="18"/>
              </w:rPr>
            </w:pPr>
          </w:p>
        </w:tc>
        <w:tc>
          <w:tcPr>
            <w:tcW w:w="720" w:type="dxa"/>
            <w:tcBorders>
              <w:top w:val="single" w:sz="12" w:space="0" w:color="auto"/>
              <w:bottom w:val="single" w:sz="12" w:space="0" w:color="auto"/>
            </w:tcBorders>
            <w:tcMar>
              <w:left w:w="28" w:type="dxa"/>
              <w:right w:w="28" w:type="dxa"/>
            </w:tcMar>
          </w:tcPr>
          <w:p w14:paraId="47EAF534" w14:textId="77777777" w:rsidR="00544811" w:rsidRPr="00F537B9" w:rsidRDefault="00544811">
            <w:pPr>
              <w:spacing w:before="180" w:after="180"/>
              <w:ind w:right="-29"/>
              <w:jc w:val="center"/>
              <w:rPr>
                <w:noProof/>
                <w:sz w:val="18"/>
                <w:szCs w:val="18"/>
              </w:rPr>
            </w:pPr>
          </w:p>
        </w:tc>
        <w:tc>
          <w:tcPr>
            <w:tcW w:w="720" w:type="dxa"/>
            <w:tcBorders>
              <w:top w:val="single" w:sz="12" w:space="0" w:color="auto"/>
              <w:bottom w:val="single" w:sz="12" w:space="0" w:color="auto"/>
            </w:tcBorders>
            <w:tcMar>
              <w:left w:w="28" w:type="dxa"/>
              <w:right w:w="28" w:type="dxa"/>
            </w:tcMar>
          </w:tcPr>
          <w:p w14:paraId="1BCDB877" w14:textId="77777777" w:rsidR="00544811" w:rsidRPr="00F537B9" w:rsidRDefault="00544811">
            <w:pPr>
              <w:spacing w:before="180" w:after="180"/>
              <w:ind w:right="-29"/>
              <w:jc w:val="center"/>
              <w:rPr>
                <w:noProof/>
                <w:sz w:val="18"/>
                <w:szCs w:val="18"/>
              </w:rPr>
            </w:pPr>
          </w:p>
        </w:tc>
        <w:tc>
          <w:tcPr>
            <w:tcW w:w="720" w:type="dxa"/>
            <w:tcBorders>
              <w:top w:val="single" w:sz="12" w:space="0" w:color="auto"/>
              <w:bottom w:val="single" w:sz="12" w:space="0" w:color="auto"/>
            </w:tcBorders>
            <w:tcMar>
              <w:left w:w="28" w:type="dxa"/>
              <w:right w:w="28" w:type="dxa"/>
            </w:tcMar>
          </w:tcPr>
          <w:p w14:paraId="3E2A6846" w14:textId="77777777" w:rsidR="00544811" w:rsidRPr="00F537B9" w:rsidRDefault="00544811">
            <w:pPr>
              <w:spacing w:before="180" w:after="180"/>
              <w:ind w:right="-29"/>
              <w:jc w:val="center"/>
              <w:rPr>
                <w:noProof/>
                <w:sz w:val="18"/>
                <w:szCs w:val="18"/>
              </w:rPr>
            </w:pPr>
          </w:p>
        </w:tc>
        <w:tc>
          <w:tcPr>
            <w:tcW w:w="900" w:type="dxa"/>
            <w:tcBorders>
              <w:top w:val="single" w:sz="12" w:space="0" w:color="auto"/>
              <w:bottom w:val="single" w:sz="12" w:space="0" w:color="auto"/>
            </w:tcBorders>
            <w:tcMar>
              <w:left w:w="28" w:type="dxa"/>
              <w:right w:w="28" w:type="dxa"/>
            </w:tcMar>
          </w:tcPr>
          <w:p w14:paraId="7BEF245C" w14:textId="77777777" w:rsidR="00544811" w:rsidRPr="00F537B9" w:rsidRDefault="00544811">
            <w:pPr>
              <w:spacing w:before="180" w:after="180"/>
              <w:ind w:right="-29"/>
              <w:jc w:val="center"/>
              <w:rPr>
                <w:noProof/>
                <w:sz w:val="18"/>
                <w:szCs w:val="18"/>
              </w:rPr>
            </w:pPr>
          </w:p>
        </w:tc>
        <w:tc>
          <w:tcPr>
            <w:tcW w:w="720" w:type="dxa"/>
            <w:gridSpan w:val="2"/>
            <w:tcBorders>
              <w:top w:val="single" w:sz="12" w:space="0" w:color="auto"/>
              <w:bottom w:val="single" w:sz="12" w:space="0" w:color="auto"/>
            </w:tcBorders>
            <w:tcMar>
              <w:left w:w="28" w:type="dxa"/>
              <w:right w:w="28" w:type="dxa"/>
            </w:tcMar>
          </w:tcPr>
          <w:p w14:paraId="2052E2F2" w14:textId="77777777" w:rsidR="00544811" w:rsidRPr="00F537B9" w:rsidRDefault="00544811">
            <w:pPr>
              <w:spacing w:before="180" w:after="180"/>
              <w:ind w:right="-29"/>
              <w:jc w:val="center"/>
              <w:rPr>
                <w:noProof/>
                <w:sz w:val="18"/>
                <w:szCs w:val="18"/>
              </w:rPr>
            </w:pPr>
          </w:p>
        </w:tc>
        <w:tc>
          <w:tcPr>
            <w:tcW w:w="540" w:type="dxa"/>
            <w:tcBorders>
              <w:top w:val="single" w:sz="12" w:space="0" w:color="auto"/>
              <w:bottom w:val="single" w:sz="12" w:space="0" w:color="auto"/>
            </w:tcBorders>
            <w:tcMar>
              <w:left w:w="28" w:type="dxa"/>
              <w:right w:w="28" w:type="dxa"/>
            </w:tcMar>
          </w:tcPr>
          <w:p w14:paraId="26D92BC4" w14:textId="77777777" w:rsidR="00544811" w:rsidRPr="00F537B9" w:rsidRDefault="00544811">
            <w:pPr>
              <w:spacing w:before="180" w:after="180"/>
              <w:ind w:right="-29"/>
              <w:jc w:val="center"/>
              <w:rPr>
                <w:noProof/>
                <w:sz w:val="18"/>
                <w:szCs w:val="18"/>
              </w:rPr>
            </w:pPr>
          </w:p>
        </w:tc>
        <w:tc>
          <w:tcPr>
            <w:tcW w:w="648" w:type="dxa"/>
            <w:tcBorders>
              <w:top w:val="single" w:sz="12" w:space="0" w:color="auto"/>
              <w:bottom w:val="single" w:sz="12" w:space="0" w:color="auto"/>
            </w:tcBorders>
            <w:tcMar>
              <w:left w:w="28" w:type="dxa"/>
              <w:right w:w="28" w:type="dxa"/>
            </w:tcMar>
          </w:tcPr>
          <w:p w14:paraId="7470CD79" w14:textId="77777777" w:rsidR="00544811" w:rsidRPr="00F537B9" w:rsidRDefault="00544811">
            <w:pPr>
              <w:spacing w:before="180" w:after="180"/>
              <w:ind w:right="-29"/>
              <w:jc w:val="center"/>
              <w:rPr>
                <w:noProof/>
                <w:sz w:val="18"/>
                <w:szCs w:val="18"/>
              </w:rPr>
            </w:pPr>
          </w:p>
        </w:tc>
        <w:tc>
          <w:tcPr>
            <w:tcW w:w="432" w:type="dxa"/>
            <w:tcBorders>
              <w:top w:val="single" w:sz="12" w:space="0" w:color="auto"/>
              <w:bottom w:val="single" w:sz="12" w:space="0" w:color="auto"/>
            </w:tcBorders>
            <w:tcMar>
              <w:left w:w="28" w:type="dxa"/>
              <w:right w:w="28" w:type="dxa"/>
            </w:tcMar>
          </w:tcPr>
          <w:p w14:paraId="2687A1E8" w14:textId="77777777" w:rsidR="00544811" w:rsidRPr="00F537B9" w:rsidRDefault="00544811">
            <w:pPr>
              <w:spacing w:before="180" w:after="180"/>
              <w:ind w:right="-29"/>
              <w:jc w:val="center"/>
              <w:rPr>
                <w:noProof/>
                <w:sz w:val="18"/>
                <w:szCs w:val="18"/>
              </w:rPr>
            </w:pPr>
          </w:p>
        </w:tc>
        <w:tc>
          <w:tcPr>
            <w:tcW w:w="720" w:type="dxa"/>
            <w:tcBorders>
              <w:top w:val="single" w:sz="12" w:space="0" w:color="auto"/>
              <w:bottom w:val="single" w:sz="12" w:space="0" w:color="auto"/>
            </w:tcBorders>
            <w:tcMar>
              <w:left w:w="28" w:type="dxa"/>
              <w:right w:w="28" w:type="dxa"/>
            </w:tcMar>
          </w:tcPr>
          <w:p w14:paraId="3C5AFA01" w14:textId="77777777" w:rsidR="00544811" w:rsidRPr="00F537B9" w:rsidRDefault="00544811">
            <w:pPr>
              <w:spacing w:before="180" w:after="180"/>
              <w:ind w:right="-29"/>
              <w:jc w:val="center"/>
              <w:rPr>
                <w:noProof/>
                <w:sz w:val="18"/>
                <w:szCs w:val="18"/>
              </w:rPr>
            </w:pPr>
          </w:p>
        </w:tc>
        <w:tc>
          <w:tcPr>
            <w:tcW w:w="540" w:type="dxa"/>
            <w:tcBorders>
              <w:top w:val="single" w:sz="12" w:space="0" w:color="auto"/>
              <w:bottom w:val="single" w:sz="12" w:space="0" w:color="auto"/>
            </w:tcBorders>
            <w:tcMar>
              <w:left w:w="28" w:type="dxa"/>
              <w:right w:w="28" w:type="dxa"/>
            </w:tcMar>
          </w:tcPr>
          <w:p w14:paraId="0935BF19" w14:textId="77777777" w:rsidR="00544811" w:rsidRPr="00F537B9" w:rsidRDefault="00544811">
            <w:pPr>
              <w:spacing w:before="180" w:after="180"/>
              <w:ind w:right="-29"/>
              <w:jc w:val="center"/>
              <w:rPr>
                <w:noProof/>
                <w:sz w:val="18"/>
                <w:szCs w:val="18"/>
              </w:rPr>
            </w:pPr>
          </w:p>
        </w:tc>
        <w:tc>
          <w:tcPr>
            <w:tcW w:w="720" w:type="dxa"/>
            <w:tcBorders>
              <w:top w:val="single" w:sz="12" w:space="0" w:color="auto"/>
              <w:bottom w:val="single" w:sz="12" w:space="0" w:color="auto"/>
            </w:tcBorders>
            <w:tcMar>
              <w:left w:w="28" w:type="dxa"/>
              <w:right w:w="28" w:type="dxa"/>
            </w:tcMar>
          </w:tcPr>
          <w:p w14:paraId="6DF0E78A" w14:textId="77777777" w:rsidR="00544811" w:rsidRPr="00F537B9" w:rsidRDefault="00544811">
            <w:pPr>
              <w:spacing w:before="180" w:after="180"/>
              <w:ind w:right="-29"/>
              <w:jc w:val="center"/>
              <w:rPr>
                <w:noProof/>
                <w:sz w:val="18"/>
                <w:szCs w:val="18"/>
              </w:rPr>
            </w:pPr>
          </w:p>
        </w:tc>
        <w:tc>
          <w:tcPr>
            <w:tcW w:w="720" w:type="dxa"/>
            <w:tcBorders>
              <w:top w:val="single" w:sz="12" w:space="0" w:color="auto"/>
              <w:bottom w:val="single" w:sz="12" w:space="0" w:color="auto"/>
            </w:tcBorders>
            <w:tcMar>
              <w:left w:w="28" w:type="dxa"/>
              <w:right w:w="28" w:type="dxa"/>
            </w:tcMar>
          </w:tcPr>
          <w:p w14:paraId="4DEF8195" w14:textId="77777777" w:rsidR="00544811" w:rsidRPr="00F537B9" w:rsidRDefault="00544811">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Mar>
              <w:left w:w="28" w:type="dxa"/>
              <w:right w:w="28" w:type="dxa"/>
            </w:tcMar>
          </w:tcPr>
          <w:p w14:paraId="784B130F" w14:textId="77777777" w:rsidR="00544811" w:rsidRPr="00F537B9" w:rsidRDefault="00544811">
            <w:pPr>
              <w:spacing w:before="180" w:after="180"/>
              <w:ind w:right="-29"/>
              <w:jc w:val="center"/>
              <w:rPr>
                <w:noProof/>
                <w:sz w:val="18"/>
                <w:szCs w:val="18"/>
              </w:rPr>
            </w:pPr>
          </w:p>
        </w:tc>
      </w:tr>
    </w:tbl>
    <w:p w14:paraId="3C95EDEF" w14:textId="77777777" w:rsidR="00544811" w:rsidRPr="00F537B9" w:rsidRDefault="00544811">
      <w:pPr>
        <w:rPr>
          <w:noProof/>
        </w:rPr>
        <w:sectPr w:rsidR="00544811" w:rsidRPr="00F537B9" w:rsidSect="004765B0">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14:paraId="3420A020" w14:textId="77777777" w:rsidR="00F537B9" w:rsidRDefault="00544811">
      <w:pPr>
        <w:pStyle w:val="ManualHeading3"/>
        <w:rPr>
          <w:noProof/>
        </w:rPr>
      </w:pPr>
      <w:bookmarkStart w:id="103" w:name="_Toc514938055"/>
      <w:bookmarkStart w:id="104" w:name="_Toc520485054"/>
      <w:r w:rsidRPr="00F537B9">
        <w:rPr>
          <w:noProof/>
        </w:rPr>
        <w:t>3.2.3.</w:t>
      </w:r>
      <w:r w:rsidRPr="00F537B9">
        <w:rPr>
          <w:noProof/>
        </w:rPr>
        <w:tab/>
        <w:t>Zhrnutie odhadovaného vplyvu na administratívne rozpočtové prostriedky</w:t>
      </w:r>
      <w:bookmarkEnd w:id="103"/>
      <w:bookmarkEnd w:id="104"/>
    </w:p>
    <w:p w14:paraId="741388C5" w14:textId="77777777" w:rsidR="00F537B9" w:rsidRDefault="00544811" w:rsidP="001C0426">
      <w:pPr>
        <w:pStyle w:val="ListDash1"/>
        <w:rPr>
          <w:noProof/>
        </w:rPr>
      </w:pPr>
      <w:r w:rsidRPr="00F537B9">
        <w:rPr>
          <w:rFonts w:ascii="Wingdings" w:hAnsi="Wingdings"/>
          <w:noProof/>
        </w:rPr>
        <w:t></w:t>
      </w:r>
      <w:r w:rsidRPr="00F537B9">
        <w:rPr>
          <w:noProof/>
        </w:rPr>
        <w:tab/>
        <w:t>Návrh/iniciatíva si nevyžaduje použitie administratívnych rozpočtových prostriedkov</w:t>
      </w:r>
    </w:p>
    <w:p w14:paraId="437680CA" w14:textId="62ABCE3B" w:rsidR="00544811" w:rsidRPr="00F537B9" w:rsidRDefault="00544811" w:rsidP="001C0426">
      <w:pPr>
        <w:pStyle w:val="ListDash1"/>
        <w:rPr>
          <w:noProof/>
        </w:rPr>
      </w:pPr>
      <w:r w:rsidRPr="00F537B9">
        <w:rPr>
          <w:rFonts w:ascii="Wingdings" w:hAnsi="Wingdings"/>
          <w:noProof/>
        </w:rPr>
        <w:t></w:t>
      </w:r>
      <w:r w:rsidRPr="00F537B9">
        <w:rPr>
          <w:noProof/>
        </w:rPr>
        <w:tab/>
        <w:t>Návrh/iniciatíva si vyžaduje použitie týchto administratívnych rozpočtových prostriedkov:</w:t>
      </w:r>
    </w:p>
    <w:p w14:paraId="3437AA16" w14:textId="77777777" w:rsidR="00544811" w:rsidRPr="00F537B9" w:rsidRDefault="00544811">
      <w:pPr>
        <w:jc w:val="right"/>
        <w:rPr>
          <w:noProof/>
          <w:sz w:val="20"/>
        </w:rPr>
      </w:pPr>
      <w:r w:rsidRPr="00F537B9">
        <w:rPr>
          <w:noProof/>
          <w:sz w:val="20"/>
        </w:rPr>
        <w:t>v mil. EUR (zaokrúhlené na 3 desatinné miesta)</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5076D3" w:rsidRPr="00F537B9" w14:paraId="41CD27F5" w14:textId="77777777">
        <w:trPr>
          <w:trHeight w:val="585"/>
        </w:trPr>
        <w:tc>
          <w:tcPr>
            <w:tcW w:w="1980" w:type="dxa"/>
          </w:tcPr>
          <w:p w14:paraId="5684ECA0" w14:textId="77777777" w:rsidR="00544811" w:rsidRPr="00F537B9" w:rsidRDefault="00544811">
            <w:pPr>
              <w:spacing w:before="60" w:after="60" w:line="200" w:lineRule="exact"/>
              <w:rPr>
                <w:noProof/>
                <w:sz w:val="16"/>
                <w:szCs w:val="16"/>
              </w:rPr>
            </w:pPr>
          </w:p>
        </w:tc>
        <w:tc>
          <w:tcPr>
            <w:tcW w:w="1080" w:type="dxa"/>
            <w:vAlign w:val="center"/>
          </w:tcPr>
          <w:p w14:paraId="44769FC6" w14:textId="77777777" w:rsidR="00544811" w:rsidRPr="00F537B9" w:rsidRDefault="00544811">
            <w:pPr>
              <w:spacing w:before="60" w:after="60" w:line="200" w:lineRule="exact"/>
              <w:jc w:val="center"/>
              <w:rPr>
                <w:noProof/>
                <w:sz w:val="16"/>
                <w:szCs w:val="16"/>
              </w:rPr>
            </w:pPr>
            <w:r w:rsidRPr="00F537B9">
              <w:rPr>
                <w:noProof/>
                <w:sz w:val="16"/>
              </w:rPr>
              <w:t>Rok</w:t>
            </w:r>
            <w:r w:rsidRPr="00F537B9">
              <w:rPr>
                <w:noProof/>
              </w:rPr>
              <w:t xml:space="preserve"> </w:t>
            </w:r>
            <w:r w:rsidRPr="00F537B9">
              <w:rPr>
                <w:noProof/>
              </w:rPr>
              <w:br/>
            </w:r>
            <w:r w:rsidRPr="00F537B9">
              <w:rPr>
                <w:b/>
                <w:noProof/>
                <w:sz w:val="16"/>
              </w:rPr>
              <w:t xml:space="preserve">2025 </w:t>
            </w:r>
            <w:r w:rsidRPr="00F537B9">
              <w:rPr>
                <w:rStyle w:val="FootnoteReference"/>
                <w:b/>
                <w:noProof/>
                <w:sz w:val="16"/>
              </w:rPr>
              <w:footnoteReference w:id="52"/>
            </w:r>
          </w:p>
        </w:tc>
        <w:tc>
          <w:tcPr>
            <w:tcW w:w="1080" w:type="dxa"/>
            <w:vAlign w:val="center"/>
          </w:tcPr>
          <w:p w14:paraId="15DC4D1E" w14:textId="77777777" w:rsidR="00544811" w:rsidRPr="00F537B9" w:rsidRDefault="00544811">
            <w:pPr>
              <w:spacing w:before="60" w:after="60" w:line="200" w:lineRule="exact"/>
              <w:jc w:val="center"/>
              <w:rPr>
                <w:noProof/>
                <w:sz w:val="16"/>
                <w:szCs w:val="16"/>
              </w:rPr>
            </w:pPr>
            <w:r w:rsidRPr="00F537B9">
              <w:rPr>
                <w:noProof/>
                <w:sz w:val="16"/>
              </w:rPr>
              <w:t>Rok</w:t>
            </w:r>
            <w:r w:rsidRPr="00F537B9">
              <w:rPr>
                <w:noProof/>
              </w:rPr>
              <w:t xml:space="preserve"> </w:t>
            </w:r>
            <w:r w:rsidRPr="00F537B9">
              <w:rPr>
                <w:noProof/>
              </w:rPr>
              <w:br/>
            </w:r>
            <w:r w:rsidRPr="00F537B9">
              <w:rPr>
                <w:b/>
                <w:noProof/>
                <w:sz w:val="16"/>
              </w:rPr>
              <w:t>2026</w:t>
            </w:r>
          </w:p>
        </w:tc>
        <w:tc>
          <w:tcPr>
            <w:tcW w:w="1080" w:type="dxa"/>
            <w:vAlign w:val="center"/>
          </w:tcPr>
          <w:p w14:paraId="3F8737BD" w14:textId="77777777" w:rsidR="00544811" w:rsidRPr="00F537B9" w:rsidRDefault="00544811">
            <w:pPr>
              <w:spacing w:before="60" w:after="60" w:line="200" w:lineRule="exact"/>
              <w:jc w:val="center"/>
              <w:rPr>
                <w:noProof/>
                <w:sz w:val="16"/>
                <w:szCs w:val="16"/>
              </w:rPr>
            </w:pPr>
            <w:r w:rsidRPr="00F537B9">
              <w:rPr>
                <w:noProof/>
                <w:sz w:val="16"/>
              </w:rPr>
              <w:t>Rok</w:t>
            </w:r>
            <w:r w:rsidRPr="00F537B9">
              <w:rPr>
                <w:noProof/>
              </w:rPr>
              <w:t xml:space="preserve"> </w:t>
            </w:r>
            <w:r w:rsidRPr="00F537B9">
              <w:rPr>
                <w:noProof/>
              </w:rPr>
              <w:br/>
            </w:r>
            <w:r w:rsidRPr="00F537B9">
              <w:rPr>
                <w:b/>
                <w:noProof/>
                <w:sz w:val="16"/>
              </w:rPr>
              <w:t>2027</w:t>
            </w:r>
          </w:p>
        </w:tc>
        <w:tc>
          <w:tcPr>
            <w:tcW w:w="1080" w:type="dxa"/>
            <w:vAlign w:val="center"/>
          </w:tcPr>
          <w:p w14:paraId="41721E35" w14:textId="77777777" w:rsidR="00544811" w:rsidRPr="00F537B9" w:rsidRDefault="00544811">
            <w:pPr>
              <w:spacing w:before="60" w:after="60" w:line="200" w:lineRule="exact"/>
              <w:jc w:val="center"/>
              <w:rPr>
                <w:noProof/>
                <w:sz w:val="16"/>
                <w:szCs w:val="16"/>
              </w:rPr>
            </w:pPr>
            <w:r w:rsidRPr="00F537B9">
              <w:rPr>
                <w:noProof/>
                <w:sz w:val="16"/>
              </w:rPr>
              <w:t>Rok</w:t>
            </w:r>
            <w:r w:rsidRPr="00F537B9">
              <w:rPr>
                <w:noProof/>
              </w:rPr>
              <w:t xml:space="preserve"> </w:t>
            </w:r>
            <w:r w:rsidRPr="00F537B9">
              <w:rPr>
                <w:noProof/>
              </w:rPr>
              <w:br/>
            </w:r>
          </w:p>
        </w:tc>
        <w:tc>
          <w:tcPr>
            <w:tcW w:w="3240" w:type="dxa"/>
            <w:vAlign w:val="center"/>
          </w:tcPr>
          <w:p w14:paraId="51FDBB35" w14:textId="77777777" w:rsidR="00544811" w:rsidRPr="00F537B9" w:rsidRDefault="00544811">
            <w:pPr>
              <w:spacing w:line="200" w:lineRule="exact"/>
              <w:jc w:val="center"/>
              <w:rPr>
                <w:b/>
                <w:noProof/>
                <w:sz w:val="16"/>
                <w:szCs w:val="16"/>
              </w:rPr>
            </w:pPr>
            <w:r w:rsidRPr="00F537B9">
              <w:rPr>
                <w:noProof/>
                <w:sz w:val="16"/>
              </w:rPr>
              <w:t>Uveďte všetky roky, počas ktorých vplyv trvá (pozri bod 1.6)</w:t>
            </w:r>
          </w:p>
        </w:tc>
        <w:tc>
          <w:tcPr>
            <w:tcW w:w="1080" w:type="dxa"/>
            <w:vAlign w:val="center"/>
          </w:tcPr>
          <w:p w14:paraId="0E03C5EF" w14:textId="77777777" w:rsidR="00544811" w:rsidRPr="00F537B9" w:rsidRDefault="00544811">
            <w:pPr>
              <w:spacing w:before="60" w:after="60" w:line="200" w:lineRule="exact"/>
              <w:jc w:val="center"/>
              <w:rPr>
                <w:b/>
                <w:noProof/>
                <w:sz w:val="16"/>
                <w:szCs w:val="16"/>
              </w:rPr>
            </w:pPr>
            <w:r w:rsidRPr="00F537B9">
              <w:rPr>
                <w:b/>
                <w:noProof/>
                <w:sz w:val="16"/>
              </w:rPr>
              <w:t>SPOLU</w:t>
            </w:r>
          </w:p>
        </w:tc>
      </w:tr>
    </w:tbl>
    <w:p w14:paraId="7682BC70" w14:textId="77777777" w:rsidR="00544811" w:rsidRPr="00F537B9" w:rsidRDefault="00544811">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3E7FB4" w:rsidRPr="00F537B9" w14:paraId="6B24F213" w14:textId="77777777">
        <w:trPr>
          <w:trHeight w:val="585"/>
        </w:trPr>
        <w:tc>
          <w:tcPr>
            <w:tcW w:w="1980" w:type="dxa"/>
            <w:shd w:val="clear" w:color="auto" w:fill="CCCCCC"/>
            <w:vAlign w:val="center"/>
          </w:tcPr>
          <w:p w14:paraId="10841E1C" w14:textId="77777777" w:rsidR="00544811" w:rsidRPr="00F537B9" w:rsidRDefault="00544811">
            <w:pPr>
              <w:spacing w:before="60" w:after="60" w:line="200" w:lineRule="exact"/>
              <w:jc w:val="center"/>
              <w:rPr>
                <w:b/>
                <w:noProof/>
                <w:sz w:val="16"/>
                <w:szCs w:val="16"/>
              </w:rPr>
            </w:pPr>
            <w:r w:rsidRPr="00F537B9">
              <w:rPr>
                <w:b/>
                <w:noProof/>
                <w:sz w:val="16"/>
              </w:rPr>
              <w:t>OKRUH 7</w:t>
            </w:r>
            <w:r w:rsidRPr="00F537B9">
              <w:rPr>
                <w:noProof/>
              </w:rPr>
              <w:t xml:space="preserve"> </w:t>
            </w:r>
            <w:r w:rsidRPr="00F537B9">
              <w:rPr>
                <w:noProof/>
              </w:rPr>
              <w:br/>
            </w:r>
            <w:r w:rsidRPr="00F537B9">
              <w:rPr>
                <w:b/>
                <w:noProof/>
                <w:sz w:val="16"/>
              </w:rPr>
              <w:t>viacročného finančného rámca</w:t>
            </w:r>
          </w:p>
        </w:tc>
        <w:tc>
          <w:tcPr>
            <w:tcW w:w="1080" w:type="dxa"/>
            <w:vAlign w:val="center"/>
          </w:tcPr>
          <w:p w14:paraId="3783D0BE" w14:textId="77777777" w:rsidR="00544811" w:rsidRPr="00F537B9" w:rsidRDefault="00544811">
            <w:pPr>
              <w:spacing w:before="60" w:after="60" w:line="200" w:lineRule="exact"/>
              <w:jc w:val="right"/>
              <w:rPr>
                <w:noProof/>
                <w:sz w:val="16"/>
                <w:szCs w:val="16"/>
              </w:rPr>
            </w:pPr>
          </w:p>
        </w:tc>
        <w:tc>
          <w:tcPr>
            <w:tcW w:w="1080" w:type="dxa"/>
            <w:vAlign w:val="center"/>
          </w:tcPr>
          <w:p w14:paraId="56EBE82E" w14:textId="77777777" w:rsidR="00544811" w:rsidRPr="00F537B9" w:rsidRDefault="00544811">
            <w:pPr>
              <w:spacing w:before="60" w:after="60" w:line="200" w:lineRule="exact"/>
              <w:jc w:val="right"/>
              <w:rPr>
                <w:noProof/>
                <w:sz w:val="16"/>
                <w:szCs w:val="16"/>
              </w:rPr>
            </w:pPr>
          </w:p>
        </w:tc>
        <w:tc>
          <w:tcPr>
            <w:tcW w:w="1080" w:type="dxa"/>
            <w:vAlign w:val="center"/>
          </w:tcPr>
          <w:p w14:paraId="333720C7" w14:textId="77777777" w:rsidR="00544811" w:rsidRPr="00F537B9" w:rsidRDefault="00544811">
            <w:pPr>
              <w:spacing w:before="60" w:after="60" w:line="200" w:lineRule="exact"/>
              <w:jc w:val="right"/>
              <w:rPr>
                <w:noProof/>
                <w:sz w:val="16"/>
                <w:szCs w:val="16"/>
              </w:rPr>
            </w:pPr>
          </w:p>
        </w:tc>
        <w:tc>
          <w:tcPr>
            <w:tcW w:w="1080" w:type="dxa"/>
            <w:vAlign w:val="center"/>
          </w:tcPr>
          <w:p w14:paraId="64F133A1" w14:textId="77777777" w:rsidR="00544811" w:rsidRPr="00F537B9" w:rsidRDefault="00544811">
            <w:pPr>
              <w:spacing w:before="60" w:after="60" w:line="200" w:lineRule="exact"/>
              <w:jc w:val="right"/>
              <w:rPr>
                <w:noProof/>
                <w:sz w:val="16"/>
                <w:szCs w:val="16"/>
              </w:rPr>
            </w:pPr>
          </w:p>
        </w:tc>
        <w:tc>
          <w:tcPr>
            <w:tcW w:w="1080" w:type="dxa"/>
            <w:vAlign w:val="center"/>
          </w:tcPr>
          <w:p w14:paraId="14569051" w14:textId="77777777" w:rsidR="00544811" w:rsidRPr="00F537B9" w:rsidRDefault="00544811">
            <w:pPr>
              <w:spacing w:before="60" w:after="60" w:line="200" w:lineRule="exact"/>
              <w:jc w:val="right"/>
              <w:rPr>
                <w:noProof/>
                <w:sz w:val="16"/>
                <w:szCs w:val="16"/>
              </w:rPr>
            </w:pPr>
          </w:p>
        </w:tc>
        <w:tc>
          <w:tcPr>
            <w:tcW w:w="1080" w:type="dxa"/>
            <w:vAlign w:val="center"/>
          </w:tcPr>
          <w:p w14:paraId="57EB2B52" w14:textId="77777777" w:rsidR="00544811" w:rsidRPr="00F537B9" w:rsidRDefault="00544811">
            <w:pPr>
              <w:spacing w:before="60" w:after="60" w:line="200" w:lineRule="exact"/>
              <w:jc w:val="right"/>
              <w:rPr>
                <w:noProof/>
                <w:sz w:val="16"/>
                <w:szCs w:val="16"/>
              </w:rPr>
            </w:pPr>
          </w:p>
        </w:tc>
        <w:tc>
          <w:tcPr>
            <w:tcW w:w="1080" w:type="dxa"/>
            <w:vAlign w:val="center"/>
          </w:tcPr>
          <w:p w14:paraId="73E9D5F5" w14:textId="77777777" w:rsidR="00544811" w:rsidRPr="00F537B9" w:rsidRDefault="00544811">
            <w:pPr>
              <w:spacing w:before="60" w:after="60" w:line="200" w:lineRule="exact"/>
              <w:jc w:val="right"/>
              <w:rPr>
                <w:b/>
                <w:noProof/>
                <w:sz w:val="16"/>
                <w:szCs w:val="16"/>
              </w:rPr>
            </w:pPr>
          </w:p>
        </w:tc>
        <w:tc>
          <w:tcPr>
            <w:tcW w:w="1080" w:type="dxa"/>
            <w:vAlign w:val="center"/>
          </w:tcPr>
          <w:p w14:paraId="6CC20ACB" w14:textId="77777777" w:rsidR="00544811" w:rsidRPr="00F537B9" w:rsidRDefault="00544811">
            <w:pPr>
              <w:spacing w:before="60" w:after="60" w:line="200" w:lineRule="exact"/>
              <w:jc w:val="right"/>
              <w:rPr>
                <w:b/>
                <w:noProof/>
                <w:sz w:val="16"/>
                <w:szCs w:val="16"/>
              </w:rPr>
            </w:pPr>
          </w:p>
        </w:tc>
      </w:tr>
      <w:tr w:rsidR="00467C67" w:rsidRPr="00F537B9" w14:paraId="3DF7087E" w14:textId="77777777">
        <w:trPr>
          <w:trHeight w:val="585"/>
        </w:trPr>
        <w:tc>
          <w:tcPr>
            <w:tcW w:w="1980" w:type="dxa"/>
            <w:vAlign w:val="center"/>
          </w:tcPr>
          <w:p w14:paraId="0367A523" w14:textId="77777777" w:rsidR="00467C67" w:rsidRPr="00F537B9" w:rsidRDefault="00467C67" w:rsidP="00467C67">
            <w:pPr>
              <w:spacing w:before="60" w:after="60" w:line="200" w:lineRule="exact"/>
              <w:ind w:left="72"/>
              <w:jc w:val="left"/>
              <w:rPr>
                <w:noProof/>
                <w:sz w:val="16"/>
                <w:szCs w:val="16"/>
              </w:rPr>
            </w:pPr>
            <w:r w:rsidRPr="00F537B9">
              <w:rPr>
                <w:noProof/>
                <w:sz w:val="16"/>
              </w:rPr>
              <w:t xml:space="preserve">Ľudské zdroje </w:t>
            </w:r>
          </w:p>
        </w:tc>
        <w:tc>
          <w:tcPr>
            <w:tcW w:w="1080" w:type="dxa"/>
            <w:vAlign w:val="center"/>
          </w:tcPr>
          <w:p w14:paraId="3A36E849" w14:textId="77777777" w:rsidR="00467C67" w:rsidRPr="00F537B9" w:rsidRDefault="003503D5" w:rsidP="00467C67">
            <w:pPr>
              <w:spacing w:before="60" w:after="60" w:line="200" w:lineRule="exact"/>
              <w:jc w:val="right"/>
              <w:rPr>
                <w:noProof/>
                <w:sz w:val="16"/>
                <w:szCs w:val="16"/>
              </w:rPr>
            </w:pPr>
            <w:r w:rsidRPr="00F537B9">
              <w:rPr>
                <w:noProof/>
                <w:sz w:val="16"/>
              </w:rPr>
              <w:t>1,026</w:t>
            </w:r>
          </w:p>
        </w:tc>
        <w:tc>
          <w:tcPr>
            <w:tcW w:w="1080" w:type="dxa"/>
            <w:vAlign w:val="center"/>
          </w:tcPr>
          <w:p w14:paraId="677A17AD" w14:textId="77777777" w:rsidR="00467C67" w:rsidRPr="00F537B9" w:rsidRDefault="003503D5" w:rsidP="00467C67">
            <w:pPr>
              <w:spacing w:before="60" w:after="60" w:line="200" w:lineRule="exact"/>
              <w:jc w:val="right"/>
              <w:rPr>
                <w:noProof/>
                <w:sz w:val="16"/>
                <w:szCs w:val="16"/>
              </w:rPr>
            </w:pPr>
            <w:r w:rsidRPr="00F537B9">
              <w:rPr>
                <w:noProof/>
                <w:sz w:val="16"/>
              </w:rPr>
              <w:t>1,026</w:t>
            </w:r>
          </w:p>
        </w:tc>
        <w:tc>
          <w:tcPr>
            <w:tcW w:w="1080" w:type="dxa"/>
            <w:vAlign w:val="center"/>
          </w:tcPr>
          <w:p w14:paraId="51EB3BE9" w14:textId="77777777" w:rsidR="00467C67" w:rsidRPr="00F537B9" w:rsidRDefault="003503D5" w:rsidP="00467C67">
            <w:pPr>
              <w:spacing w:before="60" w:after="60" w:line="200" w:lineRule="exact"/>
              <w:jc w:val="right"/>
              <w:rPr>
                <w:noProof/>
                <w:sz w:val="16"/>
                <w:szCs w:val="16"/>
              </w:rPr>
            </w:pPr>
            <w:r w:rsidRPr="00F537B9">
              <w:rPr>
                <w:noProof/>
                <w:sz w:val="16"/>
              </w:rPr>
              <w:t>1,026</w:t>
            </w:r>
          </w:p>
        </w:tc>
        <w:tc>
          <w:tcPr>
            <w:tcW w:w="1080" w:type="dxa"/>
            <w:vAlign w:val="center"/>
          </w:tcPr>
          <w:p w14:paraId="48664158" w14:textId="77777777" w:rsidR="00467C67" w:rsidRPr="00F537B9" w:rsidRDefault="00467C67" w:rsidP="00467C67">
            <w:pPr>
              <w:spacing w:before="60" w:after="60" w:line="200" w:lineRule="exact"/>
              <w:jc w:val="right"/>
              <w:rPr>
                <w:noProof/>
                <w:sz w:val="16"/>
                <w:szCs w:val="16"/>
              </w:rPr>
            </w:pPr>
          </w:p>
        </w:tc>
        <w:tc>
          <w:tcPr>
            <w:tcW w:w="1080" w:type="dxa"/>
            <w:vAlign w:val="center"/>
          </w:tcPr>
          <w:p w14:paraId="15E5B5CC" w14:textId="77777777" w:rsidR="00467C67" w:rsidRPr="00F537B9" w:rsidRDefault="00467C67" w:rsidP="00467C67">
            <w:pPr>
              <w:spacing w:before="60" w:after="60" w:line="200" w:lineRule="exact"/>
              <w:jc w:val="right"/>
              <w:rPr>
                <w:noProof/>
                <w:sz w:val="16"/>
                <w:szCs w:val="16"/>
              </w:rPr>
            </w:pPr>
          </w:p>
        </w:tc>
        <w:tc>
          <w:tcPr>
            <w:tcW w:w="1080" w:type="dxa"/>
            <w:vAlign w:val="center"/>
          </w:tcPr>
          <w:p w14:paraId="287C0B02" w14:textId="77777777" w:rsidR="00467C67" w:rsidRPr="00F537B9" w:rsidRDefault="00467C67" w:rsidP="00467C67">
            <w:pPr>
              <w:spacing w:before="60" w:after="60" w:line="200" w:lineRule="exact"/>
              <w:jc w:val="right"/>
              <w:rPr>
                <w:noProof/>
                <w:sz w:val="16"/>
                <w:szCs w:val="16"/>
              </w:rPr>
            </w:pPr>
          </w:p>
        </w:tc>
        <w:tc>
          <w:tcPr>
            <w:tcW w:w="1080" w:type="dxa"/>
            <w:vAlign w:val="center"/>
          </w:tcPr>
          <w:p w14:paraId="39BF1289" w14:textId="77777777" w:rsidR="00467C67" w:rsidRPr="00F537B9" w:rsidRDefault="00467C67" w:rsidP="00467C67">
            <w:pPr>
              <w:spacing w:before="60" w:after="60" w:line="200" w:lineRule="exact"/>
              <w:jc w:val="right"/>
              <w:rPr>
                <w:b/>
                <w:noProof/>
                <w:sz w:val="16"/>
                <w:szCs w:val="16"/>
              </w:rPr>
            </w:pPr>
          </w:p>
        </w:tc>
        <w:tc>
          <w:tcPr>
            <w:tcW w:w="1080" w:type="dxa"/>
            <w:vAlign w:val="center"/>
          </w:tcPr>
          <w:p w14:paraId="7236DE32" w14:textId="77777777" w:rsidR="00467C67" w:rsidRPr="00F537B9" w:rsidRDefault="003503D5" w:rsidP="00467C67">
            <w:pPr>
              <w:spacing w:before="60" w:after="60" w:line="200" w:lineRule="exact"/>
              <w:jc w:val="right"/>
              <w:rPr>
                <w:b/>
                <w:noProof/>
                <w:sz w:val="16"/>
                <w:szCs w:val="16"/>
              </w:rPr>
            </w:pPr>
            <w:r w:rsidRPr="00F537B9">
              <w:rPr>
                <w:b/>
                <w:noProof/>
                <w:sz w:val="16"/>
              </w:rPr>
              <w:t>3,078</w:t>
            </w:r>
          </w:p>
        </w:tc>
      </w:tr>
      <w:tr w:rsidR="00467C67" w:rsidRPr="00F537B9" w14:paraId="5594E595" w14:textId="77777777">
        <w:trPr>
          <w:trHeight w:val="585"/>
        </w:trPr>
        <w:tc>
          <w:tcPr>
            <w:tcW w:w="1980" w:type="dxa"/>
            <w:vAlign w:val="center"/>
          </w:tcPr>
          <w:p w14:paraId="490DAC01" w14:textId="77777777" w:rsidR="00467C67" w:rsidRPr="00F537B9" w:rsidRDefault="00467C67" w:rsidP="00467C67">
            <w:pPr>
              <w:spacing w:before="60" w:after="60" w:line="200" w:lineRule="exact"/>
              <w:ind w:left="72"/>
              <w:jc w:val="left"/>
              <w:rPr>
                <w:noProof/>
                <w:sz w:val="16"/>
                <w:szCs w:val="16"/>
              </w:rPr>
            </w:pPr>
            <w:r w:rsidRPr="00F537B9">
              <w:rPr>
                <w:noProof/>
                <w:sz w:val="16"/>
              </w:rPr>
              <w:t xml:space="preserve">Ostatné administratívne výdavky </w:t>
            </w:r>
          </w:p>
        </w:tc>
        <w:tc>
          <w:tcPr>
            <w:tcW w:w="1080" w:type="dxa"/>
            <w:vAlign w:val="center"/>
          </w:tcPr>
          <w:p w14:paraId="2C8C8139" w14:textId="77777777" w:rsidR="00467C67" w:rsidRPr="00F537B9" w:rsidRDefault="003503D5" w:rsidP="00467C67">
            <w:pPr>
              <w:spacing w:before="60" w:after="60" w:line="200" w:lineRule="exact"/>
              <w:jc w:val="right"/>
              <w:rPr>
                <w:noProof/>
                <w:sz w:val="16"/>
                <w:szCs w:val="16"/>
              </w:rPr>
            </w:pPr>
            <w:r w:rsidRPr="00F537B9">
              <w:rPr>
                <w:noProof/>
                <w:sz w:val="16"/>
              </w:rPr>
              <w:t>0,052</w:t>
            </w:r>
          </w:p>
        </w:tc>
        <w:tc>
          <w:tcPr>
            <w:tcW w:w="1080" w:type="dxa"/>
            <w:vAlign w:val="center"/>
          </w:tcPr>
          <w:p w14:paraId="25463FE6" w14:textId="77777777" w:rsidR="00467C67" w:rsidRPr="00F537B9" w:rsidRDefault="003503D5" w:rsidP="00467C67">
            <w:pPr>
              <w:spacing w:before="60" w:after="60" w:line="200" w:lineRule="exact"/>
              <w:jc w:val="right"/>
              <w:rPr>
                <w:noProof/>
                <w:sz w:val="16"/>
                <w:szCs w:val="16"/>
              </w:rPr>
            </w:pPr>
            <w:r w:rsidRPr="00F537B9">
              <w:rPr>
                <w:noProof/>
                <w:sz w:val="16"/>
              </w:rPr>
              <w:t>0,052</w:t>
            </w:r>
          </w:p>
        </w:tc>
        <w:tc>
          <w:tcPr>
            <w:tcW w:w="1080" w:type="dxa"/>
            <w:vAlign w:val="center"/>
          </w:tcPr>
          <w:p w14:paraId="130E2C61" w14:textId="77777777" w:rsidR="00467C67" w:rsidRPr="00F537B9" w:rsidRDefault="003503D5" w:rsidP="00467C67">
            <w:pPr>
              <w:spacing w:before="60" w:after="60" w:line="200" w:lineRule="exact"/>
              <w:jc w:val="right"/>
              <w:rPr>
                <w:noProof/>
                <w:sz w:val="16"/>
                <w:szCs w:val="16"/>
              </w:rPr>
            </w:pPr>
            <w:r w:rsidRPr="00F537B9">
              <w:rPr>
                <w:noProof/>
                <w:sz w:val="16"/>
              </w:rPr>
              <w:t>0,052</w:t>
            </w:r>
          </w:p>
        </w:tc>
        <w:tc>
          <w:tcPr>
            <w:tcW w:w="1080" w:type="dxa"/>
            <w:vAlign w:val="center"/>
          </w:tcPr>
          <w:p w14:paraId="21C94634" w14:textId="77777777" w:rsidR="00467C67" w:rsidRPr="00F537B9" w:rsidRDefault="00467C67" w:rsidP="00467C67">
            <w:pPr>
              <w:spacing w:before="60" w:after="60" w:line="200" w:lineRule="exact"/>
              <w:jc w:val="right"/>
              <w:rPr>
                <w:noProof/>
                <w:sz w:val="16"/>
                <w:szCs w:val="16"/>
              </w:rPr>
            </w:pPr>
          </w:p>
        </w:tc>
        <w:tc>
          <w:tcPr>
            <w:tcW w:w="1080" w:type="dxa"/>
            <w:vAlign w:val="center"/>
          </w:tcPr>
          <w:p w14:paraId="4196FEE0" w14:textId="77777777" w:rsidR="00467C67" w:rsidRPr="00F537B9" w:rsidRDefault="00467C67" w:rsidP="00467C67">
            <w:pPr>
              <w:spacing w:before="60" w:after="60" w:line="200" w:lineRule="exact"/>
              <w:jc w:val="right"/>
              <w:rPr>
                <w:noProof/>
                <w:sz w:val="16"/>
                <w:szCs w:val="16"/>
              </w:rPr>
            </w:pPr>
          </w:p>
        </w:tc>
        <w:tc>
          <w:tcPr>
            <w:tcW w:w="1080" w:type="dxa"/>
            <w:vAlign w:val="center"/>
          </w:tcPr>
          <w:p w14:paraId="58BCA3E0" w14:textId="77777777" w:rsidR="00467C67" w:rsidRPr="00F537B9" w:rsidRDefault="00467C67" w:rsidP="00467C67">
            <w:pPr>
              <w:spacing w:before="60" w:after="60" w:line="200" w:lineRule="exact"/>
              <w:jc w:val="right"/>
              <w:rPr>
                <w:noProof/>
                <w:sz w:val="16"/>
                <w:szCs w:val="16"/>
              </w:rPr>
            </w:pPr>
          </w:p>
        </w:tc>
        <w:tc>
          <w:tcPr>
            <w:tcW w:w="1080" w:type="dxa"/>
            <w:vAlign w:val="center"/>
          </w:tcPr>
          <w:p w14:paraId="57E7B3AC" w14:textId="77777777" w:rsidR="00467C67" w:rsidRPr="00F537B9" w:rsidRDefault="00467C67" w:rsidP="00467C67">
            <w:pPr>
              <w:spacing w:before="60" w:after="60" w:line="200" w:lineRule="exact"/>
              <w:jc w:val="right"/>
              <w:rPr>
                <w:b/>
                <w:noProof/>
                <w:sz w:val="16"/>
                <w:szCs w:val="16"/>
              </w:rPr>
            </w:pPr>
          </w:p>
        </w:tc>
        <w:tc>
          <w:tcPr>
            <w:tcW w:w="1080" w:type="dxa"/>
            <w:vAlign w:val="center"/>
          </w:tcPr>
          <w:p w14:paraId="6EE4AB84" w14:textId="77777777" w:rsidR="00467C67" w:rsidRPr="00F537B9" w:rsidRDefault="003503D5" w:rsidP="00467C67">
            <w:pPr>
              <w:spacing w:before="60" w:after="60" w:line="200" w:lineRule="exact"/>
              <w:jc w:val="right"/>
              <w:rPr>
                <w:b/>
                <w:noProof/>
                <w:sz w:val="16"/>
                <w:szCs w:val="16"/>
              </w:rPr>
            </w:pPr>
            <w:r w:rsidRPr="00F537B9">
              <w:rPr>
                <w:b/>
                <w:noProof/>
                <w:sz w:val="16"/>
              </w:rPr>
              <w:t>0,156</w:t>
            </w:r>
          </w:p>
        </w:tc>
      </w:tr>
      <w:tr w:rsidR="00467C67" w:rsidRPr="00F537B9" w14:paraId="24A8C7F5" w14:textId="77777777">
        <w:trPr>
          <w:trHeight w:val="585"/>
        </w:trPr>
        <w:tc>
          <w:tcPr>
            <w:tcW w:w="1980" w:type="dxa"/>
            <w:shd w:val="clear" w:color="auto" w:fill="CCCCCC"/>
            <w:vAlign w:val="center"/>
          </w:tcPr>
          <w:p w14:paraId="4C385E12" w14:textId="77777777" w:rsidR="00467C67" w:rsidRPr="00F537B9" w:rsidRDefault="00467C67" w:rsidP="00467C67">
            <w:pPr>
              <w:spacing w:before="60" w:after="60" w:line="200" w:lineRule="exact"/>
              <w:jc w:val="center"/>
              <w:rPr>
                <w:b/>
                <w:noProof/>
                <w:sz w:val="16"/>
                <w:szCs w:val="16"/>
              </w:rPr>
            </w:pPr>
            <w:r w:rsidRPr="00F537B9">
              <w:rPr>
                <w:b/>
                <w:noProof/>
                <w:sz w:val="16"/>
              </w:rPr>
              <w:t>Medzisúčet OKRUHU 7</w:t>
            </w:r>
            <w:r w:rsidRPr="00F537B9">
              <w:rPr>
                <w:noProof/>
              </w:rPr>
              <w:t xml:space="preserve"> </w:t>
            </w:r>
            <w:r w:rsidRPr="00F537B9">
              <w:rPr>
                <w:noProof/>
              </w:rPr>
              <w:br/>
            </w:r>
            <w:r w:rsidRPr="00F537B9">
              <w:rPr>
                <w:b/>
                <w:noProof/>
                <w:sz w:val="16"/>
              </w:rPr>
              <w:t xml:space="preserve">viacročného finančného rámca </w:t>
            </w:r>
          </w:p>
        </w:tc>
        <w:tc>
          <w:tcPr>
            <w:tcW w:w="1080" w:type="dxa"/>
            <w:vAlign w:val="center"/>
          </w:tcPr>
          <w:p w14:paraId="297DA352" w14:textId="77777777" w:rsidR="00467C67" w:rsidRPr="00F537B9" w:rsidRDefault="003503D5" w:rsidP="00467C67">
            <w:pPr>
              <w:spacing w:before="60" w:after="60" w:line="200" w:lineRule="exact"/>
              <w:jc w:val="right"/>
              <w:rPr>
                <w:noProof/>
                <w:sz w:val="16"/>
                <w:szCs w:val="16"/>
              </w:rPr>
            </w:pPr>
            <w:r w:rsidRPr="00F537B9">
              <w:rPr>
                <w:noProof/>
                <w:sz w:val="16"/>
              </w:rPr>
              <w:t>1,078</w:t>
            </w:r>
          </w:p>
        </w:tc>
        <w:tc>
          <w:tcPr>
            <w:tcW w:w="1080" w:type="dxa"/>
            <w:vAlign w:val="center"/>
          </w:tcPr>
          <w:p w14:paraId="53EF3EE7" w14:textId="77777777" w:rsidR="00467C67" w:rsidRPr="00F537B9" w:rsidRDefault="003503D5" w:rsidP="00467C67">
            <w:pPr>
              <w:spacing w:before="60" w:after="60" w:line="200" w:lineRule="exact"/>
              <w:jc w:val="right"/>
              <w:rPr>
                <w:noProof/>
                <w:sz w:val="16"/>
                <w:szCs w:val="16"/>
              </w:rPr>
            </w:pPr>
            <w:r w:rsidRPr="00F537B9">
              <w:rPr>
                <w:noProof/>
                <w:sz w:val="16"/>
              </w:rPr>
              <w:t>1,078</w:t>
            </w:r>
          </w:p>
        </w:tc>
        <w:tc>
          <w:tcPr>
            <w:tcW w:w="1080" w:type="dxa"/>
            <w:vAlign w:val="center"/>
          </w:tcPr>
          <w:p w14:paraId="1C4D1403" w14:textId="77777777" w:rsidR="00467C67" w:rsidRPr="00F537B9" w:rsidRDefault="003503D5" w:rsidP="00467C67">
            <w:pPr>
              <w:spacing w:before="60" w:after="60" w:line="200" w:lineRule="exact"/>
              <w:jc w:val="right"/>
              <w:rPr>
                <w:noProof/>
                <w:sz w:val="16"/>
                <w:szCs w:val="16"/>
              </w:rPr>
            </w:pPr>
            <w:r w:rsidRPr="00F537B9">
              <w:rPr>
                <w:noProof/>
                <w:sz w:val="16"/>
              </w:rPr>
              <w:t>1,078</w:t>
            </w:r>
          </w:p>
        </w:tc>
        <w:tc>
          <w:tcPr>
            <w:tcW w:w="1080" w:type="dxa"/>
            <w:vAlign w:val="center"/>
          </w:tcPr>
          <w:p w14:paraId="540586BD" w14:textId="77777777" w:rsidR="00467C67" w:rsidRPr="00F537B9" w:rsidRDefault="00467C67" w:rsidP="00467C67">
            <w:pPr>
              <w:spacing w:before="60" w:after="60" w:line="200" w:lineRule="exact"/>
              <w:jc w:val="right"/>
              <w:rPr>
                <w:noProof/>
                <w:sz w:val="16"/>
                <w:szCs w:val="16"/>
              </w:rPr>
            </w:pPr>
          </w:p>
        </w:tc>
        <w:tc>
          <w:tcPr>
            <w:tcW w:w="1080" w:type="dxa"/>
            <w:vAlign w:val="center"/>
          </w:tcPr>
          <w:p w14:paraId="730EDDB8" w14:textId="77777777" w:rsidR="00467C67" w:rsidRPr="00F537B9" w:rsidRDefault="00467C67" w:rsidP="00467C67">
            <w:pPr>
              <w:spacing w:before="60" w:after="60" w:line="200" w:lineRule="exact"/>
              <w:jc w:val="right"/>
              <w:rPr>
                <w:noProof/>
                <w:sz w:val="16"/>
                <w:szCs w:val="16"/>
              </w:rPr>
            </w:pPr>
          </w:p>
        </w:tc>
        <w:tc>
          <w:tcPr>
            <w:tcW w:w="1080" w:type="dxa"/>
            <w:vAlign w:val="center"/>
          </w:tcPr>
          <w:p w14:paraId="1C5CCC9D" w14:textId="77777777" w:rsidR="00467C67" w:rsidRPr="00F537B9" w:rsidRDefault="00467C67" w:rsidP="00467C67">
            <w:pPr>
              <w:spacing w:before="60" w:after="60" w:line="200" w:lineRule="exact"/>
              <w:jc w:val="right"/>
              <w:rPr>
                <w:noProof/>
                <w:sz w:val="16"/>
                <w:szCs w:val="16"/>
              </w:rPr>
            </w:pPr>
          </w:p>
        </w:tc>
        <w:tc>
          <w:tcPr>
            <w:tcW w:w="1080" w:type="dxa"/>
            <w:vAlign w:val="center"/>
          </w:tcPr>
          <w:p w14:paraId="2F2264C0" w14:textId="77777777" w:rsidR="00467C67" w:rsidRPr="00F537B9" w:rsidRDefault="00467C67" w:rsidP="00467C67">
            <w:pPr>
              <w:spacing w:before="60" w:after="60" w:line="200" w:lineRule="exact"/>
              <w:jc w:val="right"/>
              <w:rPr>
                <w:b/>
                <w:noProof/>
                <w:sz w:val="16"/>
                <w:szCs w:val="16"/>
              </w:rPr>
            </w:pPr>
          </w:p>
        </w:tc>
        <w:tc>
          <w:tcPr>
            <w:tcW w:w="1080" w:type="dxa"/>
            <w:vAlign w:val="center"/>
          </w:tcPr>
          <w:p w14:paraId="557FD8B0" w14:textId="77777777" w:rsidR="00467C67" w:rsidRPr="00F537B9" w:rsidRDefault="003503D5" w:rsidP="00467C67">
            <w:pPr>
              <w:spacing w:before="60" w:after="60" w:line="200" w:lineRule="exact"/>
              <w:jc w:val="right"/>
              <w:rPr>
                <w:b/>
                <w:noProof/>
                <w:sz w:val="16"/>
                <w:szCs w:val="16"/>
              </w:rPr>
            </w:pPr>
            <w:r w:rsidRPr="00F537B9">
              <w:rPr>
                <w:b/>
                <w:noProof/>
                <w:sz w:val="16"/>
              </w:rPr>
              <w:t>3,234</w:t>
            </w:r>
          </w:p>
        </w:tc>
      </w:tr>
    </w:tbl>
    <w:p w14:paraId="7A0BCAAE" w14:textId="77777777" w:rsidR="00544811" w:rsidRPr="00F537B9" w:rsidRDefault="00544811">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3E7FB4" w:rsidRPr="00F537B9" w14:paraId="44A3B035" w14:textId="77777777">
        <w:trPr>
          <w:trHeight w:val="585"/>
        </w:trPr>
        <w:tc>
          <w:tcPr>
            <w:tcW w:w="1980" w:type="dxa"/>
            <w:shd w:val="clear" w:color="auto" w:fill="CCCCCC"/>
            <w:vAlign w:val="center"/>
          </w:tcPr>
          <w:p w14:paraId="4CC2B6CC" w14:textId="77777777" w:rsidR="00F537B9" w:rsidRDefault="00544811">
            <w:pPr>
              <w:spacing w:before="60" w:after="60" w:line="200" w:lineRule="exact"/>
              <w:jc w:val="center"/>
              <w:rPr>
                <w:b/>
                <w:noProof/>
                <w:sz w:val="16"/>
              </w:rPr>
            </w:pPr>
            <w:r w:rsidRPr="00F537B9">
              <w:rPr>
                <w:b/>
                <w:noProof/>
                <w:sz w:val="16"/>
              </w:rPr>
              <w:t>Mimo OKRUHU 7</w:t>
            </w:r>
            <w:r w:rsidRPr="00F537B9">
              <w:rPr>
                <w:rStyle w:val="FootnoteReference"/>
                <w:b/>
                <w:noProof/>
                <w:sz w:val="16"/>
              </w:rPr>
              <w:footnoteReference w:id="53"/>
            </w:r>
            <w:r w:rsidRPr="00F537B9">
              <w:rPr>
                <w:noProof/>
              </w:rPr>
              <w:t xml:space="preserve"> </w:t>
            </w:r>
            <w:r w:rsidRPr="00F537B9">
              <w:rPr>
                <w:noProof/>
              </w:rPr>
              <w:br/>
            </w:r>
            <w:r w:rsidRPr="00F537B9">
              <w:rPr>
                <w:b/>
                <w:noProof/>
                <w:sz w:val="16"/>
              </w:rPr>
              <w:t>viacročného finančného rámca</w:t>
            </w:r>
          </w:p>
          <w:p w14:paraId="039DE896" w14:textId="2C72D784" w:rsidR="00544811" w:rsidRPr="00F537B9" w:rsidRDefault="00544811">
            <w:pPr>
              <w:spacing w:before="0" w:after="0" w:line="200" w:lineRule="exact"/>
              <w:jc w:val="center"/>
              <w:rPr>
                <w:b/>
                <w:noProof/>
                <w:sz w:val="16"/>
                <w:szCs w:val="16"/>
              </w:rPr>
            </w:pPr>
          </w:p>
        </w:tc>
        <w:tc>
          <w:tcPr>
            <w:tcW w:w="1080" w:type="dxa"/>
            <w:vAlign w:val="center"/>
          </w:tcPr>
          <w:p w14:paraId="5BF06841" w14:textId="77777777" w:rsidR="00544811" w:rsidRPr="00F537B9" w:rsidRDefault="00544811">
            <w:pPr>
              <w:spacing w:before="60" w:after="60" w:line="200" w:lineRule="exact"/>
              <w:jc w:val="right"/>
              <w:rPr>
                <w:noProof/>
                <w:sz w:val="16"/>
                <w:szCs w:val="16"/>
              </w:rPr>
            </w:pPr>
          </w:p>
        </w:tc>
        <w:tc>
          <w:tcPr>
            <w:tcW w:w="1080" w:type="dxa"/>
            <w:vAlign w:val="center"/>
          </w:tcPr>
          <w:p w14:paraId="30DC746F" w14:textId="77777777" w:rsidR="00544811" w:rsidRPr="00F537B9" w:rsidRDefault="00544811">
            <w:pPr>
              <w:spacing w:before="60" w:after="60" w:line="200" w:lineRule="exact"/>
              <w:jc w:val="right"/>
              <w:rPr>
                <w:noProof/>
                <w:sz w:val="16"/>
                <w:szCs w:val="16"/>
              </w:rPr>
            </w:pPr>
          </w:p>
        </w:tc>
        <w:tc>
          <w:tcPr>
            <w:tcW w:w="1080" w:type="dxa"/>
            <w:vAlign w:val="center"/>
          </w:tcPr>
          <w:p w14:paraId="146B929B" w14:textId="77777777" w:rsidR="00544811" w:rsidRPr="00F537B9" w:rsidRDefault="00544811">
            <w:pPr>
              <w:spacing w:before="60" w:after="60" w:line="200" w:lineRule="exact"/>
              <w:jc w:val="right"/>
              <w:rPr>
                <w:noProof/>
                <w:sz w:val="16"/>
                <w:szCs w:val="16"/>
              </w:rPr>
            </w:pPr>
          </w:p>
        </w:tc>
        <w:tc>
          <w:tcPr>
            <w:tcW w:w="1080" w:type="dxa"/>
            <w:vAlign w:val="center"/>
          </w:tcPr>
          <w:p w14:paraId="7DE3F456" w14:textId="77777777" w:rsidR="00544811" w:rsidRPr="00F537B9" w:rsidRDefault="00544811">
            <w:pPr>
              <w:spacing w:before="60" w:after="60" w:line="200" w:lineRule="exact"/>
              <w:jc w:val="right"/>
              <w:rPr>
                <w:noProof/>
                <w:sz w:val="16"/>
                <w:szCs w:val="16"/>
              </w:rPr>
            </w:pPr>
          </w:p>
        </w:tc>
        <w:tc>
          <w:tcPr>
            <w:tcW w:w="1080" w:type="dxa"/>
            <w:vAlign w:val="center"/>
          </w:tcPr>
          <w:p w14:paraId="2D2171A4" w14:textId="77777777" w:rsidR="00544811" w:rsidRPr="00F537B9" w:rsidRDefault="00544811">
            <w:pPr>
              <w:spacing w:before="60" w:after="60" w:line="200" w:lineRule="exact"/>
              <w:jc w:val="right"/>
              <w:rPr>
                <w:noProof/>
                <w:sz w:val="16"/>
                <w:szCs w:val="16"/>
              </w:rPr>
            </w:pPr>
          </w:p>
        </w:tc>
        <w:tc>
          <w:tcPr>
            <w:tcW w:w="1080" w:type="dxa"/>
            <w:vAlign w:val="center"/>
          </w:tcPr>
          <w:p w14:paraId="771177B7" w14:textId="77777777" w:rsidR="00544811" w:rsidRPr="00F537B9" w:rsidRDefault="00544811">
            <w:pPr>
              <w:spacing w:before="60" w:after="60" w:line="200" w:lineRule="exact"/>
              <w:jc w:val="right"/>
              <w:rPr>
                <w:noProof/>
                <w:sz w:val="16"/>
                <w:szCs w:val="16"/>
              </w:rPr>
            </w:pPr>
          </w:p>
        </w:tc>
        <w:tc>
          <w:tcPr>
            <w:tcW w:w="1080" w:type="dxa"/>
            <w:vAlign w:val="center"/>
          </w:tcPr>
          <w:p w14:paraId="742AB132" w14:textId="77777777" w:rsidR="00544811" w:rsidRPr="00F537B9" w:rsidRDefault="00544811">
            <w:pPr>
              <w:spacing w:before="60" w:after="60" w:line="200" w:lineRule="exact"/>
              <w:jc w:val="right"/>
              <w:rPr>
                <w:b/>
                <w:noProof/>
                <w:sz w:val="16"/>
                <w:szCs w:val="16"/>
              </w:rPr>
            </w:pPr>
          </w:p>
        </w:tc>
        <w:tc>
          <w:tcPr>
            <w:tcW w:w="1080" w:type="dxa"/>
            <w:vAlign w:val="center"/>
          </w:tcPr>
          <w:p w14:paraId="24DCC5F9" w14:textId="77777777" w:rsidR="00544811" w:rsidRPr="00F537B9" w:rsidRDefault="00544811">
            <w:pPr>
              <w:spacing w:before="60" w:after="60" w:line="200" w:lineRule="exact"/>
              <w:jc w:val="right"/>
              <w:rPr>
                <w:b/>
                <w:noProof/>
                <w:sz w:val="16"/>
                <w:szCs w:val="16"/>
              </w:rPr>
            </w:pPr>
          </w:p>
        </w:tc>
      </w:tr>
      <w:tr w:rsidR="005076D3" w:rsidRPr="00F537B9" w14:paraId="4E07AC0B" w14:textId="77777777">
        <w:trPr>
          <w:trHeight w:val="585"/>
        </w:trPr>
        <w:tc>
          <w:tcPr>
            <w:tcW w:w="1980" w:type="dxa"/>
            <w:vAlign w:val="center"/>
          </w:tcPr>
          <w:p w14:paraId="56ABB76C" w14:textId="77777777" w:rsidR="00544811" w:rsidRPr="00F537B9" w:rsidRDefault="00544811">
            <w:pPr>
              <w:spacing w:before="60" w:after="60" w:line="200" w:lineRule="exact"/>
              <w:ind w:left="72"/>
              <w:jc w:val="left"/>
              <w:rPr>
                <w:noProof/>
                <w:sz w:val="16"/>
                <w:szCs w:val="16"/>
              </w:rPr>
            </w:pPr>
            <w:r w:rsidRPr="00F537B9">
              <w:rPr>
                <w:noProof/>
                <w:sz w:val="16"/>
              </w:rPr>
              <w:t xml:space="preserve">Ľudské zdroje </w:t>
            </w:r>
          </w:p>
        </w:tc>
        <w:tc>
          <w:tcPr>
            <w:tcW w:w="1080" w:type="dxa"/>
            <w:vAlign w:val="center"/>
          </w:tcPr>
          <w:p w14:paraId="14A87FBB" w14:textId="77777777" w:rsidR="00544811" w:rsidRPr="00F537B9" w:rsidRDefault="00544811">
            <w:pPr>
              <w:spacing w:before="60" w:after="60" w:line="200" w:lineRule="exact"/>
              <w:jc w:val="right"/>
              <w:rPr>
                <w:noProof/>
                <w:sz w:val="16"/>
                <w:szCs w:val="16"/>
              </w:rPr>
            </w:pPr>
          </w:p>
        </w:tc>
        <w:tc>
          <w:tcPr>
            <w:tcW w:w="1080" w:type="dxa"/>
            <w:vAlign w:val="center"/>
          </w:tcPr>
          <w:p w14:paraId="1F38E614" w14:textId="77777777" w:rsidR="00544811" w:rsidRPr="00F537B9" w:rsidRDefault="00544811">
            <w:pPr>
              <w:spacing w:before="60" w:after="60" w:line="200" w:lineRule="exact"/>
              <w:jc w:val="right"/>
              <w:rPr>
                <w:noProof/>
                <w:sz w:val="16"/>
                <w:szCs w:val="16"/>
              </w:rPr>
            </w:pPr>
          </w:p>
        </w:tc>
        <w:tc>
          <w:tcPr>
            <w:tcW w:w="1080" w:type="dxa"/>
            <w:vAlign w:val="center"/>
          </w:tcPr>
          <w:p w14:paraId="64DF4922" w14:textId="77777777" w:rsidR="00544811" w:rsidRPr="00F537B9" w:rsidRDefault="00544811">
            <w:pPr>
              <w:spacing w:before="60" w:after="60" w:line="200" w:lineRule="exact"/>
              <w:jc w:val="right"/>
              <w:rPr>
                <w:noProof/>
                <w:sz w:val="16"/>
                <w:szCs w:val="16"/>
              </w:rPr>
            </w:pPr>
          </w:p>
        </w:tc>
        <w:tc>
          <w:tcPr>
            <w:tcW w:w="1080" w:type="dxa"/>
            <w:vAlign w:val="center"/>
          </w:tcPr>
          <w:p w14:paraId="65057C35" w14:textId="77777777" w:rsidR="00544811" w:rsidRPr="00F537B9" w:rsidRDefault="00544811">
            <w:pPr>
              <w:spacing w:before="60" w:after="60" w:line="200" w:lineRule="exact"/>
              <w:jc w:val="right"/>
              <w:rPr>
                <w:noProof/>
                <w:sz w:val="16"/>
                <w:szCs w:val="16"/>
              </w:rPr>
            </w:pPr>
          </w:p>
        </w:tc>
        <w:tc>
          <w:tcPr>
            <w:tcW w:w="1080" w:type="dxa"/>
            <w:vAlign w:val="center"/>
          </w:tcPr>
          <w:p w14:paraId="1E7AFBCF" w14:textId="77777777" w:rsidR="00544811" w:rsidRPr="00F537B9" w:rsidRDefault="00544811">
            <w:pPr>
              <w:spacing w:before="60" w:after="60" w:line="200" w:lineRule="exact"/>
              <w:jc w:val="right"/>
              <w:rPr>
                <w:noProof/>
                <w:sz w:val="16"/>
                <w:szCs w:val="16"/>
              </w:rPr>
            </w:pPr>
          </w:p>
        </w:tc>
        <w:tc>
          <w:tcPr>
            <w:tcW w:w="1080" w:type="dxa"/>
            <w:vAlign w:val="center"/>
          </w:tcPr>
          <w:p w14:paraId="6F1B0605" w14:textId="77777777" w:rsidR="00544811" w:rsidRPr="00F537B9" w:rsidRDefault="00544811">
            <w:pPr>
              <w:spacing w:before="60" w:after="60" w:line="200" w:lineRule="exact"/>
              <w:jc w:val="right"/>
              <w:rPr>
                <w:noProof/>
                <w:sz w:val="16"/>
                <w:szCs w:val="16"/>
              </w:rPr>
            </w:pPr>
          </w:p>
        </w:tc>
        <w:tc>
          <w:tcPr>
            <w:tcW w:w="1080" w:type="dxa"/>
            <w:vAlign w:val="center"/>
          </w:tcPr>
          <w:p w14:paraId="7AC2D524" w14:textId="77777777" w:rsidR="00544811" w:rsidRPr="00F537B9" w:rsidRDefault="00544811">
            <w:pPr>
              <w:spacing w:before="60" w:after="60" w:line="200" w:lineRule="exact"/>
              <w:jc w:val="right"/>
              <w:rPr>
                <w:b/>
                <w:noProof/>
                <w:sz w:val="16"/>
                <w:szCs w:val="16"/>
              </w:rPr>
            </w:pPr>
          </w:p>
        </w:tc>
        <w:tc>
          <w:tcPr>
            <w:tcW w:w="1080" w:type="dxa"/>
            <w:vAlign w:val="center"/>
          </w:tcPr>
          <w:p w14:paraId="1F77B280" w14:textId="77777777" w:rsidR="00544811" w:rsidRPr="00F537B9" w:rsidRDefault="00544811">
            <w:pPr>
              <w:spacing w:before="60" w:after="60" w:line="200" w:lineRule="exact"/>
              <w:jc w:val="right"/>
              <w:rPr>
                <w:b/>
                <w:noProof/>
                <w:sz w:val="16"/>
                <w:szCs w:val="16"/>
              </w:rPr>
            </w:pPr>
          </w:p>
        </w:tc>
      </w:tr>
      <w:tr w:rsidR="005076D3" w:rsidRPr="00F537B9" w14:paraId="63E2D101" w14:textId="77777777">
        <w:trPr>
          <w:trHeight w:val="585"/>
        </w:trPr>
        <w:tc>
          <w:tcPr>
            <w:tcW w:w="1980" w:type="dxa"/>
            <w:vAlign w:val="center"/>
          </w:tcPr>
          <w:p w14:paraId="17601025" w14:textId="5359375D" w:rsidR="00544811" w:rsidRPr="00F537B9" w:rsidRDefault="00544811">
            <w:pPr>
              <w:spacing w:before="60" w:after="60" w:line="200" w:lineRule="exact"/>
              <w:ind w:left="72"/>
              <w:jc w:val="left"/>
              <w:rPr>
                <w:noProof/>
                <w:sz w:val="16"/>
                <w:szCs w:val="16"/>
              </w:rPr>
            </w:pPr>
            <w:r w:rsidRPr="00F537B9">
              <w:rPr>
                <w:noProof/>
                <w:sz w:val="16"/>
              </w:rPr>
              <w:t>Ostatné</w:t>
            </w:r>
            <w:r w:rsidR="00F537B9" w:rsidRPr="00F537B9">
              <w:rPr>
                <w:noProof/>
                <w:sz w:val="16"/>
              </w:rPr>
              <w:t xml:space="preserve"> </w:t>
            </w:r>
            <w:r w:rsidRPr="00F537B9">
              <w:rPr>
                <w:noProof/>
              </w:rPr>
              <w:br/>
            </w:r>
            <w:r w:rsidRPr="00F537B9">
              <w:rPr>
                <w:noProof/>
                <w:sz w:val="16"/>
              </w:rPr>
              <w:t>administratívne výdavky</w:t>
            </w:r>
          </w:p>
        </w:tc>
        <w:tc>
          <w:tcPr>
            <w:tcW w:w="1080" w:type="dxa"/>
            <w:vAlign w:val="center"/>
          </w:tcPr>
          <w:p w14:paraId="5B580F5E" w14:textId="77777777" w:rsidR="00544811" w:rsidRPr="00F537B9" w:rsidRDefault="00544811">
            <w:pPr>
              <w:spacing w:before="60" w:after="60" w:line="200" w:lineRule="exact"/>
              <w:jc w:val="right"/>
              <w:rPr>
                <w:noProof/>
                <w:sz w:val="16"/>
                <w:szCs w:val="16"/>
              </w:rPr>
            </w:pPr>
          </w:p>
        </w:tc>
        <w:tc>
          <w:tcPr>
            <w:tcW w:w="1080" w:type="dxa"/>
            <w:vAlign w:val="center"/>
          </w:tcPr>
          <w:p w14:paraId="5C525E44" w14:textId="77777777" w:rsidR="00544811" w:rsidRPr="00F537B9" w:rsidRDefault="00544811">
            <w:pPr>
              <w:spacing w:before="60" w:after="60" w:line="200" w:lineRule="exact"/>
              <w:jc w:val="right"/>
              <w:rPr>
                <w:noProof/>
                <w:sz w:val="16"/>
                <w:szCs w:val="16"/>
              </w:rPr>
            </w:pPr>
          </w:p>
        </w:tc>
        <w:tc>
          <w:tcPr>
            <w:tcW w:w="1080" w:type="dxa"/>
            <w:vAlign w:val="center"/>
          </w:tcPr>
          <w:p w14:paraId="5EF73DBA" w14:textId="77777777" w:rsidR="00544811" w:rsidRPr="00F537B9" w:rsidRDefault="00544811">
            <w:pPr>
              <w:spacing w:before="60" w:after="60" w:line="200" w:lineRule="exact"/>
              <w:jc w:val="right"/>
              <w:rPr>
                <w:noProof/>
                <w:sz w:val="16"/>
                <w:szCs w:val="16"/>
              </w:rPr>
            </w:pPr>
          </w:p>
        </w:tc>
        <w:tc>
          <w:tcPr>
            <w:tcW w:w="1080" w:type="dxa"/>
            <w:vAlign w:val="center"/>
          </w:tcPr>
          <w:p w14:paraId="4E07FF68" w14:textId="77777777" w:rsidR="00544811" w:rsidRPr="00F537B9" w:rsidRDefault="00544811">
            <w:pPr>
              <w:spacing w:before="60" w:after="60" w:line="200" w:lineRule="exact"/>
              <w:jc w:val="right"/>
              <w:rPr>
                <w:noProof/>
                <w:sz w:val="16"/>
                <w:szCs w:val="16"/>
              </w:rPr>
            </w:pPr>
          </w:p>
        </w:tc>
        <w:tc>
          <w:tcPr>
            <w:tcW w:w="1080" w:type="dxa"/>
            <w:vAlign w:val="center"/>
          </w:tcPr>
          <w:p w14:paraId="23DE15C5" w14:textId="77777777" w:rsidR="00544811" w:rsidRPr="00F537B9" w:rsidRDefault="00544811">
            <w:pPr>
              <w:spacing w:before="60" w:after="60" w:line="200" w:lineRule="exact"/>
              <w:jc w:val="right"/>
              <w:rPr>
                <w:noProof/>
                <w:sz w:val="16"/>
                <w:szCs w:val="16"/>
              </w:rPr>
            </w:pPr>
          </w:p>
        </w:tc>
        <w:tc>
          <w:tcPr>
            <w:tcW w:w="1080" w:type="dxa"/>
            <w:vAlign w:val="center"/>
          </w:tcPr>
          <w:p w14:paraId="19F5EA01" w14:textId="77777777" w:rsidR="00544811" w:rsidRPr="00F537B9" w:rsidRDefault="00544811">
            <w:pPr>
              <w:spacing w:before="60" w:after="60" w:line="200" w:lineRule="exact"/>
              <w:jc w:val="right"/>
              <w:rPr>
                <w:noProof/>
                <w:sz w:val="16"/>
                <w:szCs w:val="16"/>
              </w:rPr>
            </w:pPr>
          </w:p>
        </w:tc>
        <w:tc>
          <w:tcPr>
            <w:tcW w:w="1080" w:type="dxa"/>
            <w:vAlign w:val="center"/>
          </w:tcPr>
          <w:p w14:paraId="0A1EEE20" w14:textId="77777777" w:rsidR="00544811" w:rsidRPr="00F537B9" w:rsidRDefault="00544811">
            <w:pPr>
              <w:spacing w:before="60" w:after="60" w:line="200" w:lineRule="exact"/>
              <w:jc w:val="right"/>
              <w:rPr>
                <w:b/>
                <w:noProof/>
                <w:sz w:val="16"/>
                <w:szCs w:val="16"/>
              </w:rPr>
            </w:pPr>
          </w:p>
        </w:tc>
        <w:tc>
          <w:tcPr>
            <w:tcW w:w="1080" w:type="dxa"/>
            <w:vAlign w:val="center"/>
          </w:tcPr>
          <w:p w14:paraId="5FA1F938" w14:textId="77777777" w:rsidR="00544811" w:rsidRPr="00F537B9" w:rsidRDefault="00544811">
            <w:pPr>
              <w:spacing w:before="60" w:after="60" w:line="200" w:lineRule="exact"/>
              <w:jc w:val="right"/>
              <w:rPr>
                <w:b/>
                <w:noProof/>
                <w:sz w:val="16"/>
                <w:szCs w:val="16"/>
              </w:rPr>
            </w:pPr>
          </w:p>
        </w:tc>
      </w:tr>
      <w:tr w:rsidR="003E7FB4" w:rsidRPr="00F537B9" w14:paraId="7370C68E" w14:textId="77777777">
        <w:trPr>
          <w:trHeight w:val="585"/>
        </w:trPr>
        <w:tc>
          <w:tcPr>
            <w:tcW w:w="1980" w:type="dxa"/>
            <w:shd w:val="clear" w:color="auto" w:fill="CCCCCC"/>
            <w:vAlign w:val="center"/>
          </w:tcPr>
          <w:p w14:paraId="0F78F047" w14:textId="77777777" w:rsidR="00544811" w:rsidRPr="00F537B9" w:rsidRDefault="00544811">
            <w:pPr>
              <w:spacing w:before="60" w:after="60" w:line="200" w:lineRule="exact"/>
              <w:jc w:val="center"/>
              <w:rPr>
                <w:b/>
                <w:noProof/>
                <w:sz w:val="16"/>
                <w:szCs w:val="16"/>
              </w:rPr>
            </w:pPr>
            <w:r w:rsidRPr="00F537B9">
              <w:rPr>
                <w:b/>
                <w:noProof/>
                <w:sz w:val="16"/>
              </w:rPr>
              <w:t>Medzisúčet</w:t>
            </w:r>
            <w:r w:rsidRPr="00F537B9">
              <w:rPr>
                <w:noProof/>
              </w:rPr>
              <w:t xml:space="preserve"> </w:t>
            </w:r>
            <w:r w:rsidRPr="00F537B9">
              <w:rPr>
                <w:noProof/>
              </w:rPr>
              <w:br/>
            </w:r>
            <w:r w:rsidRPr="00F537B9">
              <w:rPr>
                <w:b/>
                <w:noProof/>
                <w:sz w:val="16"/>
              </w:rPr>
              <w:t>mimo OKRUHU 7</w:t>
            </w:r>
            <w:r w:rsidRPr="00F537B9">
              <w:rPr>
                <w:noProof/>
              </w:rPr>
              <w:t xml:space="preserve"> </w:t>
            </w:r>
            <w:r w:rsidRPr="00F537B9">
              <w:rPr>
                <w:noProof/>
              </w:rPr>
              <w:br/>
            </w:r>
            <w:r w:rsidRPr="00F537B9">
              <w:rPr>
                <w:b/>
                <w:noProof/>
                <w:sz w:val="16"/>
              </w:rPr>
              <w:t xml:space="preserve">viacročného finančného rámca </w:t>
            </w:r>
          </w:p>
        </w:tc>
        <w:tc>
          <w:tcPr>
            <w:tcW w:w="1080" w:type="dxa"/>
            <w:vAlign w:val="center"/>
          </w:tcPr>
          <w:p w14:paraId="2DA69043" w14:textId="77777777" w:rsidR="00544811" w:rsidRPr="00F537B9" w:rsidRDefault="00544811">
            <w:pPr>
              <w:spacing w:before="60" w:after="60" w:line="200" w:lineRule="exact"/>
              <w:jc w:val="right"/>
              <w:rPr>
                <w:noProof/>
                <w:sz w:val="16"/>
                <w:szCs w:val="16"/>
              </w:rPr>
            </w:pPr>
          </w:p>
        </w:tc>
        <w:tc>
          <w:tcPr>
            <w:tcW w:w="1080" w:type="dxa"/>
            <w:vAlign w:val="center"/>
          </w:tcPr>
          <w:p w14:paraId="69F92438" w14:textId="77777777" w:rsidR="00544811" w:rsidRPr="00F537B9" w:rsidRDefault="00544811">
            <w:pPr>
              <w:spacing w:before="60" w:after="60" w:line="200" w:lineRule="exact"/>
              <w:jc w:val="right"/>
              <w:rPr>
                <w:noProof/>
                <w:sz w:val="16"/>
                <w:szCs w:val="16"/>
              </w:rPr>
            </w:pPr>
          </w:p>
        </w:tc>
        <w:tc>
          <w:tcPr>
            <w:tcW w:w="1080" w:type="dxa"/>
            <w:vAlign w:val="center"/>
          </w:tcPr>
          <w:p w14:paraId="15EF55EF" w14:textId="77777777" w:rsidR="00544811" w:rsidRPr="00F537B9" w:rsidRDefault="00544811">
            <w:pPr>
              <w:spacing w:before="60" w:after="60" w:line="200" w:lineRule="exact"/>
              <w:jc w:val="right"/>
              <w:rPr>
                <w:noProof/>
                <w:sz w:val="16"/>
                <w:szCs w:val="16"/>
              </w:rPr>
            </w:pPr>
          </w:p>
        </w:tc>
        <w:tc>
          <w:tcPr>
            <w:tcW w:w="1080" w:type="dxa"/>
            <w:vAlign w:val="center"/>
          </w:tcPr>
          <w:p w14:paraId="19C06048" w14:textId="77777777" w:rsidR="00544811" w:rsidRPr="00F537B9" w:rsidRDefault="00544811">
            <w:pPr>
              <w:spacing w:before="60" w:after="60" w:line="200" w:lineRule="exact"/>
              <w:jc w:val="right"/>
              <w:rPr>
                <w:noProof/>
                <w:sz w:val="16"/>
                <w:szCs w:val="16"/>
              </w:rPr>
            </w:pPr>
          </w:p>
        </w:tc>
        <w:tc>
          <w:tcPr>
            <w:tcW w:w="1080" w:type="dxa"/>
            <w:vAlign w:val="center"/>
          </w:tcPr>
          <w:p w14:paraId="043A7550" w14:textId="77777777" w:rsidR="00544811" w:rsidRPr="00F537B9" w:rsidRDefault="00544811">
            <w:pPr>
              <w:spacing w:before="60" w:after="60" w:line="200" w:lineRule="exact"/>
              <w:jc w:val="right"/>
              <w:rPr>
                <w:noProof/>
                <w:sz w:val="16"/>
                <w:szCs w:val="16"/>
              </w:rPr>
            </w:pPr>
          </w:p>
        </w:tc>
        <w:tc>
          <w:tcPr>
            <w:tcW w:w="1080" w:type="dxa"/>
            <w:vAlign w:val="center"/>
          </w:tcPr>
          <w:p w14:paraId="51B338A8" w14:textId="77777777" w:rsidR="00544811" w:rsidRPr="00F537B9" w:rsidRDefault="00544811">
            <w:pPr>
              <w:spacing w:before="60" w:after="60" w:line="200" w:lineRule="exact"/>
              <w:jc w:val="right"/>
              <w:rPr>
                <w:noProof/>
                <w:sz w:val="16"/>
                <w:szCs w:val="16"/>
              </w:rPr>
            </w:pPr>
          </w:p>
        </w:tc>
        <w:tc>
          <w:tcPr>
            <w:tcW w:w="1080" w:type="dxa"/>
            <w:vAlign w:val="center"/>
          </w:tcPr>
          <w:p w14:paraId="63916084" w14:textId="77777777" w:rsidR="00544811" w:rsidRPr="00F537B9" w:rsidRDefault="00544811">
            <w:pPr>
              <w:spacing w:before="60" w:after="60" w:line="200" w:lineRule="exact"/>
              <w:jc w:val="right"/>
              <w:rPr>
                <w:b/>
                <w:noProof/>
                <w:sz w:val="16"/>
                <w:szCs w:val="16"/>
              </w:rPr>
            </w:pPr>
          </w:p>
        </w:tc>
        <w:tc>
          <w:tcPr>
            <w:tcW w:w="1080" w:type="dxa"/>
            <w:vAlign w:val="center"/>
          </w:tcPr>
          <w:p w14:paraId="5B309FD6" w14:textId="77777777" w:rsidR="00544811" w:rsidRPr="00F537B9" w:rsidRDefault="00544811">
            <w:pPr>
              <w:spacing w:before="60" w:after="60" w:line="200" w:lineRule="exact"/>
              <w:jc w:val="right"/>
              <w:rPr>
                <w:b/>
                <w:noProof/>
                <w:sz w:val="16"/>
                <w:szCs w:val="16"/>
              </w:rPr>
            </w:pPr>
          </w:p>
        </w:tc>
      </w:tr>
    </w:tbl>
    <w:p w14:paraId="487E326B" w14:textId="77777777" w:rsidR="00544811" w:rsidRPr="00F537B9" w:rsidRDefault="00544811">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B20665" w:rsidRPr="00F537B9" w14:paraId="17B2FB63" w14:textId="77777777">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2C60FE07" w14:textId="77777777" w:rsidR="00724E70" w:rsidRPr="00F537B9" w:rsidRDefault="00724E70" w:rsidP="00724E70">
            <w:pPr>
              <w:spacing w:before="60" w:after="60" w:line="200" w:lineRule="exact"/>
              <w:jc w:val="center"/>
              <w:rPr>
                <w:noProof/>
                <w:sz w:val="16"/>
                <w:szCs w:val="16"/>
              </w:rPr>
            </w:pPr>
            <w:r w:rsidRPr="00F537B9">
              <w:rPr>
                <w:b/>
                <w:noProof/>
                <w:sz w:val="16"/>
              </w:rPr>
              <w:t>SPOLU</w:t>
            </w:r>
          </w:p>
        </w:tc>
        <w:tc>
          <w:tcPr>
            <w:tcW w:w="1080" w:type="dxa"/>
            <w:tcBorders>
              <w:top w:val="single" w:sz="12" w:space="0" w:color="auto"/>
              <w:left w:val="single" w:sz="2" w:space="0" w:color="auto"/>
              <w:bottom w:val="single" w:sz="12" w:space="0" w:color="auto"/>
              <w:right w:val="single" w:sz="2" w:space="0" w:color="auto"/>
            </w:tcBorders>
            <w:vAlign w:val="center"/>
          </w:tcPr>
          <w:p w14:paraId="1FFE0D24" w14:textId="77777777" w:rsidR="00724E70" w:rsidRPr="00F537B9" w:rsidRDefault="003503D5" w:rsidP="00724E70">
            <w:pPr>
              <w:spacing w:before="60" w:after="60" w:line="200" w:lineRule="exact"/>
              <w:jc w:val="right"/>
              <w:rPr>
                <w:b/>
                <w:noProof/>
                <w:sz w:val="16"/>
                <w:szCs w:val="16"/>
              </w:rPr>
            </w:pPr>
            <w:r w:rsidRPr="00F537B9">
              <w:rPr>
                <w:b/>
                <w:noProof/>
                <w:sz w:val="16"/>
              </w:rPr>
              <w:t>1,078</w:t>
            </w:r>
          </w:p>
        </w:tc>
        <w:tc>
          <w:tcPr>
            <w:tcW w:w="1080" w:type="dxa"/>
            <w:tcBorders>
              <w:top w:val="single" w:sz="12" w:space="0" w:color="auto"/>
              <w:left w:val="single" w:sz="2" w:space="0" w:color="auto"/>
              <w:bottom w:val="single" w:sz="12" w:space="0" w:color="auto"/>
              <w:right w:val="single" w:sz="2" w:space="0" w:color="auto"/>
            </w:tcBorders>
            <w:vAlign w:val="center"/>
          </w:tcPr>
          <w:p w14:paraId="704AD333" w14:textId="77777777" w:rsidR="00724E70" w:rsidRPr="00F537B9" w:rsidRDefault="003503D5" w:rsidP="00724E70">
            <w:pPr>
              <w:spacing w:before="60" w:after="60" w:line="200" w:lineRule="exact"/>
              <w:jc w:val="right"/>
              <w:rPr>
                <w:b/>
                <w:noProof/>
                <w:sz w:val="16"/>
                <w:szCs w:val="16"/>
              </w:rPr>
            </w:pPr>
            <w:r w:rsidRPr="00F537B9">
              <w:rPr>
                <w:b/>
                <w:noProof/>
                <w:sz w:val="16"/>
              </w:rPr>
              <w:t>1,078</w:t>
            </w:r>
          </w:p>
        </w:tc>
        <w:tc>
          <w:tcPr>
            <w:tcW w:w="1080" w:type="dxa"/>
            <w:tcBorders>
              <w:top w:val="single" w:sz="12" w:space="0" w:color="auto"/>
              <w:left w:val="single" w:sz="2" w:space="0" w:color="auto"/>
              <w:bottom w:val="single" w:sz="12" w:space="0" w:color="auto"/>
              <w:right w:val="single" w:sz="2" w:space="0" w:color="auto"/>
            </w:tcBorders>
            <w:vAlign w:val="center"/>
          </w:tcPr>
          <w:p w14:paraId="0195436B" w14:textId="77777777" w:rsidR="00724E70" w:rsidRPr="00F537B9" w:rsidRDefault="003503D5" w:rsidP="00724E70">
            <w:pPr>
              <w:spacing w:before="60" w:after="60" w:line="200" w:lineRule="exact"/>
              <w:jc w:val="right"/>
              <w:rPr>
                <w:b/>
                <w:noProof/>
                <w:sz w:val="16"/>
                <w:szCs w:val="16"/>
              </w:rPr>
            </w:pPr>
            <w:r w:rsidRPr="00F537B9">
              <w:rPr>
                <w:b/>
                <w:noProof/>
                <w:sz w:val="16"/>
              </w:rPr>
              <w:t>1,078</w:t>
            </w:r>
          </w:p>
        </w:tc>
        <w:tc>
          <w:tcPr>
            <w:tcW w:w="1080" w:type="dxa"/>
            <w:tcBorders>
              <w:top w:val="single" w:sz="12" w:space="0" w:color="auto"/>
              <w:left w:val="single" w:sz="2" w:space="0" w:color="auto"/>
              <w:bottom w:val="single" w:sz="12" w:space="0" w:color="auto"/>
              <w:right w:val="single" w:sz="2" w:space="0" w:color="auto"/>
            </w:tcBorders>
            <w:vAlign w:val="center"/>
          </w:tcPr>
          <w:p w14:paraId="564804F6" w14:textId="77777777" w:rsidR="00724E70" w:rsidRPr="00F537B9" w:rsidRDefault="00724E70" w:rsidP="00724E7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23F327D6" w14:textId="77777777" w:rsidR="00724E70" w:rsidRPr="00F537B9" w:rsidRDefault="00724E70" w:rsidP="00724E7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424C1336" w14:textId="77777777" w:rsidR="00724E70" w:rsidRPr="00F537B9" w:rsidRDefault="00724E70" w:rsidP="00724E7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B89C99E" w14:textId="77777777" w:rsidR="00724E70" w:rsidRPr="00F537B9" w:rsidRDefault="00724E70" w:rsidP="00724E7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7008ABC8" w14:textId="77777777" w:rsidR="00724E70" w:rsidRPr="00F537B9" w:rsidRDefault="003503D5" w:rsidP="00724E70">
            <w:pPr>
              <w:spacing w:before="60" w:after="60" w:line="200" w:lineRule="exact"/>
              <w:jc w:val="right"/>
              <w:rPr>
                <w:b/>
                <w:noProof/>
                <w:sz w:val="16"/>
                <w:szCs w:val="16"/>
              </w:rPr>
            </w:pPr>
            <w:r w:rsidRPr="00F537B9">
              <w:rPr>
                <w:b/>
                <w:noProof/>
                <w:sz w:val="16"/>
              </w:rPr>
              <w:t>3,234</w:t>
            </w:r>
          </w:p>
        </w:tc>
      </w:tr>
    </w:tbl>
    <w:p w14:paraId="4862D5D0" w14:textId="5520E4E7" w:rsidR="00544811" w:rsidRPr="00F537B9" w:rsidRDefault="00544811">
      <w:pPr>
        <w:rPr>
          <w:noProof/>
          <w:sz w:val="18"/>
        </w:rPr>
      </w:pPr>
      <w:r w:rsidRPr="00F537B9">
        <w:rPr>
          <w:noProof/>
          <w:sz w:val="18"/>
        </w:rPr>
        <w:t>Rozpočtové prostriedky potrebné na ľudské zdroje</w:t>
      </w:r>
      <w:r w:rsidR="00F537B9">
        <w:rPr>
          <w:noProof/>
          <w:sz w:val="18"/>
        </w:rPr>
        <w:t xml:space="preserve"> a </w:t>
      </w:r>
      <w:r w:rsidRPr="00F537B9">
        <w:rPr>
          <w:noProof/>
          <w:sz w:val="18"/>
        </w:rPr>
        <w:t>na ostatné administratívne výdavky budú pokryté rozpočtovými prostriedkami GR, ktoré už boli pridelené na riadenie akcie a/alebo boli prerozdelené</w:t>
      </w:r>
      <w:r w:rsidR="00F537B9">
        <w:rPr>
          <w:noProof/>
          <w:sz w:val="18"/>
        </w:rPr>
        <w:t xml:space="preserve"> v </w:t>
      </w:r>
      <w:r w:rsidRPr="00F537B9">
        <w:rPr>
          <w:noProof/>
          <w:sz w:val="18"/>
        </w:rPr>
        <w:t>rámci GR,</w:t>
      </w:r>
      <w:r w:rsidR="00F537B9">
        <w:rPr>
          <w:noProof/>
          <w:sz w:val="18"/>
        </w:rPr>
        <w:t xml:space="preserve"> a v </w:t>
      </w:r>
      <w:r w:rsidRPr="00F537B9">
        <w:rPr>
          <w:noProof/>
          <w:sz w:val="18"/>
        </w:rPr>
        <w:t>prípade potreby budú doplnené zdrojmi, ktoré sa môžu prideliť riadiacemu GR</w:t>
      </w:r>
      <w:r w:rsidR="00F537B9">
        <w:rPr>
          <w:noProof/>
          <w:sz w:val="18"/>
        </w:rPr>
        <w:t xml:space="preserve"> v </w:t>
      </w:r>
      <w:r w:rsidRPr="00F537B9">
        <w:rPr>
          <w:noProof/>
          <w:sz w:val="18"/>
        </w:rPr>
        <w:t>rámci ročného postupu prideľovania zdrojov</w:t>
      </w:r>
      <w:r w:rsidR="00F537B9">
        <w:rPr>
          <w:noProof/>
          <w:sz w:val="18"/>
        </w:rPr>
        <w:t xml:space="preserve"> a v </w:t>
      </w:r>
      <w:r w:rsidRPr="00F537B9">
        <w:rPr>
          <w:noProof/>
          <w:sz w:val="18"/>
        </w:rPr>
        <w:t>závislosti od rozpočtových obmedzení.</w:t>
      </w:r>
    </w:p>
    <w:p w14:paraId="12B16608" w14:textId="77777777" w:rsidR="00544811" w:rsidRPr="00F537B9" w:rsidRDefault="00544811">
      <w:pPr>
        <w:rPr>
          <w:noProof/>
          <w:sz w:val="18"/>
        </w:rPr>
        <w:sectPr w:rsidR="00544811" w:rsidRPr="00F537B9" w:rsidSect="004765B0">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14:paraId="3C909002" w14:textId="77777777" w:rsidR="00F537B9" w:rsidRDefault="00544811">
      <w:pPr>
        <w:pStyle w:val="ManualHeading4"/>
        <w:rPr>
          <w:noProof/>
        </w:rPr>
      </w:pPr>
      <w:bookmarkStart w:id="105" w:name="_Toc82C9CE6E4E1F470F8F09B4938A67F539"/>
      <w:r w:rsidRPr="00F537B9">
        <w:rPr>
          <w:noProof/>
        </w:rPr>
        <w:t>3.2.3.1.</w:t>
      </w:r>
      <w:r w:rsidRPr="00F537B9">
        <w:rPr>
          <w:noProof/>
        </w:rPr>
        <w:tab/>
        <w:t>Odhadovaná potreba ľudských zdrojov</w:t>
      </w:r>
      <w:bookmarkEnd w:id="105"/>
    </w:p>
    <w:p w14:paraId="72A5EB61" w14:textId="64EB93C3" w:rsidR="00F537B9" w:rsidRDefault="00544811" w:rsidP="001C0426">
      <w:pPr>
        <w:pStyle w:val="ListDash1"/>
        <w:rPr>
          <w:noProof/>
        </w:rPr>
      </w:pPr>
      <w:r w:rsidRPr="00F537B9">
        <w:rPr>
          <w:rFonts w:ascii="Wingdings" w:hAnsi="Wingdings"/>
          <w:noProof/>
        </w:rPr>
        <w:t></w:t>
      </w:r>
      <w:r w:rsidRPr="00F537B9">
        <w:rPr>
          <w:noProof/>
        </w:rPr>
        <w:tab/>
        <w:t>Návrh/iniciatíva si nevyžaduje použitie ľudských zdrojov</w:t>
      </w:r>
      <w:r w:rsidR="00F537B9">
        <w:rPr>
          <w:noProof/>
        </w:rPr>
        <w:t>.</w:t>
      </w:r>
    </w:p>
    <w:p w14:paraId="760C2298" w14:textId="5DD9412B" w:rsidR="00544811" w:rsidRPr="00F537B9" w:rsidRDefault="005B43E3" w:rsidP="001C0426">
      <w:pPr>
        <w:pStyle w:val="ListDash1"/>
        <w:rPr>
          <w:noProof/>
        </w:rPr>
      </w:pPr>
      <w:r w:rsidRPr="00F537B9">
        <w:rPr>
          <w:rFonts w:ascii="Wingdings" w:hAnsi="Wingdings"/>
          <w:noProof/>
        </w:rPr>
        <w:t></w:t>
      </w:r>
      <w:r w:rsidRPr="00F537B9">
        <w:rPr>
          <w:noProof/>
        </w:rPr>
        <w:tab/>
        <w:t>Návrh/iniciatíva si vyžaduje použitie týchto ľudských zdrojov:</w:t>
      </w:r>
    </w:p>
    <w:p w14:paraId="4A9824F1" w14:textId="2D0B0639" w:rsidR="00544811" w:rsidRPr="00F537B9" w:rsidRDefault="00544811">
      <w:pPr>
        <w:spacing w:after="60"/>
        <w:jc w:val="right"/>
        <w:rPr>
          <w:i/>
          <w:noProof/>
          <w:sz w:val="20"/>
        </w:rPr>
      </w:pPr>
      <w:r w:rsidRPr="00F537B9">
        <w:rPr>
          <w:i/>
          <w:noProof/>
          <w:sz w:val="20"/>
        </w:rPr>
        <w:t>odhady sa vyjadrujú</w:t>
      </w:r>
      <w:r w:rsidR="00F537B9">
        <w:rPr>
          <w:i/>
          <w:noProof/>
          <w:sz w:val="20"/>
        </w:rPr>
        <w:t xml:space="preserve"> v </w:t>
      </w:r>
      <w:r w:rsidRPr="00F537B9">
        <w:rPr>
          <w:i/>
          <w:noProof/>
          <w:sz w:val="20"/>
        </w:rPr>
        <w:t>ekvivalente plného pracovného času</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AE4873" w:rsidRPr="00F537B9" w14:paraId="3A72030A" w14:textId="77777777" w:rsidTr="00F65C25">
        <w:trPr>
          <w:gridBefore w:val="1"/>
          <w:wBefore w:w="15" w:type="dxa"/>
          <w:trHeight w:val="289"/>
          <w:jc w:val="center"/>
        </w:trPr>
        <w:tc>
          <w:tcPr>
            <w:tcW w:w="4754" w:type="dxa"/>
            <w:gridSpan w:val="2"/>
            <w:shd w:val="clear" w:color="auto" w:fill="auto"/>
          </w:tcPr>
          <w:p w14:paraId="49CE17FA" w14:textId="77777777" w:rsidR="00AE4873" w:rsidRPr="00F537B9" w:rsidRDefault="00AE4873">
            <w:pPr>
              <w:pStyle w:val="Text1"/>
              <w:spacing w:before="40" w:after="40"/>
              <w:ind w:left="0"/>
              <w:jc w:val="center"/>
              <w:rPr>
                <w:i/>
                <w:noProof/>
                <w:sz w:val="16"/>
                <w:szCs w:val="16"/>
              </w:rPr>
            </w:pPr>
          </w:p>
        </w:tc>
        <w:tc>
          <w:tcPr>
            <w:tcW w:w="731" w:type="dxa"/>
            <w:shd w:val="clear" w:color="auto" w:fill="auto"/>
            <w:vAlign w:val="center"/>
          </w:tcPr>
          <w:p w14:paraId="027AB747" w14:textId="77777777" w:rsidR="00AE4873" w:rsidRPr="00F537B9" w:rsidRDefault="00AE4873">
            <w:pPr>
              <w:spacing w:before="20" w:after="20"/>
              <w:jc w:val="center"/>
              <w:rPr>
                <w:noProof/>
                <w:sz w:val="16"/>
                <w:szCs w:val="16"/>
              </w:rPr>
            </w:pPr>
            <w:r w:rsidRPr="00F537B9">
              <w:rPr>
                <w:noProof/>
                <w:sz w:val="16"/>
              </w:rPr>
              <w:t>Rok</w:t>
            </w:r>
            <w:r w:rsidRPr="00F537B9">
              <w:rPr>
                <w:noProof/>
              </w:rPr>
              <w:t xml:space="preserve"> </w:t>
            </w:r>
            <w:r w:rsidRPr="00F537B9">
              <w:rPr>
                <w:noProof/>
              </w:rPr>
              <w:br/>
            </w:r>
            <w:r w:rsidRPr="00F537B9">
              <w:rPr>
                <w:b/>
                <w:noProof/>
                <w:sz w:val="16"/>
              </w:rPr>
              <w:t>2025</w:t>
            </w:r>
          </w:p>
        </w:tc>
        <w:tc>
          <w:tcPr>
            <w:tcW w:w="731" w:type="dxa"/>
            <w:shd w:val="clear" w:color="auto" w:fill="auto"/>
            <w:vAlign w:val="center"/>
          </w:tcPr>
          <w:p w14:paraId="38D5D006" w14:textId="77777777" w:rsidR="00AE4873" w:rsidRPr="00F537B9" w:rsidRDefault="00AE4873">
            <w:pPr>
              <w:spacing w:before="20" w:after="20"/>
              <w:jc w:val="center"/>
              <w:rPr>
                <w:noProof/>
                <w:sz w:val="16"/>
                <w:szCs w:val="16"/>
              </w:rPr>
            </w:pPr>
            <w:r w:rsidRPr="00F537B9">
              <w:rPr>
                <w:noProof/>
                <w:sz w:val="16"/>
              </w:rPr>
              <w:t>Rok</w:t>
            </w:r>
            <w:r w:rsidRPr="00F537B9">
              <w:rPr>
                <w:noProof/>
              </w:rPr>
              <w:t xml:space="preserve"> </w:t>
            </w:r>
            <w:r w:rsidRPr="00F537B9">
              <w:rPr>
                <w:noProof/>
              </w:rPr>
              <w:br/>
            </w:r>
            <w:r w:rsidRPr="00F537B9">
              <w:rPr>
                <w:b/>
                <w:noProof/>
                <w:sz w:val="16"/>
              </w:rPr>
              <w:t>2026</w:t>
            </w:r>
          </w:p>
        </w:tc>
        <w:tc>
          <w:tcPr>
            <w:tcW w:w="731" w:type="dxa"/>
            <w:shd w:val="clear" w:color="auto" w:fill="auto"/>
            <w:vAlign w:val="center"/>
          </w:tcPr>
          <w:p w14:paraId="7D9A369E" w14:textId="77777777" w:rsidR="00AE4873" w:rsidRPr="00F537B9" w:rsidRDefault="00AE4873">
            <w:pPr>
              <w:spacing w:before="20" w:after="20"/>
              <w:jc w:val="center"/>
              <w:rPr>
                <w:noProof/>
                <w:sz w:val="16"/>
                <w:szCs w:val="16"/>
              </w:rPr>
            </w:pPr>
            <w:r w:rsidRPr="00F537B9">
              <w:rPr>
                <w:noProof/>
                <w:sz w:val="16"/>
              </w:rPr>
              <w:t>Rok</w:t>
            </w:r>
            <w:r w:rsidRPr="00F537B9">
              <w:rPr>
                <w:b/>
                <w:noProof/>
                <w:sz w:val="16"/>
              </w:rPr>
              <w:t xml:space="preserve"> 2027</w:t>
            </w:r>
          </w:p>
        </w:tc>
        <w:tc>
          <w:tcPr>
            <w:tcW w:w="731" w:type="dxa"/>
            <w:shd w:val="clear" w:color="auto" w:fill="auto"/>
            <w:vAlign w:val="center"/>
          </w:tcPr>
          <w:p w14:paraId="202E4456" w14:textId="77777777" w:rsidR="00AE4873" w:rsidRPr="00F537B9" w:rsidRDefault="00AE4873">
            <w:pPr>
              <w:spacing w:before="20" w:after="20"/>
              <w:jc w:val="center"/>
              <w:rPr>
                <w:noProof/>
                <w:sz w:val="16"/>
                <w:szCs w:val="16"/>
              </w:rPr>
            </w:pPr>
            <w:r w:rsidRPr="00F537B9">
              <w:rPr>
                <w:noProof/>
                <w:sz w:val="16"/>
              </w:rPr>
              <w:t xml:space="preserve">Rok </w:t>
            </w:r>
          </w:p>
        </w:tc>
        <w:tc>
          <w:tcPr>
            <w:tcW w:w="731" w:type="dxa"/>
            <w:shd w:val="clear" w:color="auto" w:fill="auto"/>
            <w:vAlign w:val="center"/>
          </w:tcPr>
          <w:p w14:paraId="2A005150" w14:textId="77777777" w:rsidR="00AE4873" w:rsidRPr="00F537B9" w:rsidRDefault="00AE4873">
            <w:pPr>
              <w:jc w:val="center"/>
              <w:rPr>
                <w:b/>
                <w:noProof/>
                <w:sz w:val="16"/>
                <w:szCs w:val="16"/>
              </w:rPr>
            </w:pPr>
            <w:r w:rsidRPr="00F537B9">
              <w:rPr>
                <w:noProof/>
                <w:sz w:val="16"/>
              </w:rPr>
              <w:t xml:space="preserve">Rok </w:t>
            </w:r>
          </w:p>
        </w:tc>
        <w:tc>
          <w:tcPr>
            <w:tcW w:w="731" w:type="dxa"/>
            <w:shd w:val="clear" w:color="auto" w:fill="auto"/>
            <w:vAlign w:val="center"/>
          </w:tcPr>
          <w:p w14:paraId="693C3B22" w14:textId="77777777" w:rsidR="00AE4873" w:rsidRPr="00F537B9" w:rsidRDefault="00AE4873">
            <w:pPr>
              <w:jc w:val="center"/>
              <w:rPr>
                <w:b/>
                <w:noProof/>
                <w:sz w:val="16"/>
                <w:szCs w:val="16"/>
              </w:rPr>
            </w:pPr>
            <w:r w:rsidRPr="00F537B9">
              <w:rPr>
                <w:noProof/>
                <w:sz w:val="16"/>
              </w:rPr>
              <w:t xml:space="preserve">Rok </w:t>
            </w:r>
          </w:p>
        </w:tc>
        <w:tc>
          <w:tcPr>
            <w:tcW w:w="731" w:type="dxa"/>
            <w:shd w:val="clear" w:color="auto" w:fill="auto"/>
            <w:vAlign w:val="center"/>
          </w:tcPr>
          <w:p w14:paraId="46B575B9" w14:textId="77777777" w:rsidR="00AE4873" w:rsidRPr="00F537B9" w:rsidRDefault="00AE4873">
            <w:pPr>
              <w:jc w:val="center"/>
              <w:rPr>
                <w:b/>
                <w:noProof/>
                <w:sz w:val="16"/>
                <w:szCs w:val="16"/>
              </w:rPr>
            </w:pPr>
            <w:r w:rsidRPr="00F537B9">
              <w:rPr>
                <w:b/>
                <w:noProof/>
                <w:sz w:val="16"/>
              </w:rPr>
              <w:t>Spolu</w:t>
            </w:r>
          </w:p>
        </w:tc>
      </w:tr>
      <w:tr w:rsidR="00544811" w:rsidRPr="00F537B9" w14:paraId="5AB7411D" w14:textId="77777777">
        <w:trPr>
          <w:gridBefore w:val="1"/>
          <w:wBefore w:w="15" w:type="dxa"/>
          <w:trHeight w:val="289"/>
          <w:jc w:val="center"/>
        </w:trPr>
        <w:tc>
          <w:tcPr>
            <w:tcW w:w="9871" w:type="dxa"/>
            <w:gridSpan w:val="9"/>
            <w:shd w:val="clear" w:color="auto" w:fill="auto"/>
          </w:tcPr>
          <w:p w14:paraId="42EB5F63" w14:textId="43CE70EA" w:rsidR="00544811" w:rsidRPr="00F537B9" w:rsidRDefault="00544811">
            <w:pPr>
              <w:jc w:val="left"/>
              <w:rPr>
                <w:noProof/>
                <w:sz w:val="16"/>
                <w:szCs w:val="16"/>
              </w:rPr>
            </w:pPr>
            <w:r w:rsidRPr="00F537B9">
              <w:rPr>
                <w:rFonts w:ascii="Wingdings" w:hAnsi="Wingdings"/>
                <w:b/>
                <w:noProof/>
                <w:sz w:val="16"/>
              </w:rPr>
              <w:t>□</w:t>
            </w:r>
            <w:r w:rsidRPr="00F537B9">
              <w:rPr>
                <w:b/>
                <w:noProof/>
                <w:sz w:val="16"/>
              </w:rPr>
              <w:t xml:space="preserve"> Plán pracovných miest (úradníci</w:t>
            </w:r>
            <w:r w:rsidR="00F537B9">
              <w:rPr>
                <w:b/>
                <w:noProof/>
                <w:sz w:val="16"/>
              </w:rPr>
              <w:t xml:space="preserve"> a </w:t>
            </w:r>
            <w:r w:rsidRPr="00F537B9">
              <w:rPr>
                <w:b/>
                <w:noProof/>
                <w:sz w:val="16"/>
              </w:rPr>
              <w:t>dočasní zamestnanci)</w:t>
            </w:r>
          </w:p>
        </w:tc>
      </w:tr>
      <w:tr w:rsidR="00544811" w:rsidRPr="00F537B9" w14:paraId="28140211" w14:textId="77777777">
        <w:trPr>
          <w:gridBefore w:val="1"/>
          <w:wBefore w:w="15" w:type="dxa"/>
          <w:trHeight w:val="289"/>
          <w:jc w:val="center"/>
        </w:trPr>
        <w:tc>
          <w:tcPr>
            <w:tcW w:w="4754" w:type="dxa"/>
            <w:gridSpan w:val="2"/>
            <w:shd w:val="clear" w:color="auto" w:fill="auto"/>
            <w:vAlign w:val="center"/>
          </w:tcPr>
          <w:p w14:paraId="4349E1CF" w14:textId="4D2E72FB" w:rsidR="00544811" w:rsidRPr="00F537B9" w:rsidRDefault="00544811">
            <w:pPr>
              <w:pStyle w:val="Text1"/>
              <w:spacing w:beforeLines="20" w:before="48" w:afterLines="20" w:after="48"/>
              <w:ind w:left="134"/>
              <w:jc w:val="left"/>
              <w:rPr>
                <w:b/>
                <w:noProof/>
                <w:sz w:val="16"/>
                <w:szCs w:val="16"/>
              </w:rPr>
            </w:pPr>
            <w:r w:rsidRPr="00F537B9">
              <w:rPr>
                <w:noProof/>
                <w:sz w:val="16"/>
              </w:rPr>
              <w:t>20 01 02 01</w:t>
            </w:r>
            <w:r w:rsidRPr="00F537B9">
              <w:rPr>
                <w:rFonts w:ascii="Arial Narrow" w:hAnsi="Arial Narrow"/>
                <w:noProof/>
                <w:color w:val="000000"/>
                <w:sz w:val="20"/>
              </w:rPr>
              <w:t xml:space="preserve"> </w:t>
            </w:r>
            <w:r w:rsidRPr="00F537B9">
              <w:rPr>
                <w:noProof/>
                <w:sz w:val="16"/>
              </w:rPr>
              <w:t>(ústredie</w:t>
            </w:r>
            <w:r w:rsidR="00F537B9">
              <w:rPr>
                <w:noProof/>
                <w:sz w:val="16"/>
              </w:rPr>
              <w:t xml:space="preserve"> a </w:t>
            </w:r>
            <w:r w:rsidRPr="00F537B9">
              <w:rPr>
                <w:noProof/>
                <w:sz w:val="16"/>
              </w:rPr>
              <w:t>zastúpenia Komisie)</w:t>
            </w:r>
          </w:p>
        </w:tc>
        <w:tc>
          <w:tcPr>
            <w:tcW w:w="731" w:type="dxa"/>
            <w:shd w:val="clear" w:color="auto" w:fill="auto"/>
            <w:vAlign w:val="center"/>
          </w:tcPr>
          <w:p w14:paraId="046887BD" w14:textId="77777777" w:rsidR="00544811" w:rsidRPr="00F537B9" w:rsidRDefault="003B0E25">
            <w:pPr>
              <w:spacing w:beforeLines="20" w:before="48" w:afterLines="20" w:after="48"/>
              <w:jc w:val="center"/>
              <w:rPr>
                <w:noProof/>
                <w:sz w:val="16"/>
                <w:szCs w:val="16"/>
              </w:rPr>
            </w:pPr>
            <w:r w:rsidRPr="00F537B9">
              <w:rPr>
                <w:noProof/>
                <w:sz w:val="16"/>
              </w:rPr>
              <w:t>6</w:t>
            </w:r>
          </w:p>
        </w:tc>
        <w:tc>
          <w:tcPr>
            <w:tcW w:w="731" w:type="dxa"/>
            <w:shd w:val="clear" w:color="auto" w:fill="auto"/>
            <w:vAlign w:val="center"/>
          </w:tcPr>
          <w:p w14:paraId="392C005A" w14:textId="77777777" w:rsidR="00544811" w:rsidRPr="00F537B9" w:rsidRDefault="003B0E25">
            <w:pPr>
              <w:spacing w:beforeLines="20" w:before="48" w:afterLines="20" w:after="48"/>
              <w:jc w:val="center"/>
              <w:rPr>
                <w:noProof/>
                <w:sz w:val="16"/>
                <w:szCs w:val="16"/>
              </w:rPr>
            </w:pPr>
            <w:r w:rsidRPr="00F537B9">
              <w:rPr>
                <w:noProof/>
                <w:sz w:val="16"/>
              </w:rPr>
              <w:t>6</w:t>
            </w:r>
          </w:p>
        </w:tc>
        <w:tc>
          <w:tcPr>
            <w:tcW w:w="731" w:type="dxa"/>
            <w:shd w:val="clear" w:color="auto" w:fill="auto"/>
            <w:vAlign w:val="center"/>
          </w:tcPr>
          <w:p w14:paraId="68165A5B" w14:textId="77777777" w:rsidR="00544811" w:rsidRPr="00F537B9" w:rsidRDefault="00AC086C">
            <w:pPr>
              <w:spacing w:beforeLines="20" w:before="48" w:afterLines="20" w:after="48"/>
              <w:jc w:val="center"/>
              <w:rPr>
                <w:noProof/>
                <w:sz w:val="16"/>
                <w:szCs w:val="16"/>
              </w:rPr>
            </w:pPr>
            <w:r w:rsidRPr="00F537B9">
              <w:rPr>
                <w:noProof/>
                <w:sz w:val="16"/>
              </w:rPr>
              <w:t>6</w:t>
            </w:r>
          </w:p>
        </w:tc>
        <w:tc>
          <w:tcPr>
            <w:tcW w:w="731" w:type="dxa"/>
            <w:shd w:val="clear" w:color="auto" w:fill="auto"/>
            <w:vAlign w:val="center"/>
          </w:tcPr>
          <w:p w14:paraId="3C9530D9"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427FBBDD"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3956EE9E"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570CFB5D" w14:textId="77777777" w:rsidR="00544811" w:rsidRPr="00F537B9" w:rsidRDefault="003B0E25">
            <w:pPr>
              <w:spacing w:beforeLines="20" w:before="48" w:afterLines="20" w:after="48"/>
              <w:jc w:val="center"/>
              <w:rPr>
                <w:noProof/>
                <w:sz w:val="16"/>
                <w:szCs w:val="16"/>
              </w:rPr>
            </w:pPr>
            <w:r w:rsidRPr="00F537B9">
              <w:rPr>
                <w:noProof/>
                <w:sz w:val="16"/>
              </w:rPr>
              <w:t>6</w:t>
            </w:r>
          </w:p>
        </w:tc>
      </w:tr>
      <w:tr w:rsidR="00544811" w:rsidRPr="00F537B9" w14:paraId="1958E485" w14:textId="77777777">
        <w:trPr>
          <w:gridBefore w:val="1"/>
          <w:wBefore w:w="15" w:type="dxa"/>
          <w:trHeight w:val="289"/>
          <w:jc w:val="center"/>
        </w:trPr>
        <w:tc>
          <w:tcPr>
            <w:tcW w:w="4754" w:type="dxa"/>
            <w:gridSpan w:val="2"/>
            <w:shd w:val="clear" w:color="auto" w:fill="auto"/>
            <w:vAlign w:val="center"/>
          </w:tcPr>
          <w:p w14:paraId="22A01381" w14:textId="77777777" w:rsidR="00544811" w:rsidRPr="00F537B9" w:rsidRDefault="00544811">
            <w:pPr>
              <w:pStyle w:val="Text1"/>
              <w:spacing w:beforeLines="20" w:before="48" w:afterLines="20" w:after="48"/>
              <w:ind w:left="134"/>
              <w:jc w:val="left"/>
              <w:rPr>
                <w:noProof/>
                <w:sz w:val="16"/>
              </w:rPr>
            </w:pPr>
            <w:r w:rsidRPr="00F537B9">
              <w:rPr>
                <w:noProof/>
                <w:sz w:val="16"/>
              </w:rPr>
              <w:t>20 01 02 03 (delegácie)</w:t>
            </w:r>
          </w:p>
        </w:tc>
        <w:tc>
          <w:tcPr>
            <w:tcW w:w="731" w:type="dxa"/>
            <w:shd w:val="clear" w:color="auto" w:fill="auto"/>
            <w:vAlign w:val="center"/>
          </w:tcPr>
          <w:p w14:paraId="721900B8"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443D9046"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08D4A9F8"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61894F15"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6BABB71C"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359CAF40"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56FBEA50" w14:textId="77777777" w:rsidR="00544811" w:rsidRPr="00F537B9" w:rsidRDefault="00544811">
            <w:pPr>
              <w:spacing w:beforeLines="20" w:before="48" w:afterLines="20" w:after="48"/>
              <w:jc w:val="center"/>
              <w:rPr>
                <w:noProof/>
                <w:sz w:val="16"/>
                <w:szCs w:val="16"/>
              </w:rPr>
            </w:pPr>
          </w:p>
        </w:tc>
      </w:tr>
      <w:tr w:rsidR="00544811" w:rsidRPr="00F537B9" w14:paraId="47E53BA6" w14:textId="77777777">
        <w:trPr>
          <w:gridBefore w:val="1"/>
          <w:wBefore w:w="15" w:type="dxa"/>
          <w:trHeight w:val="289"/>
          <w:jc w:val="center"/>
        </w:trPr>
        <w:tc>
          <w:tcPr>
            <w:tcW w:w="4754" w:type="dxa"/>
            <w:gridSpan w:val="2"/>
            <w:shd w:val="clear" w:color="auto" w:fill="auto"/>
            <w:vAlign w:val="center"/>
          </w:tcPr>
          <w:p w14:paraId="0243738C" w14:textId="44FE2411" w:rsidR="00544811" w:rsidRPr="00F537B9" w:rsidRDefault="00544811">
            <w:pPr>
              <w:pStyle w:val="Text1"/>
              <w:spacing w:beforeLines="20" w:before="48" w:afterLines="20" w:after="48"/>
              <w:ind w:left="134"/>
              <w:jc w:val="left"/>
              <w:rPr>
                <w:noProof/>
                <w:sz w:val="16"/>
                <w:szCs w:val="16"/>
              </w:rPr>
            </w:pPr>
            <w:r w:rsidRPr="00F537B9">
              <w:rPr>
                <w:noProof/>
                <w:sz w:val="16"/>
              </w:rPr>
              <w:t>01 01 01 01</w:t>
            </w:r>
            <w:r w:rsidR="00F537B9" w:rsidRPr="00F537B9">
              <w:rPr>
                <w:rFonts w:ascii="Arial Narrow" w:hAnsi="Arial Narrow"/>
                <w:noProof/>
                <w:color w:val="000000"/>
                <w:sz w:val="20"/>
              </w:rPr>
              <w:t xml:space="preserve"> </w:t>
            </w:r>
            <w:r w:rsidRPr="00F537B9">
              <w:rPr>
                <w:noProof/>
                <w:sz w:val="16"/>
              </w:rPr>
              <w:t>(nepriamy výskum)</w:t>
            </w:r>
          </w:p>
        </w:tc>
        <w:tc>
          <w:tcPr>
            <w:tcW w:w="731" w:type="dxa"/>
            <w:shd w:val="clear" w:color="auto" w:fill="auto"/>
            <w:vAlign w:val="center"/>
          </w:tcPr>
          <w:p w14:paraId="70B4824C"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57F77F8B"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4CE4D17C"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014561A9"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5DC03B2D"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32AB22B0"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6A5E8A1C" w14:textId="77777777" w:rsidR="00544811" w:rsidRPr="00F537B9" w:rsidRDefault="00544811">
            <w:pPr>
              <w:spacing w:beforeLines="20" w:before="48" w:afterLines="20" w:after="48"/>
              <w:jc w:val="center"/>
              <w:rPr>
                <w:noProof/>
                <w:sz w:val="16"/>
                <w:szCs w:val="16"/>
              </w:rPr>
            </w:pPr>
          </w:p>
        </w:tc>
      </w:tr>
      <w:tr w:rsidR="00544811" w:rsidRPr="00F537B9" w14:paraId="01FBF2AB" w14:textId="77777777">
        <w:trPr>
          <w:gridBefore w:val="1"/>
          <w:wBefore w:w="15" w:type="dxa"/>
          <w:trHeight w:val="289"/>
          <w:jc w:val="center"/>
        </w:trPr>
        <w:tc>
          <w:tcPr>
            <w:tcW w:w="4754" w:type="dxa"/>
            <w:gridSpan w:val="2"/>
            <w:shd w:val="clear" w:color="auto" w:fill="auto"/>
            <w:vAlign w:val="center"/>
          </w:tcPr>
          <w:p w14:paraId="402E233A" w14:textId="77777777" w:rsidR="00544811" w:rsidRPr="00F537B9" w:rsidRDefault="00544811">
            <w:pPr>
              <w:pStyle w:val="Text1"/>
              <w:spacing w:beforeLines="20" w:before="48" w:afterLines="20" w:after="48"/>
              <w:ind w:left="134"/>
              <w:jc w:val="left"/>
              <w:rPr>
                <w:noProof/>
                <w:sz w:val="16"/>
                <w:szCs w:val="16"/>
              </w:rPr>
            </w:pPr>
            <w:r w:rsidRPr="00F537B9">
              <w:rPr>
                <w:noProof/>
                <w:sz w:val="16"/>
              </w:rPr>
              <w:t xml:space="preserve"> 01 01 01 11 (priamy výskum)</w:t>
            </w:r>
          </w:p>
        </w:tc>
        <w:tc>
          <w:tcPr>
            <w:tcW w:w="731" w:type="dxa"/>
            <w:shd w:val="clear" w:color="auto" w:fill="auto"/>
            <w:vAlign w:val="center"/>
          </w:tcPr>
          <w:p w14:paraId="450A2C54"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32537E90"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482B314E"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3C0F52C1"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32E692A7"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5294D0A8"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32159B84" w14:textId="77777777" w:rsidR="00544811" w:rsidRPr="00F537B9" w:rsidRDefault="00544811">
            <w:pPr>
              <w:spacing w:beforeLines="20" w:before="48" w:afterLines="20" w:after="48"/>
              <w:jc w:val="center"/>
              <w:rPr>
                <w:noProof/>
                <w:sz w:val="16"/>
                <w:szCs w:val="16"/>
              </w:rPr>
            </w:pPr>
          </w:p>
        </w:tc>
      </w:tr>
      <w:tr w:rsidR="00544811" w:rsidRPr="00F537B9" w14:paraId="6FF2057F" w14:textId="77777777">
        <w:trPr>
          <w:gridBefore w:val="1"/>
          <w:wBefore w:w="15" w:type="dxa"/>
          <w:trHeight w:val="289"/>
          <w:jc w:val="center"/>
        </w:trPr>
        <w:tc>
          <w:tcPr>
            <w:tcW w:w="4754" w:type="dxa"/>
            <w:gridSpan w:val="2"/>
            <w:shd w:val="clear" w:color="auto" w:fill="auto"/>
            <w:vAlign w:val="center"/>
          </w:tcPr>
          <w:p w14:paraId="39994A2F" w14:textId="77777777" w:rsidR="00544811" w:rsidRPr="00F537B9" w:rsidRDefault="00544811">
            <w:pPr>
              <w:pStyle w:val="Text1"/>
              <w:spacing w:beforeLines="20" w:before="48" w:afterLines="20" w:after="48"/>
              <w:ind w:left="134"/>
              <w:jc w:val="left"/>
              <w:rPr>
                <w:noProof/>
                <w:sz w:val="16"/>
              </w:rPr>
            </w:pPr>
            <w:r w:rsidRPr="00F537B9">
              <w:rPr>
                <w:noProof/>
                <w:sz w:val="16"/>
              </w:rPr>
              <w:t>Iné rozpočtové riadky (uveďte)</w:t>
            </w:r>
          </w:p>
        </w:tc>
        <w:tc>
          <w:tcPr>
            <w:tcW w:w="731" w:type="dxa"/>
            <w:shd w:val="clear" w:color="auto" w:fill="auto"/>
            <w:vAlign w:val="center"/>
          </w:tcPr>
          <w:p w14:paraId="48BFD287"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01FC73A4"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4CED11F3"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3DD67A09"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6814852E"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764634B6"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7E6125BF" w14:textId="77777777" w:rsidR="00544811" w:rsidRPr="00F537B9" w:rsidRDefault="00544811">
            <w:pPr>
              <w:spacing w:beforeLines="20" w:before="48" w:afterLines="20" w:after="48"/>
              <w:jc w:val="center"/>
              <w:rPr>
                <w:noProof/>
                <w:sz w:val="16"/>
                <w:szCs w:val="16"/>
              </w:rPr>
            </w:pPr>
          </w:p>
        </w:tc>
      </w:tr>
      <w:tr w:rsidR="00544811" w:rsidRPr="00F537B9" w14:paraId="697D724D" w14:textId="77777777">
        <w:trPr>
          <w:trHeight w:val="248"/>
          <w:jc w:val="center"/>
        </w:trPr>
        <w:tc>
          <w:tcPr>
            <w:tcW w:w="9886" w:type="dxa"/>
            <w:gridSpan w:val="10"/>
            <w:shd w:val="clear" w:color="auto" w:fill="auto"/>
            <w:vAlign w:val="center"/>
          </w:tcPr>
          <w:p w14:paraId="32C9D5BE" w14:textId="77777777" w:rsidR="00544811" w:rsidRPr="00F537B9" w:rsidRDefault="00544811">
            <w:pPr>
              <w:pStyle w:val="Text1"/>
              <w:spacing w:before="60" w:after="60"/>
              <w:ind w:left="0"/>
              <w:jc w:val="left"/>
              <w:rPr>
                <w:b/>
                <w:noProof/>
                <w:sz w:val="16"/>
                <w:szCs w:val="16"/>
              </w:rPr>
            </w:pPr>
            <w:r w:rsidRPr="00F537B9">
              <w:rPr>
                <w:rFonts w:ascii="Wingdings" w:hAnsi="Wingdings"/>
                <w:b/>
                <w:noProof/>
                <w:sz w:val="16"/>
              </w:rPr>
              <w:t>□</w:t>
            </w:r>
            <w:r w:rsidRPr="00F537B9">
              <w:rPr>
                <w:b/>
                <w:noProof/>
                <w:sz w:val="16"/>
              </w:rPr>
              <w:t xml:space="preserve"> Externí zamestnanci (ekvivalent plného pracovného času)</w:t>
            </w:r>
            <w:r w:rsidRPr="00F537B9">
              <w:rPr>
                <w:rStyle w:val="FootnoteReference"/>
                <w:b/>
                <w:noProof/>
                <w:sz w:val="16"/>
              </w:rPr>
              <w:footnoteReference w:id="54"/>
            </w:r>
          </w:p>
          <w:p w14:paraId="0419B690" w14:textId="77777777" w:rsidR="00544811" w:rsidRPr="00F537B9" w:rsidRDefault="00544811">
            <w:pPr>
              <w:pStyle w:val="Text1"/>
              <w:spacing w:before="0" w:after="0"/>
              <w:ind w:left="0"/>
              <w:jc w:val="left"/>
              <w:rPr>
                <w:noProof/>
                <w:sz w:val="16"/>
                <w:szCs w:val="16"/>
              </w:rPr>
            </w:pPr>
          </w:p>
        </w:tc>
      </w:tr>
      <w:tr w:rsidR="00544811" w:rsidRPr="00F537B9" w14:paraId="3A596A17" w14:textId="77777777">
        <w:trPr>
          <w:gridBefore w:val="1"/>
          <w:wBefore w:w="15" w:type="dxa"/>
          <w:trHeight w:val="289"/>
          <w:jc w:val="center"/>
        </w:trPr>
        <w:tc>
          <w:tcPr>
            <w:tcW w:w="4754" w:type="dxa"/>
            <w:gridSpan w:val="2"/>
            <w:shd w:val="clear" w:color="auto" w:fill="auto"/>
            <w:vAlign w:val="center"/>
          </w:tcPr>
          <w:p w14:paraId="0C96D276" w14:textId="2C23DFBE" w:rsidR="00544811" w:rsidRPr="00F537B9" w:rsidRDefault="00544811">
            <w:pPr>
              <w:pStyle w:val="Text1"/>
              <w:spacing w:beforeLines="20" w:before="48" w:afterLines="20" w:after="48"/>
              <w:ind w:left="136"/>
              <w:jc w:val="left"/>
              <w:rPr>
                <w:b/>
                <w:noProof/>
                <w:sz w:val="16"/>
                <w:szCs w:val="16"/>
              </w:rPr>
            </w:pPr>
            <w:r w:rsidRPr="00F537B9">
              <w:rPr>
                <w:noProof/>
                <w:sz w:val="16"/>
              </w:rPr>
              <w:t>20 02 01</w:t>
            </w:r>
            <w:r w:rsidRPr="00F537B9">
              <w:rPr>
                <w:rFonts w:ascii="Arial Narrow" w:hAnsi="Arial Narrow"/>
                <w:noProof/>
                <w:color w:val="000000"/>
                <w:sz w:val="20"/>
              </w:rPr>
              <w:t xml:space="preserve"> </w:t>
            </w:r>
            <w:r w:rsidRPr="00F537B9">
              <w:rPr>
                <w:noProof/>
                <w:sz w:val="16"/>
              </w:rPr>
              <w:t>(ZZ, VNE, DAZ</w:t>
            </w:r>
            <w:r w:rsidR="00F537B9">
              <w:rPr>
                <w:noProof/>
                <w:sz w:val="16"/>
              </w:rPr>
              <w:t xml:space="preserve"> z </w:t>
            </w:r>
            <w:r w:rsidRPr="00F537B9">
              <w:rPr>
                <w:noProof/>
                <w:sz w:val="16"/>
              </w:rPr>
              <w:t>celkového finančného krytia)</w:t>
            </w:r>
          </w:p>
        </w:tc>
        <w:tc>
          <w:tcPr>
            <w:tcW w:w="731" w:type="dxa"/>
            <w:shd w:val="clear" w:color="auto" w:fill="auto"/>
            <w:vAlign w:val="center"/>
          </w:tcPr>
          <w:p w14:paraId="1114AE38"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616C5A68"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14D52D3D"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51352E63"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004172C5"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69DCAB22"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519E20B4" w14:textId="77777777" w:rsidR="00544811" w:rsidRPr="00F537B9" w:rsidRDefault="00544811">
            <w:pPr>
              <w:spacing w:beforeLines="20" w:before="48" w:afterLines="20" w:after="48"/>
              <w:jc w:val="center"/>
              <w:rPr>
                <w:noProof/>
                <w:sz w:val="16"/>
                <w:szCs w:val="16"/>
              </w:rPr>
            </w:pPr>
          </w:p>
        </w:tc>
      </w:tr>
      <w:tr w:rsidR="00544811" w:rsidRPr="00F537B9" w14:paraId="34402E7C" w14:textId="77777777">
        <w:trPr>
          <w:gridBefore w:val="1"/>
          <w:wBefore w:w="15" w:type="dxa"/>
          <w:trHeight w:val="289"/>
          <w:jc w:val="center"/>
        </w:trPr>
        <w:tc>
          <w:tcPr>
            <w:tcW w:w="4754" w:type="dxa"/>
            <w:gridSpan w:val="2"/>
            <w:shd w:val="clear" w:color="auto" w:fill="auto"/>
            <w:vAlign w:val="center"/>
          </w:tcPr>
          <w:p w14:paraId="1347BFE3" w14:textId="173FB447" w:rsidR="00544811" w:rsidRPr="00F537B9" w:rsidRDefault="00544811">
            <w:pPr>
              <w:pStyle w:val="Text1"/>
              <w:spacing w:beforeLines="20" w:before="48" w:afterLines="20" w:after="48"/>
              <w:ind w:left="136"/>
              <w:jc w:val="left"/>
              <w:rPr>
                <w:noProof/>
                <w:sz w:val="16"/>
              </w:rPr>
            </w:pPr>
            <w:r w:rsidRPr="00F537B9">
              <w:rPr>
                <w:noProof/>
                <w:sz w:val="16"/>
              </w:rPr>
              <w:t>20 02 03 (ZZ, MZ, VNE, DAZ, PED</w:t>
            </w:r>
            <w:r w:rsidR="00F537B9">
              <w:rPr>
                <w:noProof/>
                <w:sz w:val="16"/>
              </w:rPr>
              <w:t xml:space="preserve"> v </w:t>
            </w:r>
            <w:r w:rsidRPr="00F537B9">
              <w:rPr>
                <w:noProof/>
                <w:sz w:val="16"/>
              </w:rPr>
              <w:t>delegáciách)</w:t>
            </w:r>
          </w:p>
        </w:tc>
        <w:tc>
          <w:tcPr>
            <w:tcW w:w="731" w:type="dxa"/>
            <w:shd w:val="clear" w:color="auto" w:fill="auto"/>
            <w:vAlign w:val="center"/>
          </w:tcPr>
          <w:p w14:paraId="42991E8A"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07355B05"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24F17BDA"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5F29140A"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45F2A62A"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08DD6DA1"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31C38132" w14:textId="77777777" w:rsidR="00544811" w:rsidRPr="00F537B9" w:rsidRDefault="00544811">
            <w:pPr>
              <w:spacing w:beforeLines="20" w:before="48" w:afterLines="20" w:after="48"/>
              <w:jc w:val="center"/>
              <w:rPr>
                <w:noProof/>
                <w:sz w:val="16"/>
                <w:szCs w:val="16"/>
              </w:rPr>
            </w:pPr>
          </w:p>
        </w:tc>
      </w:tr>
      <w:tr w:rsidR="00544811" w:rsidRPr="00F537B9" w14:paraId="3E4D1DFE" w14:textId="77777777">
        <w:trPr>
          <w:gridBefore w:val="1"/>
          <w:wBefore w:w="15" w:type="dxa"/>
          <w:trHeight w:val="289"/>
          <w:jc w:val="center"/>
        </w:trPr>
        <w:tc>
          <w:tcPr>
            <w:tcW w:w="2376" w:type="dxa"/>
            <w:vMerge w:val="restart"/>
            <w:shd w:val="clear" w:color="auto" w:fill="auto"/>
            <w:vAlign w:val="center"/>
          </w:tcPr>
          <w:p w14:paraId="1D44244A" w14:textId="2A31DD38" w:rsidR="00544811" w:rsidRPr="00F537B9" w:rsidRDefault="00544811">
            <w:pPr>
              <w:pStyle w:val="Text1"/>
              <w:spacing w:beforeLines="20" w:before="48" w:afterLines="20" w:after="48"/>
              <w:ind w:left="136"/>
              <w:jc w:val="left"/>
              <w:rPr>
                <w:b/>
                <w:noProof/>
                <w:sz w:val="16"/>
                <w:szCs w:val="16"/>
              </w:rPr>
            </w:pPr>
            <w:r w:rsidRPr="00F537B9">
              <w:rPr>
                <w:b/>
                <w:noProof/>
                <w:sz w:val="16"/>
              </w:rPr>
              <w:t>XX</w:t>
            </w:r>
            <w:r w:rsidRPr="00F537B9">
              <w:rPr>
                <w:noProof/>
                <w:sz w:val="16"/>
              </w:rPr>
              <w:t xml:space="preserve"> 01</w:t>
            </w:r>
            <w:r w:rsidR="00F537B9" w:rsidRPr="00F537B9">
              <w:rPr>
                <w:noProof/>
                <w:sz w:val="16"/>
              </w:rPr>
              <w:t xml:space="preserve"> </w:t>
            </w:r>
            <w:r w:rsidRPr="00F537B9">
              <w:rPr>
                <w:noProof/>
                <w:sz w:val="16"/>
              </w:rPr>
              <w:t xml:space="preserve">xx </w:t>
            </w:r>
            <w:r w:rsidRPr="00F537B9">
              <w:rPr>
                <w:b/>
                <w:noProof/>
                <w:sz w:val="16"/>
              </w:rPr>
              <w:t>yy zz</w:t>
            </w:r>
            <w:r w:rsidR="00F537B9" w:rsidRPr="00F537B9">
              <w:rPr>
                <w:b/>
                <w:noProof/>
                <w:sz w:val="16"/>
              </w:rPr>
              <w:t xml:space="preserve"> </w:t>
            </w:r>
            <w:r w:rsidRPr="004609CB">
              <w:rPr>
                <w:rStyle w:val="FootnoteReference"/>
                <w:b/>
                <w:noProof/>
                <w:sz w:val="16"/>
              </w:rPr>
              <w:footnoteReference w:id="55"/>
            </w:r>
          </w:p>
          <w:p w14:paraId="5A30EB2C" w14:textId="77777777" w:rsidR="00544811" w:rsidRPr="00F537B9" w:rsidRDefault="00544811">
            <w:pPr>
              <w:pStyle w:val="Text1"/>
              <w:spacing w:beforeLines="20" w:before="48" w:afterLines="20" w:after="48"/>
              <w:ind w:left="136"/>
              <w:jc w:val="left"/>
              <w:rPr>
                <w:b/>
                <w:noProof/>
                <w:sz w:val="16"/>
                <w:szCs w:val="16"/>
              </w:rPr>
            </w:pPr>
          </w:p>
        </w:tc>
        <w:tc>
          <w:tcPr>
            <w:tcW w:w="2378" w:type="dxa"/>
            <w:shd w:val="clear" w:color="auto" w:fill="auto"/>
            <w:vAlign w:val="center"/>
          </w:tcPr>
          <w:p w14:paraId="21BACAFB" w14:textId="77777777" w:rsidR="00544811" w:rsidRPr="00F537B9" w:rsidRDefault="00544811">
            <w:pPr>
              <w:pStyle w:val="Text1"/>
              <w:spacing w:beforeLines="20" w:before="48" w:afterLines="20" w:after="48"/>
              <w:ind w:left="136"/>
              <w:jc w:val="left"/>
              <w:rPr>
                <w:b/>
                <w:noProof/>
                <w:sz w:val="16"/>
                <w:szCs w:val="16"/>
              </w:rPr>
            </w:pPr>
            <w:r w:rsidRPr="00F537B9">
              <w:rPr>
                <w:noProof/>
                <w:sz w:val="16"/>
              </w:rPr>
              <w:t>‒ ústredie</w:t>
            </w:r>
          </w:p>
          <w:p w14:paraId="1609CA6A" w14:textId="77777777" w:rsidR="00544811" w:rsidRPr="00F537B9" w:rsidRDefault="00544811">
            <w:pPr>
              <w:pStyle w:val="Text1"/>
              <w:spacing w:beforeLines="20" w:before="48" w:afterLines="20" w:after="48"/>
              <w:ind w:left="136"/>
              <w:jc w:val="left"/>
              <w:rPr>
                <w:b/>
                <w:noProof/>
                <w:sz w:val="16"/>
                <w:szCs w:val="16"/>
              </w:rPr>
            </w:pPr>
          </w:p>
        </w:tc>
        <w:tc>
          <w:tcPr>
            <w:tcW w:w="731" w:type="dxa"/>
            <w:shd w:val="clear" w:color="auto" w:fill="auto"/>
            <w:vAlign w:val="center"/>
          </w:tcPr>
          <w:p w14:paraId="10A70613" w14:textId="77777777" w:rsidR="00544811" w:rsidRPr="00F537B9" w:rsidRDefault="00544811">
            <w:pPr>
              <w:pStyle w:val="Text1"/>
              <w:spacing w:beforeLines="20" w:before="48" w:afterLines="20" w:after="48"/>
              <w:ind w:left="0"/>
              <w:rPr>
                <w:noProof/>
                <w:sz w:val="16"/>
                <w:szCs w:val="16"/>
              </w:rPr>
            </w:pPr>
          </w:p>
        </w:tc>
        <w:tc>
          <w:tcPr>
            <w:tcW w:w="731" w:type="dxa"/>
            <w:shd w:val="clear" w:color="auto" w:fill="auto"/>
            <w:vAlign w:val="center"/>
          </w:tcPr>
          <w:p w14:paraId="72A0B7E7"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1ABC112E"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3BEBD9B8"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620C30AC"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08B4259B"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02136D1A" w14:textId="77777777" w:rsidR="00544811" w:rsidRPr="00F537B9" w:rsidRDefault="00544811">
            <w:pPr>
              <w:spacing w:beforeLines="20" w:before="48" w:afterLines="20" w:after="48"/>
              <w:jc w:val="center"/>
              <w:rPr>
                <w:noProof/>
                <w:sz w:val="16"/>
                <w:szCs w:val="16"/>
              </w:rPr>
            </w:pPr>
          </w:p>
        </w:tc>
      </w:tr>
      <w:tr w:rsidR="00544811" w:rsidRPr="00F537B9" w14:paraId="04DCE103" w14:textId="77777777">
        <w:trPr>
          <w:gridBefore w:val="1"/>
          <w:wBefore w:w="15" w:type="dxa"/>
          <w:trHeight w:val="289"/>
          <w:jc w:val="center"/>
        </w:trPr>
        <w:tc>
          <w:tcPr>
            <w:tcW w:w="2376" w:type="dxa"/>
            <w:vMerge/>
            <w:shd w:val="clear" w:color="auto" w:fill="auto"/>
            <w:vAlign w:val="center"/>
          </w:tcPr>
          <w:p w14:paraId="2F845ED0" w14:textId="77777777" w:rsidR="00544811" w:rsidRPr="00F537B9" w:rsidRDefault="00544811">
            <w:pPr>
              <w:pStyle w:val="Text1"/>
              <w:spacing w:beforeLines="20" w:before="48" w:afterLines="20" w:after="48"/>
              <w:ind w:left="136"/>
              <w:jc w:val="left"/>
              <w:rPr>
                <w:b/>
                <w:noProof/>
                <w:sz w:val="16"/>
                <w:szCs w:val="16"/>
              </w:rPr>
            </w:pPr>
          </w:p>
        </w:tc>
        <w:tc>
          <w:tcPr>
            <w:tcW w:w="2378" w:type="dxa"/>
            <w:shd w:val="clear" w:color="auto" w:fill="auto"/>
            <w:vAlign w:val="center"/>
          </w:tcPr>
          <w:p w14:paraId="04360B43" w14:textId="77777777" w:rsidR="00544811" w:rsidRPr="00F537B9" w:rsidRDefault="00544811">
            <w:pPr>
              <w:pStyle w:val="Text1"/>
              <w:spacing w:beforeLines="20" w:before="48" w:afterLines="20" w:after="48"/>
              <w:ind w:left="136"/>
              <w:jc w:val="left"/>
              <w:rPr>
                <w:b/>
                <w:noProof/>
                <w:sz w:val="16"/>
                <w:szCs w:val="16"/>
              </w:rPr>
            </w:pPr>
            <w:r w:rsidRPr="00F537B9">
              <w:rPr>
                <w:noProof/>
                <w:sz w:val="16"/>
              </w:rPr>
              <w:t xml:space="preserve">– delegácie </w:t>
            </w:r>
          </w:p>
        </w:tc>
        <w:tc>
          <w:tcPr>
            <w:tcW w:w="731" w:type="dxa"/>
            <w:shd w:val="clear" w:color="auto" w:fill="auto"/>
            <w:vAlign w:val="center"/>
          </w:tcPr>
          <w:p w14:paraId="285AB793" w14:textId="77777777" w:rsidR="00544811" w:rsidRPr="00F537B9" w:rsidRDefault="00544811">
            <w:pPr>
              <w:pStyle w:val="Text1"/>
              <w:spacing w:beforeLines="20" w:before="48" w:afterLines="20" w:after="48"/>
              <w:ind w:left="0"/>
              <w:rPr>
                <w:noProof/>
                <w:sz w:val="16"/>
                <w:szCs w:val="16"/>
              </w:rPr>
            </w:pPr>
          </w:p>
        </w:tc>
        <w:tc>
          <w:tcPr>
            <w:tcW w:w="731" w:type="dxa"/>
            <w:shd w:val="clear" w:color="auto" w:fill="auto"/>
            <w:vAlign w:val="center"/>
          </w:tcPr>
          <w:p w14:paraId="3B4138A7"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502725A0"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08DB457E"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5F05A87F"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771DF30A"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5301BDD8" w14:textId="77777777" w:rsidR="00544811" w:rsidRPr="00F537B9" w:rsidRDefault="00544811">
            <w:pPr>
              <w:spacing w:beforeLines="20" w:before="48" w:afterLines="20" w:after="48"/>
              <w:jc w:val="center"/>
              <w:rPr>
                <w:noProof/>
                <w:sz w:val="16"/>
                <w:szCs w:val="16"/>
              </w:rPr>
            </w:pPr>
          </w:p>
        </w:tc>
      </w:tr>
      <w:tr w:rsidR="00544811" w:rsidRPr="00F537B9" w14:paraId="64F50E59" w14:textId="77777777">
        <w:trPr>
          <w:gridBefore w:val="1"/>
          <w:wBefore w:w="15" w:type="dxa"/>
          <w:trHeight w:val="289"/>
          <w:jc w:val="center"/>
        </w:trPr>
        <w:tc>
          <w:tcPr>
            <w:tcW w:w="4754" w:type="dxa"/>
            <w:gridSpan w:val="2"/>
            <w:shd w:val="clear" w:color="auto" w:fill="auto"/>
            <w:vAlign w:val="center"/>
          </w:tcPr>
          <w:p w14:paraId="28B0E5E4" w14:textId="77777777" w:rsidR="00544811" w:rsidRPr="00F537B9" w:rsidRDefault="00544811">
            <w:pPr>
              <w:pStyle w:val="Text1"/>
              <w:spacing w:beforeLines="20" w:before="48" w:afterLines="20" w:after="48"/>
              <w:ind w:left="136"/>
              <w:jc w:val="left"/>
              <w:rPr>
                <w:noProof/>
                <w:sz w:val="16"/>
                <w:szCs w:val="16"/>
              </w:rPr>
            </w:pPr>
            <w:r w:rsidRPr="00F537B9">
              <w:rPr>
                <w:noProof/>
                <w:sz w:val="16"/>
              </w:rPr>
              <w:t>01 01 01 02</w:t>
            </w:r>
            <w:r w:rsidRPr="00F537B9">
              <w:rPr>
                <w:rFonts w:ascii="Arial Narrow" w:hAnsi="Arial Narrow"/>
                <w:noProof/>
                <w:color w:val="000000"/>
                <w:sz w:val="20"/>
              </w:rPr>
              <w:t xml:space="preserve"> </w:t>
            </w:r>
            <w:r w:rsidRPr="00F537B9">
              <w:rPr>
                <w:noProof/>
                <w:sz w:val="16"/>
              </w:rPr>
              <w:t>(ZZ, DAZ, VNE – nepriamy výskum)</w:t>
            </w:r>
          </w:p>
        </w:tc>
        <w:tc>
          <w:tcPr>
            <w:tcW w:w="731" w:type="dxa"/>
            <w:shd w:val="clear" w:color="auto" w:fill="auto"/>
            <w:vAlign w:val="center"/>
          </w:tcPr>
          <w:p w14:paraId="25701F57"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596F1955"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162BABB9"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24678385"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322D3858"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0BD75633"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5F1287EA" w14:textId="77777777" w:rsidR="00544811" w:rsidRPr="00F537B9" w:rsidRDefault="00544811">
            <w:pPr>
              <w:spacing w:beforeLines="20" w:before="48" w:afterLines="20" w:after="48"/>
              <w:jc w:val="center"/>
              <w:rPr>
                <w:noProof/>
                <w:sz w:val="16"/>
                <w:szCs w:val="16"/>
              </w:rPr>
            </w:pPr>
          </w:p>
        </w:tc>
      </w:tr>
      <w:tr w:rsidR="00544811" w:rsidRPr="00F537B9" w14:paraId="45EEAA00" w14:textId="77777777">
        <w:trPr>
          <w:gridBefore w:val="1"/>
          <w:wBefore w:w="15" w:type="dxa"/>
          <w:trHeight w:val="289"/>
          <w:jc w:val="center"/>
        </w:trPr>
        <w:tc>
          <w:tcPr>
            <w:tcW w:w="4754" w:type="dxa"/>
            <w:gridSpan w:val="2"/>
            <w:shd w:val="clear" w:color="auto" w:fill="auto"/>
            <w:vAlign w:val="center"/>
          </w:tcPr>
          <w:p w14:paraId="28344D37" w14:textId="77777777" w:rsidR="00544811" w:rsidRPr="00F537B9" w:rsidRDefault="00544811">
            <w:pPr>
              <w:pStyle w:val="Text1"/>
              <w:spacing w:beforeLines="20" w:before="48" w:afterLines="20" w:after="48"/>
              <w:ind w:left="136"/>
              <w:jc w:val="left"/>
              <w:rPr>
                <w:noProof/>
                <w:color w:val="FF0000"/>
                <w:sz w:val="16"/>
                <w:szCs w:val="16"/>
              </w:rPr>
            </w:pPr>
            <w:r w:rsidRPr="00F537B9">
              <w:rPr>
                <w:noProof/>
                <w:sz w:val="16"/>
              </w:rPr>
              <w:t xml:space="preserve"> 01 01 01 12 (ZZ, DAZ, VNE – priamy výskum)</w:t>
            </w:r>
          </w:p>
        </w:tc>
        <w:tc>
          <w:tcPr>
            <w:tcW w:w="731" w:type="dxa"/>
            <w:shd w:val="clear" w:color="auto" w:fill="auto"/>
            <w:vAlign w:val="center"/>
          </w:tcPr>
          <w:p w14:paraId="79830B7F"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335D0325"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124E6D99"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65CF412D"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5B0436D5"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4BB88144"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0043D929" w14:textId="77777777" w:rsidR="00544811" w:rsidRPr="00F537B9" w:rsidRDefault="00544811">
            <w:pPr>
              <w:spacing w:beforeLines="20" w:before="48" w:afterLines="20" w:after="48"/>
              <w:jc w:val="center"/>
              <w:rPr>
                <w:noProof/>
                <w:sz w:val="16"/>
                <w:szCs w:val="16"/>
              </w:rPr>
            </w:pPr>
          </w:p>
        </w:tc>
      </w:tr>
      <w:tr w:rsidR="00544811" w:rsidRPr="00F537B9" w14:paraId="374ED2A5" w14:textId="77777777">
        <w:trPr>
          <w:gridBefore w:val="1"/>
          <w:wBefore w:w="15" w:type="dxa"/>
          <w:trHeight w:val="289"/>
          <w:jc w:val="center"/>
        </w:trPr>
        <w:tc>
          <w:tcPr>
            <w:tcW w:w="4754" w:type="dxa"/>
            <w:gridSpan w:val="2"/>
            <w:shd w:val="clear" w:color="auto" w:fill="auto"/>
            <w:vAlign w:val="center"/>
          </w:tcPr>
          <w:p w14:paraId="6FFC8D01" w14:textId="77777777" w:rsidR="00544811" w:rsidRPr="00F537B9" w:rsidRDefault="00544811">
            <w:pPr>
              <w:pStyle w:val="Text1"/>
              <w:spacing w:beforeLines="20" w:before="48" w:afterLines="20" w:after="48"/>
              <w:ind w:left="136"/>
              <w:jc w:val="left"/>
              <w:rPr>
                <w:noProof/>
                <w:sz w:val="16"/>
              </w:rPr>
            </w:pPr>
            <w:r w:rsidRPr="00F537B9">
              <w:rPr>
                <w:noProof/>
                <w:sz w:val="16"/>
              </w:rPr>
              <w:t>Iné rozpočtové riadky (uveďte)</w:t>
            </w:r>
          </w:p>
        </w:tc>
        <w:tc>
          <w:tcPr>
            <w:tcW w:w="731" w:type="dxa"/>
            <w:shd w:val="clear" w:color="auto" w:fill="auto"/>
            <w:vAlign w:val="center"/>
          </w:tcPr>
          <w:p w14:paraId="46BA40C5"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7253A47F"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0DDAA1AA"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17789E3F"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095BA62A"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1C02537B" w14:textId="77777777" w:rsidR="00544811" w:rsidRPr="00F537B9" w:rsidRDefault="00544811">
            <w:pPr>
              <w:spacing w:beforeLines="20" w:before="48" w:afterLines="20" w:after="48"/>
              <w:jc w:val="center"/>
              <w:rPr>
                <w:noProof/>
                <w:sz w:val="16"/>
                <w:szCs w:val="16"/>
              </w:rPr>
            </w:pPr>
          </w:p>
        </w:tc>
        <w:tc>
          <w:tcPr>
            <w:tcW w:w="731" w:type="dxa"/>
            <w:shd w:val="clear" w:color="auto" w:fill="auto"/>
            <w:vAlign w:val="center"/>
          </w:tcPr>
          <w:p w14:paraId="20494E55" w14:textId="77777777" w:rsidR="00544811" w:rsidRPr="00F537B9" w:rsidRDefault="00544811">
            <w:pPr>
              <w:spacing w:beforeLines="20" w:before="48" w:afterLines="20" w:after="48"/>
              <w:jc w:val="center"/>
              <w:rPr>
                <w:noProof/>
                <w:sz w:val="16"/>
                <w:szCs w:val="16"/>
              </w:rPr>
            </w:pPr>
          </w:p>
        </w:tc>
      </w:tr>
      <w:tr w:rsidR="00544811" w:rsidRPr="00F537B9" w14:paraId="7B533513" w14:textId="77777777">
        <w:trPr>
          <w:gridBefore w:val="1"/>
          <w:wBefore w:w="15" w:type="dxa"/>
          <w:trHeight w:val="289"/>
          <w:jc w:val="center"/>
        </w:trPr>
        <w:tc>
          <w:tcPr>
            <w:tcW w:w="4754" w:type="dxa"/>
            <w:gridSpan w:val="2"/>
            <w:tcBorders>
              <w:top w:val="double" w:sz="4" w:space="0" w:color="auto"/>
            </w:tcBorders>
            <w:shd w:val="clear" w:color="auto" w:fill="auto"/>
            <w:vAlign w:val="center"/>
          </w:tcPr>
          <w:p w14:paraId="65F3CD85" w14:textId="77777777" w:rsidR="00544811" w:rsidRPr="00F537B9" w:rsidRDefault="00544811">
            <w:pPr>
              <w:pStyle w:val="Text1"/>
              <w:spacing w:beforeLines="20" w:before="48" w:afterLines="20" w:after="48"/>
              <w:ind w:left="136"/>
              <w:jc w:val="left"/>
              <w:rPr>
                <w:noProof/>
                <w:sz w:val="16"/>
                <w:szCs w:val="16"/>
              </w:rPr>
            </w:pPr>
            <w:r w:rsidRPr="00F537B9">
              <w:rPr>
                <w:b/>
                <w:noProof/>
                <w:sz w:val="16"/>
              </w:rPr>
              <w:t>SPOLU</w:t>
            </w:r>
          </w:p>
        </w:tc>
        <w:tc>
          <w:tcPr>
            <w:tcW w:w="731" w:type="dxa"/>
            <w:tcBorders>
              <w:top w:val="double" w:sz="4" w:space="0" w:color="auto"/>
            </w:tcBorders>
            <w:shd w:val="clear" w:color="auto" w:fill="auto"/>
            <w:vAlign w:val="center"/>
          </w:tcPr>
          <w:p w14:paraId="55204F64" w14:textId="77777777" w:rsidR="00544811" w:rsidRPr="00F537B9" w:rsidRDefault="00322484">
            <w:pPr>
              <w:spacing w:beforeLines="20" w:before="48" w:afterLines="20" w:after="48"/>
              <w:jc w:val="center"/>
              <w:rPr>
                <w:b/>
                <w:noProof/>
                <w:sz w:val="16"/>
                <w:szCs w:val="16"/>
              </w:rPr>
            </w:pPr>
            <w:r w:rsidRPr="00F537B9">
              <w:rPr>
                <w:b/>
                <w:noProof/>
                <w:sz w:val="16"/>
              </w:rPr>
              <w:t>6</w:t>
            </w:r>
          </w:p>
        </w:tc>
        <w:tc>
          <w:tcPr>
            <w:tcW w:w="731" w:type="dxa"/>
            <w:tcBorders>
              <w:top w:val="double" w:sz="4" w:space="0" w:color="auto"/>
            </w:tcBorders>
            <w:shd w:val="clear" w:color="auto" w:fill="auto"/>
            <w:vAlign w:val="center"/>
          </w:tcPr>
          <w:p w14:paraId="539294A1" w14:textId="77777777" w:rsidR="00544811" w:rsidRPr="00F537B9" w:rsidRDefault="00322484">
            <w:pPr>
              <w:spacing w:beforeLines="20" w:before="48" w:afterLines="20" w:after="48"/>
              <w:jc w:val="center"/>
              <w:rPr>
                <w:b/>
                <w:noProof/>
                <w:sz w:val="16"/>
                <w:szCs w:val="16"/>
              </w:rPr>
            </w:pPr>
            <w:r w:rsidRPr="00F537B9">
              <w:rPr>
                <w:b/>
                <w:noProof/>
                <w:sz w:val="16"/>
              </w:rPr>
              <w:t>6</w:t>
            </w:r>
          </w:p>
        </w:tc>
        <w:tc>
          <w:tcPr>
            <w:tcW w:w="731" w:type="dxa"/>
            <w:tcBorders>
              <w:top w:val="double" w:sz="4" w:space="0" w:color="auto"/>
            </w:tcBorders>
            <w:shd w:val="clear" w:color="auto" w:fill="auto"/>
            <w:vAlign w:val="center"/>
          </w:tcPr>
          <w:p w14:paraId="395CD482" w14:textId="77777777" w:rsidR="00544811" w:rsidRPr="00F537B9" w:rsidRDefault="00AC086C">
            <w:pPr>
              <w:spacing w:beforeLines="20" w:before="48" w:afterLines="20" w:after="48"/>
              <w:jc w:val="center"/>
              <w:rPr>
                <w:b/>
                <w:noProof/>
                <w:sz w:val="16"/>
                <w:szCs w:val="16"/>
              </w:rPr>
            </w:pPr>
            <w:r w:rsidRPr="00F537B9">
              <w:rPr>
                <w:b/>
                <w:noProof/>
                <w:sz w:val="16"/>
              </w:rPr>
              <w:t>6</w:t>
            </w:r>
          </w:p>
        </w:tc>
        <w:tc>
          <w:tcPr>
            <w:tcW w:w="731" w:type="dxa"/>
            <w:tcBorders>
              <w:top w:val="double" w:sz="4" w:space="0" w:color="auto"/>
            </w:tcBorders>
            <w:shd w:val="clear" w:color="auto" w:fill="auto"/>
            <w:vAlign w:val="center"/>
          </w:tcPr>
          <w:p w14:paraId="395147E8" w14:textId="77777777" w:rsidR="00544811" w:rsidRPr="00F537B9" w:rsidRDefault="0054481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7E407076" w14:textId="77777777" w:rsidR="00544811" w:rsidRPr="00F537B9" w:rsidRDefault="00544811" w:rsidP="003503D5">
            <w:pPr>
              <w:spacing w:beforeLines="20" w:before="48" w:afterLines="20" w:after="48"/>
              <w:rPr>
                <w:b/>
                <w:noProof/>
                <w:sz w:val="16"/>
                <w:szCs w:val="16"/>
              </w:rPr>
            </w:pPr>
          </w:p>
        </w:tc>
        <w:tc>
          <w:tcPr>
            <w:tcW w:w="731" w:type="dxa"/>
            <w:tcBorders>
              <w:top w:val="double" w:sz="4" w:space="0" w:color="auto"/>
            </w:tcBorders>
            <w:shd w:val="clear" w:color="auto" w:fill="auto"/>
            <w:vAlign w:val="center"/>
          </w:tcPr>
          <w:p w14:paraId="09274F43" w14:textId="77777777" w:rsidR="00544811" w:rsidRPr="00F537B9" w:rsidRDefault="00544811" w:rsidP="003503D5">
            <w:pPr>
              <w:spacing w:beforeLines="20" w:before="48" w:afterLines="20" w:after="48"/>
              <w:rPr>
                <w:b/>
                <w:noProof/>
                <w:sz w:val="16"/>
                <w:szCs w:val="16"/>
              </w:rPr>
            </w:pPr>
          </w:p>
        </w:tc>
        <w:tc>
          <w:tcPr>
            <w:tcW w:w="731" w:type="dxa"/>
            <w:tcBorders>
              <w:top w:val="double" w:sz="4" w:space="0" w:color="auto"/>
            </w:tcBorders>
            <w:shd w:val="clear" w:color="auto" w:fill="auto"/>
            <w:vAlign w:val="center"/>
          </w:tcPr>
          <w:p w14:paraId="44188280" w14:textId="77777777" w:rsidR="00544811" w:rsidRPr="00F537B9" w:rsidRDefault="00322484">
            <w:pPr>
              <w:spacing w:beforeLines="20" w:before="48" w:afterLines="20" w:after="48"/>
              <w:jc w:val="center"/>
              <w:rPr>
                <w:b/>
                <w:noProof/>
                <w:sz w:val="16"/>
                <w:szCs w:val="16"/>
              </w:rPr>
            </w:pPr>
            <w:r w:rsidRPr="00F537B9">
              <w:rPr>
                <w:b/>
                <w:noProof/>
                <w:sz w:val="16"/>
              </w:rPr>
              <w:t>6</w:t>
            </w:r>
          </w:p>
        </w:tc>
      </w:tr>
    </w:tbl>
    <w:p w14:paraId="42280C2B" w14:textId="77777777" w:rsidR="00544811" w:rsidRPr="00F537B9" w:rsidRDefault="00544811">
      <w:pPr>
        <w:pStyle w:val="Text1"/>
        <w:spacing w:before="60" w:after="60"/>
        <w:ind w:left="851"/>
        <w:rPr>
          <w:noProof/>
          <w:sz w:val="18"/>
          <w:szCs w:val="18"/>
        </w:rPr>
      </w:pPr>
      <w:r w:rsidRPr="00F537B9">
        <w:rPr>
          <w:b/>
          <w:noProof/>
          <w:sz w:val="18"/>
        </w:rPr>
        <w:t>XX</w:t>
      </w:r>
      <w:r w:rsidRPr="00F537B9">
        <w:rPr>
          <w:noProof/>
          <w:sz w:val="18"/>
        </w:rPr>
        <w:t xml:space="preserve"> predstavuje príslušnú oblasť politiky alebo rozpočtovú hlavu.</w:t>
      </w:r>
    </w:p>
    <w:p w14:paraId="1567A79D" w14:textId="137B807B" w:rsidR="00544811" w:rsidRPr="00F537B9" w:rsidRDefault="00544811">
      <w:pPr>
        <w:pStyle w:val="Text1"/>
        <w:rPr>
          <w:noProof/>
          <w:sz w:val="18"/>
          <w:szCs w:val="18"/>
        </w:rPr>
      </w:pPr>
      <w:r w:rsidRPr="00F537B9">
        <w:rPr>
          <w:noProof/>
          <w:sz w:val="18"/>
        </w:rPr>
        <w:t>Potreba ľudských zdrojov bude pokrytá úradníkmi GR, ktorí už boli pridelení na riadenie akcie a/alebo boli interne prerozdelení</w:t>
      </w:r>
      <w:r w:rsidR="00F537B9">
        <w:rPr>
          <w:noProof/>
          <w:sz w:val="18"/>
        </w:rPr>
        <w:t xml:space="preserve"> v </w:t>
      </w:r>
      <w:r w:rsidRPr="00F537B9">
        <w:rPr>
          <w:noProof/>
          <w:sz w:val="18"/>
        </w:rPr>
        <w:t>rámci GR,</w:t>
      </w:r>
      <w:r w:rsidR="00F537B9">
        <w:rPr>
          <w:noProof/>
          <w:sz w:val="18"/>
        </w:rPr>
        <w:t xml:space="preserve"> a v </w:t>
      </w:r>
      <w:r w:rsidRPr="00F537B9">
        <w:rPr>
          <w:noProof/>
          <w:sz w:val="18"/>
        </w:rPr>
        <w:t>prípade potreby budú doplnené zdrojmi, ktoré sa môžu prideliť riadiacemu GR</w:t>
      </w:r>
      <w:r w:rsidR="00F537B9">
        <w:rPr>
          <w:noProof/>
          <w:sz w:val="18"/>
        </w:rPr>
        <w:t xml:space="preserve"> v </w:t>
      </w:r>
      <w:r w:rsidRPr="00F537B9">
        <w:rPr>
          <w:noProof/>
          <w:sz w:val="18"/>
        </w:rPr>
        <w:t>rámci ročného postupu prideľovania zdrojov</w:t>
      </w:r>
      <w:r w:rsidR="00F537B9">
        <w:rPr>
          <w:noProof/>
          <w:sz w:val="18"/>
        </w:rPr>
        <w:t xml:space="preserve"> a v </w:t>
      </w:r>
      <w:r w:rsidRPr="00F537B9">
        <w:rPr>
          <w:noProof/>
          <w:sz w:val="18"/>
        </w:rPr>
        <w:t>závislosti od rozpočtových obmedzení.</w:t>
      </w:r>
    </w:p>
    <w:p w14:paraId="4495EB48" w14:textId="77777777" w:rsidR="00544811" w:rsidRPr="00F537B9" w:rsidRDefault="00544811">
      <w:pPr>
        <w:rPr>
          <w:noProof/>
          <w:sz w:val="20"/>
        </w:rPr>
      </w:pPr>
      <w:r w:rsidRPr="00F537B9">
        <w:rPr>
          <w:noProof/>
          <w:sz w:val="20"/>
        </w:rPr>
        <w:t>Opis úloh, ktoré sa majú vykonávať:</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C50E64" w:rsidRPr="00F537B9" w14:paraId="15562EC6" w14:textId="77777777">
        <w:tc>
          <w:tcPr>
            <w:tcW w:w="3240" w:type="dxa"/>
          </w:tcPr>
          <w:p w14:paraId="466FFA4E" w14:textId="0F362170" w:rsidR="00544811" w:rsidRPr="00F537B9" w:rsidRDefault="00544811">
            <w:pPr>
              <w:rPr>
                <w:noProof/>
                <w:sz w:val="20"/>
              </w:rPr>
            </w:pPr>
            <w:r w:rsidRPr="00F537B9">
              <w:rPr>
                <w:noProof/>
                <w:sz w:val="20"/>
              </w:rPr>
              <w:t>Úradníci</w:t>
            </w:r>
            <w:r w:rsidR="00F537B9">
              <w:rPr>
                <w:noProof/>
                <w:sz w:val="20"/>
              </w:rPr>
              <w:t xml:space="preserve"> a </w:t>
            </w:r>
            <w:r w:rsidRPr="00F537B9">
              <w:rPr>
                <w:noProof/>
                <w:sz w:val="20"/>
              </w:rPr>
              <w:t>dočasní zamestnanci</w:t>
            </w:r>
          </w:p>
        </w:tc>
        <w:tc>
          <w:tcPr>
            <w:tcW w:w="7200" w:type="dxa"/>
          </w:tcPr>
          <w:p w14:paraId="50E2514F" w14:textId="5E781620" w:rsidR="00544811" w:rsidRPr="00F537B9" w:rsidRDefault="00AE4873">
            <w:pPr>
              <w:rPr>
                <w:noProof/>
                <w:sz w:val="20"/>
              </w:rPr>
            </w:pPr>
            <w:r w:rsidRPr="00F537B9">
              <w:rPr>
                <w:noProof/>
                <w:sz w:val="20"/>
              </w:rPr>
              <w:t>Príprava stretnutí</w:t>
            </w:r>
            <w:r w:rsidR="00F537B9">
              <w:rPr>
                <w:noProof/>
                <w:sz w:val="20"/>
              </w:rPr>
              <w:t xml:space="preserve"> a </w:t>
            </w:r>
            <w:r w:rsidRPr="00F537B9">
              <w:rPr>
                <w:noProof/>
                <w:sz w:val="20"/>
              </w:rPr>
              <w:t>korešpondencie</w:t>
            </w:r>
            <w:r w:rsidR="00F537B9">
              <w:rPr>
                <w:noProof/>
                <w:sz w:val="20"/>
              </w:rPr>
              <w:t xml:space="preserve"> s </w:t>
            </w:r>
            <w:r w:rsidRPr="00F537B9">
              <w:rPr>
                <w:noProof/>
                <w:sz w:val="20"/>
              </w:rPr>
              <w:t>členskými štátmi, príprava vykonávacích aktov, organizovanie stretnutí</w:t>
            </w:r>
            <w:r w:rsidR="00F537B9">
              <w:rPr>
                <w:noProof/>
                <w:sz w:val="20"/>
              </w:rPr>
              <w:t xml:space="preserve"> s </w:t>
            </w:r>
            <w:r w:rsidRPr="00F537B9">
              <w:rPr>
                <w:noProof/>
                <w:sz w:val="20"/>
              </w:rPr>
              <w:t>expertmi, účasť na stretnutiach OECD.</w:t>
            </w:r>
            <w:r w:rsidR="00F537B9">
              <w:rPr>
                <w:noProof/>
                <w:sz w:val="20"/>
              </w:rPr>
              <w:t xml:space="preserve"> V </w:t>
            </w:r>
            <w:r w:rsidRPr="00F537B9">
              <w:rPr>
                <w:noProof/>
                <w:sz w:val="20"/>
              </w:rPr>
              <w:t>súčasnosti GR TAXUD nemá potrebné zdroje, takže do budúceho rozpočtu GR TAXUD by bolo potrebné doplniť ďalšie ekvivalenty plného pracovného času.</w:t>
            </w:r>
          </w:p>
        </w:tc>
      </w:tr>
      <w:tr w:rsidR="00C50E64" w:rsidRPr="00F537B9" w14:paraId="4F3DADEE" w14:textId="77777777">
        <w:tc>
          <w:tcPr>
            <w:tcW w:w="3240" w:type="dxa"/>
          </w:tcPr>
          <w:p w14:paraId="264D2B10" w14:textId="77777777" w:rsidR="00544811" w:rsidRPr="00F537B9" w:rsidRDefault="00544811">
            <w:pPr>
              <w:spacing w:before="60" w:after="60"/>
              <w:rPr>
                <w:noProof/>
                <w:sz w:val="20"/>
              </w:rPr>
            </w:pPr>
            <w:r w:rsidRPr="00F537B9">
              <w:rPr>
                <w:noProof/>
                <w:sz w:val="20"/>
              </w:rPr>
              <w:t>Externí zamestnanci</w:t>
            </w:r>
          </w:p>
        </w:tc>
        <w:tc>
          <w:tcPr>
            <w:tcW w:w="7200" w:type="dxa"/>
          </w:tcPr>
          <w:p w14:paraId="7979C313" w14:textId="77777777" w:rsidR="00544811" w:rsidRPr="00F537B9" w:rsidRDefault="00544811">
            <w:pPr>
              <w:rPr>
                <w:noProof/>
                <w:sz w:val="20"/>
              </w:rPr>
            </w:pPr>
          </w:p>
        </w:tc>
      </w:tr>
    </w:tbl>
    <w:p w14:paraId="0C467162" w14:textId="77777777" w:rsidR="00544811" w:rsidRPr="00F537B9" w:rsidRDefault="00544811">
      <w:pPr>
        <w:rPr>
          <w:noProof/>
        </w:rPr>
        <w:sectPr w:rsidR="00544811" w:rsidRPr="00F537B9" w:rsidSect="004765B0">
          <w:pgSz w:w="11907" w:h="16840"/>
          <w:pgMar w:top="1134" w:right="1418" w:bottom="1134" w:left="1418" w:header="709" w:footer="709" w:gutter="0"/>
          <w:cols w:space="708"/>
          <w:docGrid w:linePitch="360"/>
        </w:sectPr>
      </w:pPr>
    </w:p>
    <w:p w14:paraId="19E2CFE9" w14:textId="77777777" w:rsidR="00F537B9" w:rsidRDefault="00544811">
      <w:pPr>
        <w:pStyle w:val="ManualHeading3"/>
        <w:rPr>
          <w:noProof/>
        </w:rPr>
      </w:pPr>
      <w:bookmarkStart w:id="106" w:name="_Toc514938056"/>
      <w:bookmarkStart w:id="107" w:name="_Toc520485055"/>
      <w:r w:rsidRPr="00F537B9">
        <w:rPr>
          <w:noProof/>
        </w:rPr>
        <w:t>3.2.4.</w:t>
      </w:r>
      <w:r w:rsidRPr="00F537B9">
        <w:rPr>
          <w:noProof/>
        </w:rPr>
        <w:tab/>
        <w:t>Súlad</w:t>
      </w:r>
      <w:r w:rsidR="00F537B9">
        <w:rPr>
          <w:noProof/>
        </w:rPr>
        <w:t xml:space="preserve"> s </w:t>
      </w:r>
      <w:r w:rsidRPr="00F537B9">
        <w:rPr>
          <w:noProof/>
        </w:rPr>
        <w:t>platným viacročným finančným rámcom</w:t>
      </w:r>
      <w:bookmarkEnd w:id="106"/>
      <w:bookmarkEnd w:id="107"/>
    </w:p>
    <w:p w14:paraId="7B1F8206" w14:textId="10F17359" w:rsidR="00544811" w:rsidRPr="00F537B9" w:rsidRDefault="00544811">
      <w:pPr>
        <w:pStyle w:val="Text1"/>
        <w:rPr>
          <w:noProof/>
        </w:rPr>
      </w:pPr>
      <w:r w:rsidRPr="00F537B9">
        <w:rPr>
          <w:noProof/>
        </w:rPr>
        <w:t>Návrh/iniciatíva:</w:t>
      </w:r>
    </w:p>
    <w:p w14:paraId="02CC2C73" w14:textId="2ACD9D6C" w:rsidR="00544811" w:rsidRPr="00F537B9" w:rsidRDefault="007410E7" w:rsidP="001C0426">
      <w:pPr>
        <w:pStyle w:val="ListDash1"/>
        <w:rPr>
          <w:noProof/>
        </w:rPr>
      </w:pPr>
      <w:r w:rsidRPr="00F537B9">
        <w:rPr>
          <w:rFonts w:ascii="Wingdings" w:hAnsi="Wingdings"/>
          <w:noProof/>
        </w:rPr>
        <w:t></w:t>
      </w:r>
      <w:r w:rsidRPr="00F537B9">
        <w:rPr>
          <w:noProof/>
        </w:rPr>
        <w:tab/>
        <w:t>môže byť</w:t>
      </w:r>
      <w:r w:rsidR="00F537B9">
        <w:rPr>
          <w:noProof/>
        </w:rPr>
        <w:t xml:space="preserve"> v </w:t>
      </w:r>
      <w:r w:rsidRPr="00F537B9">
        <w:rPr>
          <w:noProof/>
        </w:rPr>
        <w:t>plnej miere financovaná prerozdelením</w:t>
      </w:r>
      <w:r w:rsidR="00F537B9">
        <w:rPr>
          <w:noProof/>
        </w:rPr>
        <w:t xml:space="preserve"> v </w:t>
      </w:r>
      <w:r w:rsidRPr="00F537B9">
        <w:rPr>
          <w:noProof/>
        </w:rPr>
        <w:t>rámci príslušného okruhu viacročného finančného rámca (VFR).</w:t>
      </w:r>
    </w:p>
    <w:p w14:paraId="6DD1EC73" w14:textId="175E29C6" w:rsidR="00544811" w:rsidRPr="00F537B9" w:rsidRDefault="00544811">
      <w:pPr>
        <w:pStyle w:val="Text1"/>
        <w:pBdr>
          <w:top w:val="single" w:sz="4" w:space="1" w:color="auto"/>
          <w:left w:val="single" w:sz="4" w:space="4" w:color="auto"/>
          <w:bottom w:val="single" w:sz="4" w:space="1" w:color="auto"/>
          <w:right w:val="single" w:sz="4" w:space="4" w:color="auto"/>
        </w:pBdr>
        <w:rPr>
          <w:noProof/>
          <w:sz w:val="20"/>
        </w:rPr>
      </w:pPr>
      <w:r w:rsidRPr="00F537B9">
        <w:rPr>
          <w:noProof/>
          <w:sz w:val="20"/>
        </w:rPr>
        <w:t>Vysvetlite požadovanú zmenu</w:t>
      </w:r>
      <w:r w:rsidR="00F537B9">
        <w:rPr>
          <w:noProof/>
          <w:sz w:val="20"/>
        </w:rPr>
        <w:t xml:space="preserve"> v </w:t>
      </w:r>
      <w:r w:rsidRPr="00F537B9">
        <w:rPr>
          <w:noProof/>
          <w:sz w:val="20"/>
        </w:rPr>
        <w:t>plánovaní</w:t>
      </w:r>
      <w:r w:rsidR="00F537B9">
        <w:rPr>
          <w:noProof/>
          <w:sz w:val="20"/>
        </w:rPr>
        <w:t xml:space="preserve"> a </w:t>
      </w:r>
      <w:r w:rsidRPr="00F537B9">
        <w:rPr>
          <w:noProof/>
          <w:sz w:val="20"/>
        </w:rPr>
        <w:t>uveďte príslušné rozpočtové riadky</w:t>
      </w:r>
      <w:r w:rsidR="00F537B9">
        <w:rPr>
          <w:noProof/>
          <w:sz w:val="20"/>
        </w:rPr>
        <w:t xml:space="preserve"> a </w:t>
      </w:r>
      <w:r w:rsidRPr="00F537B9">
        <w:rPr>
          <w:noProof/>
          <w:sz w:val="20"/>
        </w:rPr>
        <w:t>zodpovedajúce sumy.</w:t>
      </w:r>
      <w:r w:rsidR="00F537B9">
        <w:rPr>
          <w:noProof/>
        </w:rPr>
        <w:t xml:space="preserve"> V </w:t>
      </w:r>
      <w:r w:rsidRPr="00F537B9">
        <w:rPr>
          <w:noProof/>
          <w:sz w:val="20"/>
        </w:rPr>
        <w:t>prípade väčšej zmeny</w:t>
      </w:r>
      <w:r w:rsidR="00F537B9">
        <w:rPr>
          <w:noProof/>
          <w:sz w:val="20"/>
        </w:rPr>
        <w:t xml:space="preserve"> v </w:t>
      </w:r>
      <w:r w:rsidRPr="00F537B9">
        <w:rPr>
          <w:noProof/>
          <w:sz w:val="20"/>
        </w:rPr>
        <w:t>plánovaní poskytnite tabuľku vo formáte Excel.</w:t>
      </w:r>
    </w:p>
    <w:p w14:paraId="2968EC38" w14:textId="1CF801A6" w:rsidR="00544811" w:rsidRPr="00F537B9" w:rsidRDefault="00544811" w:rsidP="001C0426">
      <w:pPr>
        <w:pStyle w:val="ListDash1"/>
        <w:rPr>
          <w:noProof/>
        </w:rPr>
      </w:pPr>
      <w:r w:rsidRPr="00F537B9">
        <w:rPr>
          <w:rFonts w:ascii="Wingdings" w:hAnsi="Wingdings"/>
          <w:noProof/>
        </w:rPr>
        <w:t></w:t>
      </w:r>
      <w:r w:rsidRPr="00F537B9">
        <w:rPr>
          <w:noProof/>
        </w:rPr>
        <w:tab/>
        <w:t>si vyžaduje použitie nepridelenej rezervy</w:t>
      </w:r>
      <w:r w:rsidR="00F537B9">
        <w:rPr>
          <w:noProof/>
        </w:rPr>
        <w:t xml:space="preserve"> v </w:t>
      </w:r>
      <w:r w:rsidRPr="00F537B9">
        <w:rPr>
          <w:noProof/>
        </w:rPr>
        <w:t>rámci príslušného okruhu VFR a/alebo použitie osobitných nástrojov vymedzených</w:t>
      </w:r>
      <w:r w:rsidR="00F537B9">
        <w:rPr>
          <w:noProof/>
        </w:rPr>
        <w:t xml:space="preserve"> v </w:t>
      </w:r>
      <w:r w:rsidRPr="00F537B9">
        <w:rPr>
          <w:noProof/>
        </w:rPr>
        <w:t>nariadení</w:t>
      </w:r>
      <w:r w:rsidR="00F537B9">
        <w:rPr>
          <w:noProof/>
        </w:rPr>
        <w:t xml:space="preserve"> o </w:t>
      </w:r>
      <w:r w:rsidRPr="00F537B9">
        <w:rPr>
          <w:noProof/>
        </w:rPr>
        <w:t>VFR.</w:t>
      </w:r>
    </w:p>
    <w:p w14:paraId="393AF53D" w14:textId="13F6789A" w:rsidR="00544811" w:rsidRPr="00F537B9" w:rsidRDefault="00544811">
      <w:pPr>
        <w:pStyle w:val="Text1"/>
        <w:pBdr>
          <w:top w:val="single" w:sz="4" w:space="1" w:color="auto"/>
          <w:left w:val="single" w:sz="4" w:space="4" w:color="auto"/>
          <w:bottom w:val="single" w:sz="4" w:space="1" w:color="auto"/>
          <w:right w:val="single" w:sz="4" w:space="4" w:color="auto"/>
        </w:pBdr>
        <w:rPr>
          <w:noProof/>
          <w:sz w:val="20"/>
        </w:rPr>
      </w:pPr>
      <w:r w:rsidRPr="00F537B9">
        <w:rPr>
          <w:noProof/>
          <w:sz w:val="20"/>
        </w:rPr>
        <w:t>Vysvetlite, čo sa požaduje,</w:t>
      </w:r>
      <w:r w:rsidR="00F537B9">
        <w:rPr>
          <w:noProof/>
          <w:sz w:val="20"/>
        </w:rPr>
        <w:t xml:space="preserve"> a </w:t>
      </w:r>
      <w:r w:rsidRPr="00F537B9">
        <w:rPr>
          <w:noProof/>
          <w:sz w:val="20"/>
        </w:rPr>
        <w:t>uveďte príslušné okruhy, rozpočtové riadky, zodpovedajúce sumy</w:t>
      </w:r>
      <w:r w:rsidR="00F537B9">
        <w:rPr>
          <w:noProof/>
          <w:sz w:val="20"/>
        </w:rPr>
        <w:t xml:space="preserve"> a </w:t>
      </w:r>
      <w:r w:rsidRPr="00F537B9">
        <w:rPr>
          <w:noProof/>
          <w:sz w:val="20"/>
        </w:rPr>
        <w:t>nástroje, ktorých použitie sa navrhuje.</w:t>
      </w:r>
    </w:p>
    <w:p w14:paraId="25DEF749" w14:textId="77777777" w:rsidR="00544811" w:rsidRPr="00F537B9" w:rsidRDefault="00544811" w:rsidP="001C0426">
      <w:pPr>
        <w:pStyle w:val="ListDash1"/>
        <w:rPr>
          <w:noProof/>
        </w:rPr>
      </w:pPr>
      <w:r w:rsidRPr="00F537B9">
        <w:rPr>
          <w:rFonts w:ascii="Wingdings" w:hAnsi="Wingdings"/>
          <w:noProof/>
        </w:rPr>
        <w:t></w:t>
      </w:r>
      <w:r w:rsidRPr="00F537B9">
        <w:rPr>
          <w:noProof/>
        </w:rPr>
        <w:tab/>
        <w:t>si vyžaduje revíziu VFR.</w:t>
      </w:r>
    </w:p>
    <w:p w14:paraId="75C161FD" w14:textId="09194D1A" w:rsidR="00544811" w:rsidRPr="00F537B9" w:rsidRDefault="00544811">
      <w:pPr>
        <w:pStyle w:val="Text1"/>
        <w:pBdr>
          <w:top w:val="single" w:sz="4" w:space="1" w:color="auto"/>
          <w:left w:val="single" w:sz="4" w:space="4" w:color="auto"/>
          <w:bottom w:val="single" w:sz="4" w:space="1" w:color="auto"/>
          <w:right w:val="single" w:sz="4" w:space="4" w:color="auto"/>
        </w:pBdr>
        <w:rPr>
          <w:noProof/>
          <w:sz w:val="20"/>
        </w:rPr>
      </w:pPr>
      <w:r w:rsidRPr="00F537B9">
        <w:rPr>
          <w:noProof/>
          <w:sz w:val="20"/>
        </w:rPr>
        <w:t>Vysvetlite, čo sa požaduje,</w:t>
      </w:r>
      <w:r w:rsidR="00F537B9">
        <w:rPr>
          <w:noProof/>
          <w:sz w:val="20"/>
        </w:rPr>
        <w:t xml:space="preserve"> a </w:t>
      </w:r>
      <w:r w:rsidRPr="00F537B9">
        <w:rPr>
          <w:noProof/>
          <w:sz w:val="20"/>
        </w:rPr>
        <w:t>uveďte príslušné okruhy, rozpočtové riadky</w:t>
      </w:r>
      <w:r w:rsidR="00F537B9">
        <w:rPr>
          <w:noProof/>
          <w:sz w:val="20"/>
        </w:rPr>
        <w:t xml:space="preserve"> a </w:t>
      </w:r>
      <w:r w:rsidRPr="00F537B9">
        <w:rPr>
          <w:noProof/>
          <w:sz w:val="20"/>
        </w:rPr>
        <w:t>zodpovedajúce sumy.</w:t>
      </w:r>
    </w:p>
    <w:p w14:paraId="47375BB7" w14:textId="77777777" w:rsidR="00F537B9" w:rsidRDefault="00544811">
      <w:pPr>
        <w:pStyle w:val="ManualHeading3"/>
        <w:rPr>
          <w:noProof/>
        </w:rPr>
      </w:pPr>
      <w:bookmarkStart w:id="108" w:name="_Toc514938058"/>
      <w:bookmarkStart w:id="109" w:name="_Toc520485056"/>
      <w:r w:rsidRPr="00F537B9">
        <w:rPr>
          <w:noProof/>
        </w:rPr>
        <w:t>3.2.5.</w:t>
      </w:r>
      <w:r w:rsidRPr="00F537B9">
        <w:rPr>
          <w:noProof/>
        </w:rPr>
        <w:tab/>
        <w:t>Príspevky od tretích strán</w:t>
      </w:r>
      <w:bookmarkEnd w:id="108"/>
      <w:bookmarkEnd w:id="109"/>
    </w:p>
    <w:p w14:paraId="240BF1DE" w14:textId="2D4EE86D" w:rsidR="00544811" w:rsidRPr="00F537B9" w:rsidRDefault="00544811">
      <w:pPr>
        <w:pStyle w:val="Text1"/>
        <w:rPr>
          <w:noProof/>
        </w:rPr>
      </w:pPr>
      <w:r w:rsidRPr="00F537B9">
        <w:rPr>
          <w:noProof/>
        </w:rPr>
        <w:t>Návrh/iniciatíva:</w:t>
      </w:r>
    </w:p>
    <w:p w14:paraId="794A966E" w14:textId="77777777" w:rsidR="00544811" w:rsidRPr="00F537B9" w:rsidRDefault="00E27CF9" w:rsidP="001C0426">
      <w:pPr>
        <w:pStyle w:val="ListDash1"/>
        <w:rPr>
          <w:noProof/>
        </w:rPr>
      </w:pPr>
      <w:r w:rsidRPr="00F537B9">
        <w:rPr>
          <w:rFonts w:ascii="Wingdings" w:hAnsi="Wingdings"/>
          <w:noProof/>
        </w:rPr>
        <w:t></w:t>
      </w:r>
      <w:r w:rsidRPr="00F537B9">
        <w:rPr>
          <w:noProof/>
        </w:rPr>
        <w:tab/>
        <w:t>nezahŕňa spolufinancovanie tretími stranami</w:t>
      </w:r>
    </w:p>
    <w:p w14:paraId="3D79F06C" w14:textId="2488BE44" w:rsidR="00544811" w:rsidRPr="00F537B9" w:rsidRDefault="00544811" w:rsidP="001C0426">
      <w:pPr>
        <w:pStyle w:val="ListDash1"/>
        <w:rPr>
          <w:noProof/>
        </w:rPr>
      </w:pPr>
      <w:r w:rsidRPr="00F537B9">
        <w:rPr>
          <w:rFonts w:ascii="Wingdings" w:hAnsi="Wingdings"/>
          <w:noProof/>
        </w:rPr>
        <w:t></w:t>
      </w:r>
      <w:r w:rsidRPr="00F537B9">
        <w:rPr>
          <w:noProof/>
        </w:rPr>
        <w:tab/>
        <w:t>zahŕňa spolufinancovanie tretími stranami, ako je odhadnuté</w:t>
      </w:r>
      <w:r w:rsidR="00F537B9">
        <w:rPr>
          <w:noProof/>
        </w:rPr>
        <w:t xml:space="preserve"> v </w:t>
      </w:r>
      <w:r w:rsidRPr="00F537B9">
        <w:rPr>
          <w:noProof/>
        </w:rPr>
        <w:t>nasledujúcej tabuľke:</w:t>
      </w:r>
    </w:p>
    <w:p w14:paraId="0A093FD2" w14:textId="41C80B61" w:rsidR="00544811" w:rsidRPr="00F537B9" w:rsidRDefault="00544811">
      <w:pPr>
        <w:jc w:val="right"/>
        <w:rPr>
          <w:noProof/>
          <w:sz w:val="20"/>
        </w:rPr>
      </w:pPr>
      <w:r w:rsidRPr="00F537B9">
        <w:rPr>
          <w:noProof/>
          <w:sz w:val="20"/>
        </w:rPr>
        <w:t>rozpočtové prostriedky</w:t>
      </w:r>
      <w:r w:rsidR="00F537B9">
        <w:rPr>
          <w:noProof/>
          <w:sz w:val="20"/>
        </w:rPr>
        <w:t xml:space="preserve"> v </w:t>
      </w:r>
      <w:r w:rsidRPr="00F537B9">
        <w:rPr>
          <w:noProof/>
          <w:sz w:val="20"/>
        </w:rPr>
        <w:t>mil. EUR (zaokrúhlené na 3 desatinné miesta)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A54310" w:rsidRPr="00F537B9" w14:paraId="3B465B0D" w14:textId="77777777">
        <w:trPr>
          <w:cantSplit/>
        </w:trPr>
        <w:tc>
          <w:tcPr>
            <w:tcW w:w="2340" w:type="dxa"/>
          </w:tcPr>
          <w:p w14:paraId="1FE213F0" w14:textId="77777777" w:rsidR="00544811" w:rsidRPr="00F537B9" w:rsidRDefault="00544811">
            <w:pPr>
              <w:spacing w:before="60" w:after="60"/>
              <w:rPr>
                <w:noProof/>
                <w:sz w:val="20"/>
              </w:rPr>
            </w:pPr>
          </w:p>
        </w:tc>
        <w:tc>
          <w:tcPr>
            <w:tcW w:w="964" w:type="dxa"/>
            <w:vAlign w:val="center"/>
          </w:tcPr>
          <w:p w14:paraId="3F239DF4" w14:textId="77777777" w:rsidR="00544811" w:rsidRPr="00F537B9" w:rsidRDefault="00544811">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N</w:t>
            </w:r>
            <w:r w:rsidRPr="00F537B9">
              <w:rPr>
                <w:rStyle w:val="FootnoteReference"/>
                <w:b/>
                <w:noProof/>
                <w:sz w:val="20"/>
              </w:rPr>
              <w:footnoteReference w:id="56"/>
            </w:r>
          </w:p>
        </w:tc>
        <w:tc>
          <w:tcPr>
            <w:tcW w:w="964" w:type="dxa"/>
            <w:vAlign w:val="center"/>
          </w:tcPr>
          <w:p w14:paraId="546F6338" w14:textId="77777777" w:rsidR="00544811" w:rsidRPr="00F537B9" w:rsidRDefault="00544811">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N + 1</w:t>
            </w:r>
          </w:p>
        </w:tc>
        <w:tc>
          <w:tcPr>
            <w:tcW w:w="964" w:type="dxa"/>
            <w:vAlign w:val="center"/>
          </w:tcPr>
          <w:p w14:paraId="503E436B" w14:textId="77777777" w:rsidR="00544811" w:rsidRPr="00F537B9" w:rsidRDefault="00544811">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N + 2</w:t>
            </w:r>
          </w:p>
        </w:tc>
        <w:tc>
          <w:tcPr>
            <w:tcW w:w="964" w:type="dxa"/>
            <w:vAlign w:val="center"/>
          </w:tcPr>
          <w:p w14:paraId="7FAD452C" w14:textId="77777777" w:rsidR="00544811" w:rsidRPr="00F537B9" w:rsidRDefault="00544811">
            <w:pPr>
              <w:jc w:val="center"/>
              <w:rPr>
                <w:noProof/>
                <w:sz w:val="20"/>
              </w:rPr>
            </w:pPr>
            <w:r w:rsidRPr="00F537B9">
              <w:rPr>
                <w:noProof/>
                <w:sz w:val="20"/>
              </w:rPr>
              <w:t>Rok</w:t>
            </w:r>
            <w:r w:rsidRPr="00F537B9">
              <w:rPr>
                <w:noProof/>
              </w:rPr>
              <w:t xml:space="preserve"> </w:t>
            </w:r>
            <w:r w:rsidRPr="00F537B9">
              <w:rPr>
                <w:noProof/>
              </w:rPr>
              <w:br/>
            </w:r>
            <w:r w:rsidRPr="00F537B9">
              <w:rPr>
                <w:b/>
                <w:noProof/>
                <w:sz w:val="20"/>
              </w:rPr>
              <w:t>N + 3</w:t>
            </w:r>
          </w:p>
        </w:tc>
        <w:tc>
          <w:tcPr>
            <w:tcW w:w="2892" w:type="dxa"/>
            <w:gridSpan w:val="3"/>
            <w:vAlign w:val="center"/>
          </w:tcPr>
          <w:p w14:paraId="35439901" w14:textId="77777777" w:rsidR="00544811" w:rsidRPr="00F537B9" w:rsidRDefault="00544811">
            <w:pPr>
              <w:jc w:val="center"/>
              <w:rPr>
                <w:b/>
                <w:noProof/>
                <w:sz w:val="20"/>
              </w:rPr>
            </w:pPr>
            <w:r w:rsidRPr="00F537B9">
              <w:rPr>
                <w:noProof/>
                <w:sz w:val="20"/>
              </w:rPr>
              <w:t>Uveďte všetky roky, počas ktorých vplyv trvá (pozri bod 1.6)</w:t>
            </w:r>
          </w:p>
        </w:tc>
        <w:tc>
          <w:tcPr>
            <w:tcW w:w="1158" w:type="dxa"/>
            <w:vAlign w:val="center"/>
          </w:tcPr>
          <w:p w14:paraId="7D51841E" w14:textId="77777777" w:rsidR="00544811" w:rsidRPr="00F537B9" w:rsidRDefault="00544811">
            <w:pPr>
              <w:spacing w:before="60" w:after="60"/>
              <w:jc w:val="center"/>
              <w:rPr>
                <w:noProof/>
                <w:sz w:val="20"/>
              </w:rPr>
            </w:pPr>
            <w:r w:rsidRPr="00F537B9">
              <w:rPr>
                <w:noProof/>
                <w:sz w:val="20"/>
              </w:rPr>
              <w:t>Spolu</w:t>
            </w:r>
          </w:p>
        </w:tc>
      </w:tr>
      <w:tr w:rsidR="00A54310" w:rsidRPr="00F537B9" w14:paraId="14A3ECA3" w14:textId="77777777">
        <w:trPr>
          <w:cantSplit/>
        </w:trPr>
        <w:tc>
          <w:tcPr>
            <w:tcW w:w="2340" w:type="dxa"/>
          </w:tcPr>
          <w:p w14:paraId="151FC7C9" w14:textId="77777777" w:rsidR="00544811" w:rsidRPr="00F537B9" w:rsidRDefault="00544811">
            <w:pPr>
              <w:rPr>
                <w:noProof/>
              </w:rPr>
            </w:pPr>
            <w:r w:rsidRPr="00F537B9">
              <w:rPr>
                <w:noProof/>
                <w:sz w:val="20"/>
              </w:rPr>
              <w:t>Uveďte spolufinancujúci subjekt</w:t>
            </w:r>
            <w:r w:rsidRPr="00F537B9">
              <w:rPr>
                <w:i/>
                <w:noProof/>
                <w:sz w:val="20"/>
              </w:rPr>
              <w:t xml:space="preserve"> </w:t>
            </w:r>
          </w:p>
        </w:tc>
        <w:tc>
          <w:tcPr>
            <w:tcW w:w="964" w:type="dxa"/>
            <w:vAlign w:val="center"/>
          </w:tcPr>
          <w:p w14:paraId="7F40171F" w14:textId="77777777" w:rsidR="00544811" w:rsidRPr="00F537B9" w:rsidRDefault="00544811">
            <w:pPr>
              <w:spacing w:before="60" w:after="60"/>
              <w:jc w:val="center"/>
              <w:rPr>
                <w:noProof/>
                <w:sz w:val="20"/>
              </w:rPr>
            </w:pPr>
          </w:p>
        </w:tc>
        <w:tc>
          <w:tcPr>
            <w:tcW w:w="964" w:type="dxa"/>
            <w:vAlign w:val="center"/>
          </w:tcPr>
          <w:p w14:paraId="58C40DCD" w14:textId="77777777" w:rsidR="00544811" w:rsidRPr="00F537B9" w:rsidRDefault="00544811">
            <w:pPr>
              <w:spacing w:before="60" w:after="60"/>
              <w:jc w:val="center"/>
              <w:rPr>
                <w:noProof/>
                <w:sz w:val="20"/>
              </w:rPr>
            </w:pPr>
          </w:p>
        </w:tc>
        <w:tc>
          <w:tcPr>
            <w:tcW w:w="964" w:type="dxa"/>
            <w:vAlign w:val="center"/>
          </w:tcPr>
          <w:p w14:paraId="74524FF4" w14:textId="77777777" w:rsidR="00544811" w:rsidRPr="00F537B9" w:rsidRDefault="00544811">
            <w:pPr>
              <w:spacing w:before="60" w:after="60"/>
              <w:jc w:val="center"/>
              <w:rPr>
                <w:noProof/>
                <w:sz w:val="20"/>
              </w:rPr>
            </w:pPr>
          </w:p>
        </w:tc>
        <w:tc>
          <w:tcPr>
            <w:tcW w:w="964" w:type="dxa"/>
            <w:vAlign w:val="center"/>
          </w:tcPr>
          <w:p w14:paraId="14D245B8" w14:textId="77777777" w:rsidR="00544811" w:rsidRPr="00F537B9" w:rsidRDefault="00544811">
            <w:pPr>
              <w:spacing w:before="60" w:after="60"/>
              <w:jc w:val="center"/>
              <w:rPr>
                <w:noProof/>
                <w:sz w:val="20"/>
              </w:rPr>
            </w:pPr>
          </w:p>
        </w:tc>
        <w:tc>
          <w:tcPr>
            <w:tcW w:w="964" w:type="dxa"/>
            <w:vAlign w:val="center"/>
          </w:tcPr>
          <w:p w14:paraId="61C963E8" w14:textId="77777777" w:rsidR="00544811" w:rsidRPr="00F537B9" w:rsidRDefault="00544811">
            <w:pPr>
              <w:spacing w:before="60" w:after="60"/>
              <w:jc w:val="center"/>
              <w:rPr>
                <w:noProof/>
                <w:sz w:val="20"/>
              </w:rPr>
            </w:pPr>
          </w:p>
        </w:tc>
        <w:tc>
          <w:tcPr>
            <w:tcW w:w="964" w:type="dxa"/>
            <w:vAlign w:val="center"/>
          </w:tcPr>
          <w:p w14:paraId="060AA0BD" w14:textId="77777777" w:rsidR="00544811" w:rsidRPr="00F537B9" w:rsidRDefault="00544811">
            <w:pPr>
              <w:spacing w:before="60" w:after="60"/>
              <w:jc w:val="center"/>
              <w:rPr>
                <w:noProof/>
                <w:sz w:val="20"/>
              </w:rPr>
            </w:pPr>
          </w:p>
        </w:tc>
        <w:tc>
          <w:tcPr>
            <w:tcW w:w="964" w:type="dxa"/>
            <w:vAlign w:val="center"/>
          </w:tcPr>
          <w:p w14:paraId="60C523E3" w14:textId="77777777" w:rsidR="00544811" w:rsidRPr="00F537B9" w:rsidRDefault="00544811">
            <w:pPr>
              <w:spacing w:before="60" w:after="60"/>
              <w:jc w:val="center"/>
              <w:rPr>
                <w:noProof/>
                <w:sz w:val="20"/>
              </w:rPr>
            </w:pPr>
          </w:p>
        </w:tc>
        <w:tc>
          <w:tcPr>
            <w:tcW w:w="1158" w:type="dxa"/>
            <w:vAlign w:val="center"/>
          </w:tcPr>
          <w:p w14:paraId="05FEA245" w14:textId="77777777" w:rsidR="00544811" w:rsidRPr="00F537B9" w:rsidRDefault="00544811">
            <w:pPr>
              <w:spacing w:before="60" w:after="60"/>
              <w:jc w:val="center"/>
              <w:rPr>
                <w:noProof/>
                <w:sz w:val="20"/>
              </w:rPr>
            </w:pPr>
          </w:p>
        </w:tc>
      </w:tr>
      <w:tr w:rsidR="00A54310" w:rsidRPr="00F537B9" w14:paraId="50A5D2D7" w14:textId="77777777">
        <w:trPr>
          <w:cantSplit/>
        </w:trPr>
        <w:tc>
          <w:tcPr>
            <w:tcW w:w="2340" w:type="dxa"/>
          </w:tcPr>
          <w:p w14:paraId="6FB9EC33" w14:textId="77777777" w:rsidR="00544811" w:rsidRPr="00F537B9" w:rsidRDefault="00544811">
            <w:pPr>
              <w:spacing w:before="60" w:after="60"/>
              <w:jc w:val="left"/>
              <w:rPr>
                <w:noProof/>
                <w:sz w:val="20"/>
              </w:rPr>
            </w:pPr>
            <w:r w:rsidRPr="00F537B9">
              <w:rPr>
                <w:noProof/>
                <w:sz w:val="20"/>
              </w:rPr>
              <w:t xml:space="preserve">Prostriedky zo spolufinancovania SPOLU </w:t>
            </w:r>
          </w:p>
        </w:tc>
        <w:tc>
          <w:tcPr>
            <w:tcW w:w="964" w:type="dxa"/>
            <w:vAlign w:val="center"/>
          </w:tcPr>
          <w:p w14:paraId="4AA74934" w14:textId="77777777" w:rsidR="00544811" w:rsidRPr="00F537B9" w:rsidRDefault="00544811">
            <w:pPr>
              <w:spacing w:before="60" w:after="60"/>
              <w:jc w:val="center"/>
              <w:rPr>
                <w:noProof/>
                <w:sz w:val="20"/>
              </w:rPr>
            </w:pPr>
          </w:p>
        </w:tc>
        <w:tc>
          <w:tcPr>
            <w:tcW w:w="964" w:type="dxa"/>
            <w:vAlign w:val="center"/>
          </w:tcPr>
          <w:p w14:paraId="0EB0204B" w14:textId="77777777" w:rsidR="00544811" w:rsidRPr="00F537B9" w:rsidRDefault="00544811">
            <w:pPr>
              <w:spacing w:before="60" w:after="60"/>
              <w:jc w:val="center"/>
              <w:rPr>
                <w:noProof/>
                <w:sz w:val="20"/>
              </w:rPr>
            </w:pPr>
          </w:p>
        </w:tc>
        <w:tc>
          <w:tcPr>
            <w:tcW w:w="964" w:type="dxa"/>
            <w:vAlign w:val="center"/>
          </w:tcPr>
          <w:p w14:paraId="15D38CE7" w14:textId="77777777" w:rsidR="00544811" w:rsidRPr="00F537B9" w:rsidRDefault="00544811">
            <w:pPr>
              <w:spacing w:before="60" w:after="60"/>
              <w:jc w:val="center"/>
              <w:rPr>
                <w:noProof/>
                <w:sz w:val="20"/>
              </w:rPr>
            </w:pPr>
          </w:p>
        </w:tc>
        <w:tc>
          <w:tcPr>
            <w:tcW w:w="964" w:type="dxa"/>
            <w:vAlign w:val="center"/>
          </w:tcPr>
          <w:p w14:paraId="6FD14179" w14:textId="77777777" w:rsidR="00544811" w:rsidRPr="00F537B9" w:rsidRDefault="00544811">
            <w:pPr>
              <w:spacing w:before="60" w:after="60"/>
              <w:jc w:val="center"/>
              <w:rPr>
                <w:noProof/>
                <w:sz w:val="20"/>
              </w:rPr>
            </w:pPr>
          </w:p>
        </w:tc>
        <w:tc>
          <w:tcPr>
            <w:tcW w:w="964" w:type="dxa"/>
            <w:vAlign w:val="center"/>
          </w:tcPr>
          <w:p w14:paraId="49C9AAB4" w14:textId="77777777" w:rsidR="00544811" w:rsidRPr="00F537B9" w:rsidRDefault="00544811">
            <w:pPr>
              <w:spacing w:before="60" w:after="60"/>
              <w:jc w:val="center"/>
              <w:rPr>
                <w:noProof/>
                <w:sz w:val="20"/>
              </w:rPr>
            </w:pPr>
          </w:p>
        </w:tc>
        <w:tc>
          <w:tcPr>
            <w:tcW w:w="964" w:type="dxa"/>
            <w:vAlign w:val="center"/>
          </w:tcPr>
          <w:p w14:paraId="58A69D05" w14:textId="77777777" w:rsidR="00544811" w:rsidRPr="00F537B9" w:rsidRDefault="00544811">
            <w:pPr>
              <w:spacing w:before="60" w:after="60"/>
              <w:jc w:val="center"/>
              <w:rPr>
                <w:noProof/>
                <w:sz w:val="20"/>
              </w:rPr>
            </w:pPr>
          </w:p>
        </w:tc>
        <w:tc>
          <w:tcPr>
            <w:tcW w:w="964" w:type="dxa"/>
            <w:vAlign w:val="center"/>
          </w:tcPr>
          <w:p w14:paraId="0AE2BCA9" w14:textId="77777777" w:rsidR="00544811" w:rsidRPr="00F537B9" w:rsidRDefault="00544811">
            <w:pPr>
              <w:spacing w:before="60" w:after="60"/>
              <w:jc w:val="center"/>
              <w:rPr>
                <w:noProof/>
                <w:sz w:val="20"/>
              </w:rPr>
            </w:pPr>
          </w:p>
        </w:tc>
        <w:tc>
          <w:tcPr>
            <w:tcW w:w="1158" w:type="dxa"/>
            <w:vAlign w:val="center"/>
          </w:tcPr>
          <w:p w14:paraId="376C4BD4" w14:textId="77777777" w:rsidR="00544811" w:rsidRPr="00F537B9" w:rsidRDefault="00544811">
            <w:pPr>
              <w:spacing w:before="60" w:after="60"/>
              <w:jc w:val="center"/>
              <w:rPr>
                <w:noProof/>
                <w:sz w:val="20"/>
              </w:rPr>
            </w:pPr>
          </w:p>
        </w:tc>
      </w:tr>
    </w:tbl>
    <w:p w14:paraId="04965F3F" w14:textId="77777777" w:rsidR="00544811" w:rsidRPr="00F537B9" w:rsidRDefault="00544811">
      <w:pPr>
        <w:rPr>
          <w:noProof/>
        </w:rPr>
      </w:pPr>
      <w:r w:rsidRPr="00F537B9">
        <w:rPr>
          <w:noProof/>
        </w:rPr>
        <w:t xml:space="preserve"> </w:t>
      </w:r>
      <w:r w:rsidRPr="00F537B9">
        <w:rPr>
          <w:noProof/>
        </w:rPr>
        <w:br/>
      </w:r>
    </w:p>
    <w:p w14:paraId="1E59F845" w14:textId="77777777" w:rsidR="00F537B9" w:rsidRDefault="00544811">
      <w:pPr>
        <w:pStyle w:val="ManualHeading2"/>
        <w:rPr>
          <w:noProof/>
        </w:rPr>
      </w:pPr>
      <w:r w:rsidRPr="00F537B9">
        <w:rPr>
          <w:noProof/>
        </w:rPr>
        <w:br w:type="page"/>
      </w:r>
      <w:bookmarkStart w:id="110" w:name="_Toc514938059"/>
      <w:bookmarkStart w:id="111" w:name="_Toc520485057"/>
      <w:r w:rsidRPr="00F537B9">
        <w:rPr>
          <w:noProof/>
        </w:rPr>
        <w:t>3.3.</w:t>
      </w:r>
      <w:r w:rsidRPr="00F537B9">
        <w:rPr>
          <w:noProof/>
        </w:rPr>
        <w:tab/>
        <w:t>Odhadovaný vplyv na príjmy</w:t>
      </w:r>
      <w:bookmarkEnd w:id="110"/>
      <w:bookmarkEnd w:id="111"/>
    </w:p>
    <w:p w14:paraId="396C9B12" w14:textId="31C64536" w:rsidR="00544811" w:rsidRPr="00F537B9" w:rsidRDefault="00CF6AB0" w:rsidP="001C0426">
      <w:pPr>
        <w:pStyle w:val="ListDash1"/>
        <w:rPr>
          <w:noProof/>
        </w:rPr>
      </w:pPr>
      <w:r w:rsidRPr="00F537B9">
        <w:rPr>
          <w:rFonts w:ascii="Wingdings" w:hAnsi="Wingdings"/>
          <w:noProof/>
        </w:rPr>
        <w:t></w:t>
      </w:r>
      <w:r w:rsidRPr="00F537B9">
        <w:rPr>
          <w:noProof/>
        </w:rPr>
        <w:tab/>
        <w:t>Návrh/iniciatíva nemá finančný vplyv na príjmy.</w:t>
      </w:r>
    </w:p>
    <w:p w14:paraId="1685E040" w14:textId="77777777" w:rsidR="00544811" w:rsidRPr="00F537B9" w:rsidRDefault="00544811" w:rsidP="001C0426">
      <w:pPr>
        <w:pStyle w:val="ListDash1"/>
        <w:rPr>
          <w:noProof/>
        </w:rPr>
      </w:pPr>
      <w:r w:rsidRPr="00F537B9">
        <w:rPr>
          <w:rFonts w:ascii="Wingdings" w:hAnsi="Wingdings"/>
          <w:noProof/>
        </w:rPr>
        <w:t></w:t>
      </w:r>
      <w:r w:rsidRPr="00F537B9">
        <w:rPr>
          <w:noProof/>
        </w:rPr>
        <w:tab/>
        <w:t>Návrh/iniciatíva má tento finančný vplyv na príjmy:</w:t>
      </w:r>
    </w:p>
    <w:p w14:paraId="27339A9C" w14:textId="77777777" w:rsidR="00F537B9" w:rsidRDefault="00544811" w:rsidP="001C0426">
      <w:pPr>
        <w:pStyle w:val="ListNumberLevel3"/>
        <w:rPr>
          <w:noProof/>
        </w:rPr>
      </w:pPr>
      <w:r w:rsidRPr="00F537B9">
        <w:rPr>
          <w:rFonts w:ascii="Wingdings" w:hAnsi="Wingdings"/>
          <w:noProof/>
        </w:rPr>
        <w:t></w:t>
      </w:r>
      <w:r w:rsidRPr="00F537B9">
        <w:rPr>
          <w:noProof/>
        </w:rPr>
        <w:tab/>
        <w:t>vplyv na vlastné zdroje</w:t>
      </w:r>
    </w:p>
    <w:p w14:paraId="6A244BED" w14:textId="7C9625C3" w:rsidR="00544811" w:rsidRPr="00F537B9" w:rsidRDefault="00544811" w:rsidP="001C0426">
      <w:pPr>
        <w:pStyle w:val="ListNumberLevel3"/>
        <w:rPr>
          <w:noProof/>
        </w:rPr>
      </w:pPr>
      <w:r w:rsidRPr="00F537B9">
        <w:rPr>
          <w:rFonts w:ascii="Wingdings" w:hAnsi="Wingdings"/>
          <w:noProof/>
        </w:rPr>
        <w:t></w:t>
      </w:r>
      <w:r w:rsidRPr="00F537B9">
        <w:rPr>
          <w:noProof/>
        </w:rPr>
        <w:tab/>
        <w:t>vplyv na iné príjmy</w:t>
      </w:r>
    </w:p>
    <w:p w14:paraId="0D81A9AE" w14:textId="77777777" w:rsidR="00544811" w:rsidRPr="00F537B9" w:rsidRDefault="00544811" w:rsidP="001C0426">
      <w:pPr>
        <w:pStyle w:val="ListNumberLevel3"/>
        <w:rPr>
          <w:noProof/>
        </w:rPr>
      </w:pPr>
      <w:r w:rsidRPr="00F537B9">
        <w:rPr>
          <w:noProof/>
        </w:rPr>
        <w:t xml:space="preserve">uveďte, či sú príjmy pripísané rozpočtovým riadkom výdavkov </w:t>
      </w:r>
      <w:r w:rsidRPr="00F537B9">
        <w:rPr>
          <w:rFonts w:ascii="Wingdings" w:hAnsi="Wingdings"/>
          <w:noProof/>
        </w:rPr>
        <w:t></w:t>
      </w:r>
      <w:r w:rsidRPr="00F537B9">
        <w:rPr>
          <w:noProof/>
        </w:rPr>
        <w:tab/>
      </w:r>
    </w:p>
    <w:p w14:paraId="42571EE0" w14:textId="0D9FC511" w:rsidR="00544811" w:rsidRPr="00F537B9" w:rsidRDefault="00F537B9">
      <w:pPr>
        <w:ind w:left="4320"/>
        <w:rPr>
          <w:i/>
          <w:noProof/>
          <w:sz w:val="20"/>
        </w:rPr>
      </w:pPr>
      <w:r>
        <w:rPr>
          <w:noProof/>
        </w:rPr>
        <w:t xml:space="preserve"> v </w:t>
      </w:r>
      <w:r w:rsidR="00544811" w:rsidRPr="00F537B9">
        <w:rPr>
          <w:noProof/>
        </w:rPr>
        <w:t>mil. EUR (zaokrúhlené na 3 desatinné miesta)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A54310" w:rsidRPr="00F537B9" w14:paraId="3CA2ED4A" w14:textId="77777777">
        <w:trPr>
          <w:trHeight w:val="388"/>
        </w:trPr>
        <w:tc>
          <w:tcPr>
            <w:tcW w:w="2144" w:type="dxa"/>
            <w:vMerge w:val="restart"/>
            <w:vAlign w:val="center"/>
          </w:tcPr>
          <w:p w14:paraId="234846BA" w14:textId="77777777" w:rsidR="00544811" w:rsidRPr="00F537B9" w:rsidRDefault="00544811">
            <w:pPr>
              <w:spacing w:before="40" w:after="40"/>
              <w:rPr>
                <w:noProof/>
                <w:sz w:val="18"/>
              </w:rPr>
            </w:pPr>
            <w:r w:rsidRPr="00F537B9">
              <w:rPr>
                <w:noProof/>
                <w:sz w:val="18"/>
              </w:rPr>
              <w:t>Rozpočtový riadok príjmov:</w:t>
            </w:r>
          </w:p>
        </w:tc>
        <w:tc>
          <w:tcPr>
            <w:tcW w:w="1325" w:type="dxa"/>
            <w:vMerge w:val="restart"/>
            <w:vAlign w:val="center"/>
          </w:tcPr>
          <w:p w14:paraId="26CE0EC3" w14:textId="53207D08" w:rsidR="00544811" w:rsidRPr="00F537B9" w:rsidRDefault="00544811">
            <w:pPr>
              <w:jc w:val="center"/>
              <w:rPr>
                <w:noProof/>
                <w:sz w:val="18"/>
              </w:rPr>
            </w:pPr>
            <w:r w:rsidRPr="00F537B9">
              <w:rPr>
                <w:noProof/>
                <w:sz w:val="18"/>
              </w:rPr>
              <w:t>Rozpočtové prostriedky</w:t>
            </w:r>
            <w:r w:rsidR="00F537B9">
              <w:rPr>
                <w:noProof/>
                <w:sz w:val="18"/>
              </w:rPr>
              <w:t xml:space="preserve"> k </w:t>
            </w:r>
            <w:r w:rsidRPr="00F537B9">
              <w:rPr>
                <w:noProof/>
                <w:sz w:val="18"/>
              </w:rPr>
              <w:t>dispozícii</w:t>
            </w:r>
            <w:r w:rsidR="00F537B9">
              <w:rPr>
                <w:noProof/>
                <w:sz w:val="18"/>
              </w:rPr>
              <w:t xml:space="preserve"> v </w:t>
            </w:r>
            <w:r w:rsidRPr="00F537B9">
              <w:rPr>
                <w:noProof/>
                <w:sz w:val="18"/>
              </w:rPr>
              <w:t>bežnom rozpočtovom roku</w:t>
            </w:r>
          </w:p>
        </w:tc>
        <w:tc>
          <w:tcPr>
            <w:tcW w:w="7151" w:type="dxa"/>
            <w:gridSpan w:val="7"/>
            <w:vAlign w:val="center"/>
          </w:tcPr>
          <w:p w14:paraId="4A19035D" w14:textId="77777777" w:rsidR="00544811" w:rsidRPr="00F537B9" w:rsidRDefault="00544811">
            <w:pPr>
              <w:jc w:val="center"/>
              <w:rPr>
                <w:noProof/>
                <w:sz w:val="18"/>
              </w:rPr>
            </w:pPr>
            <w:r w:rsidRPr="00F537B9">
              <w:rPr>
                <w:noProof/>
                <w:sz w:val="18"/>
              </w:rPr>
              <w:t>Vplyv návrhu/iniciatívy</w:t>
            </w:r>
            <w:r w:rsidRPr="00F537B9">
              <w:rPr>
                <w:rStyle w:val="FootnoteReference"/>
                <w:noProof/>
                <w:sz w:val="18"/>
              </w:rPr>
              <w:footnoteReference w:id="57"/>
            </w:r>
          </w:p>
        </w:tc>
      </w:tr>
      <w:tr w:rsidR="00A54310" w:rsidRPr="00F537B9" w14:paraId="793B26C5" w14:textId="77777777">
        <w:trPr>
          <w:trHeight w:val="388"/>
        </w:trPr>
        <w:tc>
          <w:tcPr>
            <w:tcW w:w="2144" w:type="dxa"/>
            <w:vMerge/>
          </w:tcPr>
          <w:p w14:paraId="5175F5F1" w14:textId="77777777" w:rsidR="00544811" w:rsidRPr="00F537B9" w:rsidRDefault="00544811">
            <w:pPr>
              <w:spacing w:before="40" w:after="40"/>
              <w:rPr>
                <w:noProof/>
                <w:sz w:val="18"/>
              </w:rPr>
            </w:pPr>
          </w:p>
        </w:tc>
        <w:tc>
          <w:tcPr>
            <w:tcW w:w="1325" w:type="dxa"/>
            <w:vMerge/>
          </w:tcPr>
          <w:p w14:paraId="3568F206" w14:textId="77777777" w:rsidR="00544811" w:rsidRPr="00F537B9" w:rsidRDefault="00544811">
            <w:pPr>
              <w:spacing w:beforeLines="40" w:before="96" w:afterLines="40" w:after="96"/>
              <w:rPr>
                <w:i/>
                <w:noProof/>
                <w:sz w:val="18"/>
              </w:rPr>
            </w:pPr>
          </w:p>
        </w:tc>
        <w:tc>
          <w:tcPr>
            <w:tcW w:w="1031" w:type="dxa"/>
            <w:vAlign w:val="center"/>
          </w:tcPr>
          <w:p w14:paraId="161990FF" w14:textId="77777777" w:rsidR="00544811" w:rsidRPr="00F537B9" w:rsidRDefault="00544811">
            <w:pPr>
              <w:jc w:val="center"/>
              <w:rPr>
                <w:noProof/>
                <w:sz w:val="18"/>
              </w:rPr>
            </w:pPr>
            <w:r w:rsidRPr="00F537B9">
              <w:rPr>
                <w:noProof/>
                <w:sz w:val="18"/>
              </w:rPr>
              <w:t>Rok</w:t>
            </w:r>
            <w:r w:rsidRPr="00F537B9">
              <w:rPr>
                <w:noProof/>
              </w:rPr>
              <w:t xml:space="preserve"> </w:t>
            </w:r>
            <w:r w:rsidRPr="00F537B9">
              <w:rPr>
                <w:noProof/>
              </w:rPr>
              <w:br/>
            </w:r>
            <w:r w:rsidRPr="00F537B9">
              <w:rPr>
                <w:b/>
                <w:noProof/>
                <w:sz w:val="18"/>
              </w:rPr>
              <w:t>N</w:t>
            </w:r>
          </w:p>
        </w:tc>
        <w:tc>
          <w:tcPr>
            <w:tcW w:w="900" w:type="dxa"/>
            <w:vAlign w:val="center"/>
          </w:tcPr>
          <w:p w14:paraId="6DDC3EAE" w14:textId="77777777" w:rsidR="00544811" w:rsidRPr="00F537B9" w:rsidRDefault="00544811">
            <w:pPr>
              <w:jc w:val="center"/>
              <w:rPr>
                <w:noProof/>
                <w:sz w:val="18"/>
              </w:rPr>
            </w:pPr>
            <w:r w:rsidRPr="00F537B9">
              <w:rPr>
                <w:noProof/>
                <w:sz w:val="18"/>
              </w:rPr>
              <w:t>Rok</w:t>
            </w:r>
            <w:r w:rsidRPr="00F537B9">
              <w:rPr>
                <w:noProof/>
              </w:rPr>
              <w:t xml:space="preserve"> </w:t>
            </w:r>
            <w:r w:rsidRPr="00F537B9">
              <w:rPr>
                <w:noProof/>
              </w:rPr>
              <w:br/>
            </w:r>
            <w:r w:rsidRPr="00F537B9">
              <w:rPr>
                <w:b/>
                <w:noProof/>
                <w:sz w:val="18"/>
              </w:rPr>
              <w:t>N + 1</w:t>
            </w:r>
          </w:p>
        </w:tc>
        <w:tc>
          <w:tcPr>
            <w:tcW w:w="900" w:type="dxa"/>
            <w:vAlign w:val="center"/>
          </w:tcPr>
          <w:p w14:paraId="355D9452" w14:textId="77777777" w:rsidR="00544811" w:rsidRPr="00F537B9" w:rsidRDefault="00544811">
            <w:pPr>
              <w:jc w:val="center"/>
              <w:rPr>
                <w:noProof/>
                <w:sz w:val="18"/>
              </w:rPr>
            </w:pPr>
            <w:r w:rsidRPr="00F537B9">
              <w:rPr>
                <w:noProof/>
                <w:sz w:val="18"/>
              </w:rPr>
              <w:t>Rok</w:t>
            </w:r>
            <w:r w:rsidRPr="00F537B9">
              <w:rPr>
                <w:noProof/>
              </w:rPr>
              <w:t xml:space="preserve"> </w:t>
            </w:r>
            <w:r w:rsidRPr="00F537B9">
              <w:rPr>
                <w:noProof/>
              </w:rPr>
              <w:br/>
            </w:r>
            <w:r w:rsidRPr="00F537B9">
              <w:rPr>
                <w:b/>
                <w:noProof/>
                <w:sz w:val="18"/>
              </w:rPr>
              <w:t>N + 2</w:t>
            </w:r>
          </w:p>
        </w:tc>
        <w:tc>
          <w:tcPr>
            <w:tcW w:w="1080" w:type="dxa"/>
            <w:vAlign w:val="center"/>
          </w:tcPr>
          <w:p w14:paraId="620FD20C" w14:textId="77777777" w:rsidR="00544811" w:rsidRPr="00F537B9" w:rsidRDefault="00544811">
            <w:pPr>
              <w:jc w:val="center"/>
              <w:rPr>
                <w:noProof/>
                <w:sz w:val="18"/>
              </w:rPr>
            </w:pPr>
            <w:r w:rsidRPr="00F537B9">
              <w:rPr>
                <w:noProof/>
                <w:sz w:val="18"/>
              </w:rPr>
              <w:t>Rok</w:t>
            </w:r>
            <w:r w:rsidRPr="00F537B9">
              <w:rPr>
                <w:noProof/>
              </w:rPr>
              <w:t xml:space="preserve"> </w:t>
            </w:r>
            <w:r w:rsidRPr="00F537B9">
              <w:rPr>
                <w:noProof/>
              </w:rPr>
              <w:br/>
            </w:r>
            <w:r w:rsidRPr="00F537B9">
              <w:rPr>
                <w:b/>
                <w:noProof/>
                <w:sz w:val="18"/>
              </w:rPr>
              <w:t>N + 3</w:t>
            </w:r>
          </w:p>
        </w:tc>
        <w:tc>
          <w:tcPr>
            <w:tcW w:w="3240" w:type="dxa"/>
            <w:gridSpan w:val="3"/>
            <w:vAlign w:val="center"/>
          </w:tcPr>
          <w:p w14:paraId="13FA0269" w14:textId="77777777" w:rsidR="00544811" w:rsidRPr="00F537B9" w:rsidRDefault="00544811">
            <w:pPr>
              <w:jc w:val="center"/>
              <w:rPr>
                <w:b/>
                <w:noProof/>
                <w:sz w:val="18"/>
              </w:rPr>
            </w:pPr>
            <w:r w:rsidRPr="00F537B9">
              <w:rPr>
                <w:noProof/>
                <w:sz w:val="18"/>
              </w:rPr>
              <w:t>Uveďte všetky roky, počas ktorých vplyv trvá (pozri bod 1.6)</w:t>
            </w:r>
          </w:p>
        </w:tc>
      </w:tr>
      <w:tr w:rsidR="005076D3" w:rsidRPr="00F537B9" w14:paraId="125680E7" w14:textId="77777777">
        <w:trPr>
          <w:trHeight w:val="388"/>
        </w:trPr>
        <w:tc>
          <w:tcPr>
            <w:tcW w:w="2144" w:type="dxa"/>
            <w:vAlign w:val="center"/>
          </w:tcPr>
          <w:p w14:paraId="6D4B4F58" w14:textId="77777777" w:rsidR="00544811" w:rsidRPr="00F537B9" w:rsidRDefault="00544811">
            <w:pPr>
              <w:spacing w:before="40" w:after="40"/>
              <w:rPr>
                <w:noProof/>
                <w:sz w:val="18"/>
              </w:rPr>
            </w:pPr>
            <w:r w:rsidRPr="00F537B9">
              <w:rPr>
                <w:noProof/>
                <w:sz w:val="18"/>
              </w:rPr>
              <w:t>Článok ………….</w:t>
            </w:r>
          </w:p>
        </w:tc>
        <w:tc>
          <w:tcPr>
            <w:tcW w:w="1325" w:type="dxa"/>
          </w:tcPr>
          <w:p w14:paraId="7D2FE5DD" w14:textId="77777777" w:rsidR="00544811" w:rsidRPr="00F537B9" w:rsidRDefault="00544811">
            <w:pPr>
              <w:spacing w:beforeLines="40" w:before="96" w:afterLines="40" w:after="96"/>
              <w:jc w:val="center"/>
              <w:rPr>
                <w:i/>
                <w:noProof/>
                <w:sz w:val="18"/>
              </w:rPr>
            </w:pPr>
          </w:p>
        </w:tc>
        <w:tc>
          <w:tcPr>
            <w:tcW w:w="1031" w:type="dxa"/>
          </w:tcPr>
          <w:p w14:paraId="31925C14" w14:textId="77777777" w:rsidR="00544811" w:rsidRPr="00F537B9" w:rsidRDefault="00544811">
            <w:pPr>
              <w:spacing w:beforeLines="40" w:before="96" w:afterLines="40" w:after="96"/>
              <w:jc w:val="center"/>
              <w:rPr>
                <w:noProof/>
                <w:sz w:val="18"/>
              </w:rPr>
            </w:pPr>
          </w:p>
        </w:tc>
        <w:tc>
          <w:tcPr>
            <w:tcW w:w="900" w:type="dxa"/>
          </w:tcPr>
          <w:p w14:paraId="56E32A6E" w14:textId="77777777" w:rsidR="00544811" w:rsidRPr="00F537B9" w:rsidRDefault="00544811">
            <w:pPr>
              <w:spacing w:beforeLines="40" w:before="96" w:afterLines="40" w:after="96"/>
              <w:jc w:val="center"/>
              <w:rPr>
                <w:noProof/>
                <w:sz w:val="18"/>
              </w:rPr>
            </w:pPr>
          </w:p>
        </w:tc>
        <w:tc>
          <w:tcPr>
            <w:tcW w:w="900" w:type="dxa"/>
          </w:tcPr>
          <w:p w14:paraId="63DF9C85" w14:textId="77777777" w:rsidR="00544811" w:rsidRPr="00F537B9" w:rsidRDefault="00544811">
            <w:pPr>
              <w:spacing w:beforeLines="40" w:before="96" w:afterLines="40" w:after="96"/>
              <w:jc w:val="center"/>
              <w:rPr>
                <w:noProof/>
                <w:sz w:val="18"/>
              </w:rPr>
            </w:pPr>
          </w:p>
        </w:tc>
        <w:tc>
          <w:tcPr>
            <w:tcW w:w="1080" w:type="dxa"/>
          </w:tcPr>
          <w:p w14:paraId="14847D00" w14:textId="77777777" w:rsidR="00544811" w:rsidRPr="00F537B9" w:rsidRDefault="00544811">
            <w:pPr>
              <w:spacing w:beforeLines="40" w:before="96" w:afterLines="40" w:after="96"/>
              <w:jc w:val="center"/>
              <w:rPr>
                <w:noProof/>
                <w:sz w:val="18"/>
              </w:rPr>
            </w:pPr>
          </w:p>
        </w:tc>
        <w:tc>
          <w:tcPr>
            <w:tcW w:w="1080" w:type="dxa"/>
          </w:tcPr>
          <w:p w14:paraId="39BC24F1" w14:textId="77777777" w:rsidR="00544811" w:rsidRPr="00F537B9" w:rsidRDefault="00544811">
            <w:pPr>
              <w:spacing w:beforeLines="40" w:before="96" w:afterLines="40" w:after="96"/>
              <w:jc w:val="center"/>
              <w:rPr>
                <w:noProof/>
                <w:sz w:val="18"/>
              </w:rPr>
            </w:pPr>
          </w:p>
        </w:tc>
        <w:tc>
          <w:tcPr>
            <w:tcW w:w="1080" w:type="dxa"/>
          </w:tcPr>
          <w:p w14:paraId="01E21762" w14:textId="77777777" w:rsidR="00544811" w:rsidRPr="00F537B9" w:rsidRDefault="00544811">
            <w:pPr>
              <w:spacing w:beforeLines="40" w:before="96" w:afterLines="40" w:after="96"/>
              <w:jc w:val="center"/>
              <w:rPr>
                <w:noProof/>
                <w:sz w:val="18"/>
              </w:rPr>
            </w:pPr>
          </w:p>
        </w:tc>
        <w:tc>
          <w:tcPr>
            <w:tcW w:w="1080" w:type="dxa"/>
          </w:tcPr>
          <w:p w14:paraId="59A7B84E" w14:textId="77777777" w:rsidR="00544811" w:rsidRPr="00F537B9" w:rsidRDefault="00544811">
            <w:pPr>
              <w:spacing w:beforeLines="40" w:before="96" w:afterLines="40" w:after="96"/>
              <w:jc w:val="center"/>
              <w:rPr>
                <w:noProof/>
                <w:sz w:val="18"/>
              </w:rPr>
            </w:pPr>
          </w:p>
        </w:tc>
      </w:tr>
    </w:tbl>
    <w:p w14:paraId="1B9BCC00" w14:textId="77777777" w:rsidR="00544811" w:rsidRPr="00F537B9" w:rsidRDefault="00544811">
      <w:pPr>
        <w:pStyle w:val="Text1"/>
        <w:rPr>
          <w:noProof/>
          <w:sz w:val="20"/>
        </w:rPr>
      </w:pPr>
      <w:r w:rsidRPr="00F537B9">
        <w:rPr>
          <w:noProof/>
          <w:sz w:val="20"/>
        </w:rPr>
        <w:t>V prípade pripísaných príjmov uveďte príslušné rozpočtové riadky výdavkov.</w:t>
      </w:r>
    </w:p>
    <w:p w14:paraId="42EDEAAD" w14:textId="77777777" w:rsidR="00544811" w:rsidRPr="00F537B9" w:rsidRDefault="00544811">
      <w:pPr>
        <w:pStyle w:val="Text1"/>
        <w:pBdr>
          <w:top w:val="single" w:sz="4" w:space="1" w:color="auto"/>
          <w:left w:val="single" w:sz="4" w:space="4" w:color="auto"/>
          <w:bottom w:val="single" w:sz="4" w:space="1" w:color="auto"/>
          <w:right w:val="single" w:sz="4" w:space="4" w:color="auto"/>
        </w:pBdr>
        <w:rPr>
          <w:noProof/>
        </w:rPr>
      </w:pPr>
    </w:p>
    <w:p w14:paraId="3C50BE0C" w14:textId="77777777" w:rsidR="00544811" w:rsidRPr="00F537B9" w:rsidRDefault="00544811">
      <w:pPr>
        <w:pStyle w:val="Text1"/>
        <w:rPr>
          <w:noProof/>
          <w:sz w:val="20"/>
        </w:rPr>
      </w:pPr>
      <w:r w:rsidRPr="00F537B9">
        <w:rPr>
          <w:noProof/>
          <w:sz w:val="20"/>
        </w:rPr>
        <w:t>Ďalšie poznámky (napr. spôsob/vzorec použitý na výpočet vplyvu na príjmy alebo akékoľvek ďalšie informácie).</w:t>
      </w:r>
    </w:p>
    <w:p w14:paraId="0097ABFA" w14:textId="77777777" w:rsidR="00544811" w:rsidRPr="00F537B9" w:rsidRDefault="00544811">
      <w:pPr>
        <w:pStyle w:val="Text1"/>
        <w:pBdr>
          <w:top w:val="single" w:sz="4" w:space="1" w:color="auto"/>
          <w:left w:val="single" w:sz="4" w:space="4" w:color="auto"/>
          <w:bottom w:val="single" w:sz="4" w:space="1" w:color="auto"/>
          <w:right w:val="single" w:sz="4" w:space="4" w:color="auto"/>
        </w:pBdr>
        <w:rPr>
          <w:noProof/>
        </w:rPr>
      </w:pPr>
    </w:p>
    <w:sectPr w:rsidR="00544811" w:rsidRPr="00F537B9" w:rsidSect="004765B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272E8" w14:textId="77777777" w:rsidR="00BA0506" w:rsidRDefault="00BA0506" w:rsidP="00544811">
      <w:pPr>
        <w:spacing w:before="0" w:after="0"/>
      </w:pPr>
      <w:r>
        <w:separator/>
      </w:r>
    </w:p>
  </w:endnote>
  <w:endnote w:type="continuationSeparator" w:id="0">
    <w:p w14:paraId="440320A2" w14:textId="77777777" w:rsidR="00BA0506" w:rsidRDefault="00BA0506" w:rsidP="00544811">
      <w:pPr>
        <w:spacing w:before="0" w:after="0"/>
      </w:pPr>
      <w:r>
        <w:continuationSeparator/>
      </w:r>
    </w:p>
  </w:endnote>
  <w:endnote w:type="continuationNotice" w:id="1">
    <w:p w14:paraId="0CEE7534" w14:textId="77777777" w:rsidR="00BA0506" w:rsidRDefault="00BA05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3956A" w14:textId="7D823246" w:rsidR="00755729" w:rsidRPr="004765B0" w:rsidRDefault="004765B0" w:rsidP="004765B0">
    <w:pPr>
      <w:pStyle w:val="Footer"/>
      <w:rPr>
        <w:rFonts w:ascii="Arial" w:hAnsi="Arial" w:cs="Arial"/>
        <w:b/>
        <w:sz w:val="48"/>
      </w:rPr>
    </w:pPr>
    <w:r w:rsidRPr="004765B0">
      <w:rPr>
        <w:rFonts w:ascii="Arial" w:hAnsi="Arial" w:cs="Arial"/>
        <w:b/>
        <w:sz w:val="48"/>
      </w:rPr>
      <w:t>SK</w:t>
    </w:r>
    <w:r w:rsidRPr="004765B0">
      <w:rPr>
        <w:rFonts w:ascii="Arial" w:hAnsi="Arial" w:cs="Arial"/>
        <w:b/>
        <w:sz w:val="48"/>
      </w:rPr>
      <w:tab/>
    </w:r>
    <w:r w:rsidRPr="004765B0">
      <w:rPr>
        <w:rFonts w:ascii="Arial" w:hAnsi="Arial" w:cs="Arial"/>
        <w:b/>
        <w:sz w:val="48"/>
      </w:rPr>
      <w:tab/>
    </w:r>
    <w:r w:rsidRPr="004765B0">
      <w:tab/>
    </w:r>
    <w:r w:rsidRPr="004765B0">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41605" w14:textId="50D5E289" w:rsidR="004765B0" w:rsidRPr="004765B0" w:rsidRDefault="004765B0" w:rsidP="004765B0">
    <w:pPr>
      <w:pStyle w:val="Footer"/>
      <w:rPr>
        <w:rFonts w:ascii="Arial" w:hAnsi="Arial" w:cs="Arial"/>
        <w:b/>
        <w:sz w:val="48"/>
      </w:rPr>
    </w:pPr>
    <w:r w:rsidRPr="004765B0">
      <w:rPr>
        <w:rFonts w:ascii="Arial" w:hAnsi="Arial" w:cs="Arial"/>
        <w:b/>
        <w:sz w:val="48"/>
      </w:rPr>
      <w:t>SK</w:t>
    </w:r>
    <w:r w:rsidRPr="004765B0">
      <w:rPr>
        <w:rFonts w:ascii="Arial" w:hAnsi="Arial" w:cs="Arial"/>
        <w:b/>
        <w:sz w:val="48"/>
      </w:rPr>
      <w:tab/>
    </w:r>
    <w:r>
      <w:fldChar w:fldCharType="begin"/>
    </w:r>
    <w:r>
      <w:instrText xml:space="preserve"> PAGE  \* MERGEFORMAT </w:instrText>
    </w:r>
    <w:r>
      <w:fldChar w:fldCharType="separate"/>
    </w:r>
    <w:r w:rsidR="00C212AB">
      <w:rPr>
        <w:noProof/>
      </w:rPr>
      <w:t>33</w:t>
    </w:r>
    <w:r>
      <w:fldChar w:fldCharType="end"/>
    </w:r>
    <w:r>
      <w:tab/>
    </w:r>
    <w:r w:rsidRPr="004765B0">
      <w:tab/>
    </w:r>
    <w:r w:rsidRPr="004765B0">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5C289" w14:textId="77777777" w:rsidR="004765B0" w:rsidRPr="004765B0" w:rsidRDefault="004765B0" w:rsidP="004765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027A" w14:textId="00FDB7C9" w:rsidR="004765B0" w:rsidRPr="004765B0" w:rsidRDefault="004765B0" w:rsidP="004765B0">
    <w:pPr>
      <w:pStyle w:val="FooterLandscape"/>
      <w:rPr>
        <w:rFonts w:ascii="Arial" w:hAnsi="Arial" w:cs="Arial"/>
        <w:b/>
        <w:sz w:val="48"/>
      </w:rPr>
    </w:pPr>
    <w:r w:rsidRPr="004765B0">
      <w:rPr>
        <w:rFonts w:ascii="Arial" w:hAnsi="Arial" w:cs="Arial"/>
        <w:b/>
        <w:sz w:val="48"/>
      </w:rPr>
      <w:t>SK</w:t>
    </w:r>
    <w:r w:rsidRPr="004765B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765B0">
      <w:tab/>
    </w:r>
    <w:r w:rsidRPr="004765B0">
      <w:rPr>
        <w:rFonts w:ascii="Arial" w:hAnsi="Arial" w:cs="Arial"/>
        <w:b/>
        <w:sz w:val="48"/>
      </w:rPr>
      <w:t>SK</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DAAD" w14:textId="77777777" w:rsidR="004765B0" w:rsidRPr="004765B0" w:rsidRDefault="004765B0" w:rsidP="004765B0">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CCFE9" w14:textId="0E7D40DA" w:rsidR="004609CB" w:rsidRPr="004765B0" w:rsidRDefault="004765B0" w:rsidP="004765B0">
    <w:pPr>
      <w:pStyle w:val="Footer"/>
      <w:rPr>
        <w:rFonts w:ascii="Arial" w:hAnsi="Arial" w:cs="Arial"/>
        <w:b/>
        <w:sz w:val="48"/>
      </w:rPr>
    </w:pPr>
    <w:r w:rsidRPr="004765B0">
      <w:rPr>
        <w:rFonts w:ascii="Arial" w:hAnsi="Arial" w:cs="Arial"/>
        <w:b/>
        <w:sz w:val="48"/>
      </w:rPr>
      <w:t>SK</w:t>
    </w:r>
    <w:r w:rsidRPr="004765B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765B0">
      <w:tab/>
    </w:r>
    <w:r w:rsidRPr="004765B0">
      <w:rPr>
        <w:rFonts w:ascii="Arial" w:hAnsi="Arial" w:cs="Arial"/>
        <w:b/>
        <w:sz w:val="48"/>
      </w:rPr>
      <w:t>SK</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2191" w14:textId="77777777" w:rsidR="004765B0" w:rsidRPr="004765B0" w:rsidRDefault="004765B0" w:rsidP="00476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E1483" w14:textId="77777777" w:rsidR="00BA0506" w:rsidRDefault="00BA0506" w:rsidP="00544811">
      <w:pPr>
        <w:spacing w:before="0" w:after="0"/>
      </w:pPr>
      <w:r>
        <w:separator/>
      </w:r>
    </w:p>
  </w:footnote>
  <w:footnote w:type="continuationSeparator" w:id="0">
    <w:p w14:paraId="14951B6D" w14:textId="77777777" w:rsidR="00BA0506" w:rsidRDefault="00BA0506" w:rsidP="00544811">
      <w:pPr>
        <w:spacing w:before="0" w:after="0"/>
      </w:pPr>
      <w:r>
        <w:continuationSeparator/>
      </w:r>
    </w:p>
  </w:footnote>
  <w:footnote w:type="continuationNotice" w:id="1">
    <w:p w14:paraId="291B09BF" w14:textId="77777777" w:rsidR="00BA0506" w:rsidRDefault="00BA0506">
      <w:pPr>
        <w:spacing w:before="0" w:after="0"/>
      </w:pPr>
    </w:p>
  </w:footnote>
  <w:footnote w:id="2">
    <w:p w14:paraId="7B052AE4" w14:textId="77777777" w:rsidR="0022263E" w:rsidRPr="00F537B9" w:rsidRDefault="0022263E" w:rsidP="00F537B9">
      <w:pPr>
        <w:pStyle w:val="FootnoteText"/>
      </w:pPr>
      <w:r w:rsidRPr="00F537B9">
        <w:rPr>
          <w:rStyle w:val="FootnoteReference"/>
        </w:rPr>
        <w:footnoteRef/>
      </w:r>
      <w:r w:rsidRPr="00F537B9">
        <w:tab/>
        <w:t xml:space="preserve">Pozri webové sídlo OECD: </w:t>
      </w:r>
      <w:hyperlink r:id="rId1" w:history="1">
        <w:r w:rsidRPr="00F537B9">
          <w:rPr>
            <w:rStyle w:val="Hyperlink"/>
          </w:rPr>
          <w:t>https://www.oecd.org/</w:t>
        </w:r>
      </w:hyperlink>
      <w:r w:rsidRPr="00F537B9">
        <w:t>.</w:t>
      </w:r>
    </w:p>
  </w:footnote>
  <w:footnote w:id="3">
    <w:p w14:paraId="104B5761" w14:textId="59F4DAD2" w:rsidR="000C02C1" w:rsidRPr="00F537B9" w:rsidRDefault="000C02C1" w:rsidP="00F537B9">
      <w:pPr>
        <w:pStyle w:val="FootnoteText"/>
      </w:pPr>
      <w:r w:rsidRPr="00F537B9">
        <w:rPr>
          <w:rStyle w:val="FootnoteReference"/>
        </w:rPr>
        <w:footnoteRef/>
      </w:r>
      <w:r w:rsidRPr="00F537B9">
        <w:tab/>
        <w:t>Modelová zmluva OECD</w:t>
      </w:r>
      <w:r w:rsidR="00F537B9" w:rsidRPr="00F537B9">
        <w:t xml:space="preserve"> o </w:t>
      </w:r>
      <w:r w:rsidRPr="00F537B9">
        <w:t>zdaňovaní (</w:t>
      </w:r>
      <w:hyperlink r:id="rId2" w:history="1">
        <w:r w:rsidRPr="00F537B9">
          <w:rPr>
            <w:rStyle w:val="Hyperlink"/>
          </w:rPr>
          <w:t>https://www.oecd.org/ctp/treaties/model-tax-convention-on-income-and-on-capital-condensed-version-20745419.htm</w:t>
        </w:r>
      </w:hyperlink>
      <w:r w:rsidRPr="00F537B9">
        <w:t>).</w:t>
      </w:r>
    </w:p>
  </w:footnote>
  <w:footnote w:id="4">
    <w:p w14:paraId="3563E31B" w14:textId="1A54F9FE" w:rsidR="001A5218" w:rsidRPr="00F537B9" w:rsidRDefault="001A5218" w:rsidP="00F537B9">
      <w:pPr>
        <w:pStyle w:val="FootnoteText"/>
      </w:pPr>
      <w:r w:rsidRPr="00F537B9">
        <w:rPr>
          <w:rStyle w:val="FootnoteReference"/>
        </w:rPr>
        <w:footnoteRef/>
      </w:r>
      <w:r w:rsidRPr="00F537B9">
        <w:tab/>
        <w:t>Smernica OECD</w:t>
      </w:r>
      <w:r w:rsidR="00F537B9" w:rsidRPr="00F537B9">
        <w:t xml:space="preserve"> o </w:t>
      </w:r>
      <w:r w:rsidRPr="00F537B9">
        <w:t>transferovom oceňovaní (</w:t>
      </w:r>
      <w:hyperlink r:id="rId3" w:history="1">
        <w:r w:rsidRPr="00F537B9">
          <w:rPr>
            <w:rStyle w:val="Hyperlink"/>
          </w:rPr>
          <w:t>https://www.oecd.org/tax/transfer-pricing/oecd-transfer-pricing-guidelines-for-multinational-enterprises-and-tax-administrations-20769717.htm</w:t>
        </w:r>
      </w:hyperlink>
      <w:r w:rsidRPr="00F537B9">
        <w:t>).</w:t>
      </w:r>
    </w:p>
  </w:footnote>
  <w:footnote w:id="5">
    <w:p w14:paraId="540C457E" w14:textId="6F551E78" w:rsidR="001B29C2" w:rsidRPr="00F537B9" w:rsidRDefault="001B29C2" w:rsidP="00F537B9">
      <w:pPr>
        <w:pStyle w:val="FootnoteText"/>
      </w:pPr>
      <w:r w:rsidRPr="00F537B9">
        <w:rPr>
          <w:rStyle w:val="FootnoteReference"/>
        </w:rPr>
        <w:footnoteRef/>
      </w:r>
      <w:r w:rsidRPr="00F537B9">
        <w:tab/>
        <w:t>Malta, Cyprus, Bulharsko</w:t>
      </w:r>
      <w:r w:rsidR="00F537B9" w:rsidRPr="00F537B9">
        <w:t xml:space="preserve"> a </w:t>
      </w:r>
      <w:r w:rsidRPr="00F537B9">
        <w:t>Rumunsko nie sú členmi OECD.</w:t>
      </w:r>
    </w:p>
  </w:footnote>
  <w:footnote w:id="6">
    <w:p w14:paraId="75D2E5EF" w14:textId="2F30BD4F" w:rsidR="0090436F" w:rsidRPr="00F537B9" w:rsidRDefault="0090436F" w:rsidP="00F537B9">
      <w:pPr>
        <w:pStyle w:val="FootnoteText"/>
      </w:pPr>
      <w:r w:rsidRPr="00F537B9">
        <w:rPr>
          <w:rStyle w:val="FootnoteReference"/>
        </w:rPr>
        <w:footnoteRef/>
      </w:r>
      <w:r w:rsidRPr="00F537B9">
        <w:tab/>
        <w:t>Jedna veľká firma takisto poukázala na to, že narástol počet daňových sporov týkajúcich sa transferového oceňovania</w:t>
      </w:r>
      <w:r w:rsidR="00F537B9" w:rsidRPr="00F537B9">
        <w:t xml:space="preserve"> v </w:t>
      </w:r>
      <w:r w:rsidRPr="00F537B9">
        <w:t>rámci EÚ</w:t>
      </w:r>
      <w:r w:rsidR="00F537B9" w:rsidRPr="00F537B9">
        <w:t xml:space="preserve"> a </w:t>
      </w:r>
      <w:r w:rsidRPr="00F537B9">
        <w:t>odstránenia zrážkovej dane.</w:t>
      </w:r>
    </w:p>
  </w:footnote>
  <w:footnote w:id="7">
    <w:p w14:paraId="36CC08FF" w14:textId="17C86D7C" w:rsidR="00070247" w:rsidRPr="00F537B9" w:rsidRDefault="00070247" w:rsidP="00F537B9">
      <w:pPr>
        <w:pStyle w:val="FootnoteText"/>
      </w:pPr>
      <w:r w:rsidRPr="00F537B9">
        <w:rPr>
          <w:rStyle w:val="FootnoteReference"/>
        </w:rPr>
        <w:footnoteRef/>
      </w:r>
      <w:r w:rsidRPr="00F537B9">
        <w:tab/>
        <w:t>OECD odhaduje, že na začiatku projektu na zabránenie narúšaniu základu dane</w:t>
      </w:r>
      <w:r w:rsidR="00F537B9" w:rsidRPr="00F537B9">
        <w:t xml:space="preserve"> a </w:t>
      </w:r>
      <w:r w:rsidRPr="00F537B9">
        <w:t>presunu ziskov</w:t>
      </w:r>
      <w:r w:rsidR="00F537B9" w:rsidRPr="00F537B9">
        <w:t xml:space="preserve"> v </w:t>
      </w:r>
      <w:r w:rsidRPr="00F537B9">
        <w:t>roku 2013 sa mohol rozsah celosvetových strát príjmov</w:t>
      </w:r>
      <w:r w:rsidR="00F537B9" w:rsidRPr="00F537B9">
        <w:t xml:space="preserve"> z </w:t>
      </w:r>
      <w:r w:rsidRPr="00F537B9">
        <w:t>dane</w:t>
      </w:r>
      <w:r w:rsidR="00F537B9" w:rsidRPr="00F537B9">
        <w:t xml:space="preserve"> z </w:t>
      </w:r>
      <w:r w:rsidRPr="00F537B9">
        <w:t>príjmu právnických osôb</w:t>
      </w:r>
      <w:r w:rsidR="00F537B9" w:rsidRPr="00F537B9">
        <w:t xml:space="preserve"> v </w:t>
      </w:r>
      <w:r w:rsidRPr="00F537B9">
        <w:t>dôsledku praktík narúšania základu dane</w:t>
      </w:r>
      <w:r w:rsidR="00F537B9" w:rsidRPr="00F537B9">
        <w:t xml:space="preserve"> a </w:t>
      </w:r>
      <w:r w:rsidRPr="00F537B9">
        <w:t>presunu ziskov pohybovať medzi 100 až 240 miliardami USD ročne, pričom uznáva metodické obmedzenia</w:t>
      </w:r>
      <w:r w:rsidR="00F537B9" w:rsidRPr="00F537B9">
        <w:t xml:space="preserve"> a </w:t>
      </w:r>
      <w:r w:rsidRPr="00F537B9">
        <w:t xml:space="preserve">nedostatok údajov (pozri </w:t>
      </w:r>
      <w:hyperlink r:id="rId4" w:history="1">
        <w:r w:rsidRPr="00F537B9">
          <w:rPr>
            <w:rStyle w:val="Hyperlink"/>
          </w:rPr>
          <w:t>https://www.oecd.org/tax/beps-project-explanatory-statement-9789264263437-en.htm</w:t>
        </w:r>
      </w:hyperlink>
      <w:r w:rsidRPr="00F537B9">
        <w:t>).</w:t>
      </w:r>
      <w:r w:rsidR="00F537B9" w:rsidRPr="00F537B9">
        <w:t xml:space="preserve"> </w:t>
      </w:r>
      <w:r w:rsidRPr="00F537B9">
        <w:t>Manipulácia</w:t>
      </w:r>
      <w:r w:rsidR="00F537B9" w:rsidRPr="00F537B9">
        <w:t xml:space="preserve"> s </w:t>
      </w:r>
      <w:r w:rsidRPr="00F537B9">
        <w:t>transferovým oceňovaním bola identifikovaná ako jedna</w:t>
      </w:r>
      <w:r w:rsidR="00F537B9" w:rsidRPr="00F537B9">
        <w:t xml:space="preserve"> z </w:t>
      </w:r>
      <w:r w:rsidRPr="00F537B9">
        <w:t>praktík narúšania základu dane</w:t>
      </w:r>
      <w:r w:rsidR="00F537B9" w:rsidRPr="00F537B9">
        <w:t xml:space="preserve"> a </w:t>
      </w:r>
      <w:r w:rsidRPr="00F537B9">
        <w:t>presunu ziskov. Najmä opatrenia 8 – 10 projektu na zabránenie narúšaniu základu dane</w:t>
      </w:r>
      <w:r w:rsidR="00F537B9" w:rsidRPr="00F537B9">
        <w:t xml:space="preserve"> a </w:t>
      </w:r>
      <w:r w:rsidRPr="00F537B9">
        <w:t>presunu ziskov boli zamerané na zlepšenie usmernení</w:t>
      </w:r>
      <w:r w:rsidR="00F537B9" w:rsidRPr="00F537B9">
        <w:t xml:space="preserve"> k </w:t>
      </w:r>
      <w:r w:rsidRPr="00F537B9">
        <w:t>princípu nezávislého vzťahu, aby sa zabezpečilo, že výsledky diktuje hospodárska realita,</w:t>
      </w:r>
      <w:r w:rsidR="00F537B9" w:rsidRPr="00F537B9">
        <w:t xml:space="preserve"> a </w:t>
      </w:r>
      <w:r w:rsidRPr="00F537B9">
        <w:t>nie realita na papieri.</w:t>
      </w:r>
      <w:r w:rsidR="00F537B9" w:rsidRPr="00F537B9">
        <w:t xml:space="preserve"> V </w:t>
      </w:r>
      <w:r w:rsidRPr="00F537B9">
        <w:t>tejto súvislosti je cieľom záverečnej správy</w:t>
      </w:r>
      <w:r w:rsidR="00F537B9" w:rsidRPr="00F537B9">
        <w:t xml:space="preserve"> o </w:t>
      </w:r>
      <w:r w:rsidRPr="00F537B9">
        <w:t>opatreniach 8 – 10 zosúladiť výsledky transferového oceňovania</w:t>
      </w:r>
      <w:r w:rsidR="00F537B9" w:rsidRPr="00F537B9">
        <w:t xml:space="preserve"> s </w:t>
      </w:r>
      <w:r w:rsidRPr="00F537B9">
        <w:t>tvorbou hodnoty nadnárodnej skupiny podnikov</w:t>
      </w:r>
      <w:r w:rsidR="00F537B9" w:rsidRPr="00F537B9">
        <w:t>.</w:t>
      </w:r>
    </w:p>
  </w:footnote>
  <w:footnote w:id="8">
    <w:p w14:paraId="4C81EC30" w14:textId="64B871FD" w:rsidR="00070247" w:rsidRPr="00F537B9" w:rsidRDefault="00070247" w:rsidP="00F537B9">
      <w:pPr>
        <w:pStyle w:val="FootnoteText"/>
        <w:rPr>
          <w:spacing w:val="-6"/>
        </w:rPr>
      </w:pPr>
      <w:r w:rsidRPr="00F537B9">
        <w:rPr>
          <w:rStyle w:val="FootnoteReference"/>
        </w:rPr>
        <w:footnoteRef/>
      </w:r>
      <w:r w:rsidRPr="00F537B9">
        <w:tab/>
      </w:r>
      <w:r w:rsidRPr="00F537B9">
        <w:rPr>
          <w:spacing w:val="-6"/>
        </w:rPr>
        <w:t>Oficiálne štatistiky OECD ukazujú, že na konci roka 2021 sa počet neuzavretých postupov vzájomnej dohody aktivovaných na vyriešenie dvojitého zdanenia</w:t>
      </w:r>
      <w:r w:rsidR="00F537B9" w:rsidRPr="00F537B9">
        <w:rPr>
          <w:spacing w:val="-6"/>
        </w:rPr>
        <w:t xml:space="preserve"> v </w:t>
      </w:r>
      <w:r w:rsidRPr="00F537B9">
        <w:rPr>
          <w:spacing w:val="-6"/>
        </w:rPr>
        <w:t>súvislosti</w:t>
      </w:r>
      <w:r w:rsidR="00F537B9" w:rsidRPr="00F537B9">
        <w:rPr>
          <w:spacing w:val="-6"/>
        </w:rPr>
        <w:t xml:space="preserve"> s </w:t>
      </w:r>
      <w:r w:rsidRPr="00F537B9">
        <w:rPr>
          <w:spacing w:val="-6"/>
        </w:rPr>
        <w:t>prípadmi transferového oceňovania zvýšil</w:t>
      </w:r>
      <w:r w:rsidR="00F537B9" w:rsidRPr="00F537B9">
        <w:rPr>
          <w:spacing w:val="-6"/>
        </w:rPr>
        <w:t xml:space="preserve"> o </w:t>
      </w:r>
      <w:r w:rsidRPr="00F537B9">
        <w:rPr>
          <w:spacing w:val="-6"/>
        </w:rPr>
        <w:t>33</w:t>
      </w:r>
      <w:r w:rsidR="00F537B9" w:rsidRPr="00F537B9">
        <w:rPr>
          <w:spacing w:val="-6"/>
        </w:rPr>
        <w:t> % v </w:t>
      </w:r>
      <w:r w:rsidRPr="00F537B9">
        <w:rPr>
          <w:spacing w:val="-6"/>
        </w:rPr>
        <w:t>porovnaní</w:t>
      </w:r>
      <w:r w:rsidR="00F537B9" w:rsidRPr="00F537B9">
        <w:rPr>
          <w:spacing w:val="-6"/>
        </w:rPr>
        <w:t xml:space="preserve"> s </w:t>
      </w:r>
      <w:r w:rsidRPr="00F537B9">
        <w:rPr>
          <w:spacing w:val="-6"/>
        </w:rPr>
        <w:t>rokom 2016 (stav postupov vzájomnej dohody na konci roka 2021 predstavoval 6 000 oproti 4 500 neuzavretým postupom vzájomnej dohody na konci roka 2016). Štatistiky</w:t>
      </w:r>
      <w:r w:rsidR="00F537B9" w:rsidRPr="00F537B9">
        <w:rPr>
          <w:spacing w:val="-6"/>
        </w:rPr>
        <w:t xml:space="preserve"> o </w:t>
      </w:r>
      <w:r w:rsidRPr="00F537B9">
        <w:rPr>
          <w:spacing w:val="-6"/>
        </w:rPr>
        <w:t>postupoch vzájomnej dohody OECD sú</w:t>
      </w:r>
      <w:r w:rsidR="00F537B9" w:rsidRPr="00F537B9">
        <w:rPr>
          <w:spacing w:val="-6"/>
        </w:rPr>
        <w:t xml:space="preserve"> k </w:t>
      </w:r>
      <w:r w:rsidRPr="00F537B9">
        <w:rPr>
          <w:spacing w:val="-6"/>
        </w:rPr>
        <w:t>dispozícii na adrese:</w:t>
      </w:r>
      <w:r w:rsidR="00F537B9" w:rsidRPr="00F537B9">
        <w:rPr>
          <w:spacing w:val="-6"/>
        </w:rPr>
        <w:t xml:space="preserve"> </w:t>
      </w:r>
      <w:hyperlink r:id="rId5" w:anchor="tpcases" w:history="1">
        <w:r w:rsidRPr="00F537B9">
          <w:rPr>
            <w:rStyle w:val="Hyperlink"/>
            <w:spacing w:val="-6"/>
          </w:rPr>
          <w:t>https://www.oecd.org/tax/dispute/mutual-agreement-procedure-statistics-2021-inventory-trends.htm#tpcases</w:t>
        </w:r>
      </w:hyperlink>
      <w:r w:rsidRPr="00F537B9">
        <w:rPr>
          <w:spacing w:val="-6"/>
        </w:rPr>
        <w:t>. Oficiálne štatistiky EÚ</w:t>
      </w:r>
      <w:r w:rsidR="00F537B9" w:rsidRPr="00F537B9">
        <w:rPr>
          <w:spacing w:val="-6"/>
        </w:rPr>
        <w:t xml:space="preserve"> o </w:t>
      </w:r>
      <w:r w:rsidRPr="00F537B9">
        <w:rPr>
          <w:spacing w:val="-6"/>
        </w:rPr>
        <w:t>postupoch vzájomnej dohody podľa arbitrážneho dohovoru ukazujú nárast počtu sporov týkajúcich sa transferového oceňovania medzi členskými štátmi</w:t>
      </w:r>
      <w:r w:rsidR="00F537B9" w:rsidRPr="00F537B9">
        <w:rPr>
          <w:spacing w:val="-6"/>
        </w:rPr>
        <w:t xml:space="preserve"> o </w:t>
      </w:r>
      <w:r w:rsidRPr="00F537B9">
        <w:rPr>
          <w:spacing w:val="-6"/>
        </w:rPr>
        <w:t>17</w:t>
      </w:r>
      <w:r w:rsidR="00F537B9" w:rsidRPr="00F537B9">
        <w:rPr>
          <w:spacing w:val="-6"/>
        </w:rPr>
        <w:t> % v </w:t>
      </w:r>
      <w:r w:rsidRPr="00F537B9">
        <w:rPr>
          <w:spacing w:val="-6"/>
        </w:rPr>
        <w:t>porovnaní</w:t>
      </w:r>
      <w:r w:rsidR="00F537B9" w:rsidRPr="00F537B9">
        <w:rPr>
          <w:spacing w:val="-6"/>
        </w:rPr>
        <w:t xml:space="preserve"> s </w:t>
      </w:r>
      <w:r w:rsidRPr="00F537B9">
        <w:rPr>
          <w:spacing w:val="-6"/>
        </w:rPr>
        <w:t>predchádzajúcim rokom (celkový stav postupov vzájomnej dohody členských štátov na konci roka 2020 predstavoval 2 213, zatiaľ čo celkový stav postupov vzájomnej dohody členských štátov na konci roka 2019 predstavoval 1 889). Štatistiky</w:t>
      </w:r>
      <w:r w:rsidR="00F537B9" w:rsidRPr="00F537B9">
        <w:rPr>
          <w:spacing w:val="-6"/>
        </w:rPr>
        <w:t xml:space="preserve"> o </w:t>
      </w:r>
      <w:r w:rsidRPr="00F537B9">
        <w:rPr>
          <w:spacing w:val="-6"/>
        </w:rPr>
        <w:t>postupoch vzájomnej dohody EÚ sú</w:t>
      </w:r>
      <w:r w:rsidR="00F537B9" w:rsidRPr="00F537B9">
        <w:rPr>
          <w:spacing w:val="-6"/>
        </w:rPr>
        <w:t xml:space="preserve"> k </w:t>
      </w:r>
      <w:r w:rsidRPr="00F537B9">
        <w:rPr>
          <w:spacing w:val="-6"/>
        </w:rPr>
        <w:t xml:space="preserve">dispozícii na adrese: </w:t>
      </w:r>
      <w:hyperlink r:id="rId6" w:history="1">
        <w:r w:rsidRPr="00F537B9">
          <w:rPr>
            <w:rStyle w:val="Hyperlink"/>
            <w:spacing w:val="-6"/>
          </w:rPr>
          <w:t>https://taxation-customs.ec.europa.eu/taxation-1/statistics-apas-and-maps-eu_en</w:t>
        </w:r>
      </w:hyperlink>
      <w:r w:rsidRPr="00F537B9">
        <w:rPr>
          <w:spacing w:val="-6"/>
        </w:rPr>
        <w:t>.</w:t>
      </w:r>
    </w:p>
  </w:footnote>
  <w:footnote w:id="9">
    <w:p w14:paraId="2F4EC734" w14:textId="19EEAC31" w:rsidR="00070247" w:rsidRPr="00F537B9" w:rsidRDefault="00070247" w:rsidP="00F537B9">
      <w:pPr>
        <w:pStyle w:val="FootnoteText"/>
        <w:rPr>
          <w:spacing w:val="-4"/>
        </w:rPr>
      </w:pPr>
      <w:r w:rsidRPr="004609CB">
        <w:rPr>
          <w:rStyle w:val="FootnoteReference"/>
        </w:rPr>
        <w:footnoteRef/>
      </w:r>
      <w:r w:rsidRPr="00F537B9">
        <w:rPr>
          <w:spacing w:val="-4"/>
        </w:rPr>
        <w:tab/>
        <w:t>Podľa prieskumu</w:t>
      </w:r>
      <w:r w:rsidR="00F537B9" w:rsidRPr="00F537B9">
        <w:rPr>
          <w:spacing w:val="-4"/>
        </w:rPr>
        <w:t xml:space="preserve"> o </w:t>
      </w:r>
      <w:r w:rsidRPr="00F537B9">
        <w:rPr>
          <w:spacing w:val="-4"/>
        </w:rPr>
        <w:t>transferovom oceňovaní uverejneného spoločnosťou Ernst &amp; Young (a dostupného na adrese http://www.ey.com/global/content.nsf/International/2007-2008_Transfer_Pricing_Global_Survey) je jedným</w:t>
      </w:r>
      <w:r w:rsidR="00F537B9" w:rsidRPr="00F537B9">
        <w:rPr>
          <w:spacing w:val="-4"/>
        </w:rPr>
        <w:t xml:space="preserve"> z </w:t>
      </w:r>
      <w:r w:rsidRPr="00F537B9">
        <w:rPr>
          <w:spacing w:val="-4"/>
        </w:rPr>
        <w:t>dôvodov, prečo podniky považujú transferové oceňovanie za prioritnú daňovú problematiku, skutočne jeho spojitosť</w:t>
      </w:r>
      <w:r w:rsidR="00F537B9" w:rsidRPr="00F537B9">
        <w:rPr>
          <w:spacing w:val="-4"/>
        </w:rPr>
        <w:t xml:space="preserve"> s </w:t>
      </w:r>
      <w:r w:rsidRPr="00F537B9">
        <w:rPr>
          <w:spacing w:val="-4"/>
        </w:rPr>
        <w:t>dvojitým zdanením. Podľa prieskumu [uskutočnili sa rozhovory</w:t>
      </w:r>
      <w:r w:rsidR="00F537B9" w:rsidRPr="00F537B9">
        <w:rPr>
          <w:spacing w:val="-4"/>
        </w:rPr>
        <w:t xml:space="preserve"> s </w:t>
      </w:r>
      <w:r w:rsidRPr="00F537B9">
        <w:rPr>
          <w:spacing w:val="-4"/>
        </w:rPr>
        <w:t>850 nadnárodnými podnikmi</w:t>
      </w:r>
      <w:r w:rsidR="00F537B9" w:rsidRPr="00F537B9">
        <w:rPr>
          <w:spacing w:val="-4"/>
        </w:rPr>
        <w:t xml:space="preserve"> v </w:t>
      </w:r>
      <w:r w:rsidRPr="00F537B9">
        <w:rPr>
          <w:spacing w:val="-4"/>
        </w:rPr>
        <w:t>24 krajinách (z toho 11 členských štátov EÚ)] podniky uviedli, že 42</w:t>
      </w:r>
      <w:r w:rsidR="00F537B9" w:rsidRPr="00F537B9">
        <w:rPr>
          <w:spacing w:val="-4"/>
        </w:rPr>
        <w:t> %</w:t>
      </w:r>
      <w:r w:rsidRPr="00F537B9">
        <w:rPr>
          <w:spacing w:val="-4"/>
        </w:rPr>
        <w:t xml:space="preserve"> prípadov úpravy viedlo</w:t>
      </w:r>
      <w:r w:rsidR="00F537B9" w:rsidRPr="00F537B9">
        <w:rPr>
          <w:spacing w:val="-4"/>
        </w:rPr>
        <w:t xml:space="preserve"> k </w:t>
      </w:r>
      <w:r w:rsidRPr="00F537B9">
        <w:rPr>
          <w:spacing w:val="-4"/>
        </w:rPr>
        <w:t>trvalému dvojitému zdaneniu. Je to predovšetkým preto, že firmy vo všeobecnosti nevyužívajú postupy vzájomnej dohody, pretože ich považujú za príliš zdĺhavé</w:t>
      </w:r>
      <w:r w:rsidR="00F537B9" w:rsidRPr="00F537B9">
        <w:rPr>
          <w:spacing w:val="-4"/>
        </w:rPr>
        <w:t xml:space="preserve"> a </w:t>
      </w:r>
      <w:r w:rsidRPr="00F537B9">
        <w:rPr>
          <w:spacing w:val="-4"/>
        </w:rPr>
        <w:t>nákladné.</w:t>
      </w:r>
    </w:p>
  </w:footnote>
  <w:footnote w:id="10">
    <w:p w14:paraId="7C3CE097" w14:textId="3C2487AC" w:rsidR="00070247" w:rsidRPr="00F537B9" w:rsidRDefault="00070247" w:rsidP="00F537B9">
      <w:pPr>
        <w:pStyle w:val="FootnoteText"/>
      </w:pPr>
      <w:r w:rsidRPr="00F537B9">
        <w:rPr>
          <w:rStyle w:val="FootnoteReference"/>
        </w:rPr>
        <w:footnoteRef/>
      </w:r>
      <w:r w:rsidRPr="00F537B9">
        <w:tab/>
        <w:t>Podľa štúdie</w:t>
      </w:r>
      <w:r w:rsidR="00F537B9" w:rsidRPr="00F537B9">
        <w:t xml:space="preserve"> o </w:t>
      </w:r>
      <w:r w:rsidRPr="00F537B9">
        <w:t>dani</w:t>
      </w:r>
      <w:r w:rsidR="00F537B9" w:rsidRPr="00F537B9">
        <w:t xml:space="preserve"> z </w:t>
      </w:r>
      <w:r w:rsidRPr="00F537B9">
        <w:t>príjmu právnických osôb, ktorú vypracovala Európska komisia</w:t>
      </w:r>
      <w:r w:rsidR="00F537B9" w:rsidRPr="00F537B9">
        <w:t xml:space="preserve"> v </w:t>
      </w:r>
      <w:r w:rsidRPr="00F537B9">
        <w:t>roku 2001 [Zdaňovanie na jednotnom trhu. SEC (2001) 582</w:t>
      </w:r>
      <w:r w:rsidR="00F537B9" w:rsidRPr="00F537B9">
        <w:t xml:space="preserve"> v </w:t>
      </w:r>
      <w:r w:rsidRPr="00F537B9">
        <w:t>konečnom znení], stredne veľké nadnárodné podniky vynakladajú na dodržiavanie pravidiel transferového oceňovania približne 1 až 2 milióny EUR ročne. Veľkým nadnárodným podnikom vznikajú náklady na dodržiavanie predpisov</w:t>
      </w:r>
      <w:r w:rsidR="00F537B9" w:rsidRPr="00F537B9">
        <w:t xml:space="preserve"> v </w:t>
      </w:r>
      <w:r w:rsidRPr="00F537B9">
        <w:t>súvislosti</w:t>
      </w:r>
      <w:r w:rsidR="00F537B9" w:rsidRPr="00F537B9">
        <w:t xml:space="preserve"> s </w:t>
      </w:r>
      <w:r w:rsidRPr="00F537B9">
        <w:t>transferovým oceňovaním vo výške približne 4 miliónov EUR až 5,5 milióna EUR ročne.</w:t>
      </w:r>
    </w:p>
  </w:footnote>
  <w:footnote w:id="11">
    <w:p w14:paraId="468104BB" w14:textId="76DDF335" w:rsidR="005D0930" w:rsidRPr="00F537B9" w:rsidRDefault="005D0930" w:rsidP="00F537B9">
      <w:pPr>
        <w:pStyle w:val="FootnoteText"/>
        <w:rPr>
          <w:szCs w:val="22"/>
        </w:rPr>
      </w:pPr>
      <w:r w:rsidRPr="00F537B9">
        <w:rPr>
          <w:rStyle w:val="FootnoteReference"/>
        </w:rPr>
        <w:footnoteRef/>
      </w:r>
      <w:r w:rsidRPr="00F537B9">
        <w:tab/>
        <w:t>Oznámenie</w:t>
      </w:r>
      <w:r w:rsidR="00F537B9" w:rsidRPr="00F537B9">
        <w:t xml:space="preserve"> o </w:t>
      </w:r>
      <w:r w:rsidRPr="00F537B9">
        <w:t>zdaňovaní podnikov</w:t>
      </w:r>
      <w:r w:rsidR="00F537B9" w:rsidRPr="00F537B9">
        <w:t xml:space="preserve"> v </w:t>
      </w:r>
      <w:r w:rsidRPr="00F537B9">
        <w:t xml:space="preserve">21. storočí, pozri: </w:t>
      </w:r>
      <w:hyperlink r:id="rId7" w:history="1">
        <w:r w:rsidRPr="00F537B9">
          <w:rPr>
            <w:rStyle w:val="Hyperlink"/>
          </w:rPr>
          <w:t>https://taxation-customs.ec.europa.eu/communication-business-taxation-21st-century_en</w:t>
        </w:r>
      </w:hyperlink>
      <w:r w:rsidRPr="00F537B9">
        <w:t>.</w:t>
      </w:r>
    </w:p>
  </w:footnote>
  <w:footnote w:id="12">
    <w:p w14:paraId="5E9F47C8" w14:textId="2B665748" w:rsidR="005C4259" w:rsidRPr="00F537B9" w:rsidRDefault="005C4259" w:rsidP="00F537B9">
      <w:pPr>
        <w:pStyle w:val="FootnoteText"/>
      </w:pPr>
      <w:r w:rsidRPr="00F537B9">
        <w:rPr>
          <w:rStyle w:val="FootnoteReference"/>
        </w:rPr>
        <w:footnoteRef/>
      </w:r>
      <w:r w:rsidRPr="00F537B9">
        <w:tab/>
        <w:t>Smernica Rady (EÚ) 2016/1164</w:t>
      </w:r>
      <w:r w:rsidR="00F537B9" w:rsidRPr="00F537B9">
        <w:t xml:space="preserve"> z </w:t>
      </w:r>
      <w:r w:rsidRPr="00F537B9">
        <w:t>12</w:t>
      </w:r>
      <w:r w:rsidR="00F537B9" w:rsidRPr="00F537B9">
        <w:t>. júla</w:t>
      </w:r>
      <w:r w:rsidRPr="00F537B9">
        <w:t xml:space="preserve"> 2016, ktorou sa stanovujú pravidlá proti praktikám vyhýbania sa daňovým povinnostiam, ktoré majú priamy vplyv na fungovanie vnútorného trhu (</w:t>
      </w:r>
      <w:hyperlink r:id="rId8" w:history="1">
        <w:r w:rsidRPr="00F537B9">
          <w:rPr>
            <w:rStyle w:val="Hyperlink"/>
          </w:rPr>
          <w:t>https://eur-lex.europa.eu/legal-content/SK/TXT/?uri=celex%3A32016L1164</w:t>
        </w:r>
      </w:hyperlink>
      <w:r w:rsidRPr="00F537B9">
        <w:t>).</w:t>
      </w:r>
    </w:p>
  </w:footnote>
  <w:footnote w:id="13">
    <w:p w14:paraId="1F91B94C" w14:textId="2166F491" w:rsidR="00E07B7C" w:rsidRPr="00F537B9" w:rsidRDefault="00E07B7C" w:rsidP="00F537B9">
      <w:pPr>
        <w:pStyle w:val="FootnoteText"/>
      </w:pPr>
      <w:r w:rsidRPr="00F537B9">
        <w:rPr>
          <w:rStyle w:val="FootnoteReference"/>
        </w:rPr>
        <w:footnoteRef/>
      </w:r>
      <w:r w:rsidRPr="00F537B9">
        <w:tab/>
        <w:t>Smernica Rady (EÚ) 2017/952</w:t>
      </w:r>
      <w:r w:rsidR="00F537B9" w:rsidRPr="00F537B9">
        <w:t xml:space="preserve"> z </w:t>
      </w:r>
      <w:r w:rsidRPr="00F537B9">
        <w:t>29</w:t>
      </w:r>
      <w:r w:rsidR="00F537B9" w:rsidRPr="00F537B9">
        <w:t>. mája</w:t>
      </w:r>
      <w:r w:rsidRPr="00F537B9">
        <w:t xml:space="preserve"> 2017, ktorou sa mení smernica (EÚ) 2016/1164, pokiaľ ide</w:t>
      </w:r>
      <w:r w:rsidR="00F537B9" w:rsidRPr="00F537B9">
        <w:t xml:space="preserve"> o </w:t>
      </w:r>
      <w:r w:rsidRPr="00F537B9">
        <w:t>hybridné nesúlady</w:t>
      </w:r>
      <w:r w:rsidR="00F537B9" w:rsidRPr="00F537B9">
        <w:t xml:space="preserve"> s </w:t>
      </w:r>
      <w:r w:rsidRPr="00F537B9">
        <w:t>tretími krajinami (https://eur-lex.europa.eu/legal-content/SK/TXT/?uri=CELEX%3A32017L0952).</w:t>
      </w:r>
    </w:p>
  </w:footnote>
  <w:footnote w:id="14">
    <w:p w14:paraId="347E52D4" w14:textId="1E55602F" w:rsidR="00A307AF" w:rsidRPr="00F537B9" w:rsidRDefault="00A307AF" w:rsidP="00F537B9">
      <w:pPr>
        <w:pStyle w:val="FootnoteText"/>
      </w:pPr>
      <w:r w:rsidRPr="00F537B9">
        <w:rPr>
          <w:rStyle w:val="FootnoteReference"/>
        </w:rPr>
        <w:footnoteRef/>
      </w:r>
      <w:r w:rsidRPr="00F537B9">
        <w:tab/>
        <w:t>Smernica Rady 2011/16/EÚ</w:t>
      </w:r>
      <w:r w:rsidR="00F537B9" w:rsidRPr="00F537B9">
        <w:t xml:space="preserve"> z </w:t>
      </w:r>
      <w:r w:rsidRPr="00F537B9">
        <w:t>15</w:t>
      </w:r>
      <w:r w:rsidR="00F537B9" w:rsidRPr="00F537B9">
        <w:t>. februára</w:t>
      </w:r>
      <w:r w:rsidRPr="00F537B9">
        <w:t xml:space="preserve"> 2011</w:t>
      </w:r>
      <w:r w:rsidR="00F537B9" w:rsidRPr="00F537B9">
        <w:t xml:space="preserve"> o </w:t>
      </w:r>
      <w:r w:rsidRPr="00F537B9">
        <w:t>administratívnej spolupráci</w:t>
      </w:r>
      <w:r w:rsidR="00F537B9" w:rsidRPr="00F537B9">
        <w:t xml:space="preserve"> v </w:t>
      </w:r>
      <w:r w:rsidRPr="00F537B9">
        <w:t>oblasti daní</w:t>
      </w:r>
      <w:r w:rsidR="00F537B9" w:rsidRPr="00F537B9">
        <w:t xml:space="preserve"> a </w:t>
      </w:r>
      <w:r w:rsidRPr="00F537B9">
        <w:t>zrušení smernice 77/799/EHS (https://eur-lex.europa.eu/legal-content/sk/ALL/?uri=CELEX%3A32011L0016).</w:t>
      </w:r>
    </w:p>
  </w:footnote>
  <w:footnote w:id="15">
    <w:p w14:paraId="6D3C6E06" w14:textId="567F18CE" w:rsidR="00D56E21" w:rsidRPr="00F537B9" w:rsidRDefault="00D56E21" w:rsidP="00F537B9">
      <w:pPr>
        <w:pStyle w:val="FootnoteText"/>
      </w:pPr>
      <w:r w:rsidRPr="00F537B9">
        <w:rPr>
          <w:rStyle w:val="FootnoteReference"/>
        </w:rPr>
        <w:footnoteRef/>
      </w:r>
      <w:r w:rsidRPr="00F537B9">
        <w:tab/>
        <w:t>Smernica Rady (EÚ) 2015/2376</w:t>
      </w:r>
      <w:r w:rsidR="00F537B9" w:rsidRPr="00F537B9">
        <w:t xml:space="preserve"> z </w:t>
      </w:r>
      <w:r w:rsidRPr="00F537B9">
        <w:t>8</w:t>
      </w:r>
      <w:r w:rsidR="00F537B9" w:rsidRPr="00F537B9">
        <w:t>. decembra</w:t>
      </w:r>
      <w:r w:rsidRPr="00F537B9">
        <w:t xml:space="preserve"> 2015, ktorou sa mení smernica 2011/16/EÚ, pokiaľ ide</w:t>
      </w:r>
      <w:r w:rsidR="00F537B9" w:rsidRPr="00F537B9">
        <w:t xml:space="preserve"> o </w:t>
      </w:r>
      <w:r w:rsidRPr="00F537B9">
        <w:t>povinnú automatickú výmenu informácií</w:t>
      </w:r>
      <w:r w:rsidR="00F537B9" w:rsidRPr="00F537B9">
        <w:t xml:space="preserve"> v </w:t>
      </w:r>
      <w:r w:rsidRPr="00F537B9">
        <w:t>oblasti daní (</w:t>
      </w:r>
      <w:hyperlink r:id="rId9" w:history="1">
        <w:r w:rsidRPr="00F537B9">
          <w:rPr>
            <w:rStyle w:val="Hyperlink"/>
          </w:rPr>
          <w:t>https://eur-lex.europa.eu/legal-content/sk/ALL/?uri=CELEX%3A32015L2376</w:t>
        </w:r>
      </w:hyperlink>
      <w:r w:rsidRPr="00F537B9">
        <w:t>)</w:t>
      </w:r>
      <w:r w:rsidR="00F537B9" w:rsidRPr="00F537B9">
        <w:t>.</w:t>
      </w:r>
    </w:p>
  </w:footnote>
  <w:footnote w:id="16">
    <w:p w14:paraId="4255C24F" w14:textId="1E3FBA24" w:rsidR="00D56E21" w:rsidRPr="00F537B9" w:rsidRDefault="00D56E21" w:rsidP="00F537B9">
      <w:pPr>
        <w:pStyle w:val="FootnoteText"/>
        <w:rPr>
          <w:spacing w:val="-4"/>
        </w:rPr>
      </w:pPr>
      <w:r w:rsidRPr="00F537B9">
        <w:rPr>
          <w:rStyle w:val="FootnoteReference"/>
        </w:rPr>
        <w:footnoteRef/>
      </w:r>
      <w:r w:rsidRPr="00F537B9">
        <w:tab/>
      </w:r>
      <w:r w:rsidRPr="00F537B9">
        <w:rPr>
          <w:spacing w:val="-4"/>
        </w:rPr>
        <w:t>Smernica Rady (EÚ) 2018/822</w:t>
      </w:r>
      <w:r w:rsidR="00F537B9" w:rsidRPr="00F537B9">
        <w:rPr>
          <w:spacing w:val="-4"/>
        </w:rPr>
        <w:t xml:space="preserve"> z </w:t>
      </w:r>
      <w:r w:rsidRPr="00F537B9">
        <w:rPr>
          <w:spacing w:val="-4"/>
        </w:rPr>
        <w:t>25</w:t>
      </w:r>
      <w:r w:rsidR="00F537B9" w:rsidRPr="00F537B9">
        <w:rPr>
          <w:spacing w:val="-4"/>
        </w:rPr>
        <w:t>. mája</w:t>
      </w:r>
      <w:r w:rsidRPr="00F537B9">
        <w:rPr>
          <w:spacing w:val="-4"/>
        </w:rPr>
        <w:t xml:space="preserve"> 2018, ktorou sa mení smernica 2011/16/EÚ, pokiaľ ide</w:t>
      </w:r>
      <w:r w:rsidR="00F537B9" w:rsidRPr="00F537B9">
        <w:rPr>
          <w:spacing w:val="-4"/>
        </w:rPr>
        <w:t xml:space="preserve"> o </w:t>
      </w:r>
      <w:r w:rsidRPr="00F537B9">
        <w:rPr>
          <w:spacing w:val="-4"/>
        </w:rPr>
        <w:t>povinnú automatickú výmenu informácií</w:t>
      </w:r>
      <w:r w:rsidR="00F537B9" w:rsidRPr="00F537B9">
        <w:rPr>
          <w:spacing w:val="-4"/>
        </w:rPr>
        <w:t xml:space="preserve"> v </w:t>
      </w:r>
      <w:r w:rsidRPr="00F537B9">
        <w:rPr>
          <w:spacing w:val="-4"/>
        </w:rPr>
        <w:t>oblasti daní</w:t>
      </w:r>
      <w:r w:rsidR="00F537B9" w:rsidRPr="00F537B9">
        <w:rPr>
          <w:spacing w:val="-4"/>
        </w:rPr>
        <w:t xml:space="preserve"> v </w:t>
      </w:r>
      <w:r w:rsidRPr="00F537B9">
        <w:rPr>
          <w:spacing w:val="-4"/>
        </w:rPr>
        <w:t>súvislosti</w:t>
      </w:r>
      <w:r w:rsidR="00F537B9" w:rsidRPr="00F537B9">
        <w:rPr>
          <w:spacing w:val="-4"/>
        </w:rPr>
        <w:t xml:space="preserve"> s </w:t>
      </w:r>
      <w:r w:rsidRPr="00F537B9">
        <w:rPr>
          <w:spacing w:val="-4"/>
        </w:rPr>
        <w:t>cezhraničnými opatreniami podliehajúcimi oznamovaniu (</w:t>
      </w:r>
      <w:hyperlink r:id="rId10" w:history="1">
        <w:r w:rsidRPr="00F537B9">
          <w:rPr>
            <w:rStyle w:val="Hyperlink"/>
            <w:spacing w:val="-4"/>
          </w:rPr>
          <w:t>https://eur-lex.europa.eu/legal-content/sk/TXT/?uri=celex%3A32018L0822</w:t>
        </w:r>
      </w:hyperlink>
      <w:r w:rsidRPr="00F537B9">
        <w:rPr>
          <w:spacing w:val="-4"/>
        </w:rPr>
        <w:t>)</w:t>
      </w:r>
      <w:r w:rsidR="00F537B9" w:rsidRPr="00F537B9">
        <w:rPr>
          <w:spacing w:val="-4"/>
        </w:rPr>
        <w:t>.</w:t>
      </w:r>
    </w:p>
  </w:footnote>
  <w:footnote w:id="17">
    <w:p w14:paraId="6F0C1A5A" w14:textId="25006615" w:rsidR="00A743B6" w:rsidRPr="00F537B9" w:rsidRDefault="00A743B6" w:rsidP="00F537B9">
      <w:pPr>
        <w:pStyle w:val="FootnoteText"/>
        <w:rPr>
          <w:spacing w:val="-10"/>
        </w:rPr>
      </w:pPr>
      <w:r w:rsidRPr="00F537B9">
        <w:rPr>
          <w:rStyle w:val="FootnoteReference"/>
        </w:rPr>
        <w:footnoteRef/>
      </w:r>
      <w:r w:rsidRPr="00F537B9">
        <w:tab/>
      </w:r>
      <w:r w:rsidRPr="00F537B9">
        <w:rPr>
          <w:spacing w:val="-10"/>
        </w:rPr>
        <w:t>Záväzné stanovisko</w:t>
      </w:r>
      <w:r w:rsidR="00F537B9" w:rsidRPr="00F537B9">
        <w:rPr>
          <w:spacing w:val="-10"/>
        </w:rPr>
        <w:t xml:space="preserve"> k </w:t>
      </w:r>
      <w:r w:rsidRPr="00F537B9">
        <w:rPr>
          <w:spacing w:val="-10"/>
        </w:rPr>
        <w:t>stanoveniu metódy ocenenia sa vzťahuje na akúkoľvek dohodu, oznámenie alebo akýkoľvek iný nástroj alebo opatrenie</w:t>
      </w:r>
      <w:r w:rsidR="00F537B9" w:rsidRPr="00F537B9">
        <w:rPr>
          <w:spacing w:val="-10"/>
        </w:rPr>
        <w:t xml:space="preserve"> s </w:t>
      </w:r>
      <w:r w:rsidRPr="00F537B9">
        <w:rPr>
          <w:spacing w:val="-10"/>
        </w:rPr>
        <w:t>podobnými účinkami, ktoré vopred určujú vhodný súbor kritérií na stanovenie transferovej ceny cezhraničných transakcií medzi pridruženými podnikmi alebo priradenie ziskov stálej prevádzkarni.</w:t>
      </w:r>
    </w:p>
  </w:footnote>
  <w:footnote w:id="18">
    <w:p w14:paraId="3E5BDDBD" w14:textId="77777777" w:rsidR="00D32184" w:rsidRPr="00F537B9" w:rsidRDefault="00D32184" w:rsidP="00F537B9">
      <w:pPr>
        <w:pStyle w:val="FootnoteText"/>
      </w:pPr>
      <w:r w:rsidRPr="00F537B9">
        <w:rPr>
          <w:rStyle w:val="FootnoteReference"/>
        </w:rPr>
        <w:footnoteRef/>
      </w:r>
      <w:r w:rsidRPr="00F537B9">
        <w:tab/>
        <w:t xml:space="preserve">Pozri Spoločné fórum EÚ pre transferové oceňovanie tu: </w:t>
      </w:r>
      <w:hyperlink r:id="rId11" w:history="1">
        <w:r w:rsidRPr="00F537B9">
          <w:rPr>
            <w:rStyle w:val="Hyperlink"/>
          </w:rPr>
          <w:t>https://taxation-customs.ec.europa.eu/joint-transfer-pricing-forum_en</w:t>
        </w:r>
      </w:hyperlink>
      <w:r w:rsidRPr="00F537B9">
        <w:t>.</w:t>
      </w:r>
    </w:p>
  </w:footnote>
  <w:footnote w:id="19">
    <w:p w14:paraId="65567CFD" w14:textId="48EABF65" w:rsidR="00C5471D" w:rsidRPr="00F537B9" w:rsidRDefault="00C5471D" w:rsidP="00F537B9">
      <w:pPr>
        <w:pStyle w:val="FootnoteText"/>
        <w:rPr>
          <w:spacing w:val="-12"/>
        </w:rPr>
      </w:pPr>
      <w:r w:rsidRPr="00F537B9">
        <w:rPr>
          <w:rStyle w:val="FootnoteReference"/>
        </w:rPr>
        <w:footnoteRef/>
      </w:r>
      <w:r w:rsidRPr="00F537B9">
        <w:tab/>
      </w:r>
      <w:r w:rsidRPr="00F537B9">
        <w:rPr>
          <w:spacing w:val="-8"/>
        </w:rPr>
        <w:t>Uznesenie Rady</w:t>
      </w:r>
      <w:r w:rsidR="00F537B9" w:rsidRPr="00F537B9">
        <w:rPr>
          <w:spacing w:val="-8"/>
        </w:rPr>
        <w:t xml:space="preserve"> a </w:t>
      </w:r>
      <w:r w:rsidRPr="00F537B9">
        <w:rPr>
          <w:spacing w:val="-8"/>
        </w:rPr>
        <w:t>zástupcov vlád členských štátov, ktorí sa zišli na zasadnutí Rady</w:t>
      </w:r>
      <w:r w:rsidR="00F537B9" w:rsidRPr="00F537B9">
        <w:rPr>
          <w:spacing w:val="-8"/>
        </w:rPr>
        <w:t xml:space="preserve"> z </w:t>
      </w:r>
      <w:r w:rsidRPr="00F537B9">
        <w:rPr>
          <w:spacing w:val="-8"/>
        </w:rPr>
        <w:t>27</w:t>
      </w:r>
      <w:r w:rsidR="00F537B9" w:rsidRPr="00F537B9">
        <w:rPr>
          <w:spacing w:val="-8"/>
        </w:rPr>
        <w:t>. júna</w:t>
      </w:r>
      <w:r w:rsidRPr="00F537B9">
        <w:rPr>
          <w:spacing w:val="-8"/>
        </w:rPr>
        <w:t xml:space="preserve"> 2006 kódexe správania pre dokumentáciu</w:t>
      </w:r>
      <w:r w:rsidR="00F537B9" w:rsidRPr="00F537B9">
        <w:rPr>
          <w:spacing w:val="-8"/>
        </w:rPr>
        <w:t xml:space="preserve"> o </w:t>
      </w:r>
      <w:r w:rsidRPr="00F537B9">
        <w:rPr>
          <w:spacing w:val="-8"/>
        </w:rPr>
        <w:t>transferovom oceňovaní pre pridružené podniky</w:t>
      </w:r>
      <w:r w:rsidR="00F537B9" w:rsidRPr="00F537B9">
        <w:rPr>
          <w:spacing w:val="-8"/>
        </w:rPr>
        <w:t xml:space="preserve"> v </w:t>
      </w:r>
      <w:r w:rsidRPr="00F537B9">
        <w:rPr>
          <w:spacing w:val="-8"/>
        </w:rPr>
        <w:t xml:space="preserve">Európskej únii (DTO EÚ), 2006/C 176/01, </w:t>
      </w:r>
      <w:hyperlink r:id="rId12" w:history="1">
        <w:r w:rsidR="00F537B9" w:rsidRPr="00CB03D0">
          <w:rPr>
            <w:rStyle w:val="Hyperlink"/>
            <w:spacing w:val="-12"/>
          </w:rPr>
          <w:t>https://eur-lex.europa.eu/legal -content/SK/TXT/?uri=uriserv%3AOJ.C_.2006.176.01.0001.01.ENG&amp;toc=OJ%3AC%3A2006 %3A176 %3AFULL</w:t>
        </w:r>
      </w:hyperlink>
      <w:r w:rsidR="00F537B9" w:rsidRPr="00F537B9">
        <w:rPr>
          <w:spacing w:val="-12"/>
        </w:rPr>
        <w:t>.</w:t>
      </w:r>
    </w:p>
  </w:footnote>
  <w:footnote w:id="20">
    <w:p w14:paraId="4205F43D" w14:textId="6E20C21B" w:rsidR="00AD303D" w:rsidRPr="00F537B9" w:rsidRDefault="00AD303D" w:rsidP="00F537B9">
      <w:pPr>
        <w:pStyle w:val="FootnoteText"/>
        <w:rPr>
          <w:spacing w:val="-4"/>
        </w:rPr>
      </w:pPr>
      <w:r w:rsidRPr="004609CB">
        <w:rPr>
          <w:rStyle w:val="FootnoteReference"/>
        </w:rPr>
        <w:footnoteRef/>
      </w:r>
      <w:r w:rsidRPr="00F537B9">
        <w:rPr>
          <w:spacing w:val="-4"/>
        </w:rPr>
        <w:tab/>
        <w:t>Dohovor</w:t>
      </w:r>
      <w:r w:rsidR="00F537B9" w:rsidRPr="00F537B9">
        <w:rPr>
          <w:spacing w:val="-4"/>
        </w:rPr>
        <w:t xml:space="preserve"> o </w:t>
      </w:r>
      <w:r w:rsidRPr="00F537B9">
        <w:rPr>
          <w:spacing w:val="-4"/>
        </w:rPr>
        <w:t>zamedzení dvojitého zdanenia</w:t>
      </w:r>
      <w:r w:rsidR="00F537B9" w:rsidRPr="00F537B9">
        <w:rPr>
          <w:spacing w:val="-4"/>
        </w:rPr>
        <w:t xml:space="preserve"> v </w:t>
      </w:r>
      <w:r w:rsidRPr="00F537B9">
        <w:rPr>
          <w:spacing w:val="-4"/>
        </w:rPr>
        <w:t>súvislosti</w:t>
      </w:r>
      <w:r w:rsidR="00F537B9" w:rsidRPr="00F537B9">
        <w:rPr>
          <w:spacing w:val="-4"/>
        </w:rPr>
        <w:t xml:space="preserve"> s </w:t>
      </w:r>
      <w:r w:rsidRPr="00F537B9">
        <w:rPr>
          <w:spacing w:val="-4"/>
        </w:rPr>
        <w:t>úpravou ziskov združených podnikov (90/463/EHS).</w:t>
      </w:r>
    </w:p>
  </w:footnote>
  <w:footnote w:id="21">
    <w:p w14:paraId="7977AB70" w14:textId="513771A5" w:rsidR="001B1F2E" w:rsidRPr="00F537B9" w:rsidRDefault="001B1F2E" w:rsidP="00F537B9">
      <w:pPr>
        <w:pStyle w:val="FootnoteText"/>
      </w:pPr>
      <w:r w:rsidRPr="00F537B9">
        <w:rPr>
          <w:rStyle w:val="FootnoteReference"/>
        </w:rPr>
        <w:footnoteRef/>
      </w:r>
      <w:r w:rsidRPr="00F537B9">
        <w:tab/>
        <w:t>Smernica Rady (EÚ) 2017/1852</w:t>
      </w:r>
      <w:r w:rsidR="00F537B9" w:rsidRPr="00F537B9">
        <w:t xml:space="preserve"> z </w:t>
      </w:r>
      <w:r w:rsidRPr="00F537B9">
        <w:t>10</w:t>
      </w:r>
      <w:r w:rsidR="00F537B9" w:rsidRPr="00F537B9">
        <w:t>. októbra</w:t>
      </w:r>
      <w:r w:rsidRPr="00F537B9">
        <w:t xml:space="preserve"> 2017</w:t>
      </w:r>
      <w:r w:rsidR="00F537B9" w:rsidRPr="00F537B9">
        <w:t xml:space="preserve"> o </w:t>
      </w:r>
      <w:r w:rsidRPr="00F537B9">
        <w:t>mechanizmoch riešenia sporov týkajúcich sa zdanenia</w:t>
      </w:r>
      <w:r w:rsidR="00F537B9" w:rsidRPr="00F537B9">
        <w:t xml:space="preserve"> v </w:t>
      </w:r>
      <w:r w:rsidRPr="00F537B9">
        <w:t>Európskej únii (</w:t>
      </w:r>
      <w:hyperlink r:id="rId13" w:history="1">
        <w:r w:rsidRPr="00F537B9">
          <w:rPr>
            <w:rStyle w:val="Hyperlink"/>
          </w:rPr>
          <w:t>https://eur-lex.europa.eu/legal-content/sk/ALL/?uri=CELEX%3A32017L1852</w:t>
        </w:r>
      </w:hyperlink>
      <w:r w:rsidRPr="00F537B9">
        <w:t>).</w:t>
      </w:r>
    </w:p>
  </w:footnote>
  <w:footnote w:id="22">
    <w:p w14:paraId="7EF8DB60" w14:textId="77777777" w:rsidR="007522A1" w:rsidRPr="00F537B9" w:rsidRDefault="007522A1" w:rsidP="00F537B9">
      <w:pPr>
        <w:pStyle w:val="FootnoteText"/>
      </w:pPr>
      <w:r w:rsidRPr="00F537B9">
        <w:rPr>
          <w:rStyle w:val="FootnoteReference"/>
        </w:rPr>
        <w:footnoteRef/>
      </w:r>
      <w:r w:rsidRPr="00F537B9">
        <w:tab/>
        <w:t xml:space="preserve">Pozri webové sídlo ETACA tu: </w:t>
      </w:r>
      <w:hyperlink r:id="rId14" w:history="1">
        <w:r w:rsidRPr="00F537B9">
          <w:rPr>
            <w:rStyle w:val="Hyperlink"/>
          </w:rPr>
          <w:t>https://taxation-customs.ec.europa.eu/eu-cooperative-compliance-programme/european-trust-and-cooperation-approach-etaca-pilot-project-mnes_en</w:t>
        </w:r>
      </w:hyperlink>
      <w:r w:rsidRPr="00F537B9">
        <w:t>.</w:t>
      </w:r>
    </w:p>
  </w:footnote>
  <w:footnote w:id="23">
    <w:p w14:paraId="2C04DD19" w14:textId="5947AEEF" w:rsidR="00D2013A" w:rsidRPr="00F537B9" w:rsidRDefault="00D2013A" w:rsidP="00F537B9">
      <w:pPr>
        <w:pStyle w:val="FootnoteText"/>
      </w:pPr>
      <w:r w:rsidRPr="00F537B9">
        <w:rPr>
          <w:rStyle w:val="FootnoteReference"/>
        </w:rPr>
        <w:footnoteRef/>
      </w:r>
      <w:r w:rsidRPr="00F537B9">
        <w:tab/>
        <w:t>Nariadenie Európskeho parlamentu</w:t>
      </w:r>
      <w:r w:rsidR="00F537B9" w:rsidRPr="00F537B9">
        <w:t xml:space="preserve"> a </w:t>
      </w:r>
      <w:r w:rsidRPr="00F537B9">
        <w:t>Rady (EÚ) 2021/240</w:t>
      </w:r>
      <w:r w:rsidR="00F537B9" w:rsidRPr="00F537B9">
        <w:t xml:space="preserve"> z </w:t>
      </w:r>
      <w:r w:rsidRPr="00F537B9">
        <w:t>10</w:t>
      </w:r>
      <w:r w:rsidR="00F537B9" w:rsidRPr="00F537B9">
        <w:t>. februára</w:t>
      </w:r>
      <w:r w:rsidRPr="00F537B9">
        <w:t xml:space="preserve"> 2021, ktorým sa zriaďuje Nástroj technickej podpory (Ú. v. EÚ L 57, 18.2.2021, s. 1).</w:t>
      </w:r>
    </w:p>
  </w:footnote>
  <w:footnote w:id="24">
    <w:p w14:paraId="51A2DF39" w14:textId="53A39F76" w:rsidR="00241440" w:rsidRPr="00F537B9" w:rsidRDefault="00241440" w:rsidP="00F537B9">
      <w:pPr>
        <w:pStyle w:val="FootnoteText"/>
      </w:pPr>
      <w:r w:rsidRPr="00F537B9">
        <w:rPr>
          <w:rStyle w:val="FootnoteReference"/>
        </w:rPr>
        <w:footnoteRef/>
      </w:r>
      <w:r w:rsidRPr="00F537B9">
        <w:tab/>
        <w:t>Pozri webové sídlo Zdaňovanie</w:t>
      </w:r>
      <w:r w:rsidR="00F537B9" w:rsidRPr="00F537B9">
        <w:t xml:space="preserve"> a </w:t>
      </w:r>
      <w:r w:rsidRPr="00F537B9">
        <w:t xml:space="preserve">MSP: </w:t>
      </w:r>
      <w:hyperlink r:id="rId15" w:history="1">
        <w:r w:rsidRPr="00F537B9">
          <w:rPr>
            <w:rStyle w:val="Hyperlink"/>
          </w:rPr>
          <w:t>https://single-market-economy.ec.europa.eu/smes/sme-strategy/taxation-and-smes_en</w:t>
        </w:r>
      </w:hyperlink>
      <w:r w:rsidR="00F537B9" w:rsidRPr="00F537B9">
        <w:t>.</w:t>
      </w:r>
    </w:p>
  </w:footnote>
  <w:footnote w:id="25">
    <w:p w14:paraId="705A710F" w14:textId="3A816956" w:rsidR="003D66F3" w:rsidRPr="00F537B9" w:rsidRDefault="003D66F3" w:rsidP="00F537B9">
      <w:pPr>
        <w:pStyle w:val="FootnoteText"/>
      </w:pPr>
      <w:r w:rsidRPr="00F537B9">
        <w:rPr>
          <w:rStyle w:val="FootnoteReference"/>
        </w:rPr>
        <w:footnoteRef/>
      </w:r>
      <w:r w:rsidRPr="00F537B9">
        <w:tab/>
        <w:t>Nariadenie Európskeho parlamentu</w:t>
      </w:r>
      <w:r w:rsidR="00F537B9" w:rsidRPr="00F537B9">
        <w:t xml:space="preserve"> a </w:t>
      </w:r>
      <w:r w:rsidRPr="00F537B9">
        <w:t>Rady (EÚ) 2016/679</w:t>
      </w:r>
      <w:r w:rsidR="00F537B9" w:rsidRPr="00F537B9">
        <w:t xml:space="preserve"> z </w:t>
      </w:r>
      <w:r w:rsidRPr="00F537B9">
        <w:t>27</w:t>
      </w:r>
      <w:r w:rsidR="00F537B9" w:rsidRPr="00F537B9">
        <w:t>. apríla</w:t>
      </w:r>
      <w:r w:rsidRPr="00F537B9">
        <w:t> 2016</w:t>
      </w:r>
      <w:r w:rsidR="00F537B9" w:rsidRPr="00F537B9">
        <w:t xml:space="preserve"> o </w:t>
      </w:r>
      <w:r w:rsidRPr="00F537B9">
        <w:t>ochrane fyzických osôb pri spracúvaní osobných údajov</w:t>
      </w:r>
      <w:r w:rsidR="00F537B9" w:rsidRPr="00F537B9">
        <w:t xml:space="preserve"> a o </w:t>
      </w:r>
      <w:r w:rsidRPr="00F537B9">
        <w:t>voľnom pohybe takýchto údajov, ktorým sa zrušuje smernica 95/46/ES (všeobecné nariadenie</w:t>
      </w:r>
      <w:r w:rsidR="00F537B9" w:rsidRPr="00F537B9">
        <w:t xml:space="preserve"> o </w:t>
      </w:r>
      <w:r w:rsidRPr="00F537B9">
        <w:t>ochrane údajov).</w:t>
      </w:r>
    </w:p>
  </w:footnote>
  <w:footnote w:id="26">
    <w:p w14:paraId="58B0471B" w14:textId="65683BCF" w:rsidR="00D32184" w:rsidRPr="00F537B9" w:rsidRDefault="00D32184" w:rsidP="00F537B9">
      <w:pPr>
        <w:pStyle w:val="FootnoteText"/>
        <w:rPr>
          <w:spacing w:val="-8"/>
        </w:rPr>
      </w:pPr>
      <w:r w:rsidRPr="00F537B9">
        <w:rPr>
          <w:rStyle w:val="FootnoteReference"/>
        </w:rPr>
        <w:footnoteRef/>
      </w:r>
      <w:r w:rsidRPr="00F537B9">
        <w:tab/>
      </w:r>
      <w:bookmarkStart w:id="2" w:name="_Hlk139531712"/>
      <w:r w:rsidRPr="00F537B9">
        <w:rPr>
          <w:spacing w:val="-8"/>
        </w:rPr>
        <w:t>Správa Spoločného fóra EÚ pre transferové oceňovanie</w:t>
      </w:r>
      <w:r w:rsidR="00F537B9" w:rsidRPr="00F537B9">
        <w:rPr>
          <w:spacing w:val="-8"/>
        </w:rPr>
        <w:t xml:space="preserve"> o </w:t>
      </w:r>
      <w:r w:rsidRPr="00F537B9">
        <w:rPr>
          <w:spacing w:val="-8"/>
        </w:rPr>
        <w:t xml:space="preserve">kompenzačných úpravách (JTPF/009/FINAL/2013/EN): </w:t>
      </w:r>
      <w:hyperlink r:id="rId16" w:history="1">
        <w:r w:rsidRPr="00F537B9">
          <w:rPr>
            <w:rStyle w:val="Hyperlink"/>
            <w:spacing w:val="-8"/>
          </w:rPr>
          <w:t>https://t</w:t>
        </w:r>
        <w:bookmarkEnd w:id="2"/>
        <w:r w:rsidRPr="00F537B9">
          <w:rPr>
            <w:rStyle w:val="Hyperlink"/>
            <w:spacing w:val="-8"/>
          </w:rPr>
          <w:t>axation-customs.ec.europa.eu/system/files/2016-09/jtpf_009_final_2013_en.pdf</w:t>
        </w:r>
      </w:hyperlink>
      <w:r w:rsidRPr="00F537B9">
        <w:rPr>
          <w:spacing w:val="-8"/>
        </w:rPr>
        <w:t>.</w:t>
      </w:r>
    </w:p>
  </w:footnote>
  <w:footnote w:id="27">
    <w:p w14:paraId="7DA4BDFB" w14:textId="36950D74" w:rsidR="00D32184" w:rsidRPr="00F537B9" w:rsidRDefault="00D32184" w:rsidP="00F537B9">
      <w:pPr>
        <w:pStyle w:val="FootnoteText"/>
      </w:pPr>
      <w:r w:rsidRPr="00F537B9">
        <w:rPr>
          <w:rStyle w:val="FootnoteReference"/>
        </w:rPr>
        <w:footnoteRef/>
      </w:r>
      <w:r w:rsidRPr="00F537B9">
        <w:tab/>
        <w:t>Správa Spoločného fóra EÚ pre transferové oceňovanie</w:t>
      </w:r>
      <w:r w:rsidR="00F537B9" w:rsidRPr="00F537B9">
        <w:t xml:space="preserve"> o </w:t>
      </w:r>
      <w:r w:rsidRPr="00F537B9">
        <w:t xml:space="preserve">používaní techník ekonomického oceňovania pri transferovom oceňovaní (JTPF/003/2017/FINAL/EN): </w:t>
      </w:r>
      <w:hyperlink r:id="rId17" w:history="1">
        <w:r w:rsidRPr="00F537B9">
          <w:rPr>
            <w:rStyle w:val="Hyperlink"/>
          </w:rPr>
          <w:t>https://taxation-customs.ec.europa.eu/system/files/2017-10/2017_10_16_jtpf_003_2017_en_final_en.pdf</w:t>
        </w:r>
      </w:hyperlink>
      <w:r w:rsidR="00F537B9" w:rsidRPr="00F537B9">
        <w:t>.</w:t>
      </w:r>
    </w:p>
  </w:footnote>
  <w:footnote w:id="28">
    <w:p w14:paraId="34194AF5" w14:textId="6608E82A" w:rsidR="00D32184" w:rsidRPr="00F537B9" w:rsidRDefault="00D32184" w:rsidP="00F537B9">
      <w:pPr>
        <w:pStyle w:val="FootnoteText"/>
        <w:rPr>
          <w:spacing w:val="-10"/>
        </w:rPr>
      </w:pPr>
      <w:r w:rsidRPr="00F537B9">
        <w:rPr>
          <w:rStyle w:val="FootnoteReference"/>
        </w:rPr>
        <w:footnoteRef/>
      </w:r>
      <w:r w:rsidRPr="00F537B9">
        <w:tab/>
      </w:r>
      <w:r w:rsidRPr="00F537B9">
        <w:rPr>
          <w:spacing w:val="-10"/>
        </w:rPr>
        <w:t>Spoločné fórum EÚ pre transferové oceňovanie</w:t>
      </w:r>
      <w:r w:rsidR="00F537B9" w:rsidRPr="00F537B9">
        <w:rPr>
          <w:spacing w:val="-10"/>
        </w:rPr>
        <w:t xml:space="preserve"> o </w:t>
      </w:r>
      <w:r w:rsidRPr="00F537B9">
        <w:rPr>
          <w:spacing w:val="-10"/>
        </w:rPr>
        <w:t>používaní porovnateľných údajov</w:t>
      </w:r>
      <w:r w:rsidR="00F537B9" w:rsidRPr="00F537B9">
        <w:rPr>
          <w:spacing w:val="-10"/>
        </w:rPr>
        <w:t xml:space="preserve"> v </w:t>
      </w:r>
      <w:r w:rsidRPr="00F537B9">
        <w:rPr>
          <w:spacing w:val="-10"/>
        </w:rPr>
        <w:t xml:space="preserve">rámci EÚ (JTPF/007/2016/FINAL/EN): </w:t>
      </w:r>
      <w:hyperlink r:id="rId18" w:history="1">
        <w:r w:rsidRPr="00F537B9">
          <w:rPr>
            <w:rStyle w:val="Hyperlink"/>
            <w:spacing w:val="-10"/>
          </w:rPr>
          <w:t>https://taxation-customs.ec.europa.eu/system/files/2017-04/jtpf0072017encomps.pdf</w:t>
        </w:r>
      </w:hyperlink>
      <w:r w:rsidR="00F537B9" w:rsidRPr="00F537B9">
        <w:rPr>
          <w:spacing w:val="-10"/>
        </w:rPr>
        <w:t>.</w:t>
      </w:r>
    </w:p>
  </w:footnote>
  <w:footnote w:id="29">
    <w:p w14:paraId="495D6DBF" w14:textId="43E545AD" w:rsidR="00E07B7C" w:rsidRPr="00F537B9" w:rsidRDefault="00E07B7C" w:rsidP="00F537B9">
      <w:pPr>
        <w:pStyle w:val="FootnoteText"/>
      </w:pPr>
      <w:r w:rsidRPr="00F537B9">
        <w:rPr>
          <w:rStyle w:val="FootnoteReference"/>
        </w:rPr>
        <w:footnoteRef/>
      </w:r>
      <w:r w:rsidRPr="00F537B9">
        <w:tab/>
        <w:t>Ú. v. EÚ C , , s. .</w:t>
      </w:r>
    </w:p>
  </w:footnote>
  <w:footnote w:id="30">
    <w:p w14:paraId="204822F0" w14:textId="3DEE28B3" w:rsidR="00E07B7C" w:rsidRPr="00F537B9" w:rsidRDefault="00E07B7C" w:rsidP="00F537B9">
      <w:pPr>
        <w:pStyle w:val="FootnoteText"/>
      </w:pPr>
      <w:r w:rsidRPr="00F537B9">
        <w:rPr>
          <w:rStyle w:val="FootnoteReference"/>
        </w:rPr>
        <w:footnoteRef/>
      </w:r>
      <w:r w:rsidRPr="00F537B9">
        <w:tab/>
        <w:t>Ú. v. EÚ C , , s. .</w:t>
      </w:r>
    </w:p>
  </w:footnote>
  <w:footnote w:id="31">
    <w:p w14:paraId="0A710FE8" w14:textId="612987F8" w:rsidR="002740F3" w:rsidRPr="00F537B9" w:rsidRDefault="00136588" w:rsidP="00F537B9">
      <w:pPr>
        <w:pStyle w:val="FootnoteText"/>
      </w:pPr>
      <w:r w:rsidRPr="00F537B9">
        <w:rPr>
          <w:rStyle w:val="FootnoteReference"/>
        </w:rPr>
        <w:footnoteRef/>
      </w:r>
      <w:r w:rsidRPr="00F537B9">
        <w:tab/>
        <w:t>JTPF/009/FINAL/2013/EN, stretnutie</w:t>
      </w:r>
      <w:r w:rsidR="00F537B9" w:rsidRPr="00F537B9">
        <w:t xml:space="preserve"> z </w:t>
      </w:r>
      <w:r w:rsidRPr="00F537B9">
        <w:t>5</w:t>
      </w:r>
      <w:r w:rsidR="00F537B9" w:rsidRPr="00F537B9">
        <w:t>. novembra</w:t>
      </w:r>
      <w:r w:rsidRPr="00F537B9">
        <w:t xml:space="preserve"> 2013: </w:t>
      </w:r>
      <w:hyperlink r:id="rId19" w:history="1">
        <w:r w:rsidRPr="00F537B9">
          <w:t>https://taxation-customs.ec.europa.eu/system/files/2016-09/jtpf_009_final_2013_en.pdf</w:t>
        </w:r>
      </w:hyperlink>
    </w:p>
  </w:footnote>
  <w:footnote w:id="32">
    <w:p w14:paraId="631AC3F3" w14:textId="485E8FF6" w:rsidR="00D674DD" w:rsidRPr="00F537B9" w:rsidRDefault="00D674DD" w:rsidP="00F537B9">
      <w:pPr>
        <w:pStyle w:val="FootnoteText"/>
      </w:pPr>
      <w:r w:rsidRPr="00F537B9">
        <w:rPr>
          <w:rStyle w:val="FootnoteReference"/>
        </w:rPr>
        <w:footnoteRef/>
      </w:r>
      <w:r w:rsidRPr="00F537B9">
        <w:tab/>
      </w:r>
      <w:bookmarkStart w:id="9" w:name="_Hlk142055253"/>
      <w:r w:rsidRPr="00F537B9">
        <w:t>JTPF/003/2017/FINAL/EN, stretnutie</w:t>
      </w:r>
      <w:r w:rsidR="00F537B9" w:rsidRPr="00F537B9">
        <w:t xml:space="preserve"> z </w:t>
      </w:r>
      <w:r w:rsidRPr="00F537B9">
        <w:t>22</w:t>
      </w:r>
      <w:r w:rsidR="00F537B9" w:rsidRPr="00F537B9">
        <w:t>. júna</w:t>
      </w:r>
      <w:r w:rsidRPr="00F537B9">
        <w:t xml:space="preserve"> 2017:</w:t>
      </w:r>
      <w:bookmarkEnd w:id="9"/>
      <w:r w:rsidRPr="00F537B9">
        <w:t xml:space="preserve"> </w:t>
      </w:r>
      <w:hyperlink r:id="rId20" w:history="1">
        <w:r w:rsidRPr="00F537B9">
          <w:rPr>
            <w:rStyle w:val="Hyperlink"/>
          </w:rPr>
          <w:t>https://taxation-customs.ec.europa.eu/system/files/2017-10/2017_10_16_jtpf_003_2017_en_final_en.pdf</w:t>
        </w:r>
      </w:hyperlink>
    </w:p>
  </w:footnote>
  <w:footnote w:id="33">
    <w:p w14:paraId="14DC2157" w14:textId="30F71B3A" w:rsidR="00C20927" w:rsidRPr="00F537B9" w:rsidRDefault="00C20927" w:rsidP="00F537B9">
      <w:pPr>
        <w:pStyle w:val="FootnoteText"/>
      </w:pPr>
      <w:r w:rsidRPr="00F537B9">
        <w:rPr>
          <w:rStyle w:val="FootnoteReference"/>
        </w:rPr>
        <w:footnoteRef/>
      </w:r>
      <w:r w:rsidRPr="00F537B9">
        <w:tab/>
        <w:t>Správa Komisie</w:t>
      </w:r>
      <w:r w:rsidR="00F537B9" w:rsidRPr="00F537B9">
        <w:t xml:space="preserve"> z </w:t>
      </w:r>
      <w:r w:rsidRPr="00F537B9">
        <w:t>roku 2016</w:t>
      </w:r>
      <w:r w:rsidR="00F537B9" w:rsidRPr="00F537B9">
        <w:t xml:space="preserve"> s </w:t>
      </w:r>
      <w:r w:rsidRPr="00F537B9">
        <w:t>názvom Spoločné fórum EÚ pre transferové oceňovanie – správa</w:t>
      </w:r>
      <w:r w:rsidR="00F537B9" w:rsidRPr="00F537B9">
        <w:t xml:space="preserve"> o </w:t>
      </w:r>
      <w:r w:rsidRPr="00F537B9">
        <w:t>používaní porovnateľných údajov</w:t>
      </w:r>
      <w:r w:rsidR="00F537B9" w:rsidRPr="00F537B9">
        <w:t xml:space="preserve"> v </w:t>
      </w:r>
      <w:r w:rsidRPr="00F537B9">
        <w:t xml:space="preserve">EÚ (JTPF/007/2016/FINAL/EN): </w:t>
      </w:r>
      <w:hyperlink r:id="rId21" w:history="1">
        <w:r w:rsidRPr="00F537B9">
          <w:rPr>
            <w:rStyle w:val="Hyperlink"/>
          </w:rPr>
          <w:t>https://taxation-customs.ec.europa.eu/system/files/2017-04/jtpf0072017encomps.pdf</w:t>
        </w:r>
      </w:hyperlink>
    </w:p>
  </w:footnote>
  <w:footnote w:id="34">
    <w:p w14:paraId="5BF7B4D6" w14:textId="368AA4FF" w:rsidR="00002D8A" w:rsidRPr="00523180" w:rsidRDefault="00002D8A" w:rsidP="00F537B9">
      <w:pPr>
        <w:pStyle w:val="FootnoteText"/>
        <w:rPr>
          <w:spacing w:val="-6"/>
        </w:rPr>
      </w:pPr>
      <w:r w:rsidRPr="00F537B9">
        <w:rPr>
          <w:rStyle w:val="FootnoteReference"/>
        </w:rPr>
        <w:footnoteRef/>
      </w:r>
      <w:r w:rsidRPr="00F537B9">
        <w:tab/>
      </w:r>
      <w:r w:rsidRPr="00523180">
        <w:rPr>
          <w:spacing w:val="-6"/>
        </w:rPr>
        <w:t>Uznesenie Rady</w:t>
      </w:r>
      <w:r w:rsidR="00F537B9" w:rsidRPr="00523180">
        <w:rPr>
          <w:spacing w:val="-6"/>
        </w:rPr>
        <w:t xml:space="preserve"> a </w:t>
      </w:r>
      <w:r w:rsidRPr="00523180">
        <w:rPr>
          <w:spacing w:val="-6"/>
        </w:rPr>
        <w:t>zástupcov vlád členských štátov, ktorí sa zišli na zasadnutí Rady</w:t>
      </w:r>
      <w:r w:rsidR="00F537B9" w:rsidRPr="00523180">
        <w:rPr>
          <w:spacing w:val="-6"/>
        </w:rPr>
        <w:t xml:space="preserve"> z </w:t>
      </w:r>
      <w:r w:rsidRPr="00523180">
        <w:rPr>
          <w:spacing w:val="-6"/>
        </w:rPr>
        <w:t>27</w:t>
      </w:r>
      <w:r w:rsidR="00F537B9" w:rsidRPr="00523180">
        <w:rPr>
          <w:spacing w:val="-6"/>
        </w:rPr>
        <w:t>. júna</w:t>
      </w:r>
      <w:r w:rsidRPr="00523180">
        <w:rPr>
          <w:spacing w:val="-6"/>
        </w:rPr>
        <w:t xml:space="preserve"> 2006,</w:t>
      </w:r>
      <w:r w:rsidR="00F537B9" w:rsidRPr="00523180">
        <w:rPr>
          <w:spacing w:val="-6"/>
        </w:rPr>
        <w:t xml:space="preserve"> o </w:t>
      </w:r>
      <w:r w:rsidRPr="00523180">
        <w:rPr>
          <w:spacing w:val="-6"/>
        </w:rPr>
        <w:t>kódexe správania pre dokumentáciu</w:t>
      </w:r>
      <w:r w:rsidR="00F537B9" w:rsidRPr="00523180">
        <w:rPr>
          <w:spacing w:val="-6"/>
        </w:rPr>
        <w:t xml:space="preserve"> o </w:t>
      </w:r>
      <w:r w:rsidRPr="00523180">
        <w:rPr>
          <w:spacing w:val="-6"/>
        </w:rPr>
        <w:t>transferovom oceňovaní pre pridružené podniky</w:t>
      </w:r>
      <w:r w:rsidR="00F537B9" w:rsidRPr="00523180">
        <w:rPr>
          <w:spacing w:val="-6"/>
        </w:rPr>
        <w:t xml:space="preserve"> v </w:t>
      </w:r>
      <w:r w:rsidRPr="00523180">
        <w:rPr>
          <w:spacing w:val="-6"/>
        </w:rPr>
        <w:t xml:space="preserve">Európskej únii (DTO EÚ), 2006/C 176/01, </w:t>
      </w:r>
      <w:hyperlink r:id="rId22" w:history="1">
        <w:r w:rsidR="00523180" w:rsidRPr="00523180">
          <w:rPr>
            <w:rStyle w:val="Hyperlink"/>
            <w:spacing w:val="-6"/>
          </w:rPr>
          <w:t>https://eur-lex.europa.eu/legal-content/EN/TXT/?uri= uriserv%3AOJ.C_.2006.176.01.0001.01.ENG&amp;toc=OJ%3AC%3A2006 %3A176 %3AFULL</w:t>
        </w:r>
      </w:hyperlink>
    </w:p>
  </w:footnote>
  <w:footnote w:id="35">
    <w:p w14:paraId="48E1525A" w14:textId="3476EA6A" w:rsidR="00724804" w:rsidRPr="00F537B9" w:rsidRDefault="00724804" w:rsidP="00F537B9">
      <w:pPr>
        <w:pStyle w:val="FootnoteText"/>
      </w:pPr>
      <w:r w:rsidRPr="004609CB">
        <w:rPr>
          <w:rStyle w:val="FootnoteReference"/>
        </w:rPr>
        <w:footnoteRef/>
      </w:r>
      <w:r w:rsidR="004609CB">
        <w:tab/>
      </w:r>
      <w:r w:rsidRPr="00F537B9">
        <w:t>Nariadenie Európskeho parlamentu</w:t>
      </w:r>
      <w:r w:rsidR="00F537B9" w:rsidRPr="00F537B9">
        <w:t xml:space="preserve"> a </w:t>
      </w:r>
      <w:r w:rsidRPr="00F537B9">
        <w:t>Rady (EÚ) 2018/1724</w:t>
      </w:r>
      <w:r w:rsidR="00F537B9" w:rsidRPr="00F537B9">
        <w:t xml:space="preserve"> z </w:t>
      </w:r>
      <w:r w:rsidRPr="00F537B9">
        <w:t>2</w:t>
      </w:r>
      <w:r w:rsidR="00F537B9" w:rsidRPr="00F537B9">
        <w:t>. októbra</w:t>
      </w:r>
      <w:r w:rsidRPr="00F537B9">
        <w:t xml:space="preserve"> 2018</w:t>
      </w:r>
      <w:r w:rsidR="00F537B9" w:rsidRPr="00F537B9">
        <w:t xml:space="preserve"> o </w:t>
      </w:r>
      <w:r w:rsidRPr="00F537B9">
        <w:t>zriadení jednotnej digitálnej brány na poskytovanie prístupu</w:t>
      </w:r>
      <w:r w:rsidR="00F537B9" w:rsidRPr="00F537B9">
        <w:t xml:space="preserve"> k </w:t>
      </w:r>
      <w:r w:rsidRPr="00F537B9">
        <w:t>informáciám, postupom</w:t>
      </w:r>
      <w:r w:rsidR="00F537B9" w:rsidRPr="00F537B9">
        <w:t xml:space="preserve"> a </w:t>
      </w:r>
      <w:r w:rsidRPr="00F537B9">
        <w:t>asistenčným službám</w:t>
      </w:r>
      <w:r w:rsidR="00F537B9" w:rsidRPr="00F537B9">
        <w:t xml:space="preserve"> a </w:t>
      </w:r>
      <w:r w:rsidRPr="00F537B9">
        <w:t>službám riešenia problémov</w:t>
      </w:r>
      <w:r w:rsidR="00F537B9" w:rsidRPr="00F537B9">
        <w:t xml:space="preserve"> a o </w:t>
      </w:r>
      <w:r w:rsidRPr="00F537B9">
        <w:t xml:space="preserve">zmene nariadenia (EÚ) </w:t>
      </w:r>
      <w:r w:rsidR="00F537B9" w:rsidRPr="00F537B9">
        <w:t>č. </w:t>
      </w:r>
      <w:r w:rsidRPr="00F537B9">
        <w:t>1024/2012 (Ú. v. EÚ L 295, 21.11.2018, s. 1).</w:t>
      </w:r>
    </w:p>
  </w:footnote>
  <w:footnote w:id="36">
    <w:p w14:paraId="07213405" w14:textId="1644CC0F" w:rsidR="00C20927" w:rsidRPr="00F537B9" w:rsidRDefault="00C20927" w:rsidP="00F537B9">
      <w:pPr>
        <w:pStyle w:val="FootnoteText"/>
      </w:pPr>
      <w:r w:rsidRPr="00F537B9">
        <w:rPr>
          <w:rStyle w:val="FootnoteReference"/>
        </w:rPr>
        <w:footnoteRef/>
      </w:r>
      <w:r w:rsidRPr="00F537B9">
        <w:tab/>
        <w:t>Nariadenie Európskeho parlamentu</w:t>
      </w:r>
      <w:r w:rsidR="00F537B9" w:rsidRPr="00F537B9">
        <w:t xml:space="preserve"> a </w:t>
      </w:r>
      <w:r w:rsidRPr="00F537B9">
        <w:t>Rady (EÚ) 2016/679</w:t>
      </w:r>
      <w:r w:rsidR="00F537B9" w:rsidRPr="00F537B9">
        <w:t xml:space="preserve"> z </w:t>
      </w:r>
      <w:r w:rsidRPr="00F537B9">
        <w:t>27</w:t>
      </w:r>
      <w:r w:rsidR="00F537B9" w:rsidRPr="00F537B9">
        <w:t>. apríla</w:t>
      </w:r>
      <w:r w:rsidRPr="00F537B9">
        <w:t xml:space="preserve"> 2016</w:t>
      </w:r>
      <w:r w:rsidR="00F537B9" w:rsidRPr="00F537B9">
        <w:t xml:space="preserve"> o </w:t>
      </w:r>
      <w:r w:rsidRPr="00F537B9">
        <w:t>ochrane fyzických osôb pri spracúvaní osobných údajov</w:t>
      </w:r>
      <w:r w:rsidR="00F537B9" w:rsidRPr="00F537B9">
        <w:t xml:space="preserve"> a o </w:t>
      </w:r>
      <w:r w:rsidRPr="00F537B9">
        <w:t>voľnom pohybe takýchto údajov, ktorým sa zrušuje smernica 95/46/ES (všeobecné nariadenie</w:t>
      </w:r>
      <w:r w:rsidR="00F537B9" w:rsidRPr="00F537B9">
        <w:t xml:space="preserve"> o </w:t>
      </w:r>
      <w:r w:rsidRPr="00F537B9">
        <w:t>ochrane údajov) (Ú. v. EÚ L 119, 4.5.2016, s. 1).</w:t>
      </w:r>
    </w:p>
  </w:footnote>
  <w:footnote w:id="37">
    <w:p w14:paraId="1FD557D2" w14:textId="7D2C555A" w:rsidR="00044BCA" w:rsidRPr="00F537B9" w:rsidRDefault="00044BCA" w:rsidP="00F537B9">
      <w:pPr>
        <w:pStyle w:val="FootnoteText"/>
      </w:pPr>
      <w:r w:rsidRPr="00F537B9">
        <w:rPr>
          <w:rStyle w:val="FootnoteReference"/>
        </w:rPr>
        <w:footnoteRef/>
      </w:r>
      <w:r w:rsidRPr="00F537B9">
        <w:tab/>
        <w:t>Dohovor 90/463/EHS</w:t>
      </w:r>
      <w:r w:rsidR="00F537B9" w:rsidRPr="00F537B9">
        <w:t xml:space="preserve"> z </w:t>
      </w:r>
      <w:r w:rsidRPr="00F537B9">
        <w:t>23</w:t>
      </w:r>
      <w:r w:rsidR="00F537B9" w:rsidRPr="00F537B9">
        <w:t>. júla</w:t>
      </w:r>
      <w:r w:rsidRPr="00F537B9">
        <w:t xml:space="preserve"> 1990</w:t>
      </w:r>
      <w:r w:rsidR="00F537B9" w:rsidRPr="00F537B9">
        <w:t xml:space="preserve"> o </w:t>
      </w:r>
      <w:r w:rsidRPr="00F537B9">
        <w:t>zamedzení dvojitého zdanenia</w:t>
      </w:r>
      <w:r w:rsidR="00F537B9" w:rsidRPr="00F537B9">
        <w:t xml:space="preserve"> v </w:t>
      </w:r>
      <w:r w:rsidRPr="00F537B9">
        <w:t>súvislosti</w:t>
      </w:r>
      <w:r w:rsidR="00F537B9" w:rsidRPr="00F537B9">
        <w:t xml:space="preserve"> s </w:t>
      </w:r>
      <w:r w:rsidRPr="00F537B9">
        <w:t>úpravou ziskov združených podnikov (Ú. v. ES L 225, 20.8.1990, s. 10).</w:t>
      </w:r>
    </w:p>
  </w:footnote>
  <w:footnote w:id="38">
    <w:p w14:paraId="5696C903" w14:textId="74F7CC18" w:rsidR="00044BCA" w:rsidRPr="00F537B9" w:rsidRDefault="00044BCA" w:rsidP="00F537B9">
      <w:pPr>
        <w:pStyle w:val="FootnoteText"/>
      </w:pPr>
      <w:r w:rsidRPr="00F537B9">
        <w:rPr>
          <w:rStyle w:val="FootnoteReference"/>
        </w:rPr>
        <w:footnoteRef/>
      </w:r>
      <w:r w:rsidRPr="00F537B9">
        <w:tab/>
        <w:t>Smernica Rady (EÚ) 2017/1852</w:t>
      </w:r>
      <w:r w:rsidR="00F537B9" w:rsidRPr="00F537B9">
        <w:t xml:space="preserve"> z </w:t>
      </w:r>
      <w:r w:rsidRPr="00F537B9">
        <w:t>10</w:t>
      </w:r>
      <w:r w:rsidR="00F537B9" w:rsidRPr="00F537B9">
        <w:t>. októbra</w:t>
      </w:r>
      <w:r w:rsidRPr="00F537B9">
        <w:t xml:space="preserve"> 2017</w:t>
      </w:r>
      <w:r w:rsidR="00F537B9" w:rsidRPr="00F537B9">
        <w:t xml:space="preserve"> o </w:t>
      </w:r>
      <w:r w:rsidRPr="00F537B9">
        <w:t>mechanizmoch riešenia sporov týkajúcich sa zdanenia</w:t>
      </w:r>
      <w:r w:rsidR="00F537B9" w:rsidRPr="00F537B9">
        <w:t xml:space="preserve"> v </w:t>
      </w:r>
      <w:r w:rsidRPr="00F537B9">
        <w:t>Európskej únii (Ú. v. EÚ L 265, 14.10.2017, s. 1).</w:t>
      </w:r>
    </w:p>
  </w:footnote>
  <w:footnote w:id="39">
    <w:p w14:paraId="38E5A396" w14:textId="2165E0AD" w:rsidR="000816EE" w:rsidRPr="00F537B9" w:rsidRDefault="000816EE" w:rsidP="00F537B9">
      <w:pPr>
        <w:pStyle w:val="FootnoteText"/>
      </w:pPr>
      <w:r w:rsidRPr="00F537B9">
        <w:rPr>
          <w:rStyle w:val="FootnoteReference"/>
        </w:rPr>
        <w:footnoteRef/>
      </w:r>
      <w:r w:rsidRPr="00F537B9">
        <w:tab/>
        <w:t>Nariadenie Európskeho parlamentu</w:t>
      </w:r>
      <w:r w:rsidR="00F537B9" w:rsidRPr="00F537B9">
        <w:t xml:space="preserve"> a </w:t>
      </w:r>
      <w:r w:rsidRPr="00F537B9">
        <w:t xml:space="preserve">Rady (EÚ) </w:t>
      </w:r>
      <w:r w:rsidR="00F537B9" w:rsidRPr="00F537B9">
        <w:t>č. </w:t>
      </w:r>
      <w:r w:rsidRPr="00F537B9">
        <w:t>182/2011 zo 16</w:t>
      </w:r>
      <w:r w:rsidR="00F537B9" w:rsidRPr="00F537B9">
        <w:t>. februára</w:t>
      </w:r>
      <w:r w:rsidRPr="00F537B9">
        <w:t> 2011, ktorým sa ustanovujú pravidlá</w:t>
      </w:r>
      <w:r w:rsidR="00F537B9" w:rsidRPr="00F537B9">
        <w:t xml:space="preserve"> a </w:t>
      </w:r>
      <w:r w:rsidRPr="00F537B9">
        <w:t>všeobecné zásady mechanizmu, na základe ktorého členské štáty kontrolujú vykonávanie vykonávacích právomocí Komisie (Ú. v. EÚ L 55, 28.2.2011, s. 13 – 18)</w:t>
      </w:r>
      <w:r w:rsidR="00F537B9" w:rsidRPr="00F537B9">
        <w:t>.</w:t>
      </w:r>
    </w:p>
  </w:footnote>
  <w:footnote w:id="40">
    <w:p w14:paraId="5CC18DA7" w14:textId="52753CA8" w:rsidR="00DD4810" w:rsidRPr="00F537B9" w:rsidRDefault="00DD4810" w:rsidP="00F537B9">
      <w:pPr>
        <w:pStyle w:val="FootnoteText"/>
        <w:rPr>
          <w:szCs w:val="24"/>
        </w:rPr>
      </w:pPr>
      <w:r w:rsidRPr="00F537B9">
        <w:rPr>
          <w:rStyle w:val="FootnoteReference"/>
        </w:rPr>
        <w:footnoteRef/>
      </w:r>
      <w:r w:rsidRPr="00F537B9">
        <w:tab/>
        <w:t>Podľa článku 58 ods. 2 písm. a) alebo b) nariadenia</w:t>
      </w:r>
      <w:r w:rsidR="00F537B9" w:rsidRPr="00F537B9">
        <w:t xml:space="preserve"> o </w:t>
      </w:r>
      <w:r w:rsidRPr="00F537B9">
        <w:t>rozpočtových pravidlách.</w:t>
      </w:r>
    </w:p>
  </w:footnote>
  <w:footnote w:id="41">
    <w:p w14:paraId="0864298C" w14:textId="579077DF" w:rsidR="00C5471D" w:rsidRPr="00F537B9" w:rsidRDefault="00C5471D" w:rsidP="00F537B9">
      <w:pPr>
        <w:pStyle w:val="FootnoteText"/>
      </w:pPr>
      <w:r w:rsidRPr="00F537B9">
        <w:rPr>
          <w:rStyle w:val="FootnoteReference"/>
        </w:rPr>
        <w:footnoteRef/>
      </w:r>
      <w:r w:rsidRPr="00F537B9">
        <w:tab/>
        <w:t xml:space="preserve">Pozri Spoločné fórum EÚ pre transferové oceňovanie tu: </w:t>
      </w:r>
      <w:hyperlink r:id="rId23" w:history="1">
        <w:r w:rsidRPr="00F537B9">
          <w:rPr>
            <w:rStyle w:val="Hyperlink"/>
          </w:rPr>
          <w:t>https://taxation-customs.ec.europa.eu/joint-transfer-pricing-forum_en</w:t>
        </w:r>
      </w:hyperlink>
      <w:r w:rsidR="00F537B9" w:rsidRPr="00F537B9">
        <w:t>.</w:t>
      </w:r>
    </w:p>
  </w:footnote>
  <w:footnote w:id="42">
    <w:p w14:paraId="059A863A" w14:textId="04047DFD" w:rsidR="00DD4810" w:rsidRPr="00F537B9" w:rsidRDefault="00DD4810" w:rsidP="00F537B9">
      <w:pPr>
        <w:pStyle w:val="FootnoteText"/>
        <w:rPr>
          <w:szCs w:val="24"/>
        </w:rPr>
      </w:pPr>
      <w:r w:rsidRPr="00F537B9">
        <w:rPr>
          <w:rStyle w:val="FootnoteReference"/>
        </w:rPr>
        <w:footnoteRef/>
      </w:r>
      <w:r w:rsidRPr="00F537B9">
        <w:tab/>
        <w:t>Vysvetlenie metód plnenia rozpočtu</w:t>
      </w:r>
      <w:r w:rsidR="00F537B9" w:rsidRPr="00F537B9">
        <w:t xml:space="preserve"> a </w:t>
      </w:r>
      <w:r w:rsidRPr="00F537B9">
        <w:t>odkazy na nariadenie</w:t>
      </w:r>
      <w:r w:rsidR="00F537B9" w:rsidRPr="00F537B9">
        <w:t xml:space="preserve"> o </w:t>
      </w:r>
      <w:r w:rsidRPr="00F537B9">
        <w:t>rozpočtových pravidlách sú</w:t>
      </w:r>
      <w:r w:rsidR="00F537B9" w:rsidRPr="00F537B9">
        <w:t xml:space="preserve"> k </w:t>
      </w:r>
      <w:r w:rsidRPr="00F537B9">
        <w:t xml:space="preserve">dispozícii na webovom sídle BUDGpedia: </w:t>
      </w:r>
      <w:hyperlink r:id="rId24" w:history="1">
        <w:r w:rsidRPr="00F537B9">
          <w:rPr>
            <w:rStyle w:val="Hyperlink"/>
          </w:rPr>
          <w:t>https://myintracomm.ec.europa.eu/corp/budget/financial-rules/budget-implementation/Pages/implementation-methods.aspx</w:t>
        </w:r>
      </w:hyperlink>
      <w:r w:rsidRPr="00F537B9">
        <w:t>.</w:t>
      </w:r>
    </w:p>
  </w:footnote>
  <w:footnote w:id="43">
    <w:p w14:paraId="141C128D" w14:textId="77777777" w:rsidR="00DD4810" w:rsidRPr="00F537B9" w:rsidRDefault="00DD4810" w:rsidP="00F537B9">
      <w:pPr>
        <w:pStyle w:val="FootnoteText"/>
        <w:rPr>
          <w:szCs w:val="24"/>
        </w:rPr>
      </w:pPr>
      <w:r w:rsidRPr="00F537B9">
        <w:rPr>
          <w:rStyle w:val="FootnoteReference"/>
        </w:rPr>
        <w:footnoteRef/>
      </w:r>
      <w:r w:rsidRPr="00F537B9">
        <w:tab/>
        <w:t>DRP = diferencované rozpočtové prostriedky/NRP = nediferencované rozpočtové prostriedky.</w:t>
      </w:r>
    </w:p>
  </w:footnote>
  <w:footnote w:id="44">
    <w:p w14:paraId="14005689" w14:textId="5AC7A756" w:rsidR="00DD4810" w:rsidRPr="00F537B9" w:rsidRDefault="00DD4810" w:rsidP="00F537B9">
      <w:pPr>
        <w:pStyle w:val="FootnoteText"/>
        <w:rPr>
          <w:szCs w:val="24"/>
        </w:rPr>
      </w:pPr>
      <w:r w:rsidRPr="00F537B9">
        <w:rPr>
          <w:rStyle w:val="FootnoteReference"/>
        </w:rPr>
        <w:footnoteRef/>
      </w:r>
      <w:r w:rsidRPr="00F537B9">
        <w:tab/>
        <w:t>EZVO: Európske združenie voľného obchodu</w:t>
      </w:r>
      <w:r w:rsidR="00F537B9" w:rsidRPr="00F537B9">
        <w:t>.</w:t>
      </w:r>
    </w:p>
  </w:footnote>
  <w:footnote w:id="45">
    <w:p w14:paraId="6C0478CB" w14:textId="3A70B794" w:rsidR="00DD4810" w:rsidRPr="00F537B9" w:rsidRDefault="00DD4810" w:rsidP="00F537B9">
      <w:pPr>
        <w:pStyle w:val="FootnoteText"/>
        <w:rPr>
          <w:szCs w:val="24"/>
        </w:rPr>
      </w:pPr>
      <w:r w:rsidRPr="00F537B9">
        <w:rPr>
          <w:rStyle w:val="FootnoteReference"/>
        </w:rPr>
        <w:footnoteRef/>
      </w:r>
      <w:r w:rsidRPr="00F537B9">
        <w:tab/>
        <w:t>Kandidátske krajiny</w:t>
      </w:r>
      <w:r w:rsidR="00F537B9" w:rsidRPr="00F537B9">
        <w:t xml:space="preserve"> a </w:t>
      </w:r>
      <w:r w:rsidRPr="00F537B9">
        <w:t>prípadne potenciálni kandidáti zo západného Balkánu.</w:t>
      </w:r>
    </w:p>
  </w:footnote>
  <w:footnote w:id="46">
    <w:p w14:paraId="029AF857" w14:textId="312F16D4" w:rsidR="00CF6AB0" w:rsidRPr="00F537B9" w:rsidRDefault="00CF6AB0" w:rsidP="00F537B9">
      <w:pPr>
        <w:pStyle w:val="FootnoteText"/>
        <w:rPr>
          <w:szCs w:val="18"/>
        </w:rPr>
      </w:pPr>
      <w:r w:rsidRPr="00F537B9">
        <w:rPr>
          <w:rStyle w:val="FootnoteReference"/>
        </w:rPr>
        <w:footnoteRef/>
      </w:r>
      <w:r w:rsidRPr="00F537B9">
        <w:tab/>
        <w:t>Rok N je rokom,</w:t>
      </w:r>
      <w:r w:rsidR="00F537B9" w:rsidRPr="00F537B9">
        <w:t xml:space="preserve"> v </w:t>
      </w:r>
      <w:r w:rsidRPr="00F537B9">
        <w:t>ktorom sa návrh/iniciatíva začína vykonávať. Nahraďte „N“ očakávaným prvým rokom vykonávania (napríklad: 2021). To isté urobte aj pri nasledujúcich rokoch.</w:t>
      </w:r>
    </w:p>
  </w:footnote>
  <w:footnote w:id="47">
    <w:p w14:paraId="0E35C700" w14:textId="77777777" w:rsidR="00CF6AB0" w:rsidRPr="00F537B9" w:rsidRDefault="00CF6AB0" w:rsidP="00F537B9">
      <w:pPr>
        <w:pStyle w:val="FootnoteText"/>
        <w:rPr>
          <w:szCs w:val="18"/>
        </w:rPr>
      </w:pPr>
      <w:r w:rsidRPr="00F537B9">
        <w:rPr>
          <w:rStyle w:val="FootnoteReference"/>
        </w:rPr>
        <w:footnoteRef/>
      </w:r>
      <w:r w:rsidRPr="00F537B9">
        <w:tab/>
        <w:t>Podľa oficiálnej rozpočtovej nomenklatúry.</w:t>
      </w:r>
    </w:p>
  </w:footnote>
  <w:footnote w:id="48">
    <w:p w14:paraId="401FF09E" w14:textId="4A35007E" w:rsidR="00CF6AB0" w:rsidRPr="00F537B9" w:rsidRDefault="00CF6AB0" w:rsidP="00F537B9">
      <w:pPr>
        <w:pStyle w:val="FootnoteText"/>
        <w:rPr>
          <w:szCs w:val="24"/>
        </w:rPr>
      </w:pPr>
      <w:r w:rsidRPr="00F537B9">
        <w:rPr>
          <w:rStyle w:val="FootnoteReference"/>
        </w:rPr>
        <w:footnoteRef/>
      </w:r>
      <w:r w:rsidRPr="00F537B9">
        <w:tab/>
        <w:t>Technická a/alebo administratívna pomoc</w:t>
      </w:r>
      <w:r w:rsidR="00F537B9" w:rsidRPr="00F537B9">
        <w:t xml:space="preserve"> a </w:t>
      </w:r>
      <w:r w:rsidRPr="00F537B9">
        <w:t>výdavky na podporu vykonávania programov a/alebo akcií EÚ (pôvodné rozpočtové riadky „BA“), nepriamy výskum, priamy výskum.</w:t>
      </w:r>
    </w:p>
  </w:footnote>
  <w:footnote w:id="49">
    <w:p w14:paraId="245EAEEC" w14:textId="611C5C9F" w:rsidR="00DD4810" w:rsidRPr="00F537B9" w:rsidRDefault="00DD4810" w:rsidP="00F537B9">
      <w:pPr>
        <w:pStyle w:val="FootnoteText"/>
        <w:rPr>
          <w:szCs w:val="24"/>
        </w:rPr>
      </w:pPr>
      <w:r w:rsidRPr="00F537B9">
        <w:rPr>
          <w:rStyle w:val="FootnoteReference"/>
        </w:rPr>
        <w:footnoteRef/>
      </w:r>
      <w:r w:rsidRPr="00F537B9">
        <w:tab/>
        <w:t>Rok N je rokom,</w:t>
      </w:r>
      <w:r w:rsidR="00F537B9" w:rsidRPr="00F537B9">
        <w:t xml:space="preserve"> v </w:t>
      </w:r>
      <w:r w:rsidRPr="00F537B9">
        <w:t>ktorom sa návrh/iniciatíva začína vykonávať. Nahraďte „N“ očakávaným prvým rokom vykonávania (napríklad: 2021). To isté urobte aj pri nasledujúcich rokoch.</w:t>
      </w:r>
    </w:p>
  </w:footnote>
  <w:footnote w:id="50">
    <w:p w14:paraId="5F695F30" w14:textId="1018A710" w:rsidR="00DD4810" w:rsidRPr="00F537B9" w:rsidRDefault="00DD4810" w:rsidP="00F537B9">
      <w:pPr>
        <w:pStyle w:val="FootnoteText"/>
        <w:rPr>
          <w:szCs w:val="24"/>
        </w:rPr>
      </w:pPr>
      <w:r w:rsidRPr="00F537B9">
        <w:rPr>
          <w:rStyle w:val="FootnoteReference"/>
        </w:rPr>
        <w:footnoteRef/>
      </w:r>
      <w:r w:rsidRPr="00F537B9">
        <w:tab/>
        <w:t>Výstupy sú produkty, ktoré sa majú dodať,</w:t>
      </w:r>
      <w:r w:rsidR="00F537B9" w:rsidRPr="00F537B9">
        <w:t xml:space="preserve"> a </w:t>
      </w:r>
      <w:r w:rsidRPr="00F537B9">
        <w:t>služby, ktoré sa majú poskytnúť (napr.: počet financovaných výmen študentov, vybudované cesty</w:t>
      </w:r>
      <w:r w:rsidR="00F537B9" w:rsidRPr="00F537B9">
        <w:t xml:space="preserve"> v </w:t>
      </w:r>
      <w:r w:rsidRPr="00F537B9">
        <w:t>km atď.).</w:t>
      </w:r>
    </w:p>
  </w:footnote>
  <w:footnote w:id="51">
    <w:p w14:paraId="68758AE7" w14:textId="175CE8F2" w:rsidR="00DD4810" w:rsidRPr="00F537B9" w:rsidRDefault="00DD4810" w:rsidP="00F537B9">
      <w:pPr>
        <w:pStyle w:val="FootnoteText"/>
        <w:rPr>
          <w:szCs w:val="24"/>
        </w:rPr>
      </w:pPr>
      <w:r w:rsidRPr="00F537B9">
        <w:rPr>
          <w:rStyle w:val="FootnoteReference"/>
        </w:rPr>
        <w:footnoteRef/>
      </w:r>
      <w:r w:rsidRPr="00F537B9">
        <w:tab/>
        <w:t>Ako je uvedené</w:t>
      </w:r>
      <w:r w:rsidR="00F537B9" w:rsidRPr="00F537B9">
        <w:t xml:space="preserve"> v </w:t>
      </w:r>
      <w:r w:rsidRPr="00F537B9">
        <w:t>bode 1.4.2. „Špecifické ciele...“</w:t>
      </w:r>
      <w:r w:rsidR="00F537B9" w:rsidRPr="00F537B9">
        <w:t>.</w:t>
      </w:r>
    </w:p>
  </w:footnote>
  <w:footnote w:id="52">
    <w:p w14:paraId="005EB14A" w14:textId="0733CB46" w:rsidR="00DD4810" w:rsidRPr="00F537B9" w:rsidRDefault="00DD4810" w:rsidP="00F537B9">
      <w:pPr>
        <w:pStyle w:val="FootnoteText"/>
        <w:rPr>
          <w:szCs w:val="18"/>
        </w:rPr>
      </w:pPr>
      <w:r w:rsidRPr="00F537B9">
        <w:rPr>
          <w:rStyle w:val="FootnoteReference"/>
        </w:rPr>
        <w:footnoteRef/>
      </w:r>
      <w:r w:rsidRPr="00F537B9">
        <w:tab/>
        <w:t>Rok N je rokom,</w:t>
      </w:r>
      <w:r w:rsidR="00F537B9" w:rsidRPr="00F537B9">
        <w:t xml:space="preserve"> v </w:t>
      </w:r>
      <w:r w:rsidRPr="00F537B9">
        <w:t>ktorom sa návrh/iniciatíva začína vykonávať. Nahraďte „N“ očakávaným prvým rokom vykonávania (napríklad: 2021). To isté urobte aj pri nasledujúcich rokoch.</w:t>
      </w:r>
    </w:p>
  </w:footnote>
  <w:footnote w:id="53">
    <w:p w14:paraId="4BC4108A" w14:textId="1F8AFE8E" w:rsidR="00DD4810" w:rsidRPr="00F537B9" w:rsidRDefault="00DD4810" w:rsidP="00F537B9">
      <w:pPr>
        <w:pStyle w:val="FootnoteText"/>
        <w:rPr>
          <w:szCs w:val="24"/>
        </w:rPr>
      </w:pPr>
      <w:r w:rsidRPr="00F537B9">
        <w:rPr>
          <w:rStyle w:val="FootnoteReference"/>
        </w:rPr>
        <w:footnoteRef/>
      </w:r>
      <w:r w:rsidRPr="00F537B9">
        <w:tab/>
        <w:t>Technická a/alebo administratívna pomoc</w:t>
      </w:r>
      <w:r w:rsidR="00F537B9" w:rsidRPr="00F537B9">
        <w:t xml:space="preserve"> a </w:t>
      </w:r>
      <w:r w:rsidRPr="00F537B9">
        <w:t>výdavky na podporu vykonávania programov a/alebo akcií EÚ (pôvodné rozpočtové riadky „BA“), nepriamy výskum, priamy výskum.</w:t>
      </w:r>
    </w:p>
  </w:footnote>
  <w:footnote w:id="54">
    <w:p w14:paraId="3BBB61DD" w14:textId="0D621BDB" w:rsidR="00DD4810" w:rsidRPr="00F537B9" w:rsidRDefault="00DD4810" w:rsidP="00F537B9">
      <w:pPr>
        <w:pStyle w:val="FootnoteText"/>
        <w:rPr>
          <w:szCs w:val="24"/>
        </w:rPr>
      </w:pPr>
      <w:r w:rsidRPr="00F537B9">
        <w:rPr>
          <w:rStyle w:val="FootnoteReference"/>
        </w:rPr>
        <w:footnoteRef/>
      </w:r>
      <w:r w:rsidRPr="00F537B9">
        <w:tab/>
        <w:t>ZZ = zmluvný zamestnanec; MZ = miestny zamestnanec; VNE = vyslaný národný expert; DAZ = dočasný agentúrny zamestnanec; PED = pomocný expert</w:t>
      </w:r>
      <w:r w:rsidR="00F537B9" w:rsidRPr="00F537B9">
        <w:t xml:space="preserve"> v </w:t>
      </w:r>
      <w:r w:rsidRPr="00F537B9">
        <w:t>delegácii</w:t>
      </w:r>
      <w:r w:rsidR="00F537B9" w:rsidRPr="00F537B9">
        <w:t>.</w:t>
      </w:r>
    </w:p>
  </w:footnote>
  <w:footnote w:id="55">
    <w:p w14:paraId="1EA63A72" w14:textId="25711480" w:rsidR="00DD4810" w:rsidRPr="00F537B9" w:rsidRDefault="00DD4810" w:rsidP="00F537B9">
      <w:pPr>
        <w:pStyle w:val="FootnoteText"/>
        <w:rPr>
          <w:szCs w:val="24"/>
        </w:rPr>
      </w:pPr>
      <w:r w:rsidRPr="00F537B9">
        <w:rPr>
          <w:rStyle w:val="FootnoteReference"/>
        </w:rPr>
        <w:footnoteRef/>
      </w:r>
      <w:r w:rsidRPr="00F537B9">
        <w:tab/>
        <w:t>Čiastkový strop pre externých zamestnancov financovaných</w:t>
      </w:r>
      <w:r w:rsidR="00F537B9" w:rsidRPr="00F537B9">
        <w:t xml:space="preserve"> z </w:t>
      </w:r>
      <w:r w:rsidRPr="00F537B9">
        <w:t>operačných rozpočtových prostriedkov (pôvodné rozpočtové riadky „BA“).</w:t>
      </w:r>
    </w:p>
  </w:footnote>
  <w:footnote w:id="56">
    <w:p w14:paraId="6A1CF51D" w14:textId="6D6F3E85" w:rsidR="00DD4810" w:rsidRPr="00F537B9" w:rsidRDefault="00DD4810" w:rsidP="00F537B9">
      <w:pPr>
        <w:pStyle w:val="FootnoteText"/>
      </w:pPr>
      <w:r w:rsidRPr="00F537B9">
        <w:rPr>
          <w:rStyle w:val="FootnoteReference"/>
        </w:rPr>
        <w:footnoteRef/>
      </w:r>
      <w:r w:rsidRPr="00F537B9">
        <w:tab/>
        <w:t>Rok N je rokom,</w:t>
      </w:r>
      <w:r w:rsidR="00F537B9" w:rsidRPr="00F537B9">
        <w:t xml:space="preserve"> v </w:t>
      </w:r>
      <w:r w:rsidRPr="00F537B9">
        <w:t>ktorom sa návrh/iniciatíva začína vykonávať. Nahraďte „N“ očakávaným prvým rokom vykonávania (napríklad: 2021). To isté urobte aj pri nasledujúcich rokoch.</w:t>
      </w:r>
    </w:p>
  </w:footnote>
  <w:footnote w:id="57">
    <w:p w14:paraId="73F4413C" w14:textId="54EBCC37" w:rsidR="00DD4810" w:rsidRPr="00F537B9" w:rsidRDefault="00DD4810" w:rsidP="00F537B9">
      <w:pPr>
        <w:pStyle w:val="FootnoteText"/>
        <w:rPr>
          <w:szCs w:val="24"/>
        </w:rPr>
      </w:pPr>
      <w:r w:rsidRPr="00F537B9">
        <w:rPr>
          <w:rStyle w:val="FootnoteReference"/>
        </w:rPr>
        <w:footnoteRef/>
      </w:r>
      <w:r w:rsidRPr="00F537B9">
        <w:tab/>
        <w:t>Pokiaľ ide</w:t>
      </w:r>
      <w:r w:rsidR="00F537B9" w:rsidRPr="00F537B9">
        <w:t xml:space="preserve"> o </w:t>
      </w:r>
      <w:r w:rsidRPr="00F537B9">
        <w:t>tradičné vlastné zdroje (clá, odvody</w:t>
      </w:r>
      <w:r w:rsidR="00F537B9" w:rsidRPr="00F537B9">
        <w:t xml:space="preserve"> z </w:t>
      </w:r>
      <w:r w:rsidRPr="00F537B9">
        <w:t>produkcie cukru), uvedené sumy musia predstavovať čisté sumy, t. j. hrubé sumy po odčítaní 20</w:t>
      </w:r>
      <w:r w:rsidR="00F537B9" w:rsidRPr="00F537B9">
        <w:t> %</w:t>
      </w:r>
      <w:r w:rsidRPr="00F537B9">
        <w:t xml:space="preserve"> na náklady na výber.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13B23" w14:textId="77777777" w:rsidR="004765B0" w:rsidRPr="004765B0" w:rsidRDefault="004765B0" w:rsidP="004765B0">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8205C" w14:textId="77777777" w:rsidR="004765B0" w:rsidRPr="004765B0" w:rsidRDefault="004765B0" w:rsidP="004765B0">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85FA9" w14:textId="77777777" w:rsidR="004609CB" w:rsidRPr="004609CB" w:rsidRDefault="004609CB" w:rsidP="004765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E2619" w14:textId="77777777" w:rsidR="004765B0" w:rsidRPr="004765B0" w:rsidRDefault="004765B0" w:rsidP="00476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10229DA"/>
    <w:multiLevelType w:val="multilevel"/>
    <w:tmpl w:val="92ECF794"/>
    <w:styleLink w:val="CurrentList1"/>
    <w:lvl w:ilvl="0">
      <w:start w:val="1"/>
      <w:numFmt w:val="lowerLetter"/>
      <w:lvlText w:val="(%1)"/>
      <w:lvlJc w:val="left"/>
      <w:pPr>
        <w:ind w:left="870" w:hanging="51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F0329BB"/>
    <w:multiLevelType w:val="hybridMultilevel"/>
    <w:tmpl w:val="36FCF452"/>
    <w:lvl w:ilvl="0" w:tplc="87C87216">
      <w:start w:val="1"/>
      <w:numFmt w:val="decimal"/>
      <w:pStyle w:val="wouldhave"/>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8"/>
  </w:num>
  <w:num w:numId="4">
    <w:abstractNumId w:val="18"/>
  </w:num>
  <w:num w:numId="5">
    <w:abstractNumId w:val="17"/>
  </w:num>
  <w:num w:numId="6">
    <w:abstractNumId w:val="28"/>
  </w:num>
  <w:num w:numId="7">
    <w:abstractNumId w:val="25"/>
  </w:num>
  <w:num w:numId="8">
    <w:abstractNumId w:val="29"/>
  </w:num>
  <w:num w:numId="9">
    <w:abstractNumId w:val="30"/>
  </w:num>
  <w:num w:numId="10">
    <w:abstractNumId w:val="2"/>
  </w:num>
  <w:num w:numId="11">
    <w:abstractNumId w:val="10"/>
  </w:num>
  <w:num w:numId="12">
    <w:abstractNumId w:val="3"/>
  </w:num>
  <w:num w:numId="13">
    <w:abstractNumId w:val="11"/>
  </w:num>
  <w:num w:numId="14">
    <w:abstractNumId w:val="9"/>
  </w:num>
  <w:num w:numId="15">
    <w:abstractNumId w:val="19"/>
  </w:num>
  <w:num w:numId="16">
    <w:abstractNumId w:val="1"/>
  </w:num>
  <w:num w:numId="17">
    <w:abstractNumId w:val="24"/>
    <w:lvlOverride w:ilvl="0">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num>
  <w:num w:numId="31">
    <w:abstractNumId w:val="12"/>
  </w:num>
  <w:num w:numId="32">
    <w:abstractNumId w:val="5"/>
    <w:lvlOverride w:ilvl="0">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27"/>
  </w:num>
  <w:num w:numId="37">
    <w:abstractNumId w:val="7"/>
  </w:num>
  <w:num w:numId="38">
    <w:abstractNumId w:val="14"/>
  </w:num>
  <w:num w:numId="39">
    <w:abstractNumId w:val="15"/>
  </w:num>
  <w:num w:numId="40">
    <w:abstractNumId w:val="5"/>
  </w:num>
  <w:num w:numId="41">
    <w:abstractNumId w:val="26"/>
  </w:num>
  <w:num w:numId="42">
    <w:abstractNumId w:val="4"/>
  </w:num>
  <w:num w:numId="43">
    <w:abstractNumId w:val="16"/>
  </w:num>
  <w:num w:numId="44">
    <w:abstractNumId w:val="22"/>
  </w:num>
  <w:num w:numId="45">
    <w:abstractNumId w:val="23"/>
  </w:num>
  <w:num w:numId="46">
    <w:abstractNumId w:val="6"/>
  </w:num>
  <w:num w:numId="47">
    <w:abstractNumId w:val="20"/>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3-11-08 18:21:0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BD33E16-1B81-4AB9-B5BA-E590685834AD"/>
    <w:docVar w:name="LW_COVERPAGE_TYPE" w:val="1"/>
    <w:docVar w:name="LW_CROSSREFERENCE" w:val="{SWD(2023) 308-309}"/>
    <w:docVar w:name="LW_DocType" w:val="COM"/>
    <w:docVar w:name="LW_EMISSION" w:val="12. 9. 2023"/>
    <w:docVar w:name="LW_EMISSION_ISODATE" w:val="2023-09-12"/>
    <w:docVar w:name="LW_EMISSION_LOCATION" w:val="STR"/>
    <w:docVar w:name="LW_EMISSION_PREFIX" w:val="V \u352?trasburgu"/>
    <w:docVar w:name="LW_EMISSION_SUFFIX" w:val=" "/>
    <w:docVar w:name="LW_ID_DOCMODEL" w:val="SJ-017"/>
    <w:docVar w:name="LW_ID_DOCSIGNATURE" w:val="SJ-017"/>
    <w:docVar w:name="LW_ID_DOCSTRUCTURE" w:val="COM/PL/ORG"/>
    <w:docVar w:name="LW_ID_DOCTYPE" w:val="SJ-017"/>
    <w:docVar w:name="LW_ID_STATUT" w:val="SJ-017"/>
    <w:docVar w:name="LW_INSERT_EXP.MOTIFS.NEW" w:val="1"/>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CNS"/>
    <w:docVar w:name="LW_REF.II.NEW.CP_NUMBER" w:val="0322"/>
    <w:docVar w:name="LW_REF.II.NEW.CP_YEAR" w:val="2023"/>
    <w:docVar w:name="LW_REF.INST.NEW" w:val="COM"/>
    <w:docVar w:name="LW_REF.INST.NEW_ADOPTED" w:val="final"/>
    <w:docVar w:name="LW_REF.INST.NEW_TEXT" w:val="(2023) 5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o transferovom oceňovaní"/>
    <w:docVar w:name="LW_TYPE.DOC.CP" w:val="SMERNICA RADY"/>
    <w:docVar w:name="LwApiVersions" w:val="LW4CoDe 1.23.2.0; LW 8.0, Build 20211117"/>
  </w:docVars>
  <w:rsids>
    <w:rsidRoot w:val="00544811"/>
    <w:rsid w:val="000000FD"/>
    <w:rsid w:val="00000407"/>
    <w:rsid w:val="00000638"/>
    <w:rsid w:val="000007F4"/>
    <w:rsid w:val="00001008"/>
    <w:rsid w:val="00001149"/>
    <w:rsid w:val="00001B4F"/>
    <w:rsid w:val="0000238C"/>
    <w:rsid w:val="000026E3"/>
    <w:rsid w:val="00002722"/>
    <w:rsid w:val="00002D8A"/>
    <w:rsid w:val="00002EC1"/>
    <w:rsid w:val="00003BE9"/>
    <w:rsid w:val="00004C6D"/>
    <w:rsid w:val="0000530C"/>
    <w:rsid w:val="00005B43"/>
    <w:rsid w:val="0000707A"/>
    <w:rsid w:val="00010C69"/>
    <w:rsid w:val="00011013"/>
    <w:rsid w:val="000110D1"/>
    <w:rsid w:val="000114A2"/>
    <w:rsid w:val="000116D8"/>
    <w:rsid w:val="000119FD"/>
    <w:rsid w:val="0001232E"/>
    <w:rsid w:val="000123AC"/>
    <w:rsid w:val="00012401"/>
    <w:rsid w:val="00013658"/>
    <w:rsid w:val="00013ED1"/>
    <w:rsid w:val="000148CC"/>
    <w:rsid w:val="00014CE3"/>
    <w:rsid w:val="00014F60"/>
    <w:rsid w:val="0001538A"/>
    <w:rsid w:val="00016477"/>
    <w:rsid w:val="00016D2F"/>
    <w:rsid w:val="00016F64"/>
    <w:rsid w:val="00017118"/>
    <w:rsid w:val="00017A23"/>
    <w:rsid w:val="00020715"/>
    <w:rsid w:val="00021A13"/>
    <w:rsid w:val="000228A5"/>
    <w:rsid w:val="00022B75"/>
    <w:rsid w:val="0002304E"/>
    <w:rsid w:val="000231F9"/>
    <w:rsid w:val="0002343E"/>
    <w:rsid w:val="00023861"/>
    <w:rsid w:val="00023DF0"/>
    <w:rsid w:val="000249D3"/>
    <w:rsid w:val="00024CCB"/>
    <w:rsid w:val="00025A9D"/>
    <w:rsid w:val="00025B8E"/>
    <w:rsid w:val="00025CED"/>
    <w:rsid w:val="00026089"/>
    <w:rsid w:val="000262BF"/>
    <w:rsid w:val="00026464"/>
    <w:rsid w:val="000266CC"/>
    <w:rsid w:val="0002692D"/>
    <w:rsid w:val="0003099A"/>
    <w:rsid w:val="00030A7F"/>
    <w:rsid w:val="00030C7E"/>
    <w:rsid w:val="00031132"/>
    <w:rsid w:val="00031FCE"/>
    <w:rsid w:val="00032315"/>
    <w:rsid w:val="000329BE"/>
    <w:rsid w:val="000329DD"/>
    <w:rsid w:val="00033042"/>
    <w:rsid w:val="00033441"/>
    <w:rsid w:val="000335A0"/>
    <w:rsid w:val="0003410B"/>
    <w:rsid w:val="000345E1"/>
    <w:rsid w:val="000347A3"/>
    <w:rsid w:val="00035450"/>
    <w:rsid w:val="00035733"/>
    <w:rsid w:val="00035802"/>
    <w:rsid w:val="00036658"/>
    <w:rsid w:val="0003683C"/>
    <w:rsid w:val="000379EB"/>
    <w:rsid w:val="00040B69"/>
    <w:rsid w:val="00040F22"/>
    <w:rsid w:val="00041B3A"/>
    <w:rsid w:val="00042314"/>
    <w:rsid w:val="00042549"/>
    <w:rsid w:val="000425EB"/>
    <w:rsid w:val="00044286"/>
    <w:rsid w:val="00044BCA"/>
    <w:rsid w:val="00045271"/>
    <w:rsid w:val="00045C28"/>
    <w:rsid w:val="00046359"/>
    <w:rsid w:val="00047BB8"/>
    <w:rsid w:val="00047CE9"/>
    <w:rsid w:val="000500F4"/>
    <w:rsid w:val="000501EB"/>
    <w:rsid w:val="00050AD2"/>
    <w:rsid w:val="00050B68"/>
    <w:rsid w:val="000510AA"/>
    <w:rsid w:val="00051BA3"/>
    <w:rsid w:val="00051DD3"/>
    <w:rsid w:val="00051E79"/>
    <w:rsid w:val="000521C8"/>
    <w:rsid w:val="00052383"/>
    <w:rsid w:val="0005296B"/>
    <w:rsid w:val="00053505"/>
    <w:rsid w:val="00053921"/>
    <w:rsid w:val="00055B3B"/>
    <w:rsid w:val="00055CB0"/>
    <w:rsid w:val="000562D2"/>
    <w:rsid w:val="00056634"/>
    <w:rsid w:val="00057C17"/>
    <w:rsid w:val="00057EE1"/>
    <w:rsid w:val="00060213"/>
    <w:rsid w:val="000608EC"/>
    <w:rsid w:val="000619C4"/>
    <w:rsid w:val="00063A5B"/>
    <w:rsid w:val="00063AFE"/>
    <w:rsid w:val="00064000"/>
    <w:rsid w:val="000642D9"/>
    <w:rsid w:val="0006492B"/>
    <w:rsid w:val="00064E3D"/>
    <w:rsid w:val="00065502"/>
    <w:rsid w:val="000656AB"/>
    <w:rsid w:val="00066855"/>
    <w:rsid w:val="00066B95"/>
    <w:rsid w:val="00066E66"/>
    <w:rsid w:val="00066FDC"/>
    <w:rsid w:val="00067181"/>
    <w:rsid w:val="000672BD"/>
    <w:rsid w:val="000676AB"/>
    <w:rsid w:val="00067A8B"/>
    <w:rsid w:val="00067DF0"/>
    <w:rsid w:val="00070247"/>
    <w:rsid w:val="000704C7"/>
    <w:rsid w:val="000719FD"/>
    <w:rsid w:val="00072B82"/>
    <w:rsid w:val="00072C23"/>
    <w:rsid w:val="00073813"/>
    <w:rsid w:val="00073986"/>
    <w:rsid w:val="00073B7A"/>
    <w:rsid w:val="00073D86"/>
    <w:rsid w:val="0007454D"/>
    <w:rsid w:val="00074830"/>
    <w:rsid w:val="0007509D"/>
    <w:rsid w:val="000763E7"/>
    <w:rsid w:val="0007678C"/>
    <w:rsid w:val="00076AAD"/>
    <w:rsid w:val="00076D02"/>
    <w:rsid w:val="00076D88"/>
    <w:rsid w:val="00077EA1"/>
    <w:rsid w:val="00080170"/>
    <w:rsid w:val="000804B9"/>
    <w:rsid w:val="00080896"/>
    <w:rsid w:val="000816EE"/>
    <w:rsid w:val="00081842"/>
    <w:rsid w:val="00081FAF"/>
    <w:rsid w:val="00082C3D"/>
    <w:rsid w:val="00083F83"/>
    <w:rsid w:val="00084740"/>
    <w:rsid w:val="0008481A"/>
    <w:rsid w:val="00084909"/>
    <w:rsid w:val="00084942"/>
    <w:rsid w:val="00085730"/>
    <w:rsid w:val="0008597D"/>
    <w:rsid w:val="00087AE9"/>
    <w:rsid w:val="00087BF0"/>
    <w:rsid w:val="00091205"/>
    <w:rsid w:val="0009153A"/>
    <w:rsid w:val="000930C4"/>
    <w:rsid w:val="00093CC6"/>
    <w:rsid w:val="0009529C"/>
    <w:rsid w:val="00095B64"/>
    <w:rsid w:val="00097073"/>
    <w:rsid w:val="00097A07"/>
    <w:rsid w:val="000A05F7"/>
    <w:rsid w:val="000A094E"/>
    <w:rsid w:val="000A12B5"/>
    <w:rsid w:val="000A1FFA"/>
    <w:rsid w:val="000A23C0"/>
    <w:rsid w:val="000A3082"/>
    <w:rsid w:val="000A4967"/>
    <w:rsid w:val="000A4DEA"/>
    <w:rsid w:val="000A6649"/>
    <w:rsid w:val="000A7791"/>
    <w:rsid w:val="000A7F79"/>
    <w:rsid w:val="000B0D04"/>
    <w:rsid w:val="000B2125"/>
    <w:rsid w:val="000B2C07"/>
    <w:rsid w:val="000B2F67"/>
    <w:rsid w:val="000B3A57"/>
    <w:rsid w:val="000B4774"/>
    <w:rsid w:val="000B4B7C"/>
    <w:rsid w:val="000B4E03"/>
    <w:rsid w:val="000B56CB"/>
    <w:rsid w:val="000B57F5"/>
    <w:rsid w:val="000B5F2D"/>
    <w:rsid w:val="000B6338"/>
    <w:rsid w:val="000B6A51"/>
    <w:rsid w:val="000B7D13"/>
    <w:rsid w:val="000C02C1"/>
    <w:rsid w:val="000C067C"/>
    <w:rsid w:val="000C1E2E"/>
    <w:rsid w:val="000C25D8"/>
    <w:rsid w:val="000C3174"/>
    <w:rsid w:val="000C3D92"/>
    <w:rsid w:val="000C4E84"/>
    <w:rsid w:val="000C5FC8"/>
    <w:rsid w:val="000C6066"/>
    <w:rsid w:val="000C6AA9"/>
    <w:rsid w:val="000C6B8D"/>
    <w:rsid w:val="000C6F5D"/>
    <w:rsid w:val="000C737F"/>
    <w:rsid w:val="000C76E8"/>
    <w:rsid w:val="000C7977"/>
    <w:rsid w:val="000D016B"/>
    <w:rsid w:val="000D020F"/>
    <w:rsid w:val="000D0409"/>
    <w:rsid w:val="000D0B77"/>
    <w:rsid w:val="000D0BD4"/>
    <w:rsid w:val="000D0DB8"/>
    <w:rsid w:val="000D1038"/>
    <w:rsid w:val="000D1162"/>
    <w:rsid w:val="000D1BE5"/>
    <w:rsid w:val="000D3362"/>
    <w:rsid w:val="000D3604"/>
    <w:rsid w:val="000D381C"/>
    <w:rsid w:val="000D3E10"/>
    <w:rsid w:val="000D418A"/>
    <w:rsid w:val="000D5346"/>
    <w:rsid w:val="000D5844"/>
    <w:rsid w:val="000D5EF0"/>
    <w:rsid w:val="000D6173"/>
    <w:rsid w:val="000D636A"/>
    <w:rsid w:val="000D7245"/>
    <w:rsid w:val="000D781A"/>
    <w:rsid w:val="000E0ABF"/>
    <w:rsid w:val="000E1588"/>
    <w:rsid w:val="000E16FD"/>
    <w:rsid w:val="000E1791"/>
    <w:rsid w:val="000E1E45"/>
    <w:rsid w:val="000E322B"/>
    <w:rsid w:val="000E354B"/>
    <w:rsid w:val="000E3F6D"/>
    <w:rsid w:val="000E3FC1"/>
    <w:rsid w:val="000E42A7"/>
    <w:rsid w:val="000E4FD4"/>
    <w:rsid w:val="000E5683"/>
    <w:rsid w:val="000E5C5D"/>
    <w:rsid w:val="000E6FAD"/>
    <w:rsid w:val="000E75CF"/>
    <w:rsid w:val="000F016E"/>
    <w:rsid w:val="000F0474"/>
    <w:rsid w:val="000F09B2"/>
    <w:rsid w:val="000F0C41"/>
    <w:rsid w:val="000F0D86"/>
    <w:rsid w:val="000F0DCE"/>
    <w:rsid w:val="000F1927"/>
    <w:rsid w:val="000F27B6"/>
    <w:rsid w:val="000F2AFA"/>
    <w:rsid w:val="000F3483"/>
    <w:rsid w:val="000F5AF9"/>
    <w:rsid w:val="000F61F7"/>
    <w:rsid w:val="000F66F1"/>
    <w:rsid w:val="000F732D"/>
    <w:rsid w:val="00100203"/>
    <w:rsid w:val="00100350"/>
    <w:rsid w:val="001007ED"/>
    <w:rsid w:val="00100C71"/>
    <w:rsid w:val="00101A5B"/>
    <w:rsid w:val="00101E68"/>
    <w:rsid w:val="00103053"/>
    <w:rsid w:val="001037B2"/>
    <w:rsid w:val="00103C77"/>
    <w:rsid w:val="00103D51"/>
    <w:rsid w:val="00103DC1"/>
    <w:rsid w:val="001046ED"/>
    <w:rsid w:val="001062CB"/>
    <w:rsid w:val="001065F5"/>
    <w:rsid w:val="00106701"/>
    <w:rsid w:val="00106DC9"/>
    <w:rsid w:val="00107007"/>
    <w:rsid w:val="00107C0F"/>
    <w:rsid w:val="00110A51"/>
    <w:rsid w:val="001117BD"/>
    <w:rsid w:val="0011213A"/>
    <w:rsid w:val="001126B8"/>
    <w:rsid w:val="00112804"/>
    <w:rsid w:val="0011311C"/>
    <w:rsid w:val="0011350B"/>
    <w:rsid w:val="001141DC"/>
    <w:rsid w:val="00115634"/>
    <w:rsid w:val="001157FD"/>
    <w:rsid w:val="00115C8F"/>
    <w:rsid w:val="0011657C"/>
    <w:rsid w:val="001165C8"/>
    <w:rsid w:val="00116C63"/>
    <w:rsid w:val="00116DD9"/>
    <w:rsid w:val="00117614"/>
    <w:rsid w:val="00120106"/>
    <w:rsid w:val="00120F87"/>
    <w:rsid w:val="00121E2B"/>
    <w:rsid w:val="001226D6"/>
    <w:rsid w:val="0012277B"/>
    <w:rsid w:val="001231DB"/>
    <w:rsid w:val="001233D0"/>
    <w:rsid w:val="001238EF"/>
    <w:rsid w:val="00124791"/>
    <w:rsid w:val="001251B2"/>
    <w:rsid w:val="00125829"/>
    <w:rsid w:val="00125EA7"/>
    <w:rsid w:val="00125FC0"/>
    <w:rsid w:val="00126CF5"/>
    <w:rsid w:val="001272FA"/>
    <w:rsid w:val="00127705"/>
    <w:rsid w:val="00127EE1"/>
    <w:rsid w:val="00130081"/>
    <w:rsid w:val="00130A12"/>
    <w:rsid w:val="00131795"/>
    <w:rsid w:val="00131BE9"/>
    <w:rsid w:val="0013294C"/>
    <w:rsid w:val="0013296B"/>
    <w:rsid w:val="00132BD6"/>
    <w:rsid w:val="00134B32"/>
    <w:rsid w:val="00134D96"/>
    <w:rsid w:val="0013524A"/>
    <w:rsid w:val="00135376"/>
    <w:rsid w:val="00136588"/>
    <w:rsid w:val="001373F6"/>
    <w:rsid w:val="00137BB9"/>
    <w:rsid w:val="00140732"/>
    <w:rsid w:val="00140DDE"/>
    <w:rsid w:val="00141903"/>
    <w:rsid w:val="00141B57"/>
    <w:rsid w:val="00141BB0"/>
    <w:rsid w:val="001428EE"/>
    <w:rsid w:val="00142BFD"/>
    <w:rsid w:val="00143796"/>
    <w:rsid w:val="001446D9"/>
    <w:rsid w:val="0014536B"/>
    <w:rsid w:val="00146DCD"/>
    <w:rsid w:val="00146EE3"/>
    <w:rsid w:val="00147B67"/>
    <w:rsid w:val="00153659"/>
    <w:rsid w:val="00153B61"/>
    <w:rsid w:val="001550F2"/>
    <w:rsid w:val="00155682"/>
    <w:rsid w:val="00155A86"/>
    <w:rsid w:val="00156096"/>
    <w:rsid w:val="001577A3"/>
    <w:rsid w:val="001600F5"/>
    <w:rsid w:val="0016064A"/>
    <w:rsid w:val="0016094F"/>
    <w:rsid w:val="0016214C"/>
    <w:rsid w:val="00162262"/>
    <w:rsid w:val="00162820"/>
    <w:rsid w:val="00162B12"/>
    <w:rsid w:val="00162CA7"/>
    <w:rsid w:val="00163315"/>
    <w:rsid w:val="00163C6D"/>
    <w:rsid w:val="00163F89"/>
    <w:rsid w:val="001644D2"/>
    <w:rsid w:val="0016496E"/>
    <w:rsid w:val="0016713B"/>
    <w:rsid w:val="00167221"/>
    <w:rsid w:val="00167420"/>
    <w:rsid w:val="001701CF"/>
    <w:rsid w:val="0017022D"/>
    <w:rsid w:val="001707D3"/>
    <w:rsid w:val="001711F3"/>
    <w:rsid w:val="00171271"/>
    <w:rsid w:val="00171631"/>
    <w:rsid w:val="00171716"/>
    <w:rsid w:val="00171F55"/>
    <w:rsid w:val="001722AC"/>
    <w:rsid w:val="0017280A"/>
    <w:rsid w:val="00172A43"/>
    <w:rsid w:val="00172E64"/>
    <w:rsid w:val="00174477"/>
    <w:rsid w:val="00174770"/>
    <w:rsid w:val="00175637"/>
    <w:rsid w:val="00175B84"/>
    <w:rsid w:val="00175CE7"/>
    <w:rsid w:val="00175D21"/>
    <w:rsid w:val="00175F05"/>
    <w:rsid w:val="00176562"/>
    <w:rsid w:val="0017672E"/>
    <w:rsid w:val="00176E91"/>
    <w:rsid w:val="0018044B"/>
    <w:rsid w:val="00180603"/>
    <w:rsid w:val="00180633"/>
    <w:rsid w:val="001815B8"/>
    <w:rsid w:val="001815F5"/>
    <w:rsid w:val="00182917"/>
    <w:rsid w:val="001844FC"/>
    <w:rsid w:val="001846E4"/>
    <w:rsid w:val="001854A1"/>
    <w:rsid w:val="001855B6"/>
    <w:rsid w:val="00185F39"/>
    <w:rsid w:val="00187AFE"/>
    <w:rsid w:val="00187E75"/>
    <w:rsid w:val="00190016"/>
    <w:rsid w:val="00190098"/>
    <w:rsid w:val="001906E6"/>
    <w:rsid w:val="00190847"/>
    <w:rsid w:val="001908CA"/>
    <w:rsid w:val="00191285"/>
    <w:rsid w:val="001918A5"/>
    <w:rsid w:val="00191A4B"/>
    <w:rsid w:val="00191FC3"/>
    <w:rsid w:val="001926C1"/>
    <w:rsid w:val="00192BE8"/>
    <w:rsid w:val="00193BE7"/>
    <w:rsid w:val="00194EE3"/>
    <w:rsid w:val="0019548F"/>
    <w:rsid w:val="00196C6D"/>
    <w:rsid w:val="00196D07"/>
    <w:rsid w:val="00197613"/>
    <w:rsid w:val="001978F4"/>
    <w:rsid w:val="00197FE5"/>
    <w:rsid w:val="001A05D9"/>
    <w:rsid w:val="001A15ED"/>
    <w:rsid w:val="001A1AAC"/>
    <w:rsid w:val="001A36A8"/>
    <w:rsid w:val="001A4842"/>
    <w:rsid w:val="001A5218"/>
    <w:rsid w:val="001A5F61"/>
    <w:rsid w:val="001A62A9"/>
    <w:rsid w:val="001A650E"/>
    <w:rsid w:val="001A78E6"/>
    <w:rsid w:val="001B017B"/>
    <w:rsid w:val="001B16C0"/>
    <w:rsid w:val="001B193B"/>
    <w:rsid w:val="001B1F2E"/>
    <w:rsid w:val="001B1F36"/>
    <w:rsid w:val="001B29C2"/>
    <w:rsid w:val="001B29C4"/>
    <w:rsid w:val="001B2FBF"/>
    <w:rsid w:val="001B36DA"/>
    <w:rsid w:val="001B3D78"/>
    <w:rsid w:val="001B55F3"/>
    <w:rsid w:val="001B60E3"/>
    <w:rsid w:val="001B717B"/>
    <w:rsid w:val="001B7E7E"/>
    <w:rsid w:val="001B7F42"/>
    <w:rsid w:val="001C0426"/>
    <w:rsid w:val="001C0750"/>
    <w:rsid w:val="001C12DD"/>
    <w:rsid w:val="001C14D0"/>
    <w:rsid w:val="001C265E"/>
    <w:rsid w:val="001C2CEF"/>
    <w:rsid w:val="001C3147"/>
    <w:rsid w:val="001C3260"/>
    <w:rsid w:val="001C34F3"/>
    <w:rsid w:val="001C59A7"/>
    <w:rsid w:val="001C73C6"/>
    <w:rsid w:val="001C7FE2"/>
    <w:rsid w:val="001D10F7"/>
    <w:rsid w:val="001D1FE2"/>
    <w:rsid w:val="001D2D21"/>
    <w:rsid w:val="001D2FBC"/>
    <w:rsid w:val="001D36D7"/>
    <w:rsid w:val="001D3F60"/>
    <w:rsid w:val="001D4C4E"/>
    <w:rsid w:val="001D557E"/>
    <w:rsid w:val="001D5872"/>
    <w:rsid w:val="001D662D"/>
    <w:rsid w:val="001D69F6"/>
    <w:rsid w:val="001D6ED7"/>
    <w:rsid w:val="001D73EC"/>
    <w:rsid w:val="001D7653"/>
    <w:rsid w:val="001D79C5"/>
    <w:rsid w:val="001E0258"/>
    <w:rsid w:val="001E0A59"/>
    <w:rsid w:val="001E0BD5"/>
    <w:rsid w:val="001E14DB"/>
    <w:rsid w:val="001E3ABA"/>
    <w:rsid w:val="001E4138"/>
    <w:rsid w:val="001E41BD"/>
    <w:rsid w:val="001E4B4E"/>
    <w:rsid w:val="001E517A"/>
    <w:rsid w:val="001E6BD3"/>
    <w:rsid w:val="001E79E3"/>
    <w:rsid w:val="001E7B2E"/>
    <w:rsid w:val="001F152E"/>
    <w:rsid w:val="001F1C7F"/>
    <w:rsid w:val="001F2821"/>
    <w:rsid w:val="001F3923"/>
    <w:rsid w:val="001F430A"/>
    <w:rsid w:val="001F4732"/>
    <w:rsid w:val="001F493D"/>
    <w:rsid w:val="001F4BE3"/>
    <w:rsid w:val="001F4E06"/>
    <w:rsid w:val="001F5691"/>
    <w:rsid w:val="001F59A8"/>
    <w:rsid w:val="001F632B"/>
    <w:rsid w:val="001F6CF5"/>
    <w:rsid w:val="001F709B"/>
    <w:rsid w:val="001F7170"/>
    <w:rsid w:val="001F73BC"/>
    <w:rsid w:val="001F7509"/>
    <w:rsid w:val="001F7691"/>
    <w:rsid w:val="002005C6"/>
    <w:rsid w:val="0020060E"/>
    <w:rsid w:val="00200ED0"/>
    <w:rsid w:val="0020147A"/>
    <w:rsid w:val="002015FA"/>
    <w:rsid w:val="00202F1A"/>
    <w:rsid w:val="00203422"/>
    <w:rsid w:val="00203E1F"/>
    <w:rsid w:val="00204F71"/>
    <w:rsid w:val="002054F1"/>
    <w:rsid w:val="00206CC9"/>
    <w:rsid w:val="0021009A"/>
    <w:rsid w:val="0021040A"/>
    <w:rsid w:val="00210916"/>
    <w:rsid w:val="00210E8C"/>
    <w:rsid w:val="00211C57"/>
    <w:rsid w:val="00212A07"/>
    <w:rsid w:val="002130E9"/>
    <w:rsid w:val="00214045"/>
    <w:rsid w:val="00215437"/>
    <w:rsid w:val="00215AC2"/>
    <w:rsid w:val="00215DFB"/>
    <w:rsid w:val="00215FC4"/>
    <w:rsid w:val="00216669"/>
    <w:rsid w:val="0021717A"/>
    <w:rsid w:val="002214AF"/>
    <w:rsid w:val="00222052"/>
    <w:rsid w:val="0022263E"/>
    <w:rsid w:val="0022297B"/>
    <w:rsid w:val="0022328D"/>
    <w:rsid w:val="0022384B"/>
    <w:rsid w:val="002239F4"/>
    <w:rsid w:val="00223E6E"/>
    <w:rsid w:val="0022405B"/>
    <w:rsid w:val="0022430F"/>
    <w:rsid w:val="00224317"/>
    <w:rsid w:val="002251CB"/>
    <w:rsid w:val="002254F2"/>
    <w:rsid w:val="00225E89"/>
    <w:rsid w:val="0022606C"/>
    <w:rsid w:val="00226404"/>
    <w:rsid w:val="00226A21"/>
    <w:rsid w:val="00226AE7"/>
    <w:rsid w:val="00227AFC"/>
    <w:rsid w:val="002309D2"/>
    <w:rsid w:val="00231D84"/>
    <w:rsid w:val="00232358"/>
    <w:rsid w:val="00233DC7"/>
    <w:rsid w:val="00235625"/>
    <w:rsid w:val="00235CAE"/>
    <w:rsid w:val="002377A3"/>
    <w:rsid w:val="00237F32"/>
    <w:rsid w:val="00240E55"/>
    <w:rsid w:val="00241440"/>
    <w:rsid w:val="00241D4B"/>
    <w:rsid w:val="00241F7A"/>
    <w:rsid w:val="00242A9A"/>
    <w:rsid w:val="00242EE1"/>
    <w:rsid w:val="002437B8"/>
    <w:rsid w:val="002438A6"/>
    <w:rsid w:val="00244740"/>
    <w:rsid w:val="00244766"/>
    <w:rsid w:val="00244E5A"/>
    <w:rsid w:val="00245432"/>
    <w:rsid w:val="0024654D"/>
    <w:rsid w:val="00246686"/>
    <w:rsid w:val="002466A1"/>
    <w:rsid w:val="00246826"/>
    <w:rsid w:val="00246AF0"/>
    <w:rsid w:val="00247779"/>
    <w:rsid w:val="00247ADA"/>
    <w:rsid w:val="002503B9"/>
    <w:rsid w:val="00250A15"/>
    <w:rsid w:val="002511CF"/>
    <w:rsid w:val="002516E0"/>
    <w:rsid w:val="00251984"/>
    <w:rsid w:val="002524A2"/>
    <w:rsid w:val="0025391A"/>
    <w:rsid w:val="00253D8B"/>
    <w:rsid w:val="00253FB3"/>
    <w:rsid w:val="00254F2F"/>
    <w:rsid w:val="002553B1"/>
    <w:rsid w:val="0025592E"/>
    <w:rsid w:val="00256092"/>
    <w:rsid w:val="002560AA"/>
    <w:rsid w:val="00256762"/>
    <w:rsid w:val="00256D85"/>
    <w:rsid w:val="002571E8"/>
    <w:rsid w:val="00260946"/>
    <w:rsid w:val="002622C0"/>
    <w:rsid w:val="0026247F"/>
    <w:rsid w:val="002628B6"/>
    <w:rsid w:val="002629C8"/>
    <w:rsid w:val="00262B6A"/>
    <w:rsid w:val="00263E07"/>
    <w:rsid w:val="00264065"/>
    <w:rsid w:val="002650A8"/>
    <w:rsid w:val="0026641F"/>
    <w:rsid w:val="00266FA5"/>
    <w:rsid w:val="00267181"/>
    <w:rsid w:val="00270659"/>
    <w:rsid w:val="0027080B"/>
    <w:rsid w:val="00270889"/>
    <w:rsid w:val="00271442"/>
    <w:rsid w:val="002717BD"/>
    <w:rsid w:val="0027281C"/>
    <w:rsid w:val="002728F7"/>
    <w:rsid w:val="002730AD"/>
    <w:rsid w:val="0027352E"/>
    <w:rsid w:val="002740F3"/>
    <w:rsid w:val="00274295"/>
    <w:rsid w:val="002744A7"/>
    <w:rsid w:val="002744E5"/>
    <w:rsid w:val="002747A7"/>
    <w:rsid w:val="00275546"/>
    <w:rsid w:val="00275923"/>
    <w:rsid w:val="00275C39"/>
    <w:rsid w:val="00275E2E"/>
    <w:rsid w:val="0027736E"/>
    <w:rsid w:val="002779C7"/>
    <w:rsid w:val="002808D8"/>
    <w:rsid w:val="00281B0B"/>
    <w:rsid w:val="00282596"/>
    <w:rsid w:val="00282BA6"/>
    <w:rsid w:val="0028383F"/>
    <w:rsid w:val="002856D3"/>
    <w:rsid w:val="00285BEE"/>
    <w:rsid w:val="00286599"/>
    <w:rsid w:val="00286875"/>
    <w:rsid w:val="00286CAC"/>
    <w:rsid w:val="00287497"/>
    <w:rsid w:val="0028792A"/>
    <w:rsid w:val="00290280"/>
    <w:rsid w:val="002908CA"/>
    <w:rsid w:val="00290999"/>
    <w:rsid w:val="00290AA7"/>
    <w:rsid w:val="00290C63"/>
    <w:rsid w:val="00291D6E"/>
    <w:rsid w:val="00293B04"/>
    <w:rsid w:val="00293F4D"/>
    <w:rsid w:val="00294360"/>
    <w:rsid w:val="002948FE"/>
    <w:rsid w:val="00294B5A"/>
    <w:rsid w:val="0029533F"/>
    <w:rsid w:val="00295577"/>
    <w:rsid w:val="00295C59"/>
    <w:rsid w:val="00295CA3"/>
    <w:rsid w:val="002965B1"/>
    <w:rsid w:val="0029679E"/>
    <w:rsid w:val="00296DE2"/>
    <w:rsid w:val="00296F97"/>
    <w:rsid w:val="00297193"/>
    <w:rsid w:val="002978B5"/>
    <w:rsid w:val="00297E1E"/>
    <w:rsid w:val="002A0C77"/>
    <w:rsid w:val="002A0EE1"/>
    <w:rsid w:val="002A129E"/>
    <w:rsid w:val="002A1942"/>
    <w:rsid w:val="002A1A3C"/>
    <w:rsid w:val="002A2248"/>
    <w:rsid w:val="002A2E55"/>
    <w:rsid w:val="002A446E"/>
    <w:rsid w:val="002A4B63"/>
    <w:rsid w:val="002A4C6F"/>
    <w:rsid w:val="002A69BE"/>
    <w:rsid w:val="002A74BD"/>
    <w:rsid w:val="002B0A96"/>
    <w:rsid w:val="002B13C3"/>
    <w:rsid w:val="002B2561"/>
    <w:rsid w:val="002B2A06"/>
    <w:rsid w:val="002B30AF"/>
    <w:rsid w:val="002B38E6"/>
    <w:rsid w:val="002B50EE"/>
    <w:rsid w:val="002B519D"/>
    <w:rsid w:val="002B5A54"/>
    <w:rsid w:val="002B6712"/>
    <w:rsid w:val="002B6E2D"/>
    <w:rsid w:val="002B6EE8"/>
    <w:rsid w:val="002B76C5"/>
    <w:rsid w:val="002C00EF"/>
    <w:rsid w:val="002C09BA"/>
    <w:rsid w:val="002C1307"/>
    <w:rsid w:val="002C1727"/>
    <w:rsid w:val="002C1884"/>
    <w:rsid w:val="002C1CA0"/>
    <w:rsid w:val="002C253D"/>
    <w:rsid w:val="002C3ADF"/>
    <w:rsid w:val="002C5CC0"/>
    <w:rsid w:val="002C5D6C"/>
    <w:rsid w:val="002C60EA"/>
    <w:rsid w:val="002C6D21"/>
    <w:rsid w:val="002D1553"/>
    <w:rsid w:val="002D15BE"/>
    <w:rsid w:val="002D1D80"/>
    <w:rsid w:val="002D1E33"/>
    <w:rsid w:val="002D1ECF"/>
    <w:rsid w:val="002D1FC6"/>
    <w:rsid w:val="002D2869"/>
    <w:rsid w:val="002D28F6"/>
    <w:rsid w:val="002D32EC"/>
    <w:rsid w:val="002D4C36"/>
    <w:rsid w:val="002D51F1"/>
    <w:rsid w:val="002D5A38"/>
    <w:rsid w:val="002D6CFF"/>
    <w:rsid w:val="002D73AC"/>
    <w:rsid w:val="002E0AC1"/>
    <w:rsid w:val="002E1623"/>
    <w:rsid w:val="002E18A9"/>
    <w:rsid w:val="002E1B5F"/>
    <w:rsid w:val="002E1CE8"/>
    <w:rsid w:val="002E2023"/>
    <w:rsid w:val="002E204A"/>
    <w:rsid w:val="002E2581"/>
    <w:rsid w:val="002E2C83"/>
    <w:rsid w:val="002E2FF5"/>
    <w:rsid w:val="002E4330"/>
    <w:rsid w:val="002E4D72"/>
    <w:rsid w:val="002E54E6"/>
    <w:rsid w:val="002E5575"/>
    <w:rsid w:val="002E58D5"/>
    <w:rsid w:val="002E5FD5"/>
    <w:rsid w:val="002E6900"/>
    <w:rsid w:val="002E6A02"/>
    <w:rsid w:val="002E7149"/>
    <w:rsid w:val="002E736A"/>
    <w:rsid w:val="002E754C"/>
    <w:rsid w:val="002F0CFB"/>
    <w:rsid w:val="002F1072"/>
    <w:rsid w:val="002F1A80"/>
    <w:rsid w:val="002F1F00"/>
    <w:rsid w:val="002F2410"/>
    <w:rsid w:val="002F3105"/>
    <w:rsid w:val="002F352D"/>
    <w:rsid w:val="002F370E"/>
    <w:rsid w:val="002F3A37"/>
    <w:rsid w:val="002F4B40"/>
    <w:rsid w:val="002F4F5D"/>
    <w:rsid w:val="002F5795"/>
    <w:rsid w:val="002F59D2"/>
    <w:rsid w:val="002F5D53"/>
    <w:rsid w:val="002F5F18"/>
    <w:rsid w:val="002F6A16"/>
    <w:rsid w:val="002F6C86"/>
    <w:rsid w:val="002F6DC7"/>
    <w:rsid w:val="002F7D51"/>
    <w:rsid w:val="00302363"/>
    <w:rsid w:val="003029C0"/>
    <w:rsid w:val="0030317F"/>
    <w:rsid w:val="00303F75"/>
    <w:rsid w:val="00305B60"/>
    <w:rsid w:val="00305B81"/>
    <w:rsid w:val="003065B7"/>
    <w:rsid w:val="003067A7"/>
    <w:rsid w:val="00306B2D"/>
    <w:rsid w:val="0030798F"/>
    <w:rsid w:val="00310FA8"/>
    <w:rsid w:val="003114C7"/>
    <w:rsid w:val="00311F96"/>
    <w:rsid w:val="00312426"/>
    <w:rsid w:val="00312FCE"/>
    <w:rsid w:val="003144BC"/>
    <w:rsid w:val="00314562"/>
    <w:rsid w:val="003148DC"/>
    <w:rsid w:val="00314C27"/>
    <w:rsid w:val="00314CFE"/>
    <w:rsid w:val="00314EBE"/>
    <w:rsid w:val="00315A25"/>
    <w:rsid w:val="00316338"/>
    <w:rsid w:val="00316540"/>
    <w:rsid w:val="00316C60"/>
    <w:rsid w:val="00317F42"/>
    <w:rsid w:val="00321D7A"/>
    <w:rsid w:val="00322484"/>
    <w:rsid w:val="00322A70"/>
    <w:rsid w:val="0032417F"/>
    <w:rsid w:val="00324FD4"/>
    <w:rsid w:val="00325ACB"/>
    <w:rsid w:val="0032677F"/>
    <w:rsid w:val="00326848"/>
    <w:rsid w:val="00327800"/>
    <w:rsid w:val="0032785A"/>
    <w:rsid w:val="00327BF7"/>
    <w:rsid w:val="00327CF3"/>
    <w:rsid w:val="003312C0"/>
    <w:rsid w:val="003319C1"/>
    <w:rsid w:val="00332676"/>
    <w:rsid w:val="00332973"/>
    <w:rsid w:val="00332C30"/>
    <w:rsid w:val="0033344A"/>
    <w:rsid w:val="0033362C"/>
    <w:rsid w:val="00333ABA"/>
    <w:rsid w:val="00333C73"/>
    <w:rsid w:val="003343EB"/>
    <w:rsid w:val="003346D1"/>
    <w:rsid w:val="003353B1"/>
    <w:rsid w:val="00336454"/>
    <w:rsid w:val="0033661B"/>
    <w:rsid w:val="00336752"/>
    <w:rsid w:val="00336DCD"/>
    <w:rsid w:val="00337974"/>
    <w:rsid w:val="00340284"/>
    <w:rsid w:val="003402A6"/>
    <w:rsid w:val="00341941"/>
    <w:rsid w:val="00341C50"/>
    <w:rsid w:val="00341E27"/>
    <w:rsid w:val="00341F60"/>
    <w:rsid w:val="003430E9"/>
    <w:rsid w:val="0034384F"/>
    <w:rsid w:val="0034466A"/>
    <w:rsid w:val="00344974"/>
    <w:rsid w:val="00344B2E"/>
    <w:rsid w:val="00345C81"/>
    <w:rsid w:val="00345F20"/>
    <w:rsid w:val="00346060"/>
    <w:rsid w:val="003474EB"/>
    <w:rsid w:val="003477C8"/>
    <w:rsid w:val="00347FD9"/>
    <w:rsid w:val="003503D5"/>
    <w:rsid w:val="00350AB6"/>
    <w:rsid w:val="00351E89"/>
    <w:rsid w:val="0035206F"/>
    <w:rsid w:val="0035261D"/>
    <w:rsid w:val="00354BAE"/>
    <w:rsid w:val="00355233"/>
    <w:rsid w:val="00355494"/>
    <w:rsid w:val="003562D4"/>
    <w:rsid w:val="00356AA0"/>
    <w:rsid w:val="00357987"/>
    <w:rsid w:val="0036017A"/>
    <w:rsid w:val="00360520"/>
    <w:rsid w:val="00360975"/>
    <w:rsid w:val="00360C55"/>
    <w:rsid w:val="003612C2"/>
    <w:rsid w:val="003619A7"/>
    <w:rsid w:val="0036253E"/>
    <w:rsid w:val="00362D73"/>
    <w:rsid w:val="003639BC"/>
    <w:rsid w:val="003649AB"/>
    <w:rsid w:val="003649D2"/>
    <w:rsid w:val="00365AFA"/>
    <w:rsid w:val="003665FE"/>
    <w:rsid w:val="003672AA"/>
    <w:rsid w:val="003675C5"/>
    <w:rsid w:val="00370932"/>
    <w:rsid w:val="00370A68"/>
    <w:rsid w:val="00371166"/>
    <w:rsid w:val="00371226"/>
    <w:rsid w:val="0037136E"/>
    <w:rsid w:val="00371612"/>
    <w:rsid w:val="00372781"/>
    <w:rsid w:val="00372CE0"/>
    <w:rsid w:val="00373198"/>
    <w:rsid w:val="003750C9"/>
    <w:rsid w:val="003751E3"/>
    <w:rsid w:val="003753F2"/>
    <w:rsid w:val="003779B3"/>
    <w:rsid w:val="00377C88"/>
    <w:rsid w:val="00380072"/>
    <w:rsid w:val="003801F6"/>
    <w:rsid w:val="0038027C"/>
    <w:rsid w:val="00380C4F"/>
    <w:rsid w:val="00381B9D"/>
    <w:rsid w:val="00382125"/>
    <w:rsid w:val="0038238B"/>
    <w:rsid w:val="00382CE8"/>
    <w:rsid w:val="00382D26"/>
    <w:rsid w:val="0038392F"/>
    <w:rsid w:val="00383B55"/>
    <w:rsid w:val="00384000"/>
    <w:rsid w:val="0038425D"/>
    <w:rsid w:val="00384361"/>
    <w:rsid w:val="00384718"/>
    <w:rsid w:val="003855FC"/>
    <w:rsid w:val="00385E90"/>
    <w:rsid w:val="00386211"/>
    <w:rsid w:val="0038708B"/>
    <w:rsid w:val="00387613"/>
    <w:rsid w:val="003917B1"/>
    <w:rsid w:val="0039214D"/>
    <w:rsid w:val="00392304"/>
    <w:rsid w:val="00392AE8"/>
    <w:rsid w:val="00393389"/>
    <w:rsid w:val="003933EC"/>
    <w:rsid w:val="003945DA"/>
    <w:rsid w:val="00394E73"/>
    <w:rsid w:val="00396488"/>
    <w:rsid w:val="00397335"/>
    <w:rsid w:val="00397471"/>
    <w:rsid w:val="0039752A"/>
    <w:rsid w:val="003977A9"/>
    <w:rsid w:val="003A0053"/>
    <w:rsid w:val="003A0100"/>
    <w:rsid w:val="003A091B"/>
    <w:rsid w:val="003A0CFC"/>
    <w:rsid w:val="003A0EAA"/>
    <w:rsid w:val="003A23A0"/>
    <w:rsid w:val="003A2AFC"/>
    <w:rsid w:val="003A3223"/>
    <w:rsid w:val="003A3936"/>
    <w:rsid w:val="003A42E2"/>
    <w:rsid w:val="003A6AF0"/>
    <w:rsid w:val="003A785D"/>
    <w:rsid w:val="003B0888"/>
    <w:rsid w:val="003B0963"/>
    <w:rsid w:val="003B0E25"/>
    <w:rsid w:val="003B28BA"/>
    <w:rsid w:val="003B2F45"/>
    <w:rsid w:val="003B3067"/>
    <w:rsid w:val="003B3F52"/>
    <w:rsid w:val="003B3FA7"/>
    <w:rsid w:val="003B4662"/>
    <w:rsid w:val="003B4B56"/>
    <w:rsid w:val="003B5562"/>
    <w:rsid w:val="003B5A23"/>
    <w:rsid w:val="003B6465"/>
    <w:rsid w:val="003B6689"/>
    <w:rsid w:val="003B695E"/>
    <w:rsid w:val="003B6A0E"/>
    <w:rsid w:val="003B6DF5"/>
    <w:rsid w:val="003B70AC"/>
    <w:rsid w:val="003B791B"/>
    <w:rsid w:val="003B79FA"/>
    <w:rsid w:val="003C080B"/>
    <w:rsid w:val="003C0970"/>
    <w:rsid w:val="003C0F5E"/>
    <w:rsid w:val="003C1A82"/>
    <w:rsid w:val="003C2023"/>
    <w:rsid w:val="003C2189"/>
    <w:rsid w:val="003C2EC7"/>
    <w:rsid w:val="003C307B"/>
    <w:rsid w:val="003C313A"/>
    <w:rsid w:val="003C31CA"/>
    <w:rsid w:val="003C3558"/>
    <w:rsid w:val="003C4B72"/>
    <w:rsid w:val="003C76B3"/>
    <w:rsid w:val="003D0D08"/>
    <w:rsid w:val="003D1235"/>
    <w:rsid w:val="003D217C"/>
    <w:rsid w:val="003D240F"/>
    <w:rsid w:val="003D2582"/>
    <w:rsid w:val="003D2680"/>
    <w:rsid w:val="003D3E13"/>
    <w:rsid w:val="003D4024"/>
    <w:rsid w:val="003D4209"/>
    <w:rsid w:val="003D42F3"/>
    <w:rsid w:val="003D52E2"/>
    <w:rsid w:val="003D5365"/>
    <w:rsid w:val="003D53FA"/>
    <w:rsid w:val="003D5A2B"/>
    <w:rsid w:val="003D6004"/>
    <w:rsid w:val="003D625C"/>
    <w:rsid w:val="003D62A7"/>
    <w:rsid w:val="003D66F3"/>
    <w:rsid w:val="003D6A85"/>
    <w:rsid w:val="003D6ADB"/>
    <w:rsid w:val="003D7B74"/>
    <w:rsid w:val="003E0474"/>
    <w:rsid w:val="003E0D4A"/>
    <w:rsid w:val="003E15FB"/>
    <w:rsid w:val="003E17B3"/>
    <w:rsid w:val="003E1B3C"/>
    <w:rsid w:val="003E1FA0"/>
    <w:rsid w:val="003E29F6"/>
    <w:rsid w:val="003E3074"/>
    <w:rsid w:val="003E3D80"/>
    <w:rsid w:val="003E587B"/>
    <w:rsid w:val="003E6020"/>
    <w:rsid w:val="003E6A98"/>
    <w:rsid w:val="003E6DF9"/>
    <w:rsid w:val="003E7017"/>
    <w:rsid w:val="003E7865"/>
    <w:rsid w:val="003E7FB4"/>
    <w:rsid w:val="003F1A19"/>
    <w:rsid w:val="003F1D41"/>
    <w:rsid w:val="003F1D89"/>
    <w:rsid w:val="003F2548"/>
    <w:rsid w:val="003F3383"/>
    <w:rsid w:val="003F339B"/>
    <w:rsid w:val="003F3BD3"/>
    <w:rsid w:val="003F3D77"/>
    <w:rsid w:val="003F435E"/>
    <w:rsid w:val="003F4A31"/>
    <w:rsid w:val="003F5C0A"/>
    <w:rsid w:val="003F5C4F"/>
    <w:rsid w:val="003F6014"/>
    <w:rsid w:val="003F7985"/>
    <w:rsid w:val="003F7D2E"/>
    <w:rsid w:val="003F7F3D"/>
    <w:rsid w:val="00400D1E"/>
    <w:rsid w:val="00401384"/>
    <w:rsid w:val="00401798"/>
    <w:rsid w:val="00401B02"/>
    <w:rsid w:val="00401D35"/>
    <w:rsid w:val="00401F1C"/>
    <w:rsid w:val="0040280F"/>
    <w:rsid w:val="00402B89"/>
    <w:rsid w:val="00402CAD"/>
    <w:rsid w:val="00404031"/>
    <w:rsid w:val="004043D0"/>
    <w:rsid w:val="0040550A"/>
    <w:rsid w:val="00406016"/>
    <w:rsid w:val="00411295"/>
    <w:rsid w:val="004112FB"/>
    <w:rsid w:val="00411453"/>
    <w:rsid w:val="0041163E"/>
    <w:rsid w:val="0041240C"/>
    <w:rsid w:val="00413F6A"/>
    <w:rsid w:val="00414392"/>
    <w:rsid w:val="00414D60"/>
    <w:rsid w:val="004152B8"/>
    <w:rsid w:val="00415BA9"/>
    <w:rsid w:val="00416851"/>
    <w:rsid w:val="00416DC6"/>
    <w:rsid w:val="00421057"/>
    <w:rsid w:val="0042142E"/>
    <w:rsid w:val="00423281"/>
    <w:rsid w:val="0042342F"/>
    <w:rsid w:val="004249DF"/>
    <w:rsid w:val="0042573D"/>
    <w:rsid w:val="00425BD8"/>
    <w:rsid w:val="00425C40"/>
    <w:rsid w:val="0042648E"/>
    <w:rsid w:val="00426BD7"/>
    <w:rsid w:val="00426EE4"/>
    <w:rsid w:val="00430103"/>
    <w:rsid w:val="0043089D"/>
    <w:rsid w:val="00431266"/>
    <w:rsid w:val="00432766"/>
    <w:rsid w:val="004345CB"/>
    <w:rsid w:val="0043484B"/>
    <w:rsid w:val="0043517D"/>
    <w:rsid w:val="00435587"/>
    <w:rsid w:val="00435963"/>
    <w:rsid w:val="004360B1"/>
    <w:rsid w:val="004379CE"/>
    <w:rsid w:val="00437DBD"/>
    <w:rsid w:val="00440C01"/>
    <w:rsid w:val="00441F10"/>
    <w:rsid w:val="0044233F"/>
    <w:rsid w:val="0044271B"/>
    <w:rsid w:val="00442A24"/>
    <w:rsid w:val="00442B5A"/>
    <w:rsid w:val="00443B4F"/>
    <w:rsid w:val="00443C2F"/>
    <w:rsid w:val="0044445B"/>
    <w:rsid w:val="00444B53"/>
    <w:rsid w:val="00446585"/>
    <w:rsid w:val="004472F6"/>
    <w:rsid w:val="004474C3"/>
    <w:rsid w:val="0044782C"/>
    <w:rsid w:val="0045004A"/>
    <w:rsid w:val="00450291"/>
    <w:rsid w:val="00450C40"/>
    <w:rsid w:val="00450F78"/>
    <w:rsid w:val="004516C6"/>
    <w:rsid w:val="00453207"/>
    <w:rsid w:val="00453AF3"/>
    <w:rsid w:val="00454207"/>
    <w:rsid w:val="004566C4"/>
    <w:rsid w:val="004568F1"/>
    <w:rsid w:val="00457375"/>
    <w:rsid w:val="00457434"/>
    <w:rsid w:val="00457466"/>
    <w:rsid w:val="00457654"/>
    <w:rsid w:val="004579D6"/>
    <w:rsid w:val="00457D1E"/>
    <w:rsid w:val="0046023A"/>
    <w:rsid w:val="00460280"/>
    <w:rsid w:val="004606F7"/>
    <w:rsid w:val="004609CB"/>
    <w:rsid w:val="00460C90"/>
    <w:rsid w:val="0046103D"/>
    <w:rsid w:val="00461251"/>
    <w:rsid w:val="004617D1"/>
    <w:rsid w:val="00461AD8"/>
    <w:rsid w:val="00461B9F"/>
    <w:rsid w:val="0046204E"/>
    <w:rsid w:val="004627DF"/>
    <w:rsid w:val="004628FA"/>
    <w:rsid w:val="00463547"/>
    <w:rsid w:val="00466420"/>
    <w:rsid w:val="00466832"/>
    <w:rsid w:val="00466B45"/>
    <w:rsid w:val="00467148"/>
    <w:rsid w:val="00467C67"/>
    <w:rsid w:val="00470822"/>
    <w:rsid w:val="004711BC"/>
    <w:rsid w:val="00471669"/>
    <w:rsid w:val="004716BF"/>
    <w:rsid w:val="00471CBE"/>
    <w:rsid w:val="00472498"/>
    <w:rsid w:val="00472AD6"/>
    <w:rsid w:val="004742E1"/>
    <w:rsid w:val="004750DC"/>
    <w:rsid w:val="004752A9"/>
    <w:rsid w:val="00475418"/>
    <w:rsid w:val="004754D0"/>
    <w:rsid w:val="00475ADD"/>
    <w:rsid w:val="004763B8"/>
    <w:rsid w:val="004765B0"/>
    <w:rsid w:val="004772A5"/>
    <w:rsid w:val="004774E8"/>
    <w:rsid w:val="00477829"/>
    <w:rsid w:val="00480E58"/>
    <w:rsid w:val="00481516"/>
    <w:rsid w:val="00482548"/>
    <w:rsid w:val="00482C10"/>
    <w:rsid w:val="004830DA"/>
    <w:rsid w:val="00483CDC"/>
    <w:rsid w:val="00484A61"/>
    <w:rsid w:val="00484B2C"/>
    <w:rsid w:val="00485209"/>
    <w:rsid w:val="0048532F"/>
    <w:rsid w:val="004858B5"/>
    <w:rsid w:val="00485A23"/>
    <w:rsid w:val="00486408"/>
    <w:rsid w:val="004868BC"/>
    <w:rsid w:val="00487080"/>
    <w:rsid w:val="0049018D"/>
    <w:rsid w:val="00490A2E"/>
    <w:rsid w:val="00490B89"/>
    <w:rsid w:val="00491159"/>
    <w:rsid w:val="004926AA"/>
    <w:rsid w:val="004936D2"/>
    <w:rsid w:val="00493AAA"/>
    <w:rsid w:val="00493BDA"/>
    <w:rsid w:val="00493FBB"/>
    <w:rsid w:val="0049532B"/>
    <w:rsid w:val="00495A52"/>
    <w:rsid w:val="00496C89"/>
    <w:rsid w:val="00496C8C"/>
    <w:rsid w:val="00497EB9"/>
    <w:rsid w:val="004A0761"/>
    <w:rsid w:val="004A0CEF"/>
    <w:rsid w:val="004A184E"/>
    <w:rsid w:val="004A18F6"/>
    <w:rsid w:val="004A277A"/>
    <w:rsid w:val="004A2FA3"/>
    <w:rsid w:val="004A3AA9"/>
    <w:rsid w:val="004A3F6F"/>
    <w:rsid w:val="004A44B4"/>
    <w:rsid w:val="004A5172"/>
    <w:rsid w:val="004A5569"/>
    <w:rsid w:val="004A5AFD"/>
    <w:rsid w:val="004A659B"/>
    <w:rsid w:val="004A6D88"/>
    <w:rsid w:val="004A776B"/>
    <w:rsid w:val="004A7EC8"/>
    <w:rsid w:val="004B097F"/>
    <w:rsid w:val="004B13AF"/>
    <w:rsid w:val="004B1AB6"/>
    <w:rsid w:val="004B20B6"/>
    <w:rsid w:val="004B2CAD"/>
    <w:rsid w:val="004B2D01"/>
    <w:rsid w:val="004B4DD2"/>
    <w:rsid w:val="004B519B"/>
    <w:rsid w:val="004B589D"/>
    <w:rsid w:val="004B7D03"/>
    <w:rsid w:val="004B7D91"/>
    <w:rsid w:val="004C057B"/>
    <w:rsid w:val="004C08C4"/>
    <w:rsid w:val="004C08F0"/>
    <w:rsid w:val="004C1228"/>
    <w:rsid w:val="004C1467"/>
    <w:rsid w:val="004C14E8"/>
    <w:rsid w:val="004C1F5C"/>
    <w:rsid w:val="004C1FB1"/>
    <w:rsid w:val="004C259E"/>
    <w:rsid w:val="004C351B"/>
    <w:rsid w:val="004C4038"/>
    <w:rsid w:val="004C4237"/>
    <w:rsid w:val="004C5A83"/>
    <w:rsid w:val="004C5CAD"/>
    <w:rsid w:val="004C5FEB"/>
    <w:rsid w:val="004C6027"/>
    <w:rsid w:val="004C63C1"/>
    <w:rsid w:val="004C70BE"/>
    <w:rsid w:val="004C78FB"/>
    <w:rsid w:val="004C7AA4"/>
    <w:rsid w:val="004D05E1"/>
    <w:rsid w:val="004D231C"/>
    <w:rsid w:val="004D232F"/>
    <w:rsid w:val="004D332B"/>
    <w:rsid w:val="004D3F4A"/>
    <w:rsid w:val="004D4449"/>
    <w:rsid w:val="004D4AF0"/>
    <w:rsid w:val="004D6462"/>
    <w:rsid w:val="004D78D5"/>
    <w:rsid w:val="004E0D77"/>
    <w:rsid w:val="004E12F7"/>
    <w:rsid w:val="004E1E3D"/>
    <w:rsid w:val="004E240D"/>
    <w:rsid w:val="004E3EE0"/>
    <w:rsid w:val="004E48B9"/>
    <w:rsid w:val="004E4A81"/>
    <w:rsid w:val="004E5730"/>
    <w:rsid w:val="004E5E49"/>
    <w:rsid w:val="004E6241"/>
    <w:rsid w:val="004E74AB"/>
    <w:rsid w:val="004E754C"/>
    <w:rsid w:val="004E7714"/>
    <w:rsid w:val="004E7874"/>
    <w:rsid w:val="004F281A"/>
    <w:rsid w:val="004F2FB4"/>
    <w:rsid w:val="004F3617"/>
    <w:rsid w:val="004F3B18"/>
    <w:rsid w:val="004F483B"/>
    <w:rsid w:val="004F4AF1"/>
    <w:rsid w:val="004F5880"/>
    <w:rsid w:val="004F60AA"/>
    <w:rsid w:val="004F6272"/>
    <w:rsid w:val="004F62B3"/>
    <w:rsid w:val="004F732F"/>
    <w:rsid w:val="004F73CA"/>
    <w:rsid w:val="004F7742"/>
    <w:rsid w:val="004F7D2F"/>
    <w:rsid w:val="00501396"/>
    <w:rsid w:val="00502577"/>
    <w:rsid w:val="00502719"/>
    <w:rsid w:val="005028AB"/>
    <w:rsid w:val="00502B3A"/>
    <w:rsid w:val="00502D9B"/>
    <w:rsid w:val="005031EB"/>
    <w:rsid w:val="005034BD"/>
    <w:rsid w:val="00504344"/>
    <w:rsid w:val="00505172"/>
    <w:rsid w:val="005056CE"/>
    <w:rsid w:val="0050608F"/>
    <w:rsid w:val="005075DC"/>
    <w:rsid w:val="005076D3"/>
    <w:rsid w:val="005105DB"/>
    <w:rsid w:val="005112ED"/>
    <w:rsid w:val="00511431"/>
    <w:rsid w:val="005132A2"/>
    <w:rsid w:val="00513413"/>
    <w:rsid w:val="005134EE"/>
    <w:rsid w:val="00513B4A"/>
    <w:rsid w:val="00514C44"/>
    <w:rsid w:val="005165AF"/>
    <w:rsid w:val="0051691C"/>
    <w:rsid w:val="00517D47"/>
    <w:rsid w:val="00520DB9"/>
    <w:rsid w:val="0052126D"/>
    <w:rsid w:val="005219E2"/>
    <w:rsid w:val="005229F2"/>
    <w:rsid w:val="00522B62"/>
    <w:rsid w:val="00523180"/>
    <w:rsid w:val="00523C15"/>
    <w:rsid w:val="0052446C"/>
    <w:rsid w:val="00524A3A"/>
    <w:rsid w:val="00524F63"/>
    <w:rsid w:val="00525872"/>
    <w:rsid w:val="00525B24"/>
    <w:rsid w:val="005264EF"/>
    <w:rsid w:val="005265E6"/>
    <w:rsid w:val="00526D2A"/>
    <w:rsid w:val="00527432"/>
    <w:rsid w:val="00527C61"/>
    <w:rsid w:val="0053030B"/>
    <w:rsid w:val="0053045D"/>
    <w:rsid w:val="00530ABC"/>
    <w:rsid w:val="00531996"/>
    <w:rsid w:val="00532329"/>
    <w:rsid w:val="0053266E"/>
    <w:rsid w:val="00533257"/>
    <w:rsid w:val="00534139"/>
    <w:rsid w:val="00534B35"/>
    <w:rsid w:val="00534D1B"/>
    <w:rsid w:val="00534DC0"/>
    <w:rsid w:val="005350C0"/>
    <w:rsid w:val="005352A5"/>
    <w:rsid w:val="00535AAD"/>
    <w:rsid w:val="00537B4A"/>
    <w:rsid w:val="00540109"/>
    <w:rsid w:val="00540661"/>
    <w:rsid w:val="005409C0"/>
    <w:rsid w:val="00541866"/>
    <w:rsid w:val="00541B41"/>
    <w:rsid w:val="00541C2E"/>
    <w:rsid w:val="00541D59"/>
    <w:rsid w:val="00542096"/>
    <w:rsid w:val="00542598"/>
    <w:rsid w:val="0054380A"/>
    <w:rsid w:val="005442B2"/>
    <w:rsid w:val="0054435B"/>
    <w:rsid w:val="00544811"/>
    <w:rsid w:val="005451CF"/>
    <w:rsid w:val="00545434"/>
    <w:rsid w:val="00545745"/>
    <w:rsid w:val="005459EF"/>
    <w:rsid w:val="0054688F"/>
    <w:rsid w:val="005468B2"/>
    <w:rsid w:val="00546D80"/>
    <w:rsid w:val="00547A36"/>
    <w:rsid w:val="00547C35"/>
    <w:rsid w:val="00547CB2"/>
    <w:rsid w:val="00547CDE"/>
    <w:rsid w:val="0055027C"/>
    <w:rsid w:val="00550B1E"/>
    <w:rsid w:val="00550F24"/>
    <w:rsid w:val="00552060"/>
    <w:rsid w:val="0055329F"/>
    <w:rsid w:val="00553D1A"/>
    <w:rsid w:val="00554236"/>
    <w:rsid w:val="00554973"/>
    <w:rsid w:val="00555AB5"/>
    <w:rsid w:val="0055604F"/>
    <w:rsid w:val="00556145"/>
    <w:rsid w:val="00556CD7"/>
    <w:rsid w:val="00557376"/>
    <w:rsid w:val="00557397"/>
    <w:rsid w:val="00560219"/>
    <w:rsid w:val="00560298"/>
    <w:rsid w:val="00560721"/>
    <w:rsid w:val="00560949"/>
    <w:rsid w:val="00560FAF"/>
    <w:rsid w:val="00561B2A"/>
    <w:rsid w:val="005628D2"/>
    <w:rsid w:val="005632E4"/>
    <w:rsid w:val="0056371E"/>
    <w:rsid w:val="0056648E"/>
    <w:rsid w:val="00566C3E"/>
    <w:rsid w:val="005676AE"/>
    <w:rsid w:val="00567DBC"/>
    <w:rsid w:val="00570405"/>
    <w:rsid w:val="005707BE"/>
    <w:rsid w:val="0057159B"/>
    <w:rsid w:val="00571743"/>
    <w:rsid w:val="00571BD1"/>
    <w:rsid w:val="005721B2"/>
    <w:rsid w:val="0057353F"/>
    <w:rsid w:val="00574BF8"/>
    <w:rsid w:val="00574FCB"/>
    <w:rsid w:val="00575108"/>
    <w:rsid w:val="005755F1"/>
    <w:rsid w:val="00575D8D"/>
    <w:rsid w:val="005773EB"/>
    <w:rsid w:val="0058077C"/>
    <w:rsid w:val="00580DC8"/>
    <w:rsid w:val="00580F28"/>
    <w:rsid w:val="0058194D"/>
    <w:rsid w:val="00582395"/>
    <w:rsid w:val="00582926"/>
    <w:rsid w:val="00582C82"/>
    <w:rsid w:val="005834B9"/>
    <w:rsid w:val="00583834"/>
    <w:rsid w:val="00584D60"/>
    <w:rsid w:val="0059022E"/>
    <w:rsid w:val="0059041E"/>
    <w:rsid w:val="005906CF"/>
    <w:rsid w:val="00590AC5"/>
    <w:rsid w:val="00591D83"/>
    <w:rsid w:val="00591E8D"/>
    <w:rsid w:val="00591F3C"/>
    <w:rsid w:val="00592A38"/>
    <w:rsid w:val="0059423D"/>
    <w:rsid w:val="00594A91"/>
    <w:rsid w:val="00595AD5"/>
    <w:rsid w:val="00595C1C"/>
    <w:rsid w:val="00596061"/>
    <w:rsid w:val="00596457"/>
    <w:rsid w:val="005974C4"/>
    <w:rsid w:val="005A0070"/>
    <w:rsid w:val="005A0F81"/>
    <w:rsid w:val="005A1076"/>
    <w:rsid w:val="005A1AD9"/>
    <w:rsid w:val="005A39E8"/>
    <w:rsid w:val="005A415E"/>
    <w:rsid w:val="005A459C"/>
    <w:rsid w:val="005A48F4"/>
    <w:rsid w:val="005A4F4A"/>
    <w:rsid w:val="005A54C3"/>
    <w:rsid w:val="005A59C0"/>
    <w:rsid w:val="005A6363"/>
    <w:rsid w:val="005A6699"/>
    <w:rsid w:val="005A6A20"/>
    <w:rsid w:val="005A7D7C"/>
    <w:rsid w:val="005A7EC6"/>
    <w:rsid w:val="005B0459"/>
    <w:rsid w:val="005B0BE1"/>
    <w:rsid w:val="005B10F6"/>
    <w:rsid w:val="005B1BD5"/>
    <w:rsid w:val="005B1D4F"/>
    <w:rsid w:val="005B1EB6"/>
    <w:rsid w:val="005B29A9"/>
    <w:rsid w:val="005B3D33"/>
    <w:rsid w:val="005B43E3"/>
    <w:rsid w:val="005B4CFB"/>
    <w:rsid w:val="005B53BC"/>
    <w:rsid w:val="005B6319"/>
    <w:rsid w:val="005B68DB"/>
    <w:rsid w:val="005B6A02"/>
    <w:rsid w:val="005B70DE"/>
    <w:rsid w:val="005B746C"/>
    <w:rsid w:val="005B757D"/>
    <w:rsid w:val="005B7B9C"/>
    <w:rsid w:val="005C067C"/>
    <w:rsid w:val="005C09B5"/>
    <w:rsid w:val="005C0FB0"/>
    <w:rsid w:val="005C1427"/>
    <w:rsid w:val="005C15A1"/>
    <w:rsid w:val="005C1BC3"/>
    <w:rsid w:val="005C1BF9"/>
    <w:rsid w:val="005C2C8A"/>
    <w:rsid w:val="005C30E3"/>
    <w:rsid w:val="005C3A5F"/>
    <w:rsid w:val="005C4259"/>
    <w:rsid w:val="005C4921"/>
    <w:rsid w:val="005C6377"/>
    <w:rsid w:val="005C6829"/>
    <w:rsid w:val="005C6DD4"/>
    <w:rsid w:val="005C6E83"/>
    <w:rsid w:val="005C731C"/>
    <w:rsid w:val="005D03F0"/>
    <w:rsid w:val="005D0930"/>
    <w:rsid w:val="005D0C20"/>
    <w:rsid w:val="005D0F99"/>
    <w:rsid w:val="005D2713"/>
    <w:rsid w:val="005D3143"/>
    <w:rsid w:val="005D3874"/>
    <w:rsid w:val="005D39E3"/>
    <w:rsid w:val="005D3FD3"/>
    <w:rsid w:val="005D4252"/>
    <w:rsid w:val="005D4B3F"/>
    <w:rsid w:val="005D564A"/>
    <w:rsid w:val="005D6B94"/>
    <w:rsid w:val="005D6DE8"/>
    <w:rsid w:val="005D7158"/>
    <w:rsid w:val="005D7498"/>
    <w:rsid w:val="005D79D5"/>
    <w:rsid w:val="005E0090"/>
    <w:rsid w:val="005E15E6"/>
    <w:rsid w:val="005E18F4"/>
    <w:rsid w:val="005E1921"/>
    <w:rsid w:val="005E23DA"/>
    <w:rsid w:val="005E2758"/>
    <w:rsid w:val="005E2DBB"/>
    <w:rsid w:val="005E3412"/>
    <w:rsid w:val="005E3C05"/>
    <w:rsid w:val="005E4F47"/>
    <w:rsid w:val="005E58D7"/>
    <w:rsid w:val="005E5DD6"/>
    <w:rsid w:val="005E62DE"/>
    <w:rsid w:val="005E6EDD"/>
    <w:rsid w:val="005F1970"/>
    <w:rsid w:val="005F1B3E"/>
    <w:rsid w:val="005F26C7"/>
    <w:rsid w:val="005F2CD5"/>
    <w:rsid w:val="005F3205"/>
    <w:rsid w:val="005F3534"/>
    <w:rsid w:val="005F369F"/>
    <w:rsid w:val="005F3CC0"/>
    <w:rsid w:val="005F42D4"/>
    <w:rsid w:val="005F4617"/>
    <w:rsid w:val="005F4809"/>
    <w:rsid w:val="005F4D25"/>
    <w:rsid w:val="005F5282"/>
    <w:rsid w:val="005F5C47"/>
    <w:rsid w:val="005F641E"/>
    <w:rsid w:val="005F73F6"/>
    <w:rsid w:val="005F74A1"/>
    <w:rsid w:val="005F7716"/>
    <w:rsid w:val="005F7C18"/>
    <w:rsid w:val="006000C3"/>
    <w:rsid w:val="0060028B"/>
    <w:rsid w:val="006006CE"/>
    <w:rsid w:val="00604787"/>
    <w:rsid w:val="00604B6C"/>
    <w:rsid w:val="00605509"/>
    <w:rsid w:val="0060557B"/>
    <w:rsid w:val="00605A0A"/>
    <w:rsid w:val="006064B6"/>
    <w:rsid w:val="00607DE9"/>
    <w:rsid w:val="006105BF"/>
    <w:rsid w:val="006116B5"/>
    <w:rsid w:val="00612106"/>
    <w:rsid w:val="00612328"/>
    <w:rsid w:val="006126AD"/>
    <w:rsid w:val="0061369C"/>
    <w:rsid w:val="00614823"/>
    <w:rsid w:val="0061494B"/>
    <w:rsid w:val="00614A4E"/>
    <w:rsid w:val="00614E6D"/>
    <w:rsid w:val="00614F91"/>
    <w:rsid w:val="00615397"/>
    <w:rsid w:val="00617481"/>
    <w:rsid w:val="006204C9"/>
    <w:rsid w:val="006213B2"/>
    <w:rsid w:val="00621C03"/>
    <w:rsid w:val="00621ED5"/>
    <w:rsid w:val="00622A3A"/>
    <w:rsid w:val="00622A9E"/>
    <w:rsid w:val="00622C38"/>
    <w:rsid w:val="0062308F"/>
    <w:rsid w:val="006233C2"/>
    <w:rsid w:val="006244BC"/>
    <w:rsid w:val="00625C29"/>
    <w:rsid w:val="00625C5C"/>
    <w:rsid w:val="00626E37"/>
    <w:rsid w:val="006278ED"/>
    <w:rsid w:val="00630503"/>
    <w:rsid w:val="00630B96"/>
    <w:rsid w:val="00630CB9"/>
    <w:rsid w:val="00631EE0"/>
    <w:rsid w:val="006324BB"/>
    <w:rsid w:val="00632CE4"/>
    <w:rsid w:val="00633E19"/>
    <w:rsid w:val="0063410E"/>
    <w:rsid w:val="00634483"/>
    <w:rsid w:val="00634522"/>
    <w:rsid w:val="00635767"/>
    <w:rsid w:val="0063606A"/>
    <w:rsid w:val="00636E29"/>
    <w:rsid w:val="006370A5"/>
    <w:rsid w:val="00637937"/>
    <w:rsid w:val="00640543"/>
    <w:rsid w:val="006419EE"/>
    <w:rsid w:val="00642F09"/>
    <w:rsid w:val="00642F7B"/>
    <w:rsid w:val="006432F4"/>
    <w:rsid w:val="00643AD2"/>
    <w:rsid w:val="00645E24"/>
    <w:rsid w:val="00646232"/>
    <w:rsid w:val="006464C4"/>
    <w:rsid w:val="00646B4F"/>
    <w:rsid w:val="00646F2F"/>
    <w:rsid w:val="00647C77"/>
    <w:rsid w:val="00647EDB"/>
    <w:rsid w:val="00650334"/>
    <w:rsid w:val="00650906"/>
    <w:rsid w:val="00650AA6"/>
    <w:rsid w:val="00650FC1"/>
    <w:rsid w:val="00651585"/>
    <w:rsid w:val="0065163F"/>
    <w:rsid w:val="0065242F"/>
    <w:rsid w:val="00653627"/>
    <w:rsid w:val="00653727"/>
    <w:rsid w:val="00653A5D"/>
    <w:rsid w:val="00654055"/>
    <w:rsid w:val="00654857"/>
    <w:rsid w:val="00654CE9"/>
    <w:rsid w:val="00655625"/>
    <w:rsid w:val="0065583A"/>
    <w:rsid w:val="006566F0"/>
    <w:rsid w:val="00656861"/>
    <w:rsid w:val="00656ED7"/>
    <w:rsid w:val="006570A8"/>
    <w:rsid w:val="0065777C"/>
    <w:rsid w:val="00657880"/>
    <w:rsid w:val="006600A9"/>
    <w:rsid w:val="0066163D"/>
    <w:rsid w:val="00661864"/>
    <w:rsid w:val="00661A4D"/>
    <w:rsid w:val="00661A56"/>
    <w:rsid w:val="00662025"/>
    <w:rsid w:val="00663197"/>
    <w:rsid w:val="0066472F"/>
    <w:rsid w:val="00664BF3"/>
    <w:rsid w:val="00664EFD"/>
    <w:rsid w:val="00665E38"/>
    <w:rsid w:val="00666044"/>
    <w:rsid w:val="00666507"/>
    <w:rsid w:val="00666A9D"/>
    <w:rsid w:val="006700EA"/>
    <w:rsid w:val="00673AF9"/>
    <w:rsid w:val="006740EF"/>
    <w:rsid w:val="00674637"/>
    <w:rsid w:val="0067504E"/>
    <w:rsid w:val="006752E6"/>
    <w:rsid w:val="00675354"/>
    <w:rsid w:val="00675C52"/>
    <w:rsid w:val="00675CC3"/>
    <w:rsid w:val="00675CCB"/>
    <w:rsid w:val="00675E98"/>
    <w:rsid w:val="00676111"/>
    <w:rsid w:val="006764F6"/>
    <w:rsid w:val="00676629"/>
    <w:rsid w:val="00676D0A"/>
    <w:rsid w:val="006778B8"/>
    <w:rsid w:val="006806A0"/>
    <w:rsid w:val="00680775"/>
    <w:rsid w:val="0068095D"/>
    <w:rsid w:val="0068095F"/>
    <w:rsid w:val="0068107F"/>
    <w:rsid w:val="00681392"/>
    <w:rsid w:val="006816FD"/>
    <w:rsid w:val="00682ADF"/>
    <w:rsid w:val="00682B98"/>
    <w:rsid w:val="006838D3"/>
    <w:rsid w:val="00686F7A"/>
    <w:rsid w:val="00687B4B"/>
    <w:rsid w:val="00687E44"/>
    <w:rsid w:val="006904C7"/>
    <w:rsid w:val="0069062F"/>
    <w:rsid w:val="0069111D"/>
    <w:rsid w:val="00691989"/>
    <w:rsid w:val="00691BAB"/>
    <w:rsid w:val="00691DC4"/>
    <w:rsid w:val="00692B66"/>
    <w:rsid w:val="006959B6"/>
    <w:rsid w:val="006961B2"/>
    <w:rsid w:val="0069640F"/>
    <w:rsid w:val="0069670E"/>
    <w:rsid w:val="006976BA"/>
    <w:rsid w:val="00697DF1"/>
    <w:rsid w:val="006A04FA"/>
    <w:rsid w:val="006A0C2C"/>
    <w:rsid w:val="006A14EB"/>
    <w:rsid w:val="006A2363"/>
    <w:rsid w:val="006A28AC"/>
    <w:rsid w:val="006A2907"/>
    <w:rsid w:val="006A2C58"/>
    <w:rsid w:val="006A30F5"/>
    <w:rsid w:val="006A3253"/>
    <w:rsid w:val="006A3CD1"/>
    <w:rsid w:val="006A4B13"/>
    <w:rsid w:val="006A542B"/>
    <w:rsid w:val="006A555F"/>
    <w:rsid w:val="006A5620"/>
    <w:rsid w:val="006A6312"/>
    <w:rsid w:val="006A6465"/>
    <w:rsid w:val="006A6A49"/>
    <w:rsid w:val="006A6C3F"/>
    <w:rsid w:val="006A7A6F"/>
    <w:rsid w:val="006B0996"/>
    <w:rsid w:val="006B1C4E"/>
    <w:rsid w:val="006B2595"/>
    <w:rsid w:val="006B3311"/>
    <w:rsid w:val="006B3AE7"/>
    <w:rsid w:val="006B4157"/>
    <w:rsid w:val="006B54B0"/>
    <w:rsid w:val="006B59AA"/>
    <w:rsid w:val="006B6590"/>
    <w:rsid w:val="006B6D8E"/>
    <w:rsid w:val="006B6ED3"/>
    <w:rsid w:val="006B74F7"/>
    <w:rsid w:val="006B7768"/>
    <w:rsid w:val="006B7A63"/>
    <w:rsid w:val="006B7BC8"/>
    <w:rsid w:val="006C081F"/>
    <w:rsid w:val="006C09B1"/>
    <w:rsid w:val="006C159D"/>
    <w:rsid w:val="006C2A9D"/>
    <w:rsid w:val="006C2D77"/>
    <w:rsid w:val="006C3953"/>
    <w:rsid w:val="006C4865"/>
    <w:rsid w:val="006C4884"/>
    <w:rsid w:val="006C4D84"/>
    <w:rsid w:val="006C5531"/>
    <w:rsid w:val="006C64A4"/>
    <w:rsid w:val="006C7DD3"/>
    <w:rsid w:val="006D10A1"/>
    <w:rsid w:val="006D15D5"/>
    <w:rsid w:val="006D16CE"/>
    <w:rsid w:val="006D1CE9"/>
    <w:rsid w:val="006D1FFA"/>
    <w:rsid w:val="006D20CE"/>
    <w:rsid w:val="006D242B"/>
    <w:rsid w:val="006D27FE"/>
    <w:rsid w:val="006D29A0"/>
    <w:rsid w:val="006D37E6"/>
    <w:rsid w:val="006D3D1A"/>
    <w:rsid w:val="006D47E5"/>
    <w:rsid w:val="006D5682"/>
    <w:rsid w:val="006D5B29"/>
    <w:rsid w:val="006D61DD"/>
    <w:rsid w:val="006D636F"/>
    <w:rsid w:val="006D70EA"/>
    <w:rsid w:val="006D7702"/>
    <w:rsid w:val="006D7945"/>
    <w:rsid w:val="006E0127"/>
    <w:rsid w:val="006E0D26"/>
    <w:rsid w:val="006E1662"/>
    <w:rsid w:val="006E2294"/>
    <w:rsid w:val="006E2A37"/>
    <w:rsid w:val="006E3016"/>
    <w:rsid w:val="006E321C"/>
    <w:rsid w:val="006E3416"/>
    <w:rsid w:val="006E384C"/>
    <w:rsid w:val="006E439F"/>
    <w:rsid w:val="006E44B5"/>
    <w:rsid w:val="006E4802"/>
    <w:rsid w:val="006E5309"/>
    <w:rsid w:val="006E5E14"/>
    <w:rsid w:val="006E5EC9"/>
    <w:rsid w:val="006E624B"/>
    <w:rsid w:val="006E62D8"/>
    <w:rsid w:val="006E71B6"/>
    <w:rsid w:val="006F00D7"/>
    <w:rsid w:val="006F06AF"/>
    <w:rsid w:val="006F09D7"/>
    <w:rsid w:val="006F0CEC"/>
    <w:rsid w:val="006F15AE"/>
    <w:rsid w:val="006F18EA"/>
    <w:rsid w:val="006F1F32"/>
    <w:rsid w:val="006F238C"/>
    <w:rsid w:val="006F335F"/>
    <w:rsid w:val="006F3813"/>
    <w:rsid w:val="006F3D67"/>
    <w:rsid w:val="006F4540"/>
    <w:rsid w:val="006F4C1B"/>
    <w:rsid w:val="006F4D46"/>
    <w:rsid w:val="006F4E26"/>
    <w:rsid w:val="006F53B3"/>
    <w:rsid w:val="006F6559"/>
    <w:rsid w:val="006F6A72"/>
    <w:rsid w:val="006F6BF9"/>
    <w:rsid w:val="006F6F74"/>
    <w:rsid w:val="006F7B4C"/>
    <w:rsid w:val="00700C0D"/>
    <w:rsid w:val="00700C9E"/>
    <w:rsid w:val="007019E3"/>
    <w:rsid w:val="00701BBC"/>
    <w:rsid w:val="0070206C"/>
    <w:rsid w:val="00704055"/>
    <w:rsid w:val="007046FC"/>
    <w:rsid w:val="007047EE"/>
    <w:rsid w:val="00704836"/>
    <w:rsid w:val="00704A38"/>
    <w:rsid w:val="00705F0E"/>
    <w:rsid w:val="0070652C"/>
    <w:rsid w:val="0070727F"/>
    <w:rsid w:val="007104AA"/>
    <w:rsid w:val="007110BC"/>
    <w:rsid w:val="007124B6"/>
    <w:rsid w:val="007126D1"/>
    <w:rsid w:val="007134E4"/>
    <w:rsid w:val="00713658"/>
    <w:rsid w:val="00714FDC"/>
    <w:rsid w:val="0071506B"/>
    <w:rsid w:val="00715770"/>
    <w:rsid w:val="007163B4"/>
    <w:rsid w:val="00716A35"/>
    <w:rsid w:val="007173D3"/>
    <w:rsid w:val="00717F72"/>
    <w:rsid w:val="0072059E"/>
    <w:rsid w:val="00720CC9"/>
    <w:rsid w:val="007214DC"/>
    <w:rsid w:val="007216EB"/>
    <w:rsid w:val="007222E9"/>
    <w:rsid w:val="007223C8"/>
    <w:rsid w:val="0072283D"/>
    <w:rsid w:val="00723142"/>
    <w:rsid w:val="007234C7"/>
    <w:rsid w:val="00723EBD"/>
    <w:rsid w:val="007244FD"/>
    <w:rsid w:val="00724804"/>
    <w:rsid w:val="00724E70"/>
    <w:rsid w:val="00724F48"/>
    <w:rsid w:val="0073014C"/>
    <w:rsid w:val="00730E53"/>
    <w:rsid w:val="007312F7"/>
    <w:rsid w:val="007318FB"/>
    <w:rsid w:val="00731AEE"/>
    <w:rsid w:val="00731C16"/>
    <w:rsid w:val="00731DD3"/>
    <w:rsid w:val="0073223C"/>
    <w:rsid w:val="00732367"/>
    <w:rsid w:val="00733371"/>
    <w:rsid w:val="00734E15"/>
    <w:rsid w:val="007353F4"/>
    <w:rsid w:val="007362AD"/>
    <w:rsid w:val="0073741A"/>
    <w:rsid w:val="007410E7"/>
    <w:rsid w:val="007419EF"/>
    <w:rsid w:val="0074204A"/>
    <w:rsid w:val="00743D53"/>
    <w:rsid w:val="0074420B"/>
    <w:rsid w:val="00744BF0"/>
    <w:rsid w:val="007450DC"/>
    <w:rsid w:val="00745158"/>
    <w:rsid w:val="0074519F"/>
    <w:rsid w:val="00746CE8"/>
    <w:rsid w:val="00746DB8"/>
    <w:rsid w:val="00747357"/>
    <w:rsid w:val="00747412"/>
    <w:rsid w:val="00747977"/>
    <w:rsid w:val="00747E8E"/>
    <w:rsid w:val="00750879"/>
    <w:rsid w:val="00750E80"/>
    <w:rsid w:val="00751038"/>
    <w:rsid w:val="007511F4"/>
    <w:rsid w:val="00751265"/>
    <w:rsid w:val="00751B59"/>
    <w:rsid w:val="007522A1"/>
    <w:rsid w:val="0075286D"/>
    <w:rsid w:val="00753225"/>
    <w:rsid w:val="007545ED"/>
    <w:rsid w:val="00755223"/>
    <w:rsid w:val="00755400"/>
    <w:rsid w:val="00755729"/>
    <w:rsid w:val="00755845"/>
    <w:rsid w:val="007561E7"/>
    <w:rsid w:val="00756469"/>
    <w:rsid w:val="007569F2"/>
    <w:rsid w:val="00757832"/>
    <w:rsid w:val="00760882"/>
    <w:rsid w:val="00760971"/>
    <w:rsid w:val="00760C24"/>
    <w:rsid w:val="00761E21"/>
    <w:rsid w:val="00762461"/>
    <w:rsid w:val="00763157"/>
    <w:rsid w:val="007636DB"/>
    <w:rsid w:val="007643B2"/>
    <w:rsid w:val="00766AA2"/>
    <w:rsid w:val="007702C9"/>
    <w:rsid w:val="00770405"/>
    <w:rsid w:val="007705F6"/>
    <w:rsid w:val="0077063B"/>
    <w:rsid w:val="007718B0"/>
    <w:rsid w:val="00771F41"/>
    <w:rsid w:val="0077232B"/>
    <w:rsid w:val="0077272A"/>
    <w:rsid w:val="00772ED5"/>
    <w:rsid w:val="007731D5"/>
    <w:rsid w:val="0077324A"/>
    <w:rsid w:val="00773331"/>
    <w:rsid w:val="007736D7"/>
    <w:rsid w:val="00773D07"/>
    <w:rsid w:val="00773E7C"/>
    <w:rsid w:val="00774502"/>
    <w:rsid w:val="007749AD"/>
    <w:rsid w:val="00774A8E"/>
    <w:rsid w:val="007752B5"/>
    <w:rsid w:val="0077645F"/>
    <w:rsid w:val="00776CEA"/>
    <w:rsid w:val="00776F5F"/>
    <w:rsid w:val="00777104"/>
    <w:rsid w:val="00777AFA"/>
    <w:rsid w:val="007812D1"/>
    <w:rsid w:val="00781AE3"/>
    <w:rsid w:val="007833B6"/>
    <w:rsid w:val="00784B8A"/>
    <w:rsid w:val="007854D3"/>
    <w:rsid w:val="00785886"/>
    <w:rsid w:val="00785C29"/>
    <w:rsid w:val="00785D33"/>
    <w:rsid w:val="00785DEC"/>
    <w:rsid w:val="00786BCC"/>
    <w:rsid w:val="00787401"/>
    <w:rsid w:val="00787D5C"/>
    <w:rsid w:val="00790B6B"/>
    <w:rsid w:val="0079110A"/>
    <w:rsid w:val="00792A71"/>
    <w:rsid w:val="007932EF"/>
    <w:rsid w:val="00793DDE"/>
    <w:rsid w:val="0079402E"/>
    <w:rsid w:val="00794F55"/>
    <w:rsid w:val="007958C1"/>
    <w:rsid w:val="007A0645"/>
    <w:rsid w:val="007A0873"/>
    <w:rsid w:val="007A2212"/>
    <w:rsid w:val="007A29FF"/>
    <w:rsid w:val="007A31C6"/>
    <w:rsid w:val="007A3561"/>
    <w:rsid w:val="007A3673"/>
    <w:rsid w:val="007A3AE6"/>
    <w:rsid w:val="007A43C0"/>
    <w:rsid w:val="007A4D13"/>
    <w:rsid w:val="007A5027"/>
    <w:rsid w:val="007A50AC"/>
    <w:rsid w:val="007A62B2"/>
    <w:rsid w:val="007A6D3D"/>
    <w:rsid w:val="007A726B"/>
    <w:rsid w:val="007A72F2"/>
    <w:rsid w:val="007A7D7D"/>
    <w:rsid w:val="007B0699"/>
    <w:rsid w:val="007B11CA"/>
    <w:rsid w:val="007B1580"/>
    <w:rsid w:val="007B1C0A"/>
    <w:rsid w:val="007B2446"/>
    <w:rsid w:val="007B340C"/>
    <w:rsid w:val="007B4102"/>
    <w:rsid w:val="007B5041"/>
    <w:rsid w:val="007B5F20"/>
    <w:rsid w:val="007B62F3"/>
    <w:rsid w:val="007B6EE5"/>
    <w:rsid w:val="007B7D93"/>
    <w:rsid w:val="007B7DEB"/>
    <w:rsid w:val="007C009A"/>
    <w:rsid w:val="007C03CB"/>
    <w:rsid w:val="007C0BD4"/>
    <w:rsid w:val="007C101C"/>
    <w:rsid w:val="007C1386"/>
    <w:rsid w:val="007C211D"/>
    <w:rsid w:val="007C3B12"/>
    <w:rsid w:val="007C3B4D"/>
    <w:rsid w:val="007C3DDE"/>
    <w:rsid w:val="007C3FB2"/>
    <w:rsid w:val="007C4382"/>
    <w:rsid w:val="007C4693"/>
    <w:rsid w:val="007C4A8F"/>
    <w:rsid w:val="007C4AAB"/>
    <w:rsid w:val="007C586F"/>
    <w:rsid w:val="007C7061"/>
    <w:rsid w:val="007C760A"/>
    <w:rsid w:val="007C7665"/>
    <w:rsid w:val="007C798E"/>
    <w:rsid w:val="007C7D44"/>
    <w:rsid w:val="007D1015"/>
    <w:rsid w:val="007D2C53"/>
    <w:rsid w:val="007D2EF6"/>
    <w:rsid w:val="007D2FD9"/>
    <w:rsid w:val="007D34A8"/>
    <w:rsid w:val="007D40C0"/>
    <w:rsid w:val="007D44D0"/>
    <w:rsid w:val="007D44EF"/>
    <w:rsid w:val="007D59A3"/>
    <w:rsid w:val="007D5F52"/>
    <w:rsid w:val="007D6613"/>
    <w:rsid w:val="007D67AB"/>
    <w:rsid w:val="007D798F"/>
    <w:rsid w:val="007E0279"/>
    <w:rsid w:val="007E05B0"/>
    <w:rsid w:val="007E072C"/>
    <w:rsid w:val="007E2C1C"/>
    <w:rsid w:val="007E3218"/>
    <w:rsid w:val="007E338E"/>
    <w:rsid w:val="007E496E"/>
    <w:rsid w:val="007E4EA7"/>
    <w:rsid w:val="007E5636"/>
    <w:rsid w:val="007E6F73"/>
    <w:rsid w:val="007E7131"/>
    <w:rsid w:val="007E71BB"/>
    <w:rsid w:val="007E7527"/>
    <w:rsid w:val="007E7572"/>
    <w:rsid w:val="007E79DB"/>
    <w:rsid w:val="007E7B95"/>
    <w:rsid w:val="007F08FB"/>
    <w:rsid w:val="007F1452"/>
    <w:rsid w:val="007F1ABA"/>
    <w:rsid w:val="007F1C3B"/>
    <w:rsid w:val="007F309F"/>
    <w:rsid w:val="007F30B9"/>
    <w:rsid w:val="007F33FD"/>
    <w:rsid w:val="007F3FEA"/>
    <w:rsid w:val="007F4062"/>
    <w:rsid w:val="007F430B"/>
    <w:rsid w:val="007F4882"/>
    <w:rsid w:val="007F4EE2"/>
    <w:rsid w:val="007F62E8"/>
    <w:rsid w:val="007F69AC"/>
    <w:rsid w:val="007F7DBF"/>
    <w:rsid w:val="00800006"/>
    <w:rsid w:val="00801BC2"/>
    <w:rsid w:val="00801DFE"/>
    <w:rsid w:val="00802326"/>
    <w:rsid w:val="008024D0"/>
    <w:rsid w:val="0080263F"/>
    <w:rsid w:val="008027F7"/>
    <w:rsid w:val="00802C99"/>
    <w:rsid w:val="00803109"/>
    <w:rsid w:val="00803FF2"/>
    <w:rsid w:val="00805926"/>
    <w:rsid w:val="00805E94"/>
    <w:rsid w:val="0080657C"/>
    <w:rsid w:val="0080689D"/>
    <w:rsid w:val="008107A0"/>
    <w:rsid w:val="00810F7C"/>
    <w:rsid w:val="00811B85"/>
    <w:rsid w:val="00813357"/>
    <w:rsid w:val="00813E89"/>
    <w:rsid w:val="00814462"/>
    <w:rsid w:val="0081513E"/>
    <w:rsid w:val="00815A14"/>
    <w:rsid w:val="00816BA8"/>
    <w:rsid w:val="00817710"/>
    <w:rsid w:val="00817A1C"/>
    <w:rsid w:val="00821DAE"/>
    <w:rsid w:val="00821FF9"/>
    <w:rsid w:val="0082345E"/>
    <w:rsid w:val="0082360F"/>
    <w:rsid w:val="008238F0"/>
    <w:rsid w:val="00823ABC"/>
    <w:rsid w:val="00824252"/>
    <w:rsid w:val="00824434"/>
    <w:rsid w:val="00824573"/>
    <w:rsid w:val="0082469E"/>
    <w:rsid w:val="00825D78"/>
    <w:rsid w:val="00825E4E"/>
    <w:rsid w:val="0082702D"/>
    <w:rsid w:val="00827BF5"/>
    <w:rsid w:val="00831209"/>
    <w:rsid w:val="00832B0C"/>
    <w:rsid w:val="0083369B"/>
    <w:rsid w:val="00833B27"/>
    <w:rsid w:val="00833BF1"/>
    <w:rsid w:val="00834C9A"/>
    <w:rsid w:val="00834EAF"/>
    <w:rsid w:val="008357A9"/>
    <w:rsid w:val="0083611C"/>
    <w:rsid w:val="008363B3"/>
    <w:rsid w:val="00836804"/>
    <w:rsid w:val="00836E59"/>
    <w:rsid w:val="00837689"/>
    <w:rsid w:val="00840B2F"/>
    <w:rsid w:val="00840FB3"/>
    <w:rsid w:val="00841679"/>
    <w:rsid w:val="00842176"/>
    <w:rsid w:val="008425F6"/>
    <w:rsid w:val="00842699"/>
    <w:rsid w:val="00843641"/>
    <w:rsid w:val="00843A0A"/>
    <w:rsid w:val="008452E2"/>
    <w:rsid w:val="00846150"/>
    <w:rsid w:val="00846A1A"/>
    <w:rsid w:val="00846C34"/>
    <w:rsid w:val="00846DA4"/>
    <w:rsid w:val="00847771"/>
    <w:rsid w:val="00847A38"/>
    <w:rsid w:val="00850121"/>
    <w:rsid w:val="008503C5"/>
    <w:rsid w:val="0085149F"/>
    <w:rsid w:val="00851760"/>
    <w:rsid w:val="0085291F"/>
    <w:rsid w:val="00853C57"/>
    <w:rsid w:val="008549C1"/>
    <w:rsid w:val="008550CD"/>
    <w:rsid w:val="008552A0"/>
    <w:rsid w:val="008552F8"/>
    <w:rsid w:val="008557AE"/>
    <w:rsid w:val="00855BED"/>
    <w:rsid w:val="00856176"/>
    <w:rsid w:val="00856E10"/>
    <w:rsid w:val="00857F67"/>
    <w:rsid w:val="00857FD2"/>
    <w:rsid w:val="00860530"/>
    <w:rsid w:val="008605AC"/>
    <w:rsid w:val="008613EF"/>
    <w:rsid w:val="00861B48"/>
    <w:rsid w:val="008658B8"/>
    <w:rsid w:val="00865DB9"/>
    <w:rsid w:val="008666EF"/>
    <w:rsid w:val="0086697D"/>
    <w:rsid w:val="00866BFB"/>
    <w:rsid w:val="00866C5E"/>
    <w:rsid w:val="0086748C"/>
    <w:rsid w:val="008703F9"/>
    <w:rsid w:val="008704C3"/>
    <w:rsid w:val="00870A36"/>
    <w:rsid w:val="00870B8B"/>
    <w:rsid w:val="00871771"/>
    <w:rsid w:val="00871A7A"/>
    <w:rsid w:val="00871B99"/>
    <w:rsid w:val="00872586"/>
    <w:rsid w:val="008729C5"/>
    <w:rsid w:val="00872D53"/>
    <w:rsid w:val="008731AC"/>
    <w:rsid w:val="00873832"/>
    <w:rsid w:val="00873C02"/>
    <w:rsid w:val="00874D22"/>
    <w:rsid w:val="00875A90"/>
    <w:rsid w:val="00875D74"/>
    <w:rsid w:val="00875E9E"/>
    <w:rsid w:val="00876063"/>
    <w:rsid w:val="008761B8"/>
    <w:rsid w:val="00876821"/>
    <w:rsid w:val="008769EB"/>
    <w:rsid w:val="00876A86"/>
    <w:rsid w:val="00876FB5"/>
    <w:rsid w:val="00876FF0"/>
    <w:rsid w:val="008779C9"/>
    <w:rsid w:val="00877DB8"/>
    <w:rsid w:val="00881151"/>
    <w:rsid w:val="0088122E"/>
    <w:rsid w:val="0088134F"/>
    <w:rsid w:val="0088208F"/>
    <w:rsid w:val="008826B0"/>
    <w:rsid w:val="00883189"/>
    <w:rsid w:val="008837C0"/>
    <w:rsid w:val="00883A80"/>
    <w:rsid w:val="00883DE0"/>
    <w:rsid w:val="00883EB7"/>
    <w:rsid w:val="00883FAF"/>
    <w:rsid w:val="00884869"/>
    <w:rsid w:val="008855BD"/>
    <w:rsid w:val="0088588A"/>
    <w:rsid w:val="0088628D"/>
    <w:rsid w:val="0088646E"/>
    <w:rsid w:val="008865E4"/>
    <w:rsid w:val="00886621"/>
    <w:rsid w:val="00886786"/>
    <w:rsid w:val="0088766E"/>
    <w:rsid w:val="00890CD0"/>
    <w:rsid w:val="00892546"/>
    <w:rsid w:val="00892669"/>
    <w:rsid w:val="00892B49"/>
    <w:rsid w:val="00893F71"/>
    <w:rsid w:val="0089416D"/>
    <w:rsid w:val="00894554"/>
    <w:rsid w:val="008945F1"/>
    <w:rsid w:val="00894911"/>
    <w:rsid w:val="008949FE"/>
    <w:rsid w:val="00894D2C"/>
    <w:rsid w:val="00896127"/>
    <w:rsid w:val="00896574"/>
    <w:rsid w:val="008975E2"/>
    <w:rsid w:val="008A01C0"/>
    <w:rsid w:val="008A17FA"/>
    <w:rsid w:val="008A21C4"/>
    <w:rsid w:val="008A2914"/>
    <w:rsid w:val="008A2926"/>
    <w:rsid w:val="008A580C"/>
    <w:rsid w:val="008A5959"/>
    <w:rsid w:val="008A5E34"/>
    <w:rsid w:val="008A67DD"/>
    <w:rsid w:val="008A67F1"/>
    <w:rsid w:val="008A78D3"/>
    <w:rsid w:val="008B00E2"/>
    <w:rsid w:val="008B0244"/>
    <w:rsid w:val="008B02AE"/>
    <w:rsid w:val="008B078E"/>
    <w:rsid w:val="008B0A23"/>
    <w:rsid w:val="008B1011"/>
    <w:rsid w:val="008B13F9"/>
    <w:rsid w:val="008B1698"/>
    <w:rsid w:val="008B280A"/>
    <w:rsid w:val="008B2FCE"/>
    <w:rsid w:val="008B3670"/>
    <w:rsid w:val="008B3E3E"/>
    <w:rsid w:val="008B4EE5"/>
    <w:rsid w:val="008B5073"/>
    <w:rsid w:val="008B6204"/>
    <w:rsid w:val="008B70A5"/>
    <w:rsid w:val="008B76C0"/>
    <w:rsid w:val="008C07D3"/>
    <w:rsid w:val="008C0D72"/>
    <w:rsid w:val="008C1A21"/>
    <w:rsid w:val="008C21C5"/>
    <w:rsid w:val="008C23DA"/>
    <w:rsid w:val="008C2555"/>
    <w:rsid w:val="008C2DE4"/>
    <w:rsid w:val="008C2F62"/>
    <w:rsid w:val="008C3383"/>
    <w:rsid w:val="008C3436"/>
    <w:rsid w:val="008C3A7C"/>
    <w:rsid w:val="008C3F87"/>
    <w:rsid w:val="008C41E6"/>
    <w:rsid w:val="008C483F"/>
    <w:rsid w:val="008C4868"/>
    <w:rsid w:val="008C5F8E"/>
    <w:rsid w:val="008C6BD9"/>
    <w:rsid w:val="008C7133"/>
    <w:rsid w:val="008C78CE"/>
    <w:rsid w:val="008D05CA"/>
    <w:rsid w:val="008D0712"/>
    <w:rsid w:val="008D09AA"/>
    <w:rsid w:val="008D132E"/>
    <w:rsid w:val="008D2989"/>
    <w:rsid w:val="008D3144"/>
    <w:rsid w:val="008D3162"/>
    <w:rsid w:val="008D32AA"/>
    <w:rsid w:val="008D4857"/>
    <w:rsid w:val="008D48C3"/>
    <w:rsid w:val="008D4A6D"/>
    <w:rsid w:val="008D507C"/>
    <w:rsid w:val="008D5B0F"/>
    <w:rsid w:val="008D5ECB"/>
    <w:rsid w:val="008D5FF0"/>
    <w:rsid w:val="008D6F08"/>
    <w:rsid w:val="008D7E06"/>
    <w:rsid w:val="008E0751"/>
    <w:rsid w:val="008E0B4F"/>
    <w:rsid w:val="008E130A"/>
    <w:rsid w:val="008E2760"/>
    <w:rsid w:val="008E43A7"/>
    <w:rsid w:val="008E4BDC"/>
    <w:rsid w:val="008E4D8E"/>
    <w:rsid w:val="008E56A1"/>
    <w:rsid w:val="008E5FB3"/>
    <w:rsid w:val="008E69EE"/>
    <w:rsid w:val="008E6C72"/>
    <w:rsid w:val="008E7D0B"/>
    <w:rsid w:val="008F00BB"/>
    <w:rsid w:val="008F02FC"/>
    <w:rsid w:val="008F0BBB"/>
    <w:rsid w:val="008F210D"/>
    <w:rsid w:val="008F2551"/>
    <w:rsid w:val="008F2907"/>
    <w:rsid w:val="008F2E13"/>
    <w:rsid w:val="008F3835"/>
    <w:rsid w:val="008F3CEC"/>
    <w:rsid w:val="008F472B"/>
    <w:rsid w:val="008F4974"/>
    <w:rsid w:val="008F4BF1"/>
    <w:rsid w:val="008F507C"/>
    <w:rsid w:val="008F516B"/>
    <w:rsid w:val="008F54B8"/>
    <w:rsid w:val="008F598B"/>
    <w:rsid w:val="008F5E99"/>
    <w:rsid w:val="008F5F05"/>
    <w:rsid w:val="008F6A77"/>
    <w:rsid w:val="008F7025"/>
    <w:rsid w:val="008F7D1C"/>
    <w:rsid w:val="00900D56"/>
    <w:rsid w:val="0090213D"/>
    <w:rsid w:val="009040CC"/>
    <w:rsid w:val="0090436F"/>
    <w:rsid w:val="0090691A"/>
    <w:rsid w:val="0090746D"/>
    <w:rsid w:val="00907E0F"/>
    <w:rsid w:val="0091085A"/>
    <w:rsid w:val="00910D9D"/>
    <w:rsid w:val="00910FDE"/>
    <w:rsid w:val="009114B8"/>
    <w:rsid w:val="0091176F"/>
    <w:rsid w:val="00911B22"/>
    <w:rsid w:val="009128EA"/>
    <w:rsid w:val="009134EC"/>
    <w:rsid w:val="00914330"/>
    <w:rsid w:val="00915BFE"/>
    <w:rsid w:val="009165D1"/>
    <w:rsid w:val="00916838"/>
    <w:rsid w:val="00916EA3"/>
    <w:rsid w:val="0091701D"/>
    <w:rsid w:val="009174D0"/>
    <w:rsid w:val="00917949"/>
    <w:rsid w:val="00920B60"/>
    <w:rsid w:val="009212AC"/>
    <w:rsid w:val="00921910"/>
    <w:rsid w:val="0092331E"/>
    <w:rsid w:val="009242AB"/>
    <w:rsid w:val="00924C99"/>
    <w:rsid w:val="009255B8"/>
    <w:rsid w:val="009256E8"/>
    <w:rsid w:val="00926087"/>
    <w:rsid w:val="009269E3"/>
    <w:rsid w:val="00926BDC"/>
    <w:rsid w:val="00930F41"/>
    <w:rsid w:val="009327FC"/>
    <w:rsid w:val="00934029"/>
    <w:rsid w:val="00934B04"/>
    <w:rsid w:val="00936060"/>
    <w:rsid w:val="00936181"/>
    <w:rsid w:val="009364A3"/>
    <w:rsid w:val="00936699"/>
    <w:rsid w:val="00937357"/>
    <w:rsid w:val="00937557"/>
    <w:rsid w:val="00937FB8"/>
    <w:rsid w:val="00940597"/>
    <w:rsid w:val="00940C33"/>
    <w:rsid w:val="009415C8"/>
    <w:rsid w:val="00943554"/>
    <w:rsid w:val="00943974"/>
    <w:rsid w:val="0094431A"/>
    <w:rsid w:val="00944CEA"/>
    <w:rsid w:val="0094515C"/>
    <w:rsid w:val="0094637D"/>
    <w:rsid w:val="00946D85"/>
    <w:rsid w:val="00947C22"/>
    <w:rsid w:val="00947DD7"/>
    <w:rsid w:val="00947FC6"/>
    <w:rsid w:val="00950A1D"/>
    <w:rsid w:val="009511B3"/>
    <w:rsid w:val="009512AC"/>
    <w:rsid w:val="009526A4"/>
    <w:rsid w:val="00954E5E"/>
    <w:rsid w:val="00955204"/>
    <w:rsid w:val="00955985"/>
    <w:rsid w:val="00955C0A"/>
    <w:rsid w:val="00955C11"/>
    <w:rsid w:val="00956021"/>
    <w:rsid w:val="009564BD"/>
    <w:rsid w:val="00956D04"/>
    <w:rsid w:val="00956D69"/>
    <w:rsid w:val="009570C3"/>
    <w:rsid w:val="0095789B"/>
    <w:rsid w:val="00957CF5"/>
    <w:rsid w:val="00957CFA"/>
    <w:rsid w:val="00960251"/>
    <w:rsid w:val="00960449"/>
    <w:rsid w:val="009606C4"/>
    <w:rsid w:val="009608C2"/>
    <w:rsid w:val="00960D70"/>
    <w:rsid w:val="009610AD"/>
    <w:rsid w:val="0096110B"/>
    <w:rsid w:val="00962AED"/>
    <w:rsid w:val="00962B9F"/>
    <w:rsid w:val="00963B96"/>
    <w:rsid w:val="009654AC"/>
    <w:rsid w:val="00965CF7"/>
    <w:rsid w:val="009664D5"/>
    <w:rsid w:val="00967A62"/>
    <w:rsid w:val="00967DEB"/>
    <w:rsid w:val="009700DC"/>
    <w:rsid w:val="009705B2"/>
    <w:rsid w:val="00970BDB"/>
    <w:rsid w:val="009710A5"/>
    <w:rsid w:val="00971394"/>
    <w:rsid w:val="00971667"/>
    <w:rsid w:val="009728D3"/>
    <w:rsid w:val="009729EE"/>
    <w:rsid w:val="009730C4"/>
    <w:rsid w:val="00973562"/>
    <w:rsid w:val="009738A1"/>
    <w:rsid w:val="00974C9B"/>
    <w:rsid w:val="00974EF4"/>
    <w:rsid w:val="00975855"/>
    <w:rsid w:val="00975EE5"/>
    <w:rsid w:val="00975F88"/>
    <w:rsid w:val="00976B78"/>
    <w:rsid w:val="00977065"/>
    <w:rsid w:val="00977404"/>
    <w:rsid w:val="00977964"/>
    <w:rsid w:val="00977A5E"/>
    <w:rsid w:val="009809AB"/>
    <w:rsid w:val="00980B7F"/>
    <w:rsid w:val="00981167"/>
    <w:rsid w:val="00981429"/>
    <w:rsid w:val="00982915"/>
    <w:rsid w:val="00984263"/>
    <w:rsid w:val="0098511E"/>
    <w:rsid w:val="009854E7"/>
    <w:rsid w:val="00986743"/>
    <w:rsid w:val="00986909"/>
    <w:rsid w:val="00987208"/>
    <w:rsid w:val="00987460"/>
    <w:rsid w:val="00987A01"/>
    <w:rsid w:val="00987A64"/>
    <w:rsid w:val="00987E5B"/>
    <w:rsid w:val="00991C80"/>
    <w:rsid w:val="00991EE5"/>
    <w:rsid w:val="00992D8C"/>
    <w:rsid w:val="00994386"/>
    <w:rsid w:val="00994D54"/>
    <w:rsid w:val="00994EAF"/>
    <w:rsid w:val="00995C2D"/>
    <w:rsid w:val="009A0A19"/>
    <w:rsid w:val="009A10FC"/>
    <w:rsid w:val="009A14BD"/>
    <w:rsid w:val="009A1788"/>
    <w:rsid w:val="009A2D77"/>
    <w:rsid w:val="009A32FF"/>
    <w:rsid w:val="009A34AD"/>
    <w:rsid w:val="009A37A9"/>
    <w:rsid w:val="009A386F"/>
    <w:rsid w:val="009A4090"/>
    <w:rsid w:val="009A564A"/>
    <w:rsid w:val="009A647B"/>
    <w:rsid w:val="009A6E00"/>
    <w:rsid w:val="009A7044"/>
    <w:rsid w:val="009B00F4"/>
    <w:rsid w:val="009B027A"/>
    <w:rsid w:val="009B052F"/>
    <w:rsid w:val="009B0D78"/>
    <w:rsid w:val="009B0F13"/>
    <w:rsid w:val="009B1327"/>
    <w:rsid w:val="009B13F3"/>
    <w:rsid w:val="009B2284"/>
    <w:rsid w:val="009B233C"/>
    <w:rsid w:val="009B272A"/>
    <w:rsid w:val="009B3CE4"/>
    <w:rsid w:val="009B3F1A"/>
    <w:rsid w:val="009B4516"/>
    <w:rsid w:val="009B4B4D"/>
    <w:rsid w:val="009B4BAF"/>
    <w:rsid w:val="009B523A"/>
    <w:rsid w:val="009B5671"/>
    <w:rsid w:val="009B5826"/>
    <w:rsid w:val="009B6DE8"/>
    <w:rsid w:val="009B75F7"/>
    <w:rsid w:val="009B7C35"/>
    <w:rsid w:val="009C0782"/>
    <w:rsid w:val="009C1D57"/>
    <w:rsid w:val="009C1F49"/>
    <w:rsid w:val="009C274B"/>
    <w:rsid w:val="009C2A4F"/>
    <w:rsid w:val="009C3115"/>
    <w:rsid w:val="009C4378"/>
    <w:rsid w:val="009C4DB7"/>
    <w:rsid w:val="009C4DE5"/>
    <w:rsid w:val="009C4E3F"/>
    <w:rsid w:val="009C6E1D"/>
    <w:rsid w:val="009C7DA9"/>
    <w:rsid w:val="009D1924"/>
    <w:rsid w:val="009D2702"/>
    <w:rsid w:val="009D2F9A"/>
    <w:rsid w:val="009D301A"/>
    <w:rsid w:val="009D45AE"/>
    <w:rsid w:val="009D483F"/>
    <w:rsid w:val="009D5B35"/>
    <w:rsid w:val="009D6665"/>
    <w:rsid w:val="009D7BA8"/>
    <w:rsid w:val="009D7C47"/>
    <w:rsid w:val="009D7F97"/>
    <w:rsid w:val="009E0923"/>
    <w:rsid w:val="009E0C7B"/>
    <w:rsid w:val="009E0DF6"/>
    <w:rsid w:val="009E13D0"/>
    <w:rsid w:val="009E2496"/>
    <w:rsid w:val="009E25FC"/>
    <w:rsid w:val="009E3B1D"/>
    <w:rsid w:val="009E40C2"/>
    <w:rsid w:val="009E46FA"/>
    <w:rsid w:val="009E488A"/>
    <w:rsid w:val="009E4F53"/>
    <w:rsid w:val="009E586B"/>
    <w:rsid w:val="009E5FE4"/>
    <w:rsid w:val="009E657C"/>
    <w:rsid w:val="009E6CD1"/>
    <w:rsid w:val="009E6FE1"/>
    <w:rsid w:val="009E7618"/>
    <w:rsid w:val="009E76F1"/>
    <w:rsid w:val="009E78B5"/>
    <w:rsid w:val="009E7AD2"/>
    <w:rsid w:val="009E7B05"/>
    <w:rsid w:val="009F000A"/>
    <w:rsid w:val="009F003C"/>
    <w:rsid w:val="009F0584"/>
    <w:rsid w:val="009F1ACD"/>
    <w:rsid w:val="009F2C2B"/>
    <w:rsid w:val="009F2D33"/>
    <w:rsid w:val="009F2DEA"/>
    <w:rsid w:val="009F2E60"/>
    <w:rsid w:val="009F3303"/>
    <w:rsid w:val="009F354D"/>
    <w:rsid w:val="009F3670"/>
    <w:rsid w:val="009F3682"/>
    <w:rsid w:val="009F3CFA"/>
    <w:rsid w:val="009F515E"/>
    <w:rsid w:val="009F5A55"/>
    <w:rsid w:val="009F64CC"/>
    <w:rsid w:val="009F64CE"/>
    <w:rsid w:val="009F75BD"/>
    <w:rsid w:val="009F7D51"/>
    <w:rsid w:val="00A005BE"/>
    <w:rsid w:val="00A00684"/>
    <w:rsid w:val="00A007F1"/>
    <w:rsid w:val="00A00C9D"/>
    <w:rsid w:val="00A01883"/>
    <w:rsid w:val="00A0248C"/>
    <w:rsid w:val="00A02AA0"/>
    <w:rsid w:val="00A0304E"/>
    <w:rsid w:val="00A03086"/>
    <w:rsid w:val="00A0363E"/>
    <w:rsid w:val="00A03933"/>
    <w:rsid w:val="00A045D8"/>
    <w:rsid w:val="00A05547"/>
    <w:rsid w:val="00A06155"/>
    <w:rsid w:val="00A074DA"/>
    <w:rsid w:val="00A108A6"/>
    <w:rsid w:val="00A1436B"/>
    <w:rsid w:val="00A14734"/>
    <w:rsid w:val="00A14737"/>
    <w:rsid w:val="00A14D35"/>
    <w:rsid w:val="00A14E86"/>
    <w:rsid w:val="00A156E8"/>
    <w:rsid w:val="00A1694E"/>
    <w:rsid w:val="00A170E6"/>
    <w:rsid w:val="00A173BB"/>
    <w:rsid w:val="00A17597"/>
    <w:rsid w:val="00A1770A"/>
    <w:rsid w:val="00A20226"/>
    <w:rsid w:val="00A214E4"/>
    <w:rsid w:val="00A21A66"/>
    <w:rsid w:val="00A22ED0"/>
    <w:rsid w:val="00A22F7E"/>
    <w:rsid w:val="00A2324D"/>
    <w:rsid w:val="00A234CA"/>
    <w:rsid w:val="00A239F0"/>
    <w:rsid w:val="00A24624"/>
    <w:rsid w:val="00A24641"/>
    <w:rsid w:val="00A247B0"/>
    <w:rsid w:val="00A248D6"/>
    <w:rsid w:val="00A24AF8"/>
    <w:rsid w:val="00A2570B"/>
    <w:rsid w:val="00A25DEA"/>
    <w:rsid w:val="00A2644F"/>
    <w:rsid w:val="00A2658A"/>
    <w:rsid w:val="00A27165"/>
    <w:rsid w:val="00A27644"/>
    <w:rsid w:val="00A27BAA"/>
    <w:rsid w:val="00A27FFD"/>
    <w:rsid w:val="00A307AF"/>
    <w:rsid w:val="00A30BD3"/>
    <w:rsid w:val="00A31686"/>
    <w:rsid w:val="00A3170D"/>
    <w:rsid w:val="00A31966"/>
    <w:rsid w:val="00A31AD6"/>
    <w:rsid w:val="00A31AFD"/>
    <w:rsid w:val="00A31F21"/>
    <w:rsid w:val="00A322C3"/>
    <w:rsid w:val="00A34F26"/>
    <w:rsid w:val="00A351BE"/>
    <w:rsid w:val="00A3707C"/>
    <w:rsid w:val="00A3726D"/>
    <w:rsid w:val="00A37A05"/>
    <w:rsid w:val="00A40538"/>
    <w:rsid w:val="00A40903"/>
    <w:rsid w:val="00A40BB6"/>
    <w:rsid w:val="00A410FD"/>
    <w:rsid w:val="00A41106"/>
    <w:rsid w:val="00A4194E"/>
    <w:rsid w:val="00A42168"/>
    <w:rsid w:val="00A42273"/>
    <w:rsid w:val="00A4246A"/>
    <w:rsid w:val="00A42BD9"/>
    <w:rsid w:val="00A43AA0"/>
    <w:rsid w:val="00A4466F"/>
    <w:rsid w:val="00A44AE8"/>
    <w:rsid w:val="00A45DBB"/>
    <w:rsid w:val="00A466FD"/>
    <w:rsid w:val="00A4681A"/>
    <w:rsid w:val="00A4764D"/>
    <w:rsid w:val="00A476CE"/>
    <w:rsid w:val="00A4789F"/>
    <w:rsid w:val="00A478D5"/>
    <w:rsid w:val="00A503D4"/>
    <w:rsid w:val="00A507B2"/>
    <w:rsid w:val="00A50EE0"/>
    <w:rsid w:val="00A51B23"/>
    <w:rsid w:val="00A52B49"/>
    <w:rsid w:val="00A52C76"/>
    <w:rsid w:val="00A52F0E"/>
    <w:rsid w:val="00A530D3"/>
    <w:rsid w:val="00A53E03"/>
    <w:rsid w:val="00A54310"/>
    <w:rsid w:val="00A54D27"/>
    <w:rsid w:val="00A55117"/>
    <w:rsid w:val="00A551F2"/>
    <w:rsid w:val="00A552E1"/>
    <w:rsid w:val="00A55E4F"/>
    <w:rsid w:val="00A56443"/>
    <w:rsid w:val="00A5695D"/>
    <w:rsid w:val="00A57680"/>
    <w:rsid w:val="00A613D8"/>
    <w:rsid w:val="00A62D61"/>
    <w:rsid w:val="00A63654"/>
    <w:rsid w:val="00A65A85"/>
    <w:rsid w:val="00A66113"/>
    <w:rsid w:val="00A6625F"/>
    <w:rsid w:val="00A66806"/>
    <w:rsid w:val="00A66C16"/>
    <w:rsid w:val="00A7069E"/>
    <w:rsid w:val="00A706FF"/>
    <w:rsid w:val="00A70770"/>
    <w:rsid w:val="00A707CE"/>
    <w:rsid w:val="00A71264"/>
    <w:rsid w:val="00A725F7"/>
    <w:rsid w:val="00A73518"/>
    <w:rsid w:val="00A737D8"/>
    <w:rsid w:val="00A743B6"/>
    <w:rsid w:val="00A76180"/>
    <w:rsid w:val="00A7669D"/>
    <w:rsid w:val="00A7704A"/>
    <w:rsid w:val="00A77826"/>
    <w:rsid w:val="00A77CDC"/>
    <w:rsid w:val="00A80094"/>
    <w:rsid w:val="00A806D8"/>
    <w:rsid w:val="00A807FD"/>
    <w:rsid w:val="00A81710"/>
    <w:rsid w:val="00A81FFE"/>
    <w:rsid w:val="00A8243D"/>
    <w:rsid w:val="00A82A42"/>
    <w:rsid w:val="00A8406D"/>
    <w:rsid w:val="00A84652"/>
    <w:rsid w:val="00A84826"/>
    <w:rsid w:val="00A84B17"/>
    <w:rsid w:val="00A84B26"/>
    <w:rsid w:val="00A84C9D"/>
    <w:rsid w:val="00A84F1B"/>
    <w:rsid w:val="00A851ED"/>
    <w:rsid w:val="00A853E7"/>
    <w:rsid w:val="00A8588A"/>
    <w:rsid w:val="00A85F06"/>
    <w:rsid w:val="00A867DA"/>
    <w:rsid w:val="00A870BE"/>
    <w:rsid w:val="00A870F8"/>
    <w:rsid w:val="00A87C74"/>
    <w:rsid w:val="00A90930"/>
    <w:rsid w:val="00A91EB9"/>
    <w:rsid w:val="00A93FD1"/>
    <w:rsid w:val="00A947DE"/>
    <w:rsid w:val="00A94AEE"/>
    <w:rsid w:val="00A957B3"/>
    <w:rsid w:val="00A95A90"/>
    <w:rsid w:val="00A9646B"/>
    <w:rsid w:val="00AA03B3"/>
    <w:rsid w:val="00AA073F"/>
    <w:rsid w:val="00AA082F"/>
    <w:rsid w:val="00AA1BC7"/>
    <w:rsid w:val="00AA1E27"/>
    <w:rsid w:val="00AA35B9"/>
    <w:rsid w:val="00AA441C"/>
    <w:rsid w:val="00AA4944"/>
    <w:rsid w:val="00AA55D3"/>
    <w:rsid w:val="00AA5781"/>
    <w:rsid w:val="00AA58DF"/>
    <w:rsid w:val="00AA6289"/>
    <w:rsid w:val="00AA74BB"/>
    <w:rsid w:val="00AA7928"/>
    <w:rsid w:val="00AB051B"/>
    <w:rsid w:val="00AB0997"/>
    <w:rsid w:val="00AB0C4C"/>
    <w:rsid w:val="00AB0E86"/>
    <w:rsid w:val="00AB15D4"/>
    <w:rsid w:val="00AB1C63"/>
    <w:rsid w:val="00AB263F"/>
    <w:rsid w:val="00AB2A0B"/>
    <w:rsid w:val="00AB33B3"/>
    <w:rsid w:val="00AB3417"/>
    <w:rsid w:val="00AB4118"/>
    <w:rsid w:val="00AB4D5F"/>
    <w:rsid w:val="00AB52AE"/>
    <w:rsid w:val="00AB5321"/>
    <w:rsid w:val="00AB6FBA"/>
    <w:rsid w:val="00AB7C8E"/>
    <w:rsid w:val="00AB7F55"/>
    <w:rsid w:val="00AC086C"/>
    <w:rsid w:val="00AC0EA6"/>
    <w:rsid w:val="00AC0F34"/>
    <w:rsid w:val="00AC1374"/>
    <w:rsid w:val="00AC280F"/>
    <w:rsid w:val="00AC348B"/>
    <w:rsid w:val="00AC4368"/>
    <w:rsid w:val="00AC4971"/>
    <w:rsid w:val="00AC4E85"/>
    <w:rsid w:val="00AC4F41"/>
    <w:rsid w:val="00AC6743"/>
    <w:rsid w:val="00AC7016"/>
    <w:rsid w:val="00AC71A9"/>
    <w:rsid w:val="00AC7C9D"/>
    <w:rsid w:val="00AD0365"/>
    <w:rsid w:val="00AD24FF"/>
    <w:rsid w:val="00AD2507"/>
    <w:rsid w:val="00AD2A9E"/>
    <w:rsid w:val="00AD2B37"/>
    <w:rsid w:val="00AD2ED3"/>
    <w:rsid w:val="00AD303D"/>
    <w:rsid w:val="00AD336D"/>
    <w:rsid w:val="00AD38B3"/>
    <w:rsid w:val="00AD38EF"/>
    <w:rsid w:val="00AD39B5"/>
    <w:rsid w:val="00AD3B40"/>
    <w:rsid w:val="00AD3F9D"/>
    <w:rsid w:val="00AD4F67"/>
    <w:rsid w:val="00AD60F3"/>
    <w:rsid w:val="00AD6CAB"/>
    <w:rsid w:val="00AD76E9"/>
    <w:rsid w:val="00AD79ED"/>
    <w:rsid w:val="00AD7FDA"/>
    <w:rsid w:val="00AE0027"/>
    <w:rsid w:val="00AE08C5"/>
    <w:rsid w:val="00AE090B"/>
    <w:rsid w:val="00AE0D56"/>
    <w:rsid w:val="00AE1C74"/>
    <w:rsid w:val="00AE1F1B"/>
    <w:rsid w:val="00AE2E53"/>
    <w:rsid w:val="00AE3430"/>
    <w:rsid w:val="00AE4437"/>
    <w:rsid w:val="00AE4774"/>
    <w:rsid w:val="00AE4873"/>
    <w:rsid w:val="00AE628E"/>
    <w:rsid w:val="00AE6329"/>
    <w:rsid w:val="00AE6347"/>
    <w:rsid w:val="00AE6AFB"/>
    <w:rsid w:val="00AE7151"/>
    <w:rsid w:val="00AE774B"/>
    <w:rsid w:val="00AE77B4"/>
    <w:rsid w:val="00AE7911"/>
    <w:rsid w:val="00AF19FA"/>
    <w:rsid w:val="00AF2022"/>
    <w:rsid w:val="00AF32F7"/>
    <w:rsid w:val="00AF3343"/>
    <w:rsid w:val="00AF3459"/>
    <w:rsid w:val="00AF3650"/>
    <w:rsid w:val="00AF3BD0"/>
    <w:rsid w:val="00AF41E5"/>
    <w:rsid w:val="00AF42B1"/>
    <w:rsid w:val="00AF4376"/>
    <w:rsid w:val="00AF439B"/>
    <w:rsid w:val="00AF4A50"/>
    <w:rsid w:val="00AF4ACD"/>
    <w:rsid w:val="00AF4E5D"/>
    <w:rsid w:val="00AF515D"/>
    <w:rsid w:val="00AF5296"/>
    <w:rsid w:val="00AF55E6"/>
    <w:rsid w:val="00AF5903"/>
    <w:rsid w:val="00AF62AF"/>
    <w:rsid w:val="00AF640D"/>
    <w:rsid w:val="00AF64C1"/>
    <w:rsid w:val="00AF65C0"/>
    <w:rsid w:val="00AF664A"/>
    <w:rsid w:val="00AF6B78"/>
    <w:rsid w:val="00AF7845"/>
    <w:rsid w:val="00AF78C3"/>
    <w:rsid w:val="00AF7B98"/>
    <w:rsid w:val="00B00190"/>
    <w:rsid w:val="00B00316"/>
    <w:rsid w:val="00B00FD4"/>
    <w:rsid w:val="00B01063"/>
    <w:rsid w:val="00B01484"/>
    <w:rsid w:val="00B01B7D"/>
    <w:rsid w:val="00B02098"/>
    <w:rsid w:val="00B029AC"/>
    <w:rsid w:val="00B02E8E"/>
    <w:rsid w:val="00B043C9"/>
    <w:rsid w:val="00B05A3F"/>
    <w:rsid w:val="00B06401"/>
    <w:rsid w:val="00B0713D"/>
    <w:rsid w:val="00B10A38"/>
    <w:rsid w:val="00B11E3F"/>
    <w:rsid w:val="00B11FA9"/>
    <w:rsid w:val="00B12440"/>
    <w:rsid w:val="00B131C9"/>
    <w:rsid w:val="00B13CAA"/>
    <w:rsid w:val="00B1434D"/>
    <w:rsid w:val="00B15182"/>
    <w:rsid w:val="00B15404"/>
    <w:rsid w:val="00B15A4C"/>
    <w:rsid w:val="00B15FEB"/>
    <w:rsid w:val="00B16366"/>
    <w:rsid w:val="00B164E8"/>
    <w:rsid w:val="00B17186"/>
    <w:rsid w:val="00B1730D"/>
    <w:rsid w:val="00B17909"/>
    <w:rsid w:val="00B17CE1"/>
    <w:rsid w:val="00B20254"/>
    <w:rsid w:val="00B20608"/>
    <w:rsid w:val="00B20665"/>
    <w:rsid w:val="00B218E2"/>
    <w:rsid w:val="00B21C77"/>
    <w:rsid w:val="00B21F78"/>
    <w:rsid w:val="00B2204D"/>
    <w:rsid w:val="00B2262E"/>
    <w:rsid w:val="00B22B41"/>
    <w:rsid w:val="00B23501"/>
    <w:rsid w:val="00B25679"/>
    <w:rsid w:val="00B257C1"/>
    <w:rsid w:val="00B25FAF"/>
    <w:rsid w:val="00B261F8"/>
    <w:rsid w:val="00B26327"/>
    <w:rsid w:val="00B2666B"/>
    <w:rsid w:val="00B27276"/>
    <w:rsid w:val="00B2759A"/>
    <w:rsid w:val="00B279EA"/>
    <w:rsid w:val="00B3075F"/>
    <w:rsid w:val="00B30B03"/>
    <w:rsid w:val="00B31C84"/>
    <w:rsid w:val="00B31DF2"/>
    <w:rsid w:val="00B32288"/>
    <w:rsid w:val="00B32714"/>
    <w:rsid w:val="00B3282D"/>
    <w:rsid w:val="00B32BF5"/>
    <w:rsid w:val="00B32CCF"/>
    <w:rsid w:val="00B33392"/>
    <w:rsid w:val="00B35971"/>
    <w:rsid w:val="00B35F31"/>
    <w:rsid w:val="00B36030"/>
    <w:rsid w:val="00B360E4"/>
    <w:rsid w:val="00B366A8"/>
    <w:rsid w:val="00B36B84"/>
    <w:rsid w:val="00B40152"/>
    <w:rsid w:val="00B408F7"/>
    <w:rsid w:val="00B4133A"/>
    <w:rsid w:val="00B41D5B"/>
    <w:rsid w:val="00B42412"/>
    <w:rsid w:val="00B43731"/>
    <w:rsid w:val="00B43AAD"/>
    <w:rsid w:val="00B43D57"/>
    <w:rsid w:val="00B45AE5"/>
    <w:rsid w:val="00B4613A"/>
    <w:rsid w:val="00B464F9"/>
    <w:rsid w:val="00B4694D"/>
    <w:rsid w:val="00B47EF7"/>
    <w:rsid w:val="00B50176"/>
    <w:rsid w:val="00B502E5"/>
    <w:rsid w:val="00B5059B"/>
    <w:rsid w:val="00B5087D"/>
    <w:rsid w:val="00B508D1"/>
    <w:rsid w:val="00B513A9"/>
    <w:rsid w:val="00B516D2"/>
    <w:rsid w:val="00B51C26"/>
    <w:rsid w:val="00B51E2C"/>
    <w:rsid w:val="00B5217C"/>
    <w:rsid w:val="00B52CC1"/>
    <w:rsid w:val="00B53233"/>
    <w:rsid w:val="00B532E2"/>
    <w:rsid w:val="00B53F6A"/>
    <w:rsid w:val="00B54D16"/>
    <w:rsid w:val="00B5573A"/>
    <w:rsid w:val="00B560AC"/>
    <w:rsid w:val="00B5654A"/>
    <w:rsid w:val="00B56E31"/>
    <w:rsid w:val="00B56E51"/>
    <w:rsid w:val="00B5703E"/>
    <w:rsid w:val="00B60A49"/>
    <w:rsid w:val="00B612B3"/>
    <w:rsid w:val="00B61679"/>
    <w:rsid w:val="00B63D6A"/>
    <w:rsid w:val="00B63F5E"/>
    <w:rsid w:val="00B6630C"/>
    <w:rsid w:val="00B66763"/>
    <w:rsid w:val="00B67912"/>
    <w:rsid w:val="00B701C9"/>
    <w:rsid w:val="00B703D0"/>
    <w:rsid w:val="00B707E7"/>
    <w:rsid w:val="00B71804"/>
    <w:rsid w:val="00B71C57"/>
    <w:rsid w:val="00B72588"/>
    <w:rsid w:val="00B75486"/>
    <w:rsid w:val="00B75CD2"/>
    <w:rsid w:val="00B75CD5"/>
    <w:rsid w:val="00B75F85"/>
    <w:rsid w:val="00B7696A"/>
    <w:rsid w:val="00B77354"/>
    <w:rsid w:val="00B8068C"/>
    <w:rsid w:val="00B80D81"/>
    <w:rsid w:val="00B8137F"/>
    <w:rsid w:val="00B8175A"/>
    <w:rsid w:val="00B81D5C"/>
    <w:rsid w:val="00B82DB7"/>
    <w:rsid w:val="00B834DE"/>
    <w:rsid w:val="00B83FF6"/>
    <w:rsid w:val="00B84582"/>
    <w:rsid w:val="00B845E2"/>
    <w:rsid w:val="00B84F8A"/>
    <w:rsid w:val="00B86355"/>
    <w:rsid w:val="00B87256"/>
    <w:rsid w:val="00B878A2"/>
    <w:rsid w:val="00B87D3A"/>
    <w:rsid w:val="00B9086E"/>
    <w:rsid w:val="00B91314"/>
    <w:rsid w:val="00B91322"/>
    <w:rsid w:val="00B914F6"/>
    <w:rsid w:val="00B915ED"/>
    <w:rsid w:val="00B91659"/>
    <w:rsid w:val="00B922B3"/>
    <w:rsid w:val="00B9335C"/>
    <w:rsid w:val="00B939E3"/>
    <w:rsid w:val="00B93C91"/>
    <w:rsid w:val="00B9424D"/>
    <w:rsid w:val="00B94A69"/>
    <w:rsid w:val="00B94C26"/>
    <w:rsid w:val="00B9527E"/>
    <w:rsid w:val="00B95865"/>
    <w:rsid w:val="00B95989"/>
    <w:rsid w:val="00B95CD3"/>
    <w:rsid w:val="00B965CB"/>
    <w:rsid w:val="00B97363"/>
    <w:rsid w:val="00BA02A9"/>
    <w:rsid w:val="00BA0506"/>
    <w:rsid w:val="00BA05BB"/>
    <w:rsid w:val="00BA075D"/>
    <w:rsid w:val="00BA0A3B"/>
    <w:rsid w:val="00BA0E2A"/>
    <w:rsid w:val="00BA1250"/>
    <w:rsid w:val="00BA261E"/>
    <w:rsid w:val="00BA2770"/>
    <w:rsid w:val="00BA352B"/>
    <w:rsid w:val="00BA3BFF"/>
    <w:rsid w:val="00BA3C43"/>
    <w:rsid w:val="00BA4698"/>
    <w:rsid w:val="00BA47B6"/>
    <w:rsid w:val="00BA4879"/>
    <w:rsid w:val="00BA49C5"/>
    <w:rsid w:val="00BA4CBF"/>
    <w:rsid w:val="00BA4EB5"/>
    <w:rsid w:val="00BA56B7"/>
    <w:rsid w:val="00BA5AD5"/>
    <w:rsid w:val="00BA6205"/>
    <w:rsid w:val="00BA6309"/>
    <w:rsid w:val="00BA6AB9"/>
    <w:rsid w:val="00BA6D92"/>
    <w:rsid w:val="00BA725B"/>
    <w:rsid w:val="00BA7564"/>
    <w:rsid w:val="00BA7770"/>
    <w:rsid w:val="00BA77A0"/>
    <w:rsid w:val="00BA7A67"/>
    <w:rsid w:val="00BB0789"/>
    <w:rsid w:val="00BB1489"/>
    <w:rsid w:val="00BB2842"/>
    <w:rsid w:val="00BB2A2C"/>
    <w:rsid w:val="00BB2E3C"/>
    <w:rsid w:val="00BB3533"/>
    <w:rsid w:val="00BB4897"/>
    <w:rsid w:val="00BB72DF"/>
    <w:rsid w:val="00BC11E6"/>
    <w:rsid w:val="00BC14D6"/>
    <w:rsid w:val="00BC25C7"/>
    <w:rsid w:val="00BC2799"/>
    <w:rsid w:val="00BC2C0A"/>
    <w:rsid w:val="00BC3AEC"/>
    <w:rsid w:val="00BC435D"/>
    <w:rsid w:val="00BC4643"/>
    <w:rsid w:val="00BC4C21"/>
    <w:rsid w:val="00BC4CDB"/>
    <w:rsid w:val="00BC4F74"/>
    <w:rsid w:val="00BC580D"/>
    <w:rsid w:val="00BC5977"/>
    <w:rsid w:val="00BC5A8A"/>
    <w:rsid w:val="00BC6150"/>
    <w:rsid w:val="00BD2045"/>
    <w:rsid w:val="00BD2463"/>
    <w:rsid w:val="00BD2951"/>
    <w:rsid w:val="00BD2C41"/>
    <w:rsid w:val="00BD2E78"/>
    <w:rsid w:val="00BD3BF7"/>
    <w:rsid w:val="00BD630B"/>
    <w:rsid w:val="00BD6407"/>
    <w:rsid w:val="00BD68A5"/>
    <w:rsid w:val="00BD70EF"/>
    <w:rsid w:val="00BD7744"/>
    <w:rsid w:val="00BE04B0"/>
    <w:rsid w:val="00BE0C75"/>
    <w:rsid w:val="00BE1128"/>
    <w:rsid w:val="00BE146F"/>
    <w:rsid w:val="00BE1785"/>
    <w:rsid w:val="00BE1841"/>
    <w:rsid w:val="00BE271E"/>
    <w:rsid w:val="00BE2811"/>
    <w:rsid w:val="00BE31E7"/>
    <w:rsid w:val="00BE5459"/>
    <w:rsid w:val="00BE5A14"/>
    <w:rsid w:val="00BE5A72"/>
    <w:rsid w:val="00BE65F6"/>
    <w:rsid w:val="00BE6784"/>
    <w:rsid w:val="00BE69D8"/>
    <w:rsid w:val="00BE6DDF"/>
    <w:rsid w:val="00BE74B6"/>
    <w:rsid w:val="00BE7F0E"/>
    <w:rsid w:val="00BF059E"/>
    <w:rsid w:val="00BF0E1B"/>
    <w:rsid w:val="00BF1EAB"/>
    <w:rsid w:val="00BF2CE2"/>
    <w:rsid w:val="00BF3410"/>
    <w:rsid w:val="00BF3BE8"/>
    <w:rsid w:val="00BF41A0"/>
    <w:rsid w:val="00BF4C66"/>
    <w:rsid w:val="00BF5E5E"/>
    <w:rsid w:val="00BF5F02"/>
    <w:rsid w:val="00BF7929"/>
    <w:rsid w:val="00BF79A3"/>
    <w:rsid w:val="00C00539"/>
    <w:rsid w:val="00C0059A"/>
    <w:rsid w:val="00C00D27"/>
    <w:rsid w:val="00C011CA"/>
    <w:rsid w:val="00C0166C"/>
    <w:rsid w:val="00C02880"/>
    <w:rsid w:val="00C02F90"/>
    <w:rsid w:val="00C030B9"/>
    <w:rsid w:val="00C033AF"/>
    <w:rsid w:val="00C039AC"/>
    <w:rsid w:val="00C039EC"/>
    <w:rsid w:val="00C04260"/>
    <w:rsid w:val="00C05832"/>
    <w:rsid w:val="00C06093"/>
    <w:rsid w:val="00C0761C"/>
    <w:rsid w:val="00C07D5F"/>
    <w:rsid w:val="00C11A4F"/>
    <w:rsid w:val="00C11E35"/>
    <w:rsid w:val="00C12301"/>
    <w:rsid w:val="00C1237D"/>
    <w:rsid w:val="00C12853"/>
    <w:rsid w:val="00C13591"/>
    <w:rsid w:val="00C1359D"/>
    <w:rsid w:val="00C13E66"/>
    <w:rsid w:val="00C140D3"/>
    <w:rsid w:val="00C155A8"/>
    <w:rsid w:val="00C15DDE"/>
    <w:rsid w:val="00C16041"/>
    <w:rsid w:val="00C17093"/>
    <w:rsid w:val="00C179E9"/>
    <w:rsid w:val="00C17B76"/>
    <w:rsid w:val="00C20025"/>
    <w:rsid w:val="00C203CE"/>
    <w:rsid w:val="00C20927"/>
    <w:rsid w:val="00C20F2A"/>
    <w:rsid w:val="00C212AB"/>
    <w:rsid w:val="00C2201C"/>
    <w:rsid w:val="00C220BE"/>
    <w:rsid w:val="00C224B3"/>
    <w:rsid w:val="00C225C8"/>
    <w:rsid w:val="00C226A8"/>
    <w:rsid w:val="00C2287F"/>
    <w:rsid w:val="00C22999"/>
    <w:rsid w:val="00C22D85"/>
    <w:rsid w:val="00C22FF3"/>
    <w:rsid w:val="00C2353C"/>
    <w:rsid w:val="00C240CB"/>
    <w:rsid w:val="00C24E78"/>
    <w:rsid w:val="00C251DB"/>
    <w:rsid w:val="00C251E3"/>
    <w:rsid w:val="00C276AF"/>
    <w:rsid w:val="00C30F13"/>
    <w:rsid w:val="00C31219"/>
    <w:rsid w:val="00C31740"/>
    <w:rsid w:val="00C325DB"/>
    <w:rsid w:val="00C335E2"/>
    <w:rsid w:val="00C336C8"/>
    <w:rsid w:val="00C34682"/>
    <w:rsid w:val="00C34E76"/>
    <w:rsid w:val="00C355EB"/>
    <w:rsid w:val="00C35B11"/>
    <w:rsid w:val="00C35B1D"/>
    <w:rsid w:val="00C36630"/>
    <w:rsid w:val="00C36EC3"/>
    <w:rsid w:val="00C3737F"/>
    <w:rsid w:val="00C37687"/>
    <w:rsid w:val="00C37BA0"/>
    <w:rsid w:val="00C37C86"/>
    <w:rsid w:val="00C40A1C"/>
    <w:rsid w:val="00C40ED4"/>
    <w:rsid w:val="00C41C91"/>
    <w:rsid w:val="00C42A23"/>
    <w:rsid w:val="00C43308"/>
    <w:rsid w:val="00C43D07"/>
    <w:rsid w:val="00C43F18"/>
    <w:rsid w:val="00C43FD4"/>
    <w:rsid w:val="00C4471E"/>
    <w:rsid w:val="00C452AE"/>
    <w:rsid w:val="00C4566C"/>
    <w:rsid w:val="00C45809"/>
    <w:rsid w:val="00C4593F"/>
    <w:rsid w:val="00C46492"/>
    <w:rsid w:val="00C46A6A"/>
    <w:rsid w:val="00C47364"/>
    <w:rsid w:val="00C476B0"/>
    <w:rsid w:val="00C50E64"/>
    <w:rsid w:val="00C51020"/>
    <w:rsid w:val="00C51FDD"/>
    <w:rsid w:val="00C52D7E"/>
    <w:rsid w:val="00C530E0"/>
    <w:rsid w:val="00C5471D"/>
    <w:rsid w:val="00C54C96"/>
    <w:rsid w:val="00C5528D"/>
    <w:rsid w:val="00C557CF"/>
    <w:rsid w:val="00C55D28"/>
    <w:rsid w:val="00C56BA3"/>
    <w:rsid w:val="00C57B9E"/>
    <w:rsid w:val="00C60184"/>
    <w:rsid w:val="00C60AEF"/>
    <w:rsid w:val="00C60CD5"/>
    <w:rsid w:val="00C61243"/>
    <w:rsid w:val="00C615EE"/>
    <w:rsid w:val="00C619B2"/>
    <w:rsid w:val="00C61FC7"/>
    <w:rsid w:val="00C622C7"/>
    <w:rsid w:val="00C62695"/>
    <w:rsid w:val="00C626E0"/>
    <w:rsid w:val="00C62DC3"/>
    <w:rsid w:val="00C634E4"/>
    <w:rsid w:val="00C63E64"/>
    <w:rsid w:val="00C64021"/>
    <w:rsid w:val="00C67214"/>
    <w:rsid w:val="00C70576"/>
    <w:rsid w:val="00C71723"/>
    <w:rsid w:val="00C73056"/>
    <w:rsid w:val="00C740CA"/>
    <w:rsid w:val="00C747F6"/>
    <w:rsid w:val="00C74F82"/>
    <w:rsid w:val="00C7554A"/>
    <w:rsid w:val="00C759C9"/>
    <w:rsid w:val="00C75BE5"/>
    <w:rsid w:val="00C75C40"/>
    <w:rsid w:val="00C76D1F"/>
    <w:rsid w:val="00C77A7B"/>
    <w:rsid w:val="00C81A23"/>
    <w:rsid w:val="00C81B53"/>
    <w:rsid w:val="00C8208E"/>
    <w:rsid w:val="00C82171"/>
    <w:rsid w:val="00C82537"/>
    <w:rsid w:val="00C8281E"/>
    <w:rsid w:val="00C82FBB"/>
    <w:rsid w:val="00C832B1"/>
    <w:rsid w:val="00C83492"/>
    <w:rsid w:val="00C83B32"/>
    <w:rsid w:val="00C8499B"/>
    <w:rsid w:val="00C84DE1"/>
    <w:rsid w:val="00C84EDA"/>
    <w:rsid w:val="00C84FED"/>
    <w:rsid w:val="00C855E4"/>
    <w:rsid w:val="00C85C4F"/>
    <w:rsid w:val="00C86223"/>
    <w:rsid w:val="00C8655E"/>
    <w:rsid w:val="00C875B1"/>
    <w:rsid w:val="00C90526"/>
    <w:rsid w:val="00C910A2"/>
    <w:rsid w:val="00C919DC"/>
    <w:rsid w:val="00C91E84"/>
    <w:rsid w:val="00C91FE4"/>
    <w:rsid w:val="00C92D9A"/>
    <w:rsid w:val="00C92F7F"/>
    <w:rsid w:val="00C93E77"/>
    <w:rsid w:val="00C94E70"/>
    <w:rsid w:val="00C9541F"/>
    <w:rsid w:val="00C961C7"/>
    <w:rsid w:val="00C96BF3"/>
    <w:rsid w:val="00C96DF6"/>
    <w:rsid w:val="00C97A55"/>
    <w:rsid w:val="00CA0269"/>
    <w:rsid w:val="00CA0A02"/>
    <w:rsid w:val="00CA0C8B"/>
    <w:rsid w:val="00CA0EDF"/>
    <w:rsid w:val="00CA0FCC"/>
    <w:rsid w:val="00CA29DA"/>
    <w:rsid w:val="00CA2C06"/>
    <w:rsid w:val="00CA2DD4"/>
    <w:rsid w:val="00CA3266"/>
    <w:rsid w:val="00CA3268"/>
    <w:rsid w:val="00CA4511"/>
    <w:rsid w:val="00CA5D4D"/>
    <w:rsid w:val="00CA5DE4"/>
    <w:rsid w:val="00CA6A8A"/>
    <w:rsid w:val="00CA6C73"/>
    <w:rsid w:val="00CA6E31"/>
    <w:rsid w:val="00CA71E7"/>
    <w:rsid w:val="00CB139B"/>
    <w:rsid w:val="00CB1905"/>
    <w:rsid w:val="00CB1F7F"/>
    <w:rsid w:val="00CB2BD9"/>
    <w:rsid w:val="00CB32D1"/>
    <w:rsid w:val="00CB37D6"/>
    <w:rsid w:val="00CB4416"/>
    <w:rsid w:val="00CB5586"/>
    <w:rsid w:val="00CB5956"/>
    <w:rsid w:val="00CB5CCD"/>
    <w:rsid w:val="00CB6140"/>
    <w:rsid w:val="00CB7648"/>
    <w:rsid w:val="00CB7755"/>
    <w:rsid w:val="00CC00BF"/>
    <w:rsid w:val="00CC07ED"/>
    <w:rsid w:val="00CC12DE"/>
    <w:rsid w:val="00CC1BF4"/>
    <w:rsid w:val="00CC1DD4"/>
    <w:rsid w:val="00CC1E6A"/>
    <w:rsid w:val="00CC1FC5"/>
    <w:rsid w:val="00CC20B3"/>
    <w:rsid w:val="00CC25EC"/>
    <w:rsid w:val="00CC283A"/>
    <w:rsid w:val="00CC2B17"/>
    <w:rsid w:val="00CC2FB1"/>
    <w:rsid w:val="00CC37A7"/>
    <w:rsid w:val="00CC3E72"/>
    <w:rsid w:val="00CC4DB0"/>
    <w:rsid w:val="00CC6192"/>
    <w:rsid w:val="00CC644C"/>
    <w:rsid w:val="00CC66FF"/>
    <w:rsid w:val="00CC6B42"/>
    <w:rsid w:val="00CC7EC9"/>
    <w:rsid w:val="00CD09C1"/>
    <w:rsid w:val="00CD0BF2"/>
    <w:rsid w:val="00CD0DD7"/>
    <w:rsid w:val="00CD0ED3"/>
    <w:rsid w:val="00CD1E1B"/>
    <w:rsid w:val="00CD3323"/>
    <w:rsid w:val="00CD3436"/>
    <w:rsid w:val="00CD364C"/>
    <w:rsid w:val="00CD3651"/>
    <w:rsid w:val="00CD3D81"/>
    <w:rsid w:val="00CD4211"/>
    <w:rsid w:val="00CD47A6"/>
    <w:rsid w:val="00CD47F3"/>
    <w:rsid w:val="00CD48E5"/>
    <w:rsid w:val="00CD492D"/>
    <w:rsid w:val="00CD4D19"/>
    <w:rsid w:val="00CD504C"/>
    <w:rsid w:val="00CD53BC"/>
    <w:rsid w:val="00CD5EF6"/>
    <w:rsid w:val="00CD65A7"/>
    <w:rsid w:val="00CD6A1C"/>
    <w:rsid w:val="00CD7C72"/>
    <w:rsid w:val="00CE0732"/>
    <w:rsid w:val="00CE0E77"/>
    <w:rsid w:val="00CE13BB"/>
    <w:rsid w:val="00CE213E"/>
    <w:rsid w:val="00CE4509"/>
    <w:rsid w:val="00CE48E9"/>
    <w:rsid w:val="00CE4EFA"/>
    <w:rsid w:val="00CE542C"/>
    <w:rsid w:val="00CE54C3"/>
    <w:rsid w:val="00CE5820"/>
    <w:rsid w:val="00CE655F"/>
    <w:rsid w:val="00CE6C8D"/>
    <w:rsid w:val="00CE7406"/>
    <w:rsid w:val="00CE7C81"/>
    <w:rsid w:val="00CF001A"/>
    <w:rsid w:val="00CF1071"/>
    <w:rsid w:val="00CF252F"/>
    <w:rsid w:val="00CF2A85"/>
    <w:rsid w:val="00CF2E4E"/>
    <w:rsid w:val="00CF3050"/>
    <w:rsid w:val="00CF32D9"/>
    <w:rsid w:val="00CF3541"/>
    <w:rsid w:val="00CF5311"/>
    <w:rsid w:val="00CF58F4"/>
    <w:rsid w:val="00CF5CFB"/>
    <w:rsid w:val="00CF6AB0"/>
    <w:rsid w:val="00D004C6"/>
    <w:rsid w:val="00D00715"/>
    <w:rsid w:val="00D00C33"/>
    <w:rsid w:val="00D00DB6"/>
    <w:rsid w:val="00D018F1"/>
    <w:rsid w:val="00D02F73"/>
    <w:rsid w:val="00D03AC7"/>
    <w:rsid w:val="00D03F4D"/>
    <w:rsid w:val="00D0574A"/>
    <w:rsid w:val="00D0614B"/>
    <w:rsid w:val="00D06155"/>
    <w:rsid w:val="00D06AF7"/>
    <w:rsid w:val="00D070E0"/>
    <w:rsid w:val="00D0736B"/>
    <w:rsid w:val="00D078D3"/>
    <w:rsid w:val="00D07DA2"/>
    <w:rsid w:val="00D1028A"/>
    <w:rsid w:val="00D1034D"/>
    <w:rsid w:val="00D10A38"/>
    <w:rsid w:val="00D117A9"/>
    <w:rsid w:val="00D12286"/>
    <w:rsid w:val="00D123E7"/>
    <w:rsid w:val="00D128AF"/>
    <w:rsid w:val="00D13651"/>
    <w:rsid w:val="00D14930"/>
    <w:rsid w:val="00D14DA0"/>
    <w:rsid w:val="00D153EB"/>
    <w:rsid w:val="00D15ADB"/>
    <w:rsid w:val="00D15F2B"/>
    <w:rsid w:val="00D16097"/>
    <w:rsid w:val="00D165EE"/>
    <w:rsid w:val="00D165FF"/>
    <w:rsid w:val="00D1782C"/>
    <w:rsid w:val="00D2013A"/>
    <w:rsid w:val="00D20381"/>
    <w:rsid w:val="00D21214"/>
    <w:rsid w:val="00D21370"/>
    <w:rsid w:val="00D2376B"/>
    <w:rsid w:val="00D24095"/>
    <w:rsid w:val="00D24644"/>
    <w:rsid w:val="00D24F7B"/>
    <w:rsid w:val="00D261DC"/>
    <w:rsid w:val="00D27008"/>
    <w:rsid w:val="00D3006A"/>
    <w:rsid w:val="00D300D9"/>
    <w:rsid w:val="00D30299"/>
    <w:rsid w:val="00D30515"/>
    <w:rsid w:val="00D308D1"/>
    <w:rsid w:val="00D30F8E"/>
    <w:rsid w:val="00D3116F"/>
    <w:rsid w:val="00D32184"/>
    <w:rsid w:val="00D32350"/>
    <w:rsid w:val="00D335FE"/>
    <w:rsid w:val="00D338AB"/>
    <w:rsid w:val="00D3478D"/>
    <w:rsid w:val="00D35011"/>
    <w:rsid w:val="00D35B21"/>
    <w:rsid w:val="00D35C91"/>
    <w:rsid w:val="00D36410"/>
    <w:rsid w:val="00D36630"/>
    <w:rsid w:val="00D36AC2"/>
    <w:rsid w:val="00D3774D"/>
    <w:rsid w:val="00D37BEB"/>
    <w:rsid w:val="00D37E91"/>
    <w:rsid w:val="00D40878"/>
    <w:rsid w:val="00D40EB4"/>
    <w:rsid w:val="00D40F89"/>
    <w:rsid w:val="00D413B8"/>
    <w:rsid w:val="00D41870"/>
    <w:rsid w:val="00D424FF"/>
    <w:rsid w:val="00D42D0D"/>
    <w:rsid w:val="00D42FDB"/>
    <w:rsid w:val="00D430A0"/>
    <w:rsid w:val="00D4339A"/>
    <w:rsid w:val="00D44067"/>
    <w:rsid w:val="00D44624"/>
    <w:rsid w:val="00D44EBB"/>
    <w:rsid w:val="00D44FF9"/>
    <w:rsid w:val="00D46FDA"/>
    <w:rsid w:val="00D51CDD"/>
    <w:rsid w:val="00D525E5"/>
    <w:rsid w:val="00D5297A"/>
    <w:rsid w:val="00D533D4"/>
    <w:rsid w:val="00D543C4"/>
    <w:rsid w:val="00D5447D"/>
    <w:rsid w:val="00D559E0"/>
    <w:rsid w:val="00D55CD6"/>
    <w:rsid w:val="00D5654C"/>
    <w:rsid w:val="00D569F2"/>
    <w:rsid w:val="00D56A17"/>
    <w:rsid w:val="00D56E21"/>
    <w:rsid w:val="00D57FE6"/>
    <w:rsid w:val="00D60535"/>
    <w:rsid w:val="00D6111A"/>
    <w:rsid w:val="00D62C1D"/>
    <w:rsid w:val="00D63250"/>
    <w:rsid w:val="00D634AC"/>
    <w:rsid w:val="00D63937"/>
    <w:rsid w:val="00D64847"/>
    <w:rsid w:val="00D650C3"/>
    <w:rsid w:val="00D65193"/>
    <w:rsid w:val="00D65D3A"/>
    <w:rsid w:val="00D66465"/>
    <w:rsid w:val="00D66A57"/>
    <w:rsid w:val="00D674DD"/>
    <w:rsid w:val="00D6757A"/>
    <w:rsid w:val="00D67BCB"/>
    <w:rsid w:val="00D705A2"/>
    <w:rsid w:val="00D705EF"/>
    <w:rsid w:val="00D712A8"/>
    <w:rsid w:val="00D71BD0"/>
    <w:rsid w:val="00D72296"/>
    <w:rsid w:val="00D72E32"/>
    <w:rsid w:val="00D72F1D"/>
    <w:rsid w:val="00D72F53"/>
    <w:rsid w:val="00D731F7"/>
    <w:rsid w:val="00D73422"/>
    <w:rsid w:val="00D73EB5"/>
    <w:rsid w:val="00D740A6"/>
    <w:rsid w:val="00D757FC"/>
    <w:rsid w:val="00D7615A"/>
    <w:rsid w:val="00D761EF"/>
    <w:rsid w:val="00D76468"/>
    <w:rsid w:val="00D77092"/>
    <w:rsid w:val="00D7786D"/>
    <w:rsid w:val="00D779B5"/>
    <w:rsid w:val="00D80309"/>
    <w:rsid w:val="00D81009"/>
    <w:rsid w:val="00D811B5"/>
    <w:rsid w:val="00D83051"/>
    <w:rsid w:val="00D8401A"/>
    <w:rsid w:val="00D84F96"/>
    <w:rsid w:val="00D852F5"/>
    <w:rsid w:val="00D853AD"/>
    <w:rsid w:val="00D85A87"/>
    <w:rsid w:val="00D85AE7"/>
    <w:rsid w:val="00D861F2"/>
    <w:rsid w:val="00D86DD0"/>
    <w:rsid w:val="00D872E2"/>
    <w:rsid w:val="00D87356"/>
    <w:rsid w:val="00D87380"/>
    <w:rsid w:val="00D900C9"/>
    <w:rsid w:val="00D90462"/>
    <w:rsid w:val="00D911A1"/>
    <w:rsid w:val="00D9256A"/>
    <w:rsid w:val="00D926F7"/>
    <w:rsid w:val="00D92B7E"/>
    <w:rsid w:val="00D92BF2"/>
    <w:rsid w:val="00D93C28"/>
    <w:rsid w:val="00D94305"/>
    <w:rsid w:val="00D94A05"/>
    <w:rsid w:val="00D94F8B"/>
    <w:rsid w:val="00D962B6"/>
    <w:rsid w:val="00D96458"/>
    <w:rsid w:val="00D968BD"/>
    <w:rsid w:val="00D96C09"/>
    <w:rsid w:val="00D96E13"/>
    <w:rsid w:val="00D97813"/>
    <w:rsid w:val="00DA0DA2"/>
    <w:rsid w:val="00DA195C"/>
    <w:rsid w:val="00DA1BB9"/>
    <w:rsid w:val="00DA254B"/>
    <w:rsid w:val="00DA4070"/>
    <w:rsid w:val="00DA44FD"/>
    <w:rsid w:val="00DA51BE"/>
    <w:rsid w:val="00DA5A70"/>
    <w:rsid w:val="00DA68B5"/>
    <w:rsid w:val="00DB09B7"/>
    <w:rsid w:val="00DB0CD0"/>
    <w:rsid w:val="00DB0D3B"/>
    <w:rsid w:val="00DB1783"/>
    <w:rsid w:val="00DB226A"/>
    <w:rsid w:val="00DB23E1"/>
    <w:rsid w:val="00DB26D5"/>
    <w:rsid w:val="00DB29D7"/>
    <w:rsid w:val="00DB2C20"/>
    <w:rsid w:val="00DB2E01"/>
    <w:rsid w:val="00DB3A2D"/>
    <w:rsid w:val="00DB3AD1"/>
    <w:rsid w:val="00DB3B55"/>
    <w:rsid w:val="00DB3D2E"/>
    <w:rsid w:val="00DB3F12"/>
    <w:rsid w:val="00DB405C"/>
    <w:rsid w:val="00DB5047"/>
    <w:rsid w:val="00DB5902"/>
    <w:rsid w:val="00DB5962"/>
    <w:rsid w:val="00DB5A2B"/>
    <w:rsid w:val="00DB6907"/>
    <w:rsid w:val="00DB6975"/>
    <w:rsid w:val="00DB6ED2"/>
    <w:rsid w:val="00DB750A"/>
    <w:rsid w:val="00DB77AE"/>
    <w:rsid w:val="00DC0DDA"/>
    <w:rsid w:val="00DC195B"/>
    <w:rsid w:val="00DC19B7"/>
    <w:rsid w:val="00DC1FAA"/>
    <w:rsid w:val="00DC2478"/>
    <w:rsid w:val="00DC41A4"/>
    <w:rsid w:val="00DC42F4"/>
    <w:rsid w:val="00DC445B"/>
    <w:rsid w:val="00DC55B2"/>
    <w:rsid w:val="00DC58FE"/>
    <w:rsid w:val="00DC5C81"/>
    <w:rsid w:val="00DC6FC1"/>
    <w:rsid w:val="00DC71FC"/>
    <w:rsid w:val="00DD1420"/>
    <w:rsid w:val="00DD18FC"/>
    <w:rsid w:val="00DD2B6F"/>
    <w:rsid w:val="00DD2B82"/>
    <w:rsid w:val="00DD451B"/>
    <w:rsid w:val="00DD4810"/>
    <w:rsid w:val="00DD4C92"/>
    <w:rsid w:val="00DD5546"/>
    <w:rsid w:val="00DD7902"/>
    <w:rsid w:val="00DD7C46"/>
    <w:rsid w:val="00DE0FD5"/>
    <w:rsid w:val="00DE2280"/>
    <w:rsid w:val="00DE27D4"/>
    <w:rsid w:val="00DE339B"/>
    <w:rsid w:val="00DE3600"/>
    <w:rsid w:val="00DE41F4"/>
    <w:rsid w:val="00DE478D"/>
    <w:rsid w:val="00DE4E08"/>
    <w:rsid w:val="00DE60ED"/>
    <w:rsid w:val="00DE6F4C"/>
    <w:rsid w:val="00DF0DB1"/>
    <w:rsid w:val="00DF1B03"/>
    <w:rsid w:val="00DF335B"/>
    <w:rsid w:val="00DF4613"/>
    <w:rsid w:val="00DF4AEA"/>
    <w:rsid w:val="00DF5F92"/>
    <w:rsid w:val="00DF6F0E"/>
    <w:rsid w:val="00DF722A"/>
    <w:rsid w:val="00E00A5A"/>
    <w:rsid w:val="00E01624"/>
    <w:rsid w:val="00E03891"/>
    <w:rsid w:val="00E039A0"/>
    <w:rsid w:val="00E03E55"/>
    <w:rsid w:val="00E042DB"/>
    <w:rsid w:val="00E0477F"/>
    <w:rsid w:val="00E056C1"/>
    <w:rsid w:val="00E05993"/>
    <w:rsid w:val="00E06C6C"/>
    <w:rsid w:val="00E06D39"/>
    <w:rsid w:val="00E0721D"/>
    <w:rsid w:val="00E0746F"/>
    <w:rsid w:val="00E0756C"/>
    <w:rsid w:val="00E07A46"/>
    <w:rsid w:val="00E07B7C"/>
    <w:rsid w:val="00E100F0"/>
    <w:rsid w:val="00E10F29"/>
    <w:rsid w:val="00E1106A"/>
    <w:rsid w:val="00E11572"/>
    <w:rsid w:val="00E11B08"/>
    <w:rsid w:val="00E11CA1"/>
    <w:rsid w:val="00E11EBE"/>
    <w:rsid w:val="00E120FF"/>
    <w:rsid w:val="00E122D8"/>
    <w:rsid w:val="00E12C3B"/>
    <w:rsid w:val="00E12CDD"/>
    <w:rsid w:val="00E13645"/>
    <w:rsid w:val="00E13693"/>
    <w:rsid w:val="00E138AA"/>
    <w:rsid w:val="00E13C23"/>
    <w:rsid w:val="00E14739"/>
    <w:rsid w:val="00E150C6"/>
    <w:rsid w:val="00E15685"/>
    <w:rsid w:val="00E15B7F"/>
    <w:rsid w:val="00E16384"/>
    <w:rsid w:val="00E17AED"/>
    <w:rsid w:val="00E20384"/>
    <w:rsid w:val="00E20506"/>
    <w:rsid w:val="00E209C9"/>
    <w:rsid w:val="00E20B5F"/>
    <w:rsid w:val="00E21072"/>
    <w:rsid w:val="00E21220"/>
    <w:rsid w:val="00E22834"/>
    <w:rsid w:val="00E228A8"/>
    <w:rsid w:val="00E233A4"/>
    <w:rsid w:val="00E2354A"/>
    <w:rsid w:val="00E244A1"/>
    <w:rsid w:val="00E247E6"/>
    <w:rsid w:val="00E24BD8"/>
    <w:rsid w:val="00E24FFF"/>
    <w:rsid w:val="00E2646E"/>
    <w:rsid w:val="00E2679B"/>
    <w:rsid w:val="00E27CF9"/>
    <w:rsid w:val="00E30639"/>
    <w:rsid w:val="00E314DD"/>
    <w:rsid w:val="00E3176C"/>
    <w:rsid w:val="00E320B1"/>
    <w:rsid w:val="00E32940"/>
    <w:rsid w:val="00E32A9C"/>
    <w:rsid w:val="00E3330C"/>
    <w:rsid w:val="00E343B3"/>
    <w:rsid w:val="00E34994"/>
    <w:rsid w:val="00E36654"/>
    <w:rsid w:val="00E367A0"/>
    <w:rsid w:val="00E36E99"/>
    <w:rsid w:val="00E37664"/>
    <w:rsid w:val="00E4057B"/>
    <w:rsid w:val="00E40839"/>
    <w:rsid w:val="00E40903"/>
    <w:rsid w:val="00E40ED4"/>
    <w:rsid w:val="00E40F47"/>
    <w:rsid w:val="00E419D3"/>
    <w:rsid w:val="00E43647"/>
    <w:rsid w:val="00E43949"/>
    <w:rsid w:val="00E4423A"/>
    <w:rsid w:val="00E44346"/>
    <w:rsid w:val="00E44540"/>
    <w:rsid w:val="00E44F00"/>
    <w:rsid w:val="00E459A2"/>
    <w:rsid w:val="00E45A21"/>
    <w:rsid w:val="00E461D7"/>
    <w:rsid w:val="00E465A5"/>
    <w:rsid w:val="00E46D16"/>
    <w:rsid w:val="00E4760F"/>
    <w:rsid w:val="00E47A8B"/>
    <w:rsid w:val="00E50E33"/>
    <w:rsid w:val="00E52133"/>
    <w:rsid w:val="00E52A7E"/>
    <w:rsid w:val="00E536D6"/>
    <w:rsid w:val="00E5376C"/>
    <w:rsid w:val="00E55379"/>
    <w:rsid w:val="00E55644"/>
    <w:rsid w:val="00E55701"/>
    <w:rsid w:val="00E55917"/>
    <w:rsid w:val="00E55ED3"/>
    <w:rsid w:val="00E563CE"/>
    <w:rsid w:val="00E5670E"/>
    <w:rsid w:val="00E567B9"/>
    <w:rsid w:val="00E56888"/>
    <w:rsid w:val="00E56D38"/>
    <w:rsid w:val="00E60645"/>
    <w:rsid w:val="00E60838"/>
    <w:rsid w:val="00E60858"/>
    <w:rsid w:val="00E608B5"/>
    <w:rsid w:val="00E609F7"/>
    <w:rsid w:val="00E60B5E"/>
    <w:rsid w:val="00E60CD0"/>
    <w:rsid w:val="00E61905"/>
    <w:rsid w:val="00E61F92"/>
    <w:rsid w:val="00E62B91"/>
    <w:rsid w:val="00E62F62"/>
    <w:rsid w:val="00E64BE9"/>
    <w:rsid w:val="00E64DA9"/>
    <w:rsid w:val="00E6553D"/>
    <w:rsid w:val="00E67475"/>
    <w:rsid w:val="00E6786B"/>
    <w:rsid w:val="00E67AF6"/>
    <w:rsid w:val="00E67C33"/>
    <w:rsid w:val="00E67DAF"/>
    <w:rsid w:val="00E704AC"/>
    <w:rsid w:val="00E70712"/>
    <w:rsid w:val="00E70DC9"/>
    <w:rsid w:val="00E716E5"/>
    <w:rsid w:val="00E71B1B"/>
    <w:rsid w:val="00E71C9E"/>
    <w:rsid w:val="00E7318C"/>
    <w:rsid w:val="00E737B2"/>
    <w:rsid w:val="00E73845"/>
    <w:rsid w:val="00E73934"/>
    <w:rsid w:val="00E73D56"/>
    <w:rsid w:val="00E74C7E"/>
    <w:rsid w:val="00E75519"/>
    <w:rsid w:val="00E7572A"/>
    <w:rsid w:val="00E76350"/>
    <w:rsid w:val="00E76438"/>
    <w:rsid w:val="00E76495"/>
    <w:rsid w:val="00E76C08"/>
    <w:rsid w:val="00E77E7F"/>
    <w:rsid w:val="00E8065F"/>
    <w:rsid w:val="00E809F6"/>
    <w:rsid w:val="00E810A6"/>
    <w:rsid w:val="00E82283"/>
    <w:rsid w:val="00E823A6"/>
    <w:rsid w:val="00E82CE4"/>
    <w:rsid w:val="00E85417"/>
    <w:rsid w:val="00E85E6F"/>
    <w:rsid w:val="00E874AE"/>
    <w:rsid w:val="00E878DE"/>
    <w:rsid w:val="00E900E6"/>
    <w:rsid w:val="00E90306"/>
    <w:rsid w:val="00E9074D"/>
    <w:rsid w:val="00E9170A"/>
    <w:rsid w:val="00E92220"/>
    <w:rsid w:val="00E923FD"/>
    <w:rsid w:val="00E930D4"/>
    <w:rsid w:val="00E93484"/>
    <w:rsid w:val="00E942EE"/>
    <w:rsid w:val="00E9563A"/>
    <w:rsid w:val="00E96D56"/>
    <w:rsid w:val="00E97C8F"/>
    <w:rsid w:val="00EA03E5"/>
    <w:rsid w:val="00EA0A9D"/>
    <w:rsid w:val="00EA0D0B"/>
    <w:rsid w:val="00EA1064"/>
    <w:rsid w:val="00EA1E85"/>
    <w:rsid w:val="00EA2442"/>
    <w:rsid w:val="00EA2484"/>
    <w:rsid w:val="00EA261B"/>
    <w:rsid w:val="00EA547E"/>
    <w:rsid w:val="00EA56B9"/>
    <w:rsid w:val="00EA6CA0"/>
    <w:rsid w:val="00EB01AA"/>
    <w:rsid w:val="00EB36C3"/>
    <w:rsid w:val="00EB3BF8"/>
    <w:rsid w:val="00EB4022"/>
    <w:rsid w:val="00EB448B"/>
    <w:rsid w:val="00EB5967"/>
    <w:rsid w:val="00EB666F"/>
    <w:rsid w:val="00EB68AC"/>
    <w:rsid w:val="00EB6C3A"/>
    <w:rsid w:val="00EB75FC"/>
    <w:rsid w:val="00EC0E47"/>
    <w:rsid w:val="00EC107F"/>
    <w:rsid w:val="00EC24FA"/>
    <w:rsid w:val="00EC2C23"/>
    <w:rsid w:val="00EC3C87"/>
    <w:rsid w:val="00EC51B1"/>
    <w:rsid w:val="00EC5853"/>
    <w:rsid w:val="00EC5D09"/>
    <w:rsid w:val="00EC62E4"/>
    <w:rsid w:val="00EC6618"/>
    <w:rsid w:val="00EC68E3"/>
    <w:rsid w:val="00EC6A13"/>
    <w:rsid w:val="00EC70EB"/>
    <w:rsid w:val="00EC7751"/>
    <w:rsid w:val="00EC781C"/>
    <w:rsid w:val="00ED05DD"/>
    <w:rsid w:val="00ED14C2"/>
    <w:rsid w:val="00ED1524"/>
    <w:rsid w:val="00ED19B7"/>
    <w:rsid w:val="00ED25A2"/>
    <w:rsid w:val="00ED2743"/>
    <w:rsid w:val="00ED2CE2"/>
    <w:rsid w:val="00ED34DA"/>
    <w:rsid w:val="00ED3885"/>
    <w:rsid w:val="00ED4456"/>
    <w:rsid w:val="00ED46F4"/>
    <w:rsid w:val="00ED5A20"/>
    <w:rsid w:val="00ED6970"/>
    <w:rsid w:val="00ED6D4C"/>
    <w:rsid w:val="00ED728D"/>
    <w:rsid w:val="00ED72C6"/>
    <w:rsid w:val="00ED7894"/>
    <w:rsid w:val="00ED7DA9"/>
    <w:rsid w:val="00EE117A"/>
    <w:rsid w:val="00EE18C3"/>
    <w:rsid w:val="00EE1E44"/>
    <w:rsid w:val="00EE2D99"/>
    <w:rsid w:val="00EE2F59"/>
    <w:rsid w:val="00EE34C2"/>
    <w:rsid w:val="00EE39EA"/>
    <w:rsid w:val="00EE3FF5"/>
    <w:rsid w:val="00EE40F8"/>
    <w:rsid w:val="00EE4ECC"/>
    <w:rsid w:val="00EE5DBE"/>
    <w:rsid w:val="00EE5F44"/>
    <w:rsid w:val="00EE6A37"/>
    <w:rsid w:val="00EE6BFD"/>
    <w:rsid w:val="00EE7089"/>
    <w:rsid w:val="00EE7AC7"/>
    <w:rsid w:val="00EF04C8"/>
    <w:rsid w:val="00EF0A5C"/>
    <w:rsid w:val="00EF0D0E"/>
    <w:rsid w:val="00EF19B2"/>
    <w:rsid w:val="00EF20A9"/>
    <w:rsid w:val="00EF2D63"/>
    <w:rsid w:val="00EF3D68"/>
    <w:rsid w:val="00EF46E5"/>
    <w:rsid w:val="00EF517F"/>
    <w:rsid w:val="00EF5433"/>
    <w:rsid w:val="00EF55D4"/>
    <w:rsid w:val="00EF63C3"/>
    <w:rsid w:val="00EF7227"/>
    <w:rsid w:val="00EF740D"/>
    <w:rsid w:val="00EF76E8"/>
    <w:rsid w:val="00EF7C8B"/>
    <w:rsid w:val="00F00788"/>
    <w:rsid w:val="00F00A21"/>
    <w:rsid w:val="00F01A6D"/>
    <w:rsid w:val="00F022F5"/>
    <w:rsid w:val="00F038AF"/>
    <w:rsid w:val="00F045CC"/>
    <w:rsid w:val="00F05025"/>
    <w:rsid w:val="00F056A0"/>
    <w:rsid w:val="00F06042"/>
    <w:rsid w:val="00F06CD6"/>
    <w:rsid w:val="00F06DFB"/>
    <w:rsid w:val="00F06EB6"/>
    <w:rsid w:val="00F075C8"/>
    <w:rsid w:val="00F07738"/>
    <w:rsid w:val="00F07980"/>
    <w:rsid w:val="00F101B3"/>
    <w:rsid w:val="00F10F3B"/>
    <w:rsid w:val="00F110A5"/>
    <w:rsid w:val="00F1125D"/>
    <w:rsid w:val="00F11B25"/>
    <w:rsid w:val="00F126F4"/>
    <w:rsid w:val="00F13156"/>
    <w:rsid w:val="00F13283"/>
    <w:rsid w:val="00F13352"/>
    <w:rsid w:val="00F13A3B"/>
    <w:rsid w:val="00F15947"/>
    <w:rsid w:val="00F160F3"/>
    <w:rsid w:val="00F16BF7"/>
    <w:rsid w:val="00F16EA9"/>
    <w:rsid w:val="00F16F1C"/>
    <w:rsid w:val="00F17482"/>
    <w:rsid w:val="00F2020C"/>
    <w:rsid w:val="00F2078A"/>
    <w:rsid w:val="00F207F8"/>
    <w:rsid w:val="00F21700"/>
    <w:rsid w:val="00F21959"/>
    <w:rsid w:val="00F2276D"/>
    <w:rsid w:val="00F236CD"/>
    <w:rsid w:val="00F24403"/>
    <w:rsid w:val="00F25AB9"/>
    <w:rsid w:val="00F25F98"/>
    <w:rsid w:val="00F26559"/>
    <w:rsid w:val="00F26E52"/>
    <w:rsid w:val="00F27101"/>
    <w:rsid w:val="00F274FA"/>
    <w:rsid w:val="00F27606"/>
    <w:rsid w:val="00F27F20"/>
    <w:rsid w:val="00F32160"/>
    <w:rsid w:val="00F32A2B"/>
    <w:rsid w:val="00F32BF2"/>
    <w:rsid w:val="00F32C5E"/>
    <w:rsid w:val="00F32DD1"/>
    <w:rsid w:val="00F345DE"/>
    <w:rsid w:val="00F350E8"/>
    <w:rsid w:val="00F35E1A"/>
    <w:rsid w:val="00F36033"/>
    <w:rsid w:val="00F3623C"/>
    <w:rsid w:val="00F36BBE"/>
    <w:rsid w:val="00F4029D"/>
    <w:rsid w:val="00F407E0"/>
    <w:rsid w:val="00F410FA"/>
    <w:rsid w:val="00F41112"/>
    <w:rsid w:val="00F41286"/>
    <w:rsid w:val="00F41956"/>
    <w:rsid w:val="00F427CE"/>
    <w:rsid w:val="00F42A2F"/>
    <w:rsid w:val="00F42A48"/>
    <w:rsid w:val="00F42E78"/>
    <w:rsid w:val="00F43C00"/>
    <w:rsid w:val="00F44117"/>
    <w:rsid w:val="00F44AB9"/>
    <w:rsid w:val="00F45B90"/>
    <w:rsid w:val="00F503FD"/>
    <w:rsid w:val="00F50565"/>
    <w:rsid w:val="00F506A8"/>
    <w:rsid w:val="00F50C31"/>
    <w:rsid w:val="00F516ED"/>
    <w:rsid w:val="00F526F4"/>
    <w:rsid w:val="00F52C49"/>
    <w:rsid w:val="00F52EF7"/>
    <w:rsid w:val="00F537B9"/>
    <w:rsid w:val="00F53D61"/>
    <w:rsid w:val="00F53D76"/>
    <w:rsid w:val="00F53E81"/>
    <w:rsid w:val="00F53E88"/>
    <w:rsid w:val="00F54A63"/>
    <w:rsid w:val="00F55726"/>
    <w:rsid w:val="00F5594D"/>
    <w:rsid w:val="00F56019"/>
    <w:rsid w:val="00F56715"/>
    <w:rsid w:val="00F56D91"/>
    <w:rsid w:val="00F579A7"/>
    <w:rsid w:val="00F57DC6"/>
    <w:rsid w:val="00F606AA"/>
    <w:rsid w:val="00F60DE9"/>
    <w:rsid w:val="00F61309"/>
    <w:rsid w:val="00F618E5"/>
    <w:rsid w:val="00F61A28"/>
    <w:rsid w:val="00F6247E"/>
    <w:rsid w:val="00F62610"/>
    <w:rsid w:val="00F629FA"/>
    <w:rsid w:val="00F6382A"/>
    <w:rsid w:val="00F63917"/>
    <w:rsid w:val="00F63ADF"/>
    <w:rsid w:val="00F63BD1"/>
    <w:rsid w:val="00F64868"/>
    <w:rsid w:val="00F64E2C"/>
    <w:rsid w:val="00F654C3"/>
    <w:rsid w:val="00F659EE"/>
    <w:rsid w:val="00F65C25"/>
    <w:rsid w:val="00F65DF7"/>
    <w:rsid w:val="00F65F0B"/>
    <w:rsid w:val="00F6600F"/>
    <w:rsid w:val="00F6664B"/>
    <w:rsid w:val="00F66B57"/>
    <w:rsid w:val="00F6715C"/>
    <w:rsid w:val="00F67CDF"/>
    <w:rsid w:val="00F70686"/>
    <w:rsid w:val="00F708D7"/>
    <w:rsid w:val="00F71F27"/>
    <w:rsid w:val="00F72119"/>
    <w:rsid w:val="00F72A0F"/>
    <w:rsid w:val="00F73B1A"/>
    <w:rsid w:val="00F73DB4"/>
    <w:rsid w:val="00F74A2E"/>
    <w:rsid w:val="00F75453"/>
    <w:rsid w:val="00F75D09"/>
    <w:rsid w:val="00F76102"/>
    <w:rsid w:val="00F772D1"/>
    <w:rsid w:val="00F7749F"/>
    <w:rsid w:val="00F77919"/>
    <w:rsid w:val="00F80005"/>
    <w:rsid w:val="00F803C0"/>
    <w:rsid w:val="00F810FE"/>
    <w:rsid w:val="00F81A2B"/>
    <w:rsid w:val="00F82CEC"/>
    <w:rsid w:val="00F82D8B"/>
    <w:rsid w:val="00F82F57"/>
    <w:rsid w:val="00F8307B"/>
    <w:rsid w:val="00F83132"/>
    <w:rsid w:val="00F8448F"/>
    <w:rsid w:val="00F84CC9"/>
    <w:rsid w:val="00F8569B"/>
    <w:rsid w:val="00F85F51"/>
    <w:rsid w:val="00F865FA"/>
    <w:rsid w:val="00F86CE8"/>
    <w:rsid w:val="00F86D6A"/>
    <w:rsid w:val="00F870E2"/>
    <w:rsid w:val="00F90050"/>
    <w:rsid w:val="00F9065B"/>
    <w:rsid w:val="00F9124D"/>
    <w:rsid w:val="00F91478"/>
    <w:rsid w:val="00F916AF"/>
    <w:rsid w:val="00F91C60"/>
    <w:rsid w:val="00F92498"/>
    <w:rsid w:val="00F92604"/>
    <w:rsid w:val="00F9336C"/>
    <w:rsid w:val="00F9343F"/>
    <w:rsid w:val="00F93515"/>
    <w:rsid w:val="00F93522"/>
    <w:rsid w:val="00F9367D"/>
    <w:rsid w:val="00F946DA"/>
    <w:rsid w:val="00F9520B"/>
    <w:rsid w:val="00F955E6"/>
    <w:rsid w:val="00F9564C"/>
    <w:rsid w:val="00F95F79"/>
    <w:rsid w:val="00F96253"/>
    <w:rsid w:val="00F97CBC"/>
    <w:rsid w:val="00FA0178"/>
    <w:rsid w:val="00FA0230"/>
    <w:rsid w:val="00FA07A6"/>
    <w:rsid w:val="00FA0F88"/>
    <w:rsid w:val="00FA14FC"/>
    <w:rsid w:val="00FA1F32"/>
    <w:rsid w:val="00FA21B7"/>
    <w:rsid w:val="00FA2B9D"/>
    <w:rsid w:val="00FA3F2B"/>
    <w:rsid w:val="00FA510D"/>
    <w:rsid w:val="00FA5E6E"/>
    <w:rsid w:val="00FA669E"/>
    <w:rsid w:val="00FA68C1"/>
    <w:rsid w:val="00FB00D3"/>
    <w:rsid w:val="00FB0569"/>
    <w:rsid w:val="00FB06E2"/>
    <w:rsid w:val="00FB0FA7"/>
    <w:rsid w:val="00FB1113"/>
    <w:rsid w:val="00FB308F"/>
    <w:rsid w:val="00FB4625"/>
    <w:rsid w:val="00FB519E"/>
    <w:rsid w:val="00FB7CCC"/>
    <w:rsid w:val="00FB7F3F"/>
    <w:rsid w:val="00FC0053"/>
    <w:rsid w:val="00FC06E5"/>
    <w:rsid w:val="00FC38F8"/>
    <w:rsid w:val="00FC4497"/>
    <w:rsid w:val="00FC4A46"/>
    <w:rsid w:val="00FC55BF"/>
    <w:rsid w:val="00FC5BD9"/>
    <w:rsid w:val="00FC6D18"/>
    <w:rsid w:val="00FC6E80"/>
    <w:rsid w:val="00FD0D57"/>
    <w:rsid w:val="00FD185E"/>
    <w:rsid w:val="00FD1991"/>
    <w:rsid w:val="00FD1C31"/>
    <w:rsid w:val="00FD23D0"/>
    <w:rsid w:val="00FD240B"/>
    <w:rsid w:val="00FD284E"/>
    <w:rsid w:val="00FD297D"/>
    <w:rsid w:val="00FD3887"/>
    <w:rsid w:val="00FD3F10"/>
    <w:rsid w:val="00FD4227"/>
    <w:rsid w:val="00FD45AC"/>
    <w:rsid w:val="00FD4F98"/>
    <w:rsid w:val="00FD584A"/>
    <w:rsid w:val="00FD60CB"/>
    <w:rsid w:val="00FD6ABF"/>
    <w:rsid w:val="00FD6B6B"/>
    <w:rsid w:val="00FD7B6A"/>
    <w:rsid w:val="00FE0383"/>
    <w:rsid w:val="00FE05B1"/>
    <w:rsid w:val="00FE06CE"/>
    <w:rsid w:val="00FE0965"/>
    <w:rsid w:val="00FE0FCE"/>
    <w:rsid w:val="00FE1527"/>
    <w:rsid w:val="00FE1C5E"/>
    <w:rsid w:val="00FE1DD6"/>
    <w:rsid w:val="00FE2459"/>
    <w:rsid w:val="00FE29E8"/>
    <w:rsid w:val="00FE34DB"/>
    <w:rsid w:val="00FE40A2"/>
    <w:rsid w:val="00FE6B1F"/>
    <w:rsid w:val="00FE6E81"/>
    <w:rsid w:val="00FE7905"/>
    <w:rsid w:val="00FE7A22"/>
    <w:rsid w:val="00FF0215"/>
    <w:rsid w:val="00FF13E7"/>
    <w:rsid w:val="00FF154E"/>
    <w:rsid w:val="00FF19AE"/>
    <w:rsid w:val="00FF19AF"/>
    <w:rsid w:val="00FF28C0"/>
    <w:rsid w:val="00FF2BC1"/>
    <w:rsid w:val="00FF4199"/>
    <w:rsid w:val="00FF41D7"/>
    <w:rsid w:val="00FF5355"/>
    <w:rsid w:val="00FF53D7"/>
    <w:rsid w:val="00FF54D0"/>
    <w:rsid w:val="00FF5853"/>
    <w:rsid w:val="00FF5A19"/>
    <w:rsid w:val="00FF5A28"/>
    <w:rsid w:val="00FF5CC2"/>
    <w:rsid w:val="00FF60AC"/>
    <w:rsid w:val="00FF6CF1"/>
    <w:rsid w:val="00FF6EFE"/>
    <w:rsid w:val="0255D53F"/>
    <w:rsid w:val="09F28936"/>
    <w:rsid w:val="0A07E5FE"/>
    <w:rsid w:val="0AA65C5A"/>
    <w:rsid w:val="0C7D00F7"/>
    <w:rsid w:val="0D15F02C"/>
    <w:rsid w:val="0D18F00E"/>
    <w:rsid w:val="0F404ED6"/>
    <w:rsid w:val="129DBBFE"/>
    <w:rsid w:val="12E6DC5B"/>
    <w:rsid w:val="1317C590"/>
    <w:rsid w:val="14A30765"/>
    <w:rsid w:val="15CEB8DA"/>
    <w:rsid w:val="194B36D6"/>
    <w:rsid w:val="19780187"/>
    <w:rsid w:val="198D0F17"/>
    <w:rsid w:val="19D5986C"/>
    <w:rsid w:val="1A01EF65"/>
    <w:rsid w:val="1A878725"/>
    <w:rsid w:val="1D3F9C1B"/>
    <w:rsid w:val="1F4EDA3F"/>
    <w:rsid w:val="227317B9"/>
    <w:rsid w:val="2312F661"/>
    <w:rsid w:val="246CD164"/>
    <w:rsid w:val="2555E77B"/>
    <w:rsid w:val="26BCC217"/>
    <w:rsid w:val="27133CFE"/>
    <w:rsid w:val="27A84F9B"/>
    <w:rsid w:val="2ADE7B49"/>
    <w:rsid w:val="2B748455"/>
    <w:rsid w:val="2BA9FDCC"/>
    <w:rsid w:val="2DB03ABA"/>
    <w:rsid w:val="31E3E934"/>
    <w:rsid w:val="31E96FB0"/>
    <w:rsid w:val="382C5AC1"/>
    <w:rsid w:val="38FB04A8"/>
    <w:rsid w:val="3AFD45EA"/>
    <w:rsid w:val="3C4C8C7D"/>
    <w:rsid w:val="3D296910"/>
    <w:rsid w:val="3D7257CD"/>
    <w:rsid w:val="3DC36A27"/>
    <w:rsid w:val="3DE899F1"/>
    <w:rsid w:val="42CE87DE"/>
    <w:rsid w:val="44E1B775"/>
    <w:rsid w:val="471433FE"/>
    <w:rsid w:val="4929B871"/>
    <w:rsid w:val="49481E65"/>
    <w:rsid w:val="4D3D9AF3"/>
    <w:rsid w:val="4DC2C335"/>
    <w:rsid w:val="4FEF0C7D"/>
    <w:rsid w:val="50C268D7"/>
    <w:rsid w:val="52888595"/>
    <w:rsid w:val="53D0AD18"/>
    <w:rsid w:val="54E1DB56"/>
    <w:rsid w:val="569AE6DA"/>
    <w:rsid w:val="56FFD0A5"/>
    <w:rsid w:val="5773942F"/>
    <w:rsid w:val="58942D00"/>
    <w:rsid w:val="5A45523F"/>
    <w:rsid w:val="5E7B1767"/>
    <w:rsid w:val="5EECAC72"/>
    <w:rsid w:val="626B2AB0"/>
    <w:rsid w:val="64C830DC"/>
    <w:rsid w:val="670CA623"/>
    <w:rsid w:val="6C38E35A"/>
    <w:rsid w:val="6D08C446"/>
    <w:rsid w:val="6D4FE701"/>
    <w:rsid w:val="700FB2E5"/>
    <w:rsid w:val="70ECC087"/>
    <w:rsid w:val="70FC8257"/>
    <w:rsid w:val="7337F53A"/>
    <w:rsid w:val="73903208"/>
    <w:rsid w:val="73D8CCB8"/>
    <w:rsid w:val="7799CEC1"/>
    <w:rsid w:val="79DBF489"/>
    <w:rsid w:val="7B565C0F"/>
    <w:rsid w:val="7BD0784F"/>
    <w:rsid w:val="7CC37DDA"/>
    <w:rsid w:val="7CEE908F"/>
    <w:rsid w:val="7E3C787A"/>
    <w:rsid w:val="7FC966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5E11EF"/>
  <w15:docId w15:val="{57B15DBD-36D9-4419-85F9-A0AA029B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544811"/>
    <w:pPr>
      <w:numPr>
        <w:numId w:val="2"/>
      </w:numPr>
    </w:pPr>
    <w:rPr>
      <w:rFonts w:eastAsia="Times New Roman"/>
      <w:lang w:eastAsia="de-DE"/>
    </w:rPr>
  </w:style>
  <w:style w:type="paragraph" w:styleId="ListNumber">
    <w:name w:val="List Number"/>
    <w:basedOn w:val="Normal"/>
    <w:rsid w:val="00544811"/>
    <w:pPr>
      <w:numPr>
        <w:numId w:val="6"/>
      </w:numPr>
    </w:pPr>
    <w:rPr>
      <w:rFonts w:eastAsia="Times New Roman"/>
      <w:lang w:eastAsia="de-DE"/>
    </w:rPr>
  </w:style>
  <w:style w:type="paragraph" w:customStyle="1" w:styleId="ListBullet1">
    <w:name w:val="List Bullet 1"/>
    <w:basedOn w:val="Normal"/>
    <w:rsid w:val="00544811"/>
    <w:pPr>
      <w:numPr>
        <w:numId w:val="1"/>
      </w:numPr>
    </w:pPr>
    <w:rPr>
      <w:rFonts w:eastAsia="Times New Roman"/>
      <w:lang w:eastAsia="de-DE"/>
    </w:rPr>
  </w:style>
  <w:style w:type="paragraph" w:customStyle="1" w:styleId="ListDash">
    <w:name w:val="List Dash"/>
    <w:basedOn w:val="Normal"/>
    <w:rsid w:val="00544811"/>
    <w:pPr>
      <w:numPr>
        <w:numId w:val="3"/>
      </w:numPr>
    </w:pPr>
    <w:rPr>
      <w:rFonts w:eastAsia="Times New Roman"/>
      <w:lang w:eastAsia="de-DE"/>
    </w:rPr>
  </w:style>
  <w:style w:type="paragraph" w:customStyle="1" w:styleId="ListDash1">
    <w:name w:val="List Dash 1"/>
    <w:basedOn w:val="Normal"/>
    <w:rsid w:val="00544811"/>
    <w:pPr>
      <w:numPr>
        <w:numId w:val="4"/>
      </w:numPr>
    </w:pPr>
    <w:rPr>
      <w:rFonts w:eastAsia="Times New Roman"/>
      <w:lang w:eastAsia="de-DE"/>
    </w:rPr>
  </w:style>
  <w:style w:type="paragraph" w:customStyle="1" w:styleId="ListDash2">
    <w:name w:val="List Dash 2"/>
    <w:basedOn w:val="Normal"/>
    <w:rsid w:val="00544811"/>
    <w:pPr>
      <w:numPr>
        <w:numId w:val="5"/>
      </w:numPr>
    </w:pPr>
    <w:rPr>
      <w:rFonts w:eastAsia="Times New Roman"/>
      <w:lang w:eastAsia="de-DE"/>
    </w:rPr>
  </w:style>
  <w:style w:type="paragraph" w:customStyle="1" w:styleId="ListNumberLevel2">
    <w:name w:val="List Number (Level 2)"/>
    <w:basedOn w:val="Normal"/>
    <w:rsid w:val="00544811"/>
    <w:pPr>
      <w:numPr>
        <w:ilvl w:val="1"/>
        <w:numId w:val="6"/>
      </w:numPr>
    </w:pPr>
    <w:rPr>
      <w:rFonts w:eastAsia="Times New Roman"/>
      <w:lang w:eastAsia="de-DE"/>
    </w:rPr>
  </w:style>
  <w:style w:type="paragraph" w:customStyle="1" w:styleId="ListNumberLevel3">
    <w:name w:val="List Number (Level 3)"/>
    <w:basedOn w:val="Normal"/>
    <w:rsid w:val="00544811"/>
    <w:pPr>
      <w:numPr>
        <w:ilvl w:val="2"/>
        <w:numId w:val="6"/>
      </w:numPr>
    </w:pPr>
    <w:rPr>
      <w:rFonts w:eastAsia="Times New Roman"/>
      <w:lang w:eastAsia="de-DE"/>
    </w:rPr>
  </w:style>
  <w:style w:type="paragraph" w:customStyle="1" w:styleId="ListNumberLevel4">
    <w:name w:val="List Number (Level 4)"/>
    <w:basedOn w:val="Normal"/>
    <w:rsid w:val="00544811"/>
    <w:pPr>
      <w:numPr>
        <w:ilvl w:val="3"/>
        <w:numId w:val="6"/>
      </w:numPr>
    </w:pPr>
    <w:rPr>
      <w:rFonts w:eastAsia="Times New Roman"/>
      <w:lang w:eastAsia="de-DE"/>
    </w:rPr>
  </w:style>
  <w:style w:type="table" w:styleId="TableGrid">
    <w:name w:val="Table Grid"/>
    <w:basedOn w:val="TableNormal"/>
    <w:rsid w:val="00544811"/>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44811"/>
    <w:rPr>
      <w:color w:val="0000FF"/>
      <w:u w:val="single"/>
    </w:rPr>
  </w:style>
  <w:style w:type="paragraph" w:styleId="ListBullet">
    <w:name w:val="List Bullet"/>
    <w:basedOn w:val="Normal"/>
    <w:rsid w:val="00544811"/>
    <w:pPr>
      <w:numPr>
        <w:numId w:val="7"/>
      </w:numPr>
    </w:pPr>
    <w:rPr>
      <w:rFonts w:eastAsia="Times New Roman"/>
      <w:lang w:eastAsia="en-GB"/>
    </w:rPr>
  </w:style>
  <w:style w:type="paragraph" w:styleId="ListBullet2">
    <w:name w:val="List Bullet 2"/>
    <w:basedOn w:val="Normal"/>
    <w:rsid w:val="00544811"/>
    <w:pPr>
      <w:numPr>
        <w:numId w:val="8"/>
      </w:numPr>
    </w:pPr>
    <w:rPr>
      <w:rFonts w:eastAsia="Times New Roman"/>
      <w:lang w:eastAsia="en-GB"/>
    </w:rPr>
  </w:style>
  <w:style w:type="paragraph" w:styleId="ListBullet3">
    <w:name w:val="List Bullet 3"/>
    <w:basedOn w:val="Normal"/>
    <w:rsid w:val="00544811"/>
    <w:pPr>
      <w:numPr>
        <w:numId w:val="9"/>
      </w:numPr>
    </w:pPr>
    <w:rPr>
      <w:rFonts w:eastAsia="Times New Roman"/>
      <w:lang w:eastAsia="en-GB"/>
    </w:rPr>
  </w:style>
  <w:style w:type="paragraph" w:styleId="ListNumber2">
    <w:name w:val="List Number 2"/>
    <w:basedOn w:val="Normal"/>
    <w:rsid w:val="00544811"/>
    <w:pPr>
      <w:numPr>
        <w:numId w:val="13"/>
      </w:numPr>
    </w:pPr>
    <w:rPr>
      <w:rFonts w:eastAsia="Times New Roman"/>
      <w:lang w:eastAsia="en-GB"/>
    </w:rPr>
  </w:style>
  <w:style w:type="paragraph" w:styleId="ListNumber3">
    <w:name w:val="List Number 3"/>
    <w:basedOn w:val="Normal"/>
    <w:rsid w:val="00544811"/>
    <w:pPr>
      <w:numPr>
        <w:numId w:val="14"/>
      </w:numPr>
    </w:pPr>
    <w:rPr>
      <w:rFonts w:eastAsia="Times New Roman"/>
      <w:lang w:eastAsia="en-GB"/>
    </w:rPr>
  </w:style>
  <w:style w:type="paragraph" w:styleId="ListNumber4">
    <w:name w:val="List Number 4"/>
    <w:basedOn w:val="Normal"/>
    <w:rsid w:val="00544811"/>
    <w:pPr>
      <w:numPr>
        <w:numId w:val="15"/>
      </w:numPr>
    </w:pPr>
    <w:rPr>
      <w:rFonts w:eastAsia="Times New Roman"/>
      <w:lang w:eastAsia="en-GB"/>
    </w:rPr>
  </w:style>
  <w:style w:type="paragraph" w:customStyle="1" w:styleId="ListDash3">
    <w:name w:val="List Dash 3"/>
    <w:basedOn w:val="Normal"/>
    <w:rsid w:val="00544811"/>
    <w:pPr>
      <w:numPr>
        <w:numId w:val="10"/>
      </w:numPr>
    </w:pPr>
    <w:rPr>
      <w:rFonts w:eastAsia="Times New Roman"/>
      <w:lang w:eastAsia="en-GB"/>
    </w:rPr>
  </w:style>
  <w:style w:type="paragraph" w:customStyle="1" w:styleId="ListDash4">
    <w:name w:val="List Dash 4"/>
    <w:basedOn w:val="Normal"/>
    <w:rsid w:val="00544811"/>
    <w:pPr>
      <w:numPr>
        <w:numId w:val="11"/>
      </w:numPr>
    </w:pPr>
    <w:rPr>
      <w:rFonts w:eastAsia="Times New Roman"/>
      <w:lang w:eastAsia="en-GB"/>
    </w:rPr>
  </w:style>
  <w:style w:type="paragraph" w:customStyle="1" w:styleId="ListNumber1">
    <w:name w:val="List Number 1"/>
    <w:basedOn w:val="Text1"/>
    <w:rsid w:val="00544811"/>
    <w:pPr>
      <w:numPr>
        <w:numId w:val="12"/>
      </w:numPr>
    </w:pPr>
    <w:rPr>
      <w:rFonts w:eastAsia="Times New Roman"/>
      <w:lang w:eastAsia="en-GB"/>
    </w:rPr>
  </w:style>
  <w:style w:type="paragraph" w:customStyle="1" w:styleId="ListNumber1Level2">
    <w:name w:val="List Number 1 (Level 2)"/>
    <w:basedOn w:val="Text1"/>
    <w:rsid w:val="00544811"/>
    <w:pPr>
      <w:numPr>
        <w:ilvl w:val="1"/>
        <w:numId w:val="12"/>
      </w:numPr>
    </w:pPr>
    <w:rPr>
      <w:rFonts w:eastAsia="Times New Roman"/>
      <w:lang w:eastAsia="en-GB"/>
    </w:rPr>
  </w:style>
  <w:style w:type="paragraph" w:customStyle="1" w:styleId="ListNumber2Level2">
    <w:name w:val="List Number 2 (Level 2)"/>
    <w:basedOn w:val="Text2"/>
    <w:rsid w:val="00544811"/>
    <w:pPr>
      <w:numPr>
        <w:ilvl w:val="1"/>
        <w:numId w:val="13"/>
      </w:numPr>
    </w:pPr>
    <w:rPr>
      <w:rFonts w:eastAsia="Times New Roman"/>
      <w:lang w:eastAsia="en-GB"/>
    </w:rPr>
  </w:style>
  <w:style w:type="paragraph" w:customStyle="1" w:styleId="ListNumber3Level2">
    <w:name w:val="List Number 3 (Level 2)"/>
    <w:basedOn w:val="Text3"/>
    <w:rsid w:val="00544811"/>
    <w:pPr>
      <w:numPr>
        <w:ilvl w:val="1"/>
        <w:numId w:val="14"/>
      </w:numPr>
    </w:pPr>
    <w:rPr>
      <w:rFonts w:eastAsia="Times New Roman"/>
      <w:lang w:eastAsia="en-GB"/>
    </w:rPr>
  </w:style>
  <w:style w:type="paragraph" w:customStyle="1" w:styleId="ListNumber4Level2">
    <w:name w:val="List Number 4 (Level 2)"/>
    <w:basedOn w:val="Text4"/>
    <w:rsid w:val="00544811"/>
    <w:pPr>
      <w:numPr>
        <w:ilvl w:val="1"/>
        <w:numId w:val="15"/>
      </w:numPr>
    </w:pPr>
    <w:rPr>
      <w:rFonts w:eastAsia="Times New Roman"/>
      <w:lang w:eastAsia="en-GB"/>
    </w:rPr>
  </w:style>
  <w:style w:type="paragraph" w:customStyle="1" w:styleId="ListNumber1Level3">
    <w:name w:val="List Number 1 (Level 3)"/>
    <w:basedOn w:val="Text1"/>
    <w:rsid w:val="00544811"/>
    <w:pPr>
      <w:numPr>
        <w:ilvl w:val="2"/>
        <w:numId w:val="12"/>
      </w:numPr>
    </w:pPr>
    <w:rPr>
      <w:rFonts w:eastAsia="Times New Roman"/>
      <w:lang w:eastAsia="en-GB"/>
    </w:rPr>
  </w:style>
  <w:style w:type="paragraph" w:customStyle="1" w:styleId="ListNumber2Level3">
    <w:name w:val="List Number 2 (Level 3)"/>
    <w:basedOn w:val="Text2"/>
    <w:rsid w:val="00544811"/>
    <w:pPr>
      <w:numPr>
        <w:ilvl w:val="2"/>
        <w:numId w:val="13"/>
      </w:numPr>
    </w:pPr>
    <w:rPr>
      <w:rFonts w:eastAsia="Times New Roman"/>
      <w:lang w:eastAsia="en-GB"/>
    </w:rPr>
  </w:style>
  <w:style w:type="paragraph" w:customStyle="1" w:styleId="ListNumber3Level3">
    <w:name w:val="List Number 3 (Level 3)"/>
    <w:basedOn w:val="Text3"/>
    <w:rsid w:val="00544811"/>
    <w:pPr>
      <w:numPr>
        <w:ilvl w:val="2"/>
        <w:numId w:val="14"/>
      </w:numPr>
    </w:pPr>
    <w:rPr>
      <w:rFonts w:eastAsia="Times New Roman"/>
      <w:lang w:eastAsia="en-GB"/>
    </w:rPr>
  </w:style>
  <w:style w:type="paragraph" w:customStyle="1" w:styleId="ListNumber4Level3">
    <w:name w:val="List Number 4 (Level 3)"/>
    <w:basedOn w:val="Text4"/>
    <w:rsid w:val="00544811"/>
    <w:pPr>
      <w:numPr>
        <w:ilvl w:val="2"/>
        <w:numId w:val="15"/>
      </w:numPr>
    </w:pPr>
    <w:rPr>
      <w:rFonts w:eastAsia="Times New Roman"/>
      <w:lang w:eastAsia="en-GB"/>
    </w:rPr>
  </w:style>
  <w:style w:type="paragraph" w:customStyle="1" w:styleId="ListNumber1Level4">
    <w:name w:val="List Number 1 (Level 4)"/>
    <w:basedOn w:val="Text1"/>
    <w:rsid w:val="00544811"/>
    <w:pPr>
      <w:numPr>
        <w:ilvl w:val="3"/>
        <w:numId w:val="12"/>
      </w:numPr>
    </w:pPr>
    <w:rPr>
      <w:rFonts w:eastAsia="Times New Roman"/>
      <w:lang w:eastAsia="en-GB"/>
    </w:rPr>
  </w:style>
  <w:style w:type="paragraph" w:customStyle="1" w:styleId="ListNumber2Level4">
    <w:name w:val="List Number 2 (Level 4)"/>
    <w:basedOn w:val="Text2"/>
    <w:rsid w:val="00544811"/>
    <w:pPr>
      <w:numPr>
        <w:ilvl w:val="3"/>
        <w:numId w:val="13"/>
      </w:numPr>
    </w:pPr>
    <w:rPr>
      <w:rFonts w:eastAsia="Times New Roman"/>
      <w:lang w:eastAsia="en-GB"/>
    </w:rPr>
  </w:style>
  <w:style w:type="paragraph" w:customStyle="1" w:styleId="ListNumber3Level4">
    <w:name w:val="List Number 3 (Level 4)"/>
    <w:basedOn w:val="Text3"/>
    <w:rsid w:val="00544811"/>
    <w:pPr>
      <w:numPr>
        <w:ilvl w:val="3"/>
        <w:numId w:val="14"/>
      </w:numPr>
    </w:pPr>
    <w:rPr>
      <w:rFonts w:eastAsia="Times New Roman"/>
      <w:lang w:eastAsia="en-GB"/>
    </w:rPr>
  </w:style>
  <w:style w:type="paragraph" w:customStyle="1" w:styleId="ListNumber4Level4">
    <w:name w:val="List Number 4 (Level 4)"/>
    <w:basedOn w:val="Text4"/>
    <w:rsid w:val="00544811"/>
    <w:pPr>
      <w:numPr>
        <w:ilvl w:val="3"/>
        <w:numId w:val="15"/>
      </w:numPr>
    </w:pPr>
    <w:rPr>
      <w:rFonts w:eastAsia="Times New Roman"/>
      <w:lang w:eastAsia="en-GB"/>
    </w:rPr>
  </w:style>
  <w:style w:type="paragraph" w:customStyle="1" w:styleId="Annexetitreacte">
    <w:name w:val="Annexe titre (acte)"/>
    <w:basedOn w:val="Normal"/>
    <w:next w:val="Normal"/>
    <w:rsid w:val="00544811"/>
    <w:pPr>
      <w:jc w:val="center"/>
    </w:pPr>
    <w:rPr>
      <w:rFonts w:eastAsia="Times New Roman"/>
      <w:b/>
      <w:u w:val="single"/>
      <w:lang w:eastAsia="en-GB"/>
    </w:rPr>
  </w:style>
  <w:style w:type="paragraph" w:customStyle="1" w:styleId="Annexetitreexposglobal">
    <w:name w:val="Annexe titre (exposé global)"/>
    <w:basedOn w:val="Normal"/>
    <w:next w:val="Normal"/>
    <w:rsid w:val="00544811"/>
    <w:pPr>
      <w:jc w:val="center"/>
    </w:pPr>
    <w:rPr>
      <w:rFonts w:eastAsia="Times New Roman"/>
      <w:b/>
      <w:u w:val="single"/>
      <w:lang w:eastAsia="en-GB"/>
    </w:rPr>
  </w:style>
  <w:style w:type="paragraph" w:customStyle="1" w:styleId="Annexetitrefichefinacte">
    <w:name w:val="Annexe titre (fiche fin. acte)"/>
    <w:basedOn w:val="Normal"/>
    <w:next w:val="Normal"/>
    <w:rsid w:val="00544811"/>
    <w:pPr>
      <w:jc w:val="center"/>
    </w:pPr>
    <w:rPr>
      <w:rFonts w:eastAsia="Times New Roman"/>
      <w:b/>
      <w:u w:val="single"/>
      <w:lang w:eastAsia="en-GB"/>
    </w:rPr>
  </w:style>
  <w:style w:type="paragraph" w:customStyle="1" w:styleId="Annexetitrefichefinglobale">
    <w:name w:val="Annexe titre (fiche fin. globale)"/>
    <w:basedOn w:val="Normal"/>
    <w:next w:val="Normal"/>
    <w:rsid w:val="00544811"/>
    <w:pPr>
      <w:jc w:val="center"/>
    </w:pPr>
    <w:rPr>
      <w:rFonts w:eastAsia="Times New Roman"/>
      <w:b/>
      <w:u w:val="single"/>
      <w:lang w:eastAsia="en-GB"/>
    </w:rPr>
  </w:style>
  <w:style w:type="paragraph" w:customStyle="1" w:styleId="Annexetitreglobale">
    <w:name w:val="Annexe titre (globale)"/>
    <w:basedOn w:val="Normal"/>
    <w:next w:val="Normal"/>
    <w:rsid w:val="00544811"/>
    <w:pPr>
      <w:jc w:val="center"/>
    </w:pPr>
    <w:rPr>
      <w:rFonts w:eastAsia="Times New Roman"/>
      <w:b/>
      <w:u w:val="single"/>
      <w:lang w:eastAsia="en-GB"/>
    </w:rPr>
  </w:style>
  <w:style w:type="paragraph" w:customStyle="1" w:styleId="Exposdesmotifstitreglobal">
    <w:name w:val="Exposé des motifs titre (global)"/>
    <w:basedOn w:val="Normal"/>
    <w:next w:val="Normal"/>
    <w:rsid w:val="00544811"/>
    <w:pPr>
      <w:jc w:val="center"/>
    </w:pPr>
    <w:rPr>
      <w:rFonts w:eastAsia="Times New Roman"/>
      <w:b/>
      <w:u w:val="single"/>
      <w:lang w:eastAsia="en-GB"/>
    </w:rPr>
  </w:style>
  <w:style w:type="paragraph" w:customStyle="1" w:styleId="Langueoriginale">
    <w:name w:val="Langue originale"/>
    <w:basedOn w:val="Normal"/>
    <w:rsid w:val="00544811"/>
    <w:pPr>
      <w:spacing w:before="360"/>
      <w:jc w:val="center"/>
    </w:pPr>
    <w:rPr>
      <w:rFonts w:eastAsia="Times New Roman"/>
      <w:caps/>
      <w:lang w:eastAsia="en-GB"/>
    </w:rPr>
  </w:style>
  <w:style w:type="paragraph" w:customStyle="1" w:styleId="Phrasefinale">
    <w:name w:val="Phrase finale"/>
    <w:basedOn w:val="Normal"/>
    <w:next w:val="Normal"/>
    <w:rsid w:val="00544811"/>
    <w:pPr>
      <w:spacing w:before="360" w:after="0"/>
      <w:jc w:val="center"/>
    </w:pPr>
    <w:rPr>
      <w:rFonts w:eastAsia="Times New Roman"/>
      <w:lang w:eastAsia="en-GB"/>
    </w:rPr>
  </w:style>
  <w:style w:type="paragraph" w:customStyle="1" w:styleId="Prliminairetitre">
    <w:name w:val="Préliminaire titre"/>
    <w:basedOn w:val="Normal"/>
    <w:next w:val="Normal"/>
    <w:rsid w:val="00544811"/>
    <w:pPr>
      <w:spacing w:before="360" w:after="360"/>
      <w:jc w:val="center"/>
    </w:pPr>
    <w:rPr>
      <w:rFonts w:eastAsia="Times New Roman"/>
      <w:b/>
      <w:lang w:eastAsia="en-GB"/>
    </w:rPr>
  </w:style>
  <w:style w:type="paragraph" w:customStyle="1" w:styleId="Prliminairetype">
    <w:name w:val="Préliminaire type"/>
    <w:basedOn w:val="Normal"/>
    <w:next w:val="Normal"/>
    <w:rsid w:val="00544811"/>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544811"/>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544811"/>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544811"/>
    <w:pPr>
      <w:spacing w:before="0" w:after="0"/>
      <w:ind w:left="5103"/>
      <w:jc w:val="left"/>
    </w:pPr>
    <w:rPr>
      <w:rFonts w:eastAsia="Times New Roman"/>
      <w:lang w:eastAsia="en-GB"/>
    </w:rPr>
  </w:style>
  <w:style w:type="paragraph" w:customStyle="1" w:styleId="Sous-titreobjetprliminaire">
    <w:name w:val="Sous-titre objet (préliminaire)"/>
    <w:basedOn w:val="Normal"/>
    <w:rsid w:val="00544811"/>
    <w:pPr>
      <w:spacing w:before="0" w:after="0"/>
      <w:jc w:val="center"/>
    </w:pPr>
    <w:rPr>
      <w:rFonts w:eastAsia="Times New Roman"/>
      <w:b/>
      <w:lang w:eastAsia="en-GB"/>
    </w:rPr>
  </w:style>
  <w:style w:type="paragraph" w:customStyle="1" w:styleId="Statutprliminaire">
    <w:name w:val="Statut (préliminaire)"/>
    <w:basedOn w:val="Normal"/>
    <w:next w:val="Normal"/>
    <w:rsid w:val="00544811"/>
    <w:pPr>
      <w:spacing w:before="360" w:after="0"/>
      <w:jc w:val="center"/>
    </w:pPr>
    <w:rPr>
      <w:rFonts w:eastAsia="Times New Roman"/>
      <w:lang w:eastAsia="en-GB"/>
    </w:rPr>
  </w:style>
  <w:style w:type="paragraph" w:customStyle="1" w:styleId="Titreobjetprliminaire">
    <w:name w:val="Titre objet (préliminaire)"/>
    <w:basedOn w:val="Normal"/>
    <w:next w:val="Normal"/>
    <w:rsid w:val="00544811"/>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544811"/>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544811"/>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544811"/>
    <w:pPr>
      <w:jc w:val="center"/>
    </w:pPr>
    <w:rPr>
      <w:rFonts w:eastAsia="Times New Roman"/>
      <w:b/>
      <w:u w:val="single"/>
      <w:lang w:eastAsia="en-GB"/>
    </w:rPr>
  </w:style>
  <w:style w:type="paragraph" w:customStyle="1" w:styleId="Fichefinanciretravailtitre">
    <w:name w:val="Fiche financière (travail) titre"/>
    <w:basedOn w:val="Normal"/>
    <w:next w:val="Normal"/>
    <w:rsid w:val="00544811"/>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544811"/>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544811"/>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544811"/>
    <w:pPr>
      <w:jc w:val="center"/>
    </w:pPr>
    <w:rPr>
      <w:rFonts w:eastAsia="Times New Roman"/>
      <w:b/>
      <w:u w:val="single"/>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sid w:val="00544811"/>
    <w:rPr>
      <w:rFonts w:ascii="Times New Roman" w:eastAsia="Times New Roman" w:hAnsi="Times New Roman" w:cs="Times New Roman"/>
      <w:sz w:val="20"/>
      <w:szCs w:val="20"/>
      <w:lang w:val="sk-SK" w:eastAsia="en-GB"/>
    </w:rPr>
  </w:style>
  <w:style w:type="paragraph" w:styleId="CommentSubject">
    <w:name w:val="annotation subject"/>
    <w:basedOn w:val="CommentText"/>
    <w:next w:val="CommentText"/>
    <w:link w:val="CommentSubjectChar"/>
    <w:rsid w:val="00544811"/>
    <w:rPr>
      <w:b/>
      <w:bCs/>
    </w:rPr>
  </w:style>
  <w:style w:type="character" w:customStyle="1" w:styleId="CommentSubjectChar">
    <w:name w:val="Comment Subject Char"/>
    <w:basedOn w:val="CommentTextChar"/>
    <w:link w:val="CommentSubject"/>
    <w:rsid w:val="00544811"/>
    <w:rPr>
      <w:rFonts w:ascii="Times New Roman" w:eastAsia="Times New Roman" w:hAnsi="Times New Roman" w:cs="Times New Roman"/>
      <w:b/>
      <w:bCs/>
      <w:sz w:val="20"/>
      <w:szCs w:val="20"/>
      <w:lang w:val="sk-SK" w:eastAsia="en-GB"/>
    </w:rPr>
  </w:style>
  <w:style w:type="paragraph" w:styleId="BalloonText">
    <w:name w:val="Balloon Text"/>
    <w:basedOn w:val="Normal"/>
    <w:link w:val="BalloonTextChar"/>
    <w:rsid w:val="00544811"/>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544811"/>
    <w:rPr>
      <w:rFonts w:ascii="Tahoma" w:eastAsia="Times New Roman" w:hAnsi="Tahoma" w:cs="Tahoma"/>
      <w:sz w:val="16"/>
      <w:szCs w:val="16"/>
      <w:lang w:val="sk-SK" w:eastAsia="en-GB"/>
    </w:rPr>
  </w:style>
  <w:style w:type="paragraph" w:styleId="Caption">
    <w:name w:val="caption"/>
    <w:basedOn w:val="Normal"/>
    <w:next w:val="Normal"/>
    <w:qFormat/>
    <w:rsid w:val="00544811"/>
    <w:rPr>
      <w:rFonts w:eastAsia="Times New Roman"/>
      <w:b/>
      <w:bCs/>
      <w:sz w:val="20"/>
      <w:szCs w:val="20"/>
      <w:lang w:eastAsia="en-GB"/>
    </w:rPr>
  </w:style>
  <w:style w:type="paragraph" w:styleId="TableofFigures">
    <w:name w:val="table of figures"/>
    <w:basedOn w:val="Normal"/>
    <w:next w:val="Normal"/>
    <w:rsid w:val="00544811"/>
    <w:rPr>
      <w:rFonts w:eastAsia="Times New Roman"/>
      <w:lang w:eastAsia="en-GB"/>
    </w:rPr>
  </w:style>
  <w:style w:type="character" w:styleId="PageNumber">
    <w:name w:val="page number"/>
    <w:rsid w:val="00544811"/>
  </w:style>
  <w:style w:type="character" w:customStyle="1" w:styleId="tw4winMark">
    <w:name w:val="tw4winMark"/>
    <w:rsid w:val="00544811"/>
    <w:rPr>
      <w:vanish/>
      <w:color w:val="800080"/>
      <w:vertAlign w:val="subscript"/>
    </w:rPr>
  </w:style>
  <w:style w:type="character" w:styleId="FollowedHyperlink">
    <w:name w:val="FollowedHyperlink"/>
    <w:rsid w:val="00544811"/>
    <w:rPr>
      <w:color w:val="800080"/>
      <w:u w:val="single"/>
    </w:rPr>
  </w:style>
  <w:style w:type="paragraph" w:customStyle="1" w:styleId="Sous-titreobjet">
    <w:name w:val="Sous-titre objet"/>
    <w:basedOn w:val="Normal"/>
    <w:rsid w:val="00544811"/>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544811"/>
  </w:style>
  <w:style w:type="paragraph" w:styleId="Revision">
    <w:name w:val="Revision"/>
    <w:hidden/>
    <w:uiPriority w:val="99"/>
    <w:semiHidden/>
    <w:rsid w:val="00544811"/>
    <w:rPr>
      <w:rFonts w:ascii="Calibri" w:eastAsia="Calibri" w:hAnsi="Calibri" w:cs="Times New Roman"/>
      <w:sz w:val="24"/>
      <w:lang w:eastAsia="en-GB"/>
    </w:rPr>
  </w:style>
  <w:style w:type="paragraph" w:customStyle="1" w:styleId="FooterCoverPage">
    <w:name w:val="Footer Cover Page"/>
    <w:basedOn w:val="Normal"/>
    <w:link w:val="FooterCoverPageChar"/>
    <w:rsid w:val="00544811"/>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544811"/>
    <w:rPr>
      <w:rFonts w:ascii="Times New Roman" w:hAnsi="Times New Roman" w:cs="Times New Roman"/>
      <w:b/>
      <w:sz w:val="28"/>
      <w:lang w:val="sk-SK"/>
    </w:rPr>
  </w:style>
  <w:style w:type="character" w:customStyle="1" w:styleId="FooterCoverPageChar">
    <w:name w:val="Footer Cover Page Char"/>
    <w:link w:val="FooterCoverPage"/>
    <w:rsid w:val="00544811"/>
    <w:rPr>
      <w:rFonts w:ascii="Times New Roman" w:eastAsia="Calibri" w:hAnsi="Times New Roman" w:cs="Times New Roman"/>
      <w:sz w:val="24"/>
      <w:lang w:val="sk-SK" w:eastAsia="en-GB"/>
    </w:rPr>
  </w:style>
  <w:style w:type="paragraph" w:customStyle="1" w:styleId="HeaderCoverPage">
    <w:name w:val="Header Cover Page"/>
    <w:basedOn w:val="Normal"/>
    <w:link w:val="HeaderCoverPageChar"/>
    <w:rsid w:val="00544811"/>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544811"/>
    <w:rPr>
      <w:rFonts w:ascii="Times New Roman" w:eastAsia="Calibri" w:hAnsi="Times New Roman" w:cs="Times New Roman"/>
      <w:sz w:val="24"/>
      <w:lang w:val="sk-SK" w:eastAsia="en-GB"/>
    </w:rPr>
  </w:style>
  <w:style w:type="character" w:customStyle="1" w:styleId="FooterSensitivityChar">
    <w:name w:val="Footer Sensitivity Char"/>
    <w:rsid w:val="00544811"/>
    <w:rPr>
      <w:rFonts w:ascii="Times New Roman" w:hAnsi="Times New Roman" w:cs="Times New Roman"/>
      <w:b/>
      <w:sz w:val="32"/>
      <w:lang w:val="sk-SK"/>
    </w:rPr>
  </w:style>
  <w:style w:type="character" w:customStyle="1" w:styleId="HeaderSensitivityChar">
    <w:name w:val="Header Sensitivity Char"/>
    <w:rsid w:val="00544811"/>
    <w:rPr>
      <w:rFonts w:ascii="Times New Roman" w:hAnsi="Times New Roman" w:cs="Times New Roman"/>
      <w:b/>
      <w:sz w:val="32"/>
      <w:lang w:val="sk-SK"/>
    </w:rPr>
  </w:style>
  <w:style w:type="character" w:customStyle="1" w:styleId="HeaderSensitivityRightChar">
    <w:name w:val="Header Sensitivity Right Char"/>
    <w:rsid w:val="00544811"/>
    <w:rPr>
      <w:rFonts w:ascii="Times New Roman" w:hAnsi="Times New Roman" w:cs="Times New Roman"/>
      <w:sz w:val="28"/>
      <w:lang w:val="sk-SK"/>
    </w:rPr>
  </w:style>
  <w:style w:type="paragraph" w:customStyle="1" w:styleId="Default">
    <w:name w:val="Default"/>
    <w:rsid w:val="00496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
    <w:name w:val="Le"/>
    <w:basedOn w:val="NumPar1"/>
    <w:rsid w:val="002856D3"/>
  </w:style>
  <w:style w:type="paragraph" w:styleId="ListParagraph">
    <w:name w:val="List Paragraph"/>
    <w:basedOn w:val="Normal"/>
    <w:uiPriority w:val="34"/>
    <w:qFormat/>
    <w:rsid w:val="00C35B11"/>
    <w:pPr>
      <w:ind w:left="720"/>
      <w:contextualSpacing/>
    </w:pPr>
  </w:style>
  <w:style w:type="paragraph" w:customStyle="1" w:styleId="legclearfix">
    <w:name w:val="legclearfix"/>
    <w:basedOn w:val="Normal"/>
    <w:rsid w:val="00957CFA"/>
    <w:pPr>
      <w:spacing w:before="100" w:beforeAutospacing="1" w:after="100" w:afterAutospacing="1"/>
      <w:jc w:val="left"/>
    </w:pPr>
    <w:rPr>
      <w:rFonts w:eastAsia="Times New Roman"/>
      <w:szCs w:val="24"/>
      <w:lang w:eastAsia="en-IE"/>
    </w:rPr>
  </w:style>
  <w:style w:type="character" w:customStyle="1" w:styleId="UnresolvedMention1">
    <w:name w:val="Unresolved Mention1"/>
    <w:basedOn w:val="DefaultParagraphFont"/>
    <w:uiPriority w:val="99"/>
    <w:semiHidden/>
    <w:unhideWhenUsed/>
    <w:rsid w:val="00D779B5"/>
    <w:rPr>
      <w:color w:val="605E5C"/>
      <w:shd w:val="clear" w:color="auto" w:fill="E1DFDD"/>
    </w:rPr>
  </w:style>
  <w:style w:type="paragraph" w:styleId="NormalWeb">
    <w:name w:val="Normal (Web)"/>
    <w:basedOn w:val="Normal"/>
    <w:uiPriority w:val="99"/>
    <w:semiHidden/>
    <w:unhideWhenUsed/>
    <w:rsid w:val="00084909"/>
    <w:rPr>
      <w:szCs w:val="24"/>
    </w:rPr>
  </w:style>
  <w:style w:type="character" w:customStyle="1" w:styleId="ib-highlight">
    <w:name w:val="ib-highlight"/>
    <w:basedOn w:val="DefaultParagraphFont"/>
    <w:rsid w:val="00557397"/>
  </w:style>
  <w:style w:type="numbering" w:customStyle="1" w:styleId="CurrentList1">
    <w:name w:val="Current List1"/>
    <w:uiPriority w:val="99"/>
    <w:rsid w:val="00590AC5"/>
    <w:pPr>
      <w:numPr>
        <w:numId w:val="16"/>
      </w:numPr>
    </w:pPr>
  </w:style>
  <w:style w:type="paragraph" w:customStyle="1" w:styleId="wouldhave">
    <w:name w:val="would have"/>
    <w:basedOn w:val="Normal"/>
    <w:rsid w:val="0009153A"/>
    <w:pPr>
      <w:numPr>
        <w:numId w:val="31"/>
      </w:numPr>
      <w:spacing w:before="100" w:beforeAutospacing="1"/>
    </w:pPr>
    <w:rPr>
      <w:rFonts w:eastAsia="Times New Roman"/>
      <w:szCs w:val="24"/>
      <w:lang w:eastAsia="en-IE"/>
    </w:rPr>
  </w:style>
  <w:style w:type="paragraph" w:customStyle="1" w:styleId="CharCharChar1">
    <w:name w:val="Char Char Char1"/>
    <w:basedOn w:val="Normal"/>
    <w:link w:val="FootnoteReference"/>
    <w:uiPriority w:val="99"/>
    <w:rsid w:val="00A743B6"/>
    <w:pPr>
      <w:spacing w:before="0" w:after="160" w:line="240" w:lineRule="exact"/>
    </w:pPr>
    <w:rPr>
      <w:rFonts w:asciiTheme="minorHAnsi" w:hAnsiTheme="minorHAnsi" w:cstheme="minorBidi"/>
      <w:sz w:val="22"/>
      <w:vertAlign w:val="superscript"/>
    </w:rPr>
  </w:style>
  <w:style w:type="character" w:customStyle="1" w:styleId="UnresolvedMention">
    <w:name w:val="Unresolved Mention"/>
    <w:basedOn w:val="DefaultParagraphFont"/>
    <w:uiPriority w:val="99"/>
    <w:semiHidden/>
    <w:unhideWhenUsed/>
    <w:rsid w:val="005F1B3E"/>
    <w:rPr>
      <w:color w:val="605E5C"/>
      <w:shd w:val="clear" w:color="auto" w:fill="E1DFDD"/>
    </w:rPr>
  </w:style>
  <w:style w:type="paragraph" w:styleId="Header">
    <w:name w:val="header"/>
    <w:basedOn w:val="Normal"/>
    <w:link w:val="HeaderChar"/>
    <w:uiPriority w:val="99"/>
    <w:unhideWhenUsed/>
    <w:rsid w:val="004765B0"/>
    <w:pPr>
      <w:tabs>
        <w:tab w:val="center" w:pos="4535"/>
        <w:tab w:val="right" w:pos="9071"/>
      </w:tabs>
      <w:spacing w:before="0"/>
    </w:pPr>
  </w:style>
  <w:style w:type="character" w:customStyle="1" w:styleId="HeaderChar">
    <w:name w:val="Header Char"/>
    <w:basedOn w:val="DefaultParagraphFont"/>
    <w:link w:val="Header"/>
    <w:uiPriority w:val="99"/>
    <w:rsid w:val="004765B0"/>
    <w:rPr>
      <w:rFonts w:ascii="Times New Roman" w:hAnsi="Times New Roman" w:cs="Times New Roman"/>
      <w:sz w:val="24"/>
      <w:lang w:val="sk-SK"/>
    </w:rPr>
  </w:style>
  <w:style w:type="paragraph" w:styleId="Footer">
    <w:name w:val="footer"/>
    <w:basedOn w:val="Normal"/>
    <w:link w:val="FooterChar"/>
    <w:uiPriority w:val="99"/>
    <w:unhideWhenUsed/>
    <w:rsid w:val="004765B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765B0"/>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k-S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k-S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k-S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k-S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k-S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k-S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k-S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4765B0"/>
    <w:pPr>
      <w:tabs>
        <w:tab w:val="center" w:pos="7285"/>
        <w:tab w:val="right" w:pos="14003"/>
      </w:tabs>
      <w:spacing w:before="0"/>
    </w:pPr>
  </w:style>
  <w:style w:type="paragraph" w:customStyle="1" w:styleId="FooterLandscape">
    <w:name w:val="FooterLandscape"/>
    <w:basedOn w:val="Normal"/>
    <w:rsid w:val="004765B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4765B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765B0"/>
    <w:pPr>
      <w:spacing w:before="0"/>
      <w:jc w:val="right"/>
    </w:pPr>
    <w:rPr>
      <w:sz w:val="28"/>
    </w:rPr>
  </w:style>
  <w:style w:type="paragraph" w:customStyle="1" w:styleId="FooterSensitivity">
    <w:name w:val="Footer Sensitivity"/>
    <w:basedOn w:val="Normal"/>
    <w:rsid w:val="004765B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07454D"/>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6845">
      <w:bodyDiv w:val="1"/>
      <w:marLeft w:val="0"/>
      <w:marRight w:val="0"/>
      <w:marTop w:val="0"/>
      <w:marBottom w:val="0"/>
      <w:divBdr>
        <w:top w:val="none" w:sz="0" w:space="0" w:color="auto"/>
        <w:left w:val="none" w:sz="0" w:space="0" w:color="auto"/>
        <w:bottom w:val="none" w:sz="0" w:space="0" w:color="auto"/>
        <w:right w:val="none" w:sz="0" w:space="0" w:color="auto"/>
      </w:divBdr>
    </w:div>
    <w:div w:id="213808150">
      <w:bodyDiv w:val="1"/>
      <w:marLeft w:val="0"/>
      <w:marRight w:val="0"/>
      <w:marTop w:val="0"/>
      <w:marBottom w:val="0"/>
      <w:divBdr>
        <w:top w:val="none" w:sz="0" w:space="0" w:color="auto"/>
        <w:left w:val="none" w:sz="0" w:space="0" w:color="auto"/>
        <w:bottom w:val="none" w:sz="0" w:space="0" w:color="auto"/>
        <w:right w:val="none" w:sz="0" w:space="0" w:color="auto"/>
      </w:divBdr>
    </w:div>
    <w:div w:id="346297723">
      <w:bodyDiv w:val="1"/>
      <w:marLeft w:val="0"/>
      <w:marRight w:val="0"/>
      <w:marTop w:val="0"/>
      <w:marBottom w:val="0"/>
      <w:divBdr>
        <w:top w:val="none" w:sz="0" w:space="0" w:color="auto"/>
        <w:left w:val="none" w:sz="0" w:space="0" w:color="auto"/>
        <w:bottom w:val="none" w:sz="0" w:space="0" w:color="auto"/>
        <w:right w:val="none" w:sz="0" w:space="0" w:color="auto"/>
      </w:divBdr>
    </w:div>
    <w:div w:id="598027175">
      <w:bodyDiv w:val="1"/>
      <w:marLeft w:val="0"/>
      <w:marRight w:val="0"/>
      <w:marTop w:val="0"/>
      <w:marBottom w:val="0"/>
      <w:divBdr>
        <w:top w:val="none" w:sz="0" w:space="0" w:color="auto"/>
        <w:left w:val="none" w:sz="0" w:space="0" w:color="auto"/>
        <w:bottom w:val="none" w:sz="0" w:space="0" w:color="auto"/>
        <w:right w:val="none" w:sz="0" w:space="0" w:color="auto"/>
      </w:divBdr>
    </w:div>
    <w:div w:id="1045956351">
      <w:bodyDiv w:val="1"/>
      <w:marLeft w:val="0"/>
      <w:marRight w:val="0"/>
      <w:marTop w:val="0"/>
      <w:marBottom w:val="0"/>
      <w:divBdr>
        <w:top w:val="none" w:sz="0" w:space="0" w:color="auto"/>
        <w:left w:val="none" w:sz="0" w:space="0" w:color="auto"/>
        <w:bottom w:val="none" w:sz="0" w:space="0" w:color="auto"/>
        <w:right w:val="none" w:sz="0" w:space="0" w:color="auto"/>
      </w:divBdr>
    </w:div>
    <w:div w:id="1048531569">
      <w:bodyDiv w:val="1"/>
      <w:marLeft w:val="0"/>
      <w:marRight w:val="0"/>
      <w:marTop w:val="0"/>
      <w:marBottom w:val="0"/>
      <w:divBdr>
        <w:top w:val="none" w:sz="0" w:space="0" w:color="auto"/>
        <w:left w:val="none" w:sz="0" w:space="0" w:color="auto"/>
        <w:bottom w:val="none" w:sz="0" w:space="0" w:color="auto"/>
        <w:right w:val="none" w:sz="0" w:space="0" w:color="auto"/>
      </w:divBdr>
    </w:div>
    <w:div w:id="1101412251">
      <w:bodyDiv w:val="1"/>
      <w:marLeft w:val="0"/>
      <w:marRight w:val="0"/>
      <w:marTop w:val="0"/>
      <w:marBottom w:val="0"/>
      <w:divBdr>
        <w:top w:val="none" w:sz="0" w:space="0" w:color="auto"/>
        <w:left w:val="none" w:sz="0" w:space="0" w:color="auto"/>
        <w:bottom w:val="none" w:sz="0" w:space="0" w:color="auto"/>
        <w:right w:val="none" w:sz="0" w:space="0" w:color="auto"/>
      </w:divBdr>
    </w:div>
    <w:div w:id="1113473738">
      <w:bodyDiv w:val="1"/>
      <w:marLeft w:val="0"/>
      <w:marRight w:val="0"/>
      <w:marTop w:val="0"/>
      <w:marBottom w:val="0"/>
      <w:divBdr>
        <w:top w:val="none" w:sz="0" w:space="0" w:color="auto"/>
        <w:left w:val="none" w:sz="0" w:space="0" w:color="auto"/>
        <w:bottom w:val="none" w:sz="0" w:space="0" w:color="auto"/>
        <w:right w:val="none" w:sz="0" w:space="0" w:color="auto"/>
      </w:divBdr>
      <w:divsChild>
        <w:div w:id="746457197">
          <w:marLeft w:val="0"/>
          <w:marRight w:val="0"/>
          <w:marTop w:val="0"/>
          <w:marBottom w:val="150"/>
          <w:divBdr>
            <w:top w:val="none" w:sz="0" w:space="0" w:color="auto"/>
            <w:left w:val="none" w:sz="0" w:space="0" w:color="auto"/>
            <w:bottom w:val="none" w:sz="0" w:space="0" w:color="auto"/>
            <w:right w:val="none" w:sz="0" w:space="0" w:color="auto"/>
          </w:divBdr>
        </w:div>
      </w:divsChild>
    </w:div>
    <w:div w:id="1559895118">
      <w:bodyDiv w:val="1"/>
      <w:marLeft w:val="0"/>
      <w:marRight w:val="0"/>
      <w:marTop w:val="0"/>
      <w:marBottom w:val="0"/>
      <w:divBdr>
        <w:top w:val="none" w:sz="0" w:space="0" w:color="auto"/>
        <w:left w:val="none" w:sz="0" w:space="0" w:color="auto"/>
        <w:bottom w:val="none" w:sz="0" w:space="0" w:color="auto"/>
        <w:right w:val="none" w:sz="0" w:space="0" w:color="auto"/>
      </w:divBdr>
    </w:div>
    <w:div w:id="1570336453">
      <w:bodyDiv w:val="1"/>
      <w:marLeft w:val="0"/>
      <w:marRight w:val="0"/>
      <w:marTop w:val="0"/>
      <w:marBottom w:val="0"/>
      <w:divBdr>
        <w:top w:val="none" w:sz="0" w:space="0" w:color="auto"/>
        <w:left w:val="none" w:sz="0" w:space="0" w:color="auto"/>
        <w:bottom w:val="none" w:sz="0" w:space="0" w:color="auto"/>
        <w:right w:val="none" w:sz="0" w:space="0" w:color="auto"/>
      </w:divBdr>
    </w:div>
    <w:div w:id="1650016991">
      <w:bodyDiv w:val="1"/>
      <w:marLeft w:val="0"/>
      <w:marRight w:val="0"/>
      <w:marTop w:val="0"/>
      <w:marBottom w:val="0"/>
      <w:divBdr>
        <w:top w:val="none" w:sz="0" w:space="0" w:color="auto"/>
        <w:left w:val="none" w:sz="0" w:space="0" w:color="auto"/>
        <w:bottom w:val="none" w:sz="0" w:space="0" w:color="auto"/>
        <w:right w:val="none" w:sz="0" w:space="0" w:color="auto"/>
      </w:divBdr>
    </w:div>
    <w:div w:id="1696493963">
      <w:bodyDiv w:val="1"/>
      <w:marLeft w:val="0"/>
      <w:marRight w:val="0"/>
      <w:marTop w:val="0"/>
      <w:marBottom w:val="0"/>
      <w:divBdr>
        <w:top w:val="none" w:sz="0" w:space="0" w:color="auto"/>
        <w:left w:val="none" w:sz="0" w:space="0" w:color="auto"/>
        <w:bottom w:val="none" w:sz="0" w:space="0" w:color="auto"/>
        <w:right w:val="none" w:sz="0" w:space="0" w:color="auto"/>
      </w:divBdr>
    </w:div>
    <w:div w:id="1700161736">
      <w:bodyDiv w:val="1"/>
      <w:marLeft w:val="0"/>
      <w:marRight w:val="0"/>
      <w:marTop w:val="0"/>
      <w:marBottom w:val="0"/>
      <w:divBdr>
        <w:top w:val="none" w:sz="0" w:space="0" w:color="auto"/>
        <w:left w:val="none" w:sz="0" w:space="0" w:color="auto"/>
        <w:bottom w:val="none" w:sz="0" w:space="0" w:color="auto"/>
        <w:right w:val="none" w:sz="0" w:space="0" w:color="auto"/>
      </w:divBdr>
    </w:div>
    <w:div w:id="1863782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intracomm.ec.europa.eu/corp/budget/financial-rules/legal-framework/internal-rules/Documents/2022-5-legislative-financial-statement-annex-en.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SK/TXT/?uri=celex%3A32016L1164" TargetMode="External"/><Relationship Id="rId13" Type="http://schemas.openxmlformats.org/officeDocument/2006/relationships/hyperlink" Target="https://eur-lex.europa.eu/legal-content/sk/ALL/?uri=CELEX%3A32017L1852" TargetMode="External"/><Relationship Id="rId18" Type="http://schemas.openxmlformats.org/officeDocument/2006/relationships/hyperlink" Target="https://taxation-customs.ec.europa.eu/system/files/2017-04/jtpf0072017encomps.pdf" TargetMode="External"/><Relationship Id="rId3" Type="http://schemas.openxmlformats.org/officeDocument/2006/relationships/hyperlink" Target="https://www.oecd.org/tax/transfer-pricing/oecd-transfer-pricing-guidelines-for-multinational-enterprises-and-tax-administrations-20769717.htm" TargetMode="External"/><Relationship Id="rId21" Type="http://schemas.openxmlformats.org/officeDocument/2006/relationships/hyperlink" Target="https://taxation-customs.ec.europa.eu/system/files/2017-04/jtpf0072017encomps.pdf" TargetMode="External"/><Relationship Id="rId7" Type="http://schemas.openxmlformats.org/officeDocument/2006/relationships/hyperlink" Target="https://taxation-customs.ec.europa.eu/communication-business-taxation-21st-century_en" TargetMode="External"/><Relationship Id="rId12" Type="http://schemas.openxmlformats.org/officeDocument/2006/relationships/hyperlink" Target="https://eur-lex.europa.eu/legal%20-content/SK/TXT/?uri=uriserv%3AOJ.C_.2006.176.01.0001.01.ENG&amp;toc=OJ%3AC%3A2006&#160;%3A176&#160;%3AFULL" TargetMode="External"/><Relationship Id="rId17" Type="http://schemas.openxmlformats.org/officeDocument/2006/relationships/hyperlink" Target="https://taxation-customs.ec.europa.eu/system/files/2017-10/2017_10_16_jtpf_003_2017_en_final_en.pdf" TargetMode="External"/><Relationship Id="rId2" Type="http://schemas.openxmlformats.org/officeDocument/2006/relationships/hyperlink" Target="https://www.oecd.org/ctp/treaties/model-tax-convention-on-income-and-on-capital-condensed-version-20745419.htm" TargetMode="External"/><Relationship Id="rId16" Type="http://schemas.openxmlformats.org/officeDocument/2006/relationships/hyperlink" Target="https://taxation-customs.ec.europa.eu/system/files/2016-09/jtpf_009_final_2013_en.pdf" TargetMode="External"/><Relationship Id="rId20" Type="http://schemas.openxmlformats.org/officeDocument/2006/relationships/hyperlink" Target="https://taxation-customs.ec.europa.eu/system/files/2017-10/2017_10_16_jtpf_003_2017_en_final_en.pdf" TargetMode="External"/><Relationship Id="rId1" Type="http://schemas.openxmlformats.org/officeDocument/2006/relationships/hyperlink" Target="https://www.oecd.org/" TargetMode="External"/><Relationship Id="rId6" Type="http://schemas.openxmlformats.org/officeDocument/2006/relationships/hyperlink" Target="https://taxation-customs.ec.europa.eu/taxation-1/statistics-apas-and-maps-eu_en" TargetMode="External"/><Relationship Id="rId11" Type="http://schemas.openxmlformats.org/officeDocument/2006/relationships/hyperlink" Target="https://taxation-customs.ec.europa.eu/joint-transfer-pricing-forum_en" TargetMode="External"/><Relationship Id="rId24" Type="http://schemas.openxmlformats.org/officeDocument/2006/relationships/hyperlink" Target="https://myintracomm.ec.europa.eu/corp/budget/financial-rules/budget-implementation/Pages/implementation-methods.aspx" TargetMode="External"/><Relationship Id="rId5" Type="http://schemas.openxmlformats.org/officeDocument/2006/relationships/hyperlink" Target="https://www.oecd.org/tax/dispute/mutual-agreement-procedure-statistics-2021-inventory-trends.htm" TargetMode="External"/><Relationship Id="rId15" Type="http://schemas.openxmlformats.org/officeDocument/2006/relationships/hyperlink" Target="https://single-market-economy.ec.europa.eu/smes/sme-strategy/taxation-and-smes_en" TargetMode="External"/><Relationship Id="rId23" Type="http://schemas.openxmlformats.org/officeDocument/2006/relationships/hyperlink" Target="https://taxation-customs.ec.europa.eu/joint-transfer-pricing-forum_en" TargetMode="External"/><Relationship Id="rId10" Type="http://schemas.openxmlformats.org/officeDocument/2006/relationships/hyperlink" Target="https://eur-lex.europa.eu/legal-content/sk/TXT/?uri=celex%3A32018L0822" TargetMode="External"/><Relationship Id="rId19" Type="http://schemas.openxmlformats.org/officeDocument/2006/relationships/hyperlink" Target="https://taxation-customs.ec.europa.eu/system/files/2016-09/jtpf_009_final_2013_en.pdf" TargetMode="External"/><Relationship Id="rId4" Type="http://schemas.openxmlformats.org/officeDocument/2006/relationships/hyperlink" Target="https://www.oecd.org/tax/beps-project-explanatory-statement-9789264263437-en.htm" TargetMode="External"/><Relationship Id="rId9" Type="http://schemas.openxmlformats.org/officeDocument/2006/relationships/hyperlink" Target="https://eur-lex.europa.eu/legal-content/sk/ALL/?uri=CELEX%3A32015L2376" TargetMode="External"/><Relationship Id="rId14" Type="http://schemas.openxmlformats.org/officeDocument/2006/relationships/hyperlink" Target="https://taxation-customs.ec.europa.eu/eu-cooperative-compliance-programme/european-trust-and-cooperation-approach-etaca-pilot-project-mnes_en" TargetMode="External"/><Relationship Id="rId22" Type="http://schemas.openxmlformats.org/officeDocument/2006/relationships/hyperlink" Target="https://eur-lex.europa.eu/legal-content/EN/TXT/?uri=uriserv%3AOJ.C_.2006.176.01.0001.01.ENG&amp;toc=OJ%3AC%3A2006%3A176%3AFU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5" ma:contentTypeDescription="Create a new document." ma:contentTypeScope="" ma:versionID="76e19bc447d9715dc0cb84445b97b68d">
  <xsd:schema xmlns:xsd="http://www.w3.org/2001/XMLSchema" xmlns:xs="http://www.w3.org/2001/XMLSchema" xmlns:p="http://schemas.microsoft.com/office/2006/metadata/properties" xmlns:ns2="013aa35d-30e5-41d1-9a7b-1c862c539650" xmlns:ns3="6f72634d-5da9-4e9f-98c3-3013ce1d074f" targetNamespace="http://schemas.microsoft.com/office/2006/metadata/properties" ma:root="true" ma:fieldsID="c71421a9749e5837940113444c2fca3c" ns2:_="" ns3:_="">
    <xsd:import namespace="013aa35d-30e5-41d1-9a7b-1c862c539650"/>
    <xsd:import namespace="6f72634d-5da9-4e9f-98c3-3013ce1d07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D0D31888F9CAF499D48AA1C498EDE8C" ma:contentTypeVersion="3" ma:contentTypeDescription="Create a new document." ma:contentTypeScope="" ma:versionID="ebdd20ca96593554a2236a058e846143">
  <xsd:schema xmlns:xsd="http://www.w3.org/2001/XMLSchema" xmlns:xs="http://www.w3.org/2001/XMLSchema" xmlns:p="http://schemas.microsoft.com/office/2006/metadata/properties" xmlns:ns2="136e2794-2baf-4521-b96f-8753e6e4d2e9" targetNamespace="http://schemas.microsoft.com/office/2006/metadata/properties" ma:root="true" ma:fieldsID="81d4e2b064d11ddf100f8eab220a22cd" ns2:_="">
    <xsd:import namespace="136e2794-2baf-4521-b96f-8753e6e4d2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e2794-2baf-4521-b96f-8753e6e4d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EEA49-558E-4AFA-84F4-7F69480DA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aa35d-30e5-41d1-9a7b-1c862c539650"/>
    <ds:schemaRef ds:uri="6f72634d-5da9-4e9f-98c3-3013ce1d0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C60EF-2A09-42E2-AB35-222997803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e2794-2baf-4521-b96f-8753e6e4d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1FD0C-6C80-4C49-A1E5-D026C6A91026}">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66fbeb32-1e5c-4992-9fc4-46497e4795d8"/>
    <ds:schemaRef ds:uri="ae6cfab4-27cb-4408-82ad-0f0a830288e8"/>
    <ds:schemaRef ds:uri="http://www.w3.org/XML/1998/namespace"/>
  </ds:schemaRefs>
</ds:datastoreItem>
</file>

<file path=customXml/itemProps4.xml><?xml version="1.0" encoding="utf-8"?>
<ds:datastoreItem xmlns:ds="http://schemas.openxmlformats.org/officeDocument/2006/customXml" ds:itemID="{E5DC9A61-9195-4524-866F-5E3949FDB3A3}">
  <ds:schemaRefs>
    <ds:schemaRef ds:uri="http://schemas.microsoft.com/sharepoint/v3/contenttype/forms"/>
  </ds:schemaRefs>
</ds:datastoreItem>
</file>

<file path=customXml/itemProps5.xml><?xml version="1.0" encoding="utf-8"?>
<ds:datastoreItem xmlns:ds="http://schemas.openxmlformats.org/officeDocument/2006/customXml" ds:itemID="{DB8A4207-EB20-4517-8BC3-7159DC57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45</TotalTime>
  <Pages>49</Pages>
  <Words>16225</Words>
  <Characters>101732</Characters>
  <Application>Microsoft Office Word</Application>
  <DocSecurity>0</DocSecurity>
  <Lines>2543</Lines>
  <Paragraphs>860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65</cp:revision>
  <cp:lastPrinted>2023-07-19T10:05:00Z</cp:lastPrinted>
  <dcterms:created xsi:type="dcterms:W3CDTF">2023-09-10T17:18:00Z</dcterms:created>
  <dcterms:modified xsi:type="dcterms:W3CDTF">2023-11-08T17:21:00Z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2023-04-04T08:10:37Z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8a8b7a49-e434-4f4a-89d2-66e3785e825c</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SJ-017</vt:lpwstr>
  </property>
  <property fmtid="{D5CDD505-2E9C-101B-9397-08002B2CF9AE}" pid="17" name="ContentTypeId">
    <vt:lpwstr>0x010100FD0D31888F9CAF499D48AA1C498EDE8C</vt:lpwstr>
  </property>
  <property fmtid="{D5CDD505-2E9C-101B-9397-08002B2CF9AE}" pid="18" name="_DocHome">
    <vt:i4>-1272154665</vt:i4>
  </property>
  <property fmtid="{D5CDD505-2E9C-101B-9397-08002B2CF9AE}" pid="19" name="DQCStatus">
    <vt:lpwstr>Green (DQC version 03)</vt:lpwstr>
  </property>
</Properties>
</file>