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DF28A" w14:textId="58BF1E1A" w:rsidR="00DC1D59" w:rsidRPr="00F03589" w:rsidRDefault="00535A9A" w:rsidP="00535A9A">
      <w:pPr>
        <w:pStyle w:val="Pagedecouverture"/>
        <w:rPr>
          <w:noProof/>
        </w:rPr>
      </w:pPr>
      <w:bookmarkStart w:id="0" w:name="LW_BM_COVERPAGE"/>
      <w:r>
        <w:rPr>
          <w:noProof/>
        </w:rPr>
        <w:pict w14:anchorId="29075596">
          <v:shape id="_x0000_i1042" type="#_x0000_t75" alt="7675DEB5-E2EA-495D-B20B-9181E9AA295A" style="width:455.25pt;height:324pt">
            <v:imagedata r:id="rId8" o:title=""/>
          </v:shape>
        </w:pict>
      </w:r>
    </w:p>
    <w:bookmarkEnd w:id="0"/>
    <w:p w14:paraId="7EEA0C60" w14:textId="77777777" w:rsidR="00DC1D59" w:rsidRPr="00F03589" w:rsidRDefault="00DC1D59" w:rsidP="00DC1D59">
      <w:pPr>
        <w:rPr>
          <w:rFonts w:asciiTheme="majorBidi" w:hAnsiTheme="majorBidi" w:cstheme="majorBidi"/>
          <w:noProof/>
          <w:sz w:val="24"/>
          <w:szCs w:val="24"/>
        </w:rPr>
        <w:sectPr w:rsidR="00DC1D59" w:rsidRPr="00F03589" w:rsidSect="00535A9A">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0F0B2ABD" w14:textId="3A733B2D" w:rsidR="00F03589" w:rsidRPr="00F03589" w:rsidRDefault="00F03589" w:rsidP="00F03589">
      <w:pPr>
        <w:pStyle w:val="Typedudocument"/>
        <w:rPr>
          <w:rFonts w:asciiTheme="majorBidi" w:hAnsiTheme="majorBidi" w:cstheme="majorBidi"/>
          <w:noProof/>
          <w:szCs w:val="24"/>
        </w:rPr>
      </w:pPr>
      <w:bookmarkStart w:id="1" w:name="_GoBack"/>
      <w:bookmarkEnd w:id="1"/>
      <w:r w:rsidRPr="00F03589">
        <w:rPr>
          <w:rFonts w:asciiTheme="majorBidi" w:hAnsiTheme="majorBidi" w:cstheme="majorBidi"/>
          <w:noProof/>
          <w:szCs w:val="24"/>
        </w:rPr>
        <w:lastRenderedPageBreak/>
        <w:t>ДОКЛАД НА КОМИСИЯТА ДО ЕВРОПЕЙСКИЯ ПАРЛАМЕНТ И СЪВЕТА</w:t>
      </w:r>
    </w:p>
    <w:p w14:paraId="1DA6BD70" w14:textId="20BE3A98" w:rsidR="00F03589" w:rsidRPr="00F03589" w:rsidRDefault="00F03589" w:rsidP="00F03589">
      <w:pPr>
        <w:pStyle w:val="Titreobjet"/>
        <w:rPr>
          <w:rFonts w:asciiTheme="majorBidi" w:hAnsiTheme="majorBidi" w:cstheme="majorBidi"/>
          <w:noProof/>
          <w:szCs w:val="24"/>
        </w:rPr>
      </w:pPr>
      <w:r w:rsidRPr="00F03589">
        <w:rPr>
          <w:rFonts w:asciiTheme="majorBidi" w:hAnsiTheme="majorBidi" w:cstheme="majorBidi"/>
          <w:noProof/>
          <w:szCs w:val="24"/>
        </w:rPr>
        <w:t>относно дейностите на Фондацията за международните стандарти за финансово отчитане, Европейската консултативна група за финансова отчетност и Надзорния съвет за отчитане и отразяване на обществения интерес през 2022 г.</w:t>
      </w:r>
    </w:p>
    <w:p w14:paraId="702CBE4D" w14:textId="690FC934" w:rsidR="00DC1D59" w:rsidRPr="00F03589" w:rsidRDefault="00DC1D59" w:rsidP="00F03589">
      <w:pPr>
        <w:pStyle w:val="ManualHeading1"/>
        <w:spacing w:after="240"/>
        <w:rPr>
          <w:rFonts w:asciiTheme="majorBidi" w:hAnsiTheme="majorBidi" w:cstheme="majorBidi"/>
          <w:noProof/>
          <w:szCs w:val="24"/>
        </w:rPr>
      </w:pPr>
      <w:r w:rsidRPr="00F03589">
        <w:rPr>
          <w:rFonts w:asciiTheme="majorBidi" w:hAnsiTheme="majorBidi" w:cstheme="majorBidi"/>
          <w:noProof/>
          <w:szCs w:val="24"/>
        </w:rPr>
        <w:t>1.</w:t>
      </w:r>
      <w:r w:rsidRPr="00F03589">
        <w:rPr>
          <w:rFonts w:asciiTheme="majorBidi" w:hAnsiTheme="majorBidi" w:cstheme="majorBidi"/>
          <w:noProof/>
          <w:szCs w:val="24"/>
        </w:rPr>
        <w:tab/>
        <w:t>Цел и обхват на доклада</w:t>
      </w:r>
    </w:p>
    <w:p w14:paraId="7F8D8229" w14:textId="7D544176" w:rsidR="00DC1D59" w:rsidRPr="00F03589" w:rsidRDefault="00DC1D59" w:rsidP="00DC1D59">
      <w:pPr>
        <w:spacing w:before="120" w:after="120"/>
        <w:jc w:val="both"/>
        <w:rPr>
          <w:rFonts w:asciiTheme="majorBidi" w:hAnsiTheme="majorBidi" w:cstheme="majorBidi"/>
          <w:noProof/>
          <w:sz w:val="24"/>
          <w:szCs w:val="24"/>
        </w:rPr>
      </w:pPr>
      <w:r w:rsidRPr="00F03589">
        <w:rPr>
          <w:rFonts w:asciiTheme="majorBidi" w:hAnsiTheme="majorBidi" w:cstheme="majorBidi"/>
          <w:noProof/>
          <w:sz w:val="24"/>
          <w:szCs w:val="24"/>
        </w:rPr>
        <w:t>На 28 април 2021 г. Европейският съюз прие програмата „Единен пазар“</w:t>
      </w:r>
      <w:r w:rsidRPr="00F03589">
        <w:rPr>
          <w:rStyle w:val="FootnoteReference"/>
          <w:rFonts w:asciiTheme="majorBidi" w:hAnsiTheme="majorBidi" w:cstheme="majorBidi"/>
          <w:noProof/>
          <w:sz w:val="24"/>
          <w:szCs w:val="24"/>
          <w:lang w:val="en-GB" w:eastAsia="en-GB"/>
        </w:rPr>
        <w:footnoteReference w:id="2"/>
      </w:r>
      <w:r w:rsidRPr="00F03589">
        <w:rPr>
          <w:rFonts w:asciiTheme="majorBidi" w:hAnsiTheme="majorBidi" w:cstheme="majorBidi"/>
          <w:noProof/>
          <w:sz w:val="24"/>
          <w:szCs w:val="24"/>
        </w:rPr>
        <w:t xml:space="preserve">. С нея се предоставя интегриран пакет за подкрепа и укрепване на управлението на единния пазар в размер на 4,21 млрд. евро за периода 2021—2027 г. В Регламента за програмата „Единен пазар“ е предвиден бюджетен пакет от 220,5 млн. евро за процесите по стандартизация, от които 61 млн. евро са предназначени за подкрепа на разработването на висококачествени международни стандарти за финансово и нефинансово отчитане и одит и за улесняване на включването им в правото на Съюза. </w:t>
      </w:r>
    </w:p>
    <w:p w14:paraId="72C75833" w14:textId="59D89C50" w:rsidR="00DC1D59" w:rsidRPr="00F03589" w:rsidRDefault="00DC1D59" w:rsidP="00DC1D59">
      <w:pPr>
        <w:spacing w:before="120" w:after="120"/>
        <w:jc w:val="both"/>
        <w:rPr>
          <w:rFonts w:asciiTheme="majorBidi" w:hAnsiTheme="majorBidi" w:cstheme="majorBidi"/>
          <w:noProof/>
          <w:sz w:val="24"/>
          <w:szCs w:val="24"/>
        </w:rPr>
      </w:pPr>
      <w:r w:rsidRPr="00F03589">
        <w:rPr>
          <w:rFonts w:asciiTheme="majorBidi" w:hAnsiTheme="majorBidi" w:cstheme="majorBidi"/>
          <w:noProof/>
          <w:sz w:val="24"/>
          <w:szCs w:val="24"/>
        </w:rPr>
        <w:t>В рамките на програмата „Единен пазар“ Комисията продължава</w:t>
      </w:r>
      <w:r w:rsidRPr="00F03589">
        <w:rPr>
          <w:rStyle w:val="FootnoteReference"/>
          <w:rFonts w:asciiTheme="majorBidi" w:hAnsiTheme="majorBidi" w:cstheme="majorBidi"/>
          <w:noProof/>
          <w:sz w:val="24"/>
          <w:szCs w:val="24"/>
          <w:lang w:val="en-GB"/>
        </w:rPr>
        <w:footnoteReference w:id="3"/>
      </w:r>
      <w:r w:rsidRPr="00F03589">
        <w:rPr>
          <w:rFonts w:asciiTheme="majorBidi" w:hAnsiTheme="majorBidi" w:cstheme="majorBidi"/>
          <w:noProof/>
          <w:sz w:val="24"/>
          <w:szCs w:val="24"/>
        </w:rPr>
        <w:t xml:space="preserve"> да предоставя безвъзмездни средства на три организации в областта на финансовото отчитане и одита: 1) Фондацията за Международните стандарти за финансово отчитане (Фондацията за МСФО) по отношение на разработването на международните стандарти за финансово отчитане, 2) Европейската консултативна група за финансова отчетност (ЕКГФО) и 3) Надзорния съвет за отчитане и отразяване на обществения интерес (НСОООИ). Тези три организации играят важна роля за осигуряването на качество, надеждност и достъпност на публичната информация за дружествата, както финансова, така и нефинансова информация в корпоративните отчети. Тази информация служи за насърчаване на ефективността на капиталовите пазари, за защита на интересите на дружествата, инвеститорите и другите доставчици на капитали за дружествата и за поощряване на корпоративната социална отговорност, включително устойчивостта.</w:t>
      </w:r>
    </w:p>
    <w:p w14:paraId="648F9FBA" w14:textId="7151DEF8" w:rsidR="00DC1D59" w:rsidRPr="00F03589" w:rsidRDefault="008502FB" w:rsidP="00DC1D59">
      <w:pPr>
        <w:spacing w:before="120" w:after="120"/>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В член 18, параграф 3 от Регламент (ЕС) 2021/690 за създаване на програмата „Единен пазар“ се изисква Комисията да изготвя и да представя на Европейския парламент и на Съвета годишен доклад относно дейността на Фондацията за МСФО по отношение на разработването на международни стандарти за финансово отчитане, както и за дейността на НСОООИ и на ЕКГФО по принцип. Настоящият доклад е в изпълнение на това задължение и обобщава дейностите на тези три организации през 2022 г. </w:t>
      </w:r>
    </w:p>
    <w:p w14:paraId="74EF7E81" w14:textId="77777777" w:rsidR="00DC1D59" w:rsidRPr="00F03589" w:rsidRDefault="00DC1D59" w:rsidP="00DC1D59">
      <w:pPr>
        <w:pStyle w:val="ManualHeading1"/>
        <w:rPr>
          <w:rFonts w:asciiTheme="majorBidi" w:hAnsiTheme="majorBidi" w:cstheme="majorBidi"/>
          <w:noProof/>
          <w:szCs w:val="24"/>
        </w:rPr>
      </w:pPr>
      <w:r w:rsidRPr="00F03589">
        <w:rPr>
          <w:rFonts w:asciiTheme="majorBidi" w:hAnsiTheme="majorBidi" w:cstheme="majorBidi"/>
          <w:noProof/>
          <w:szCs w:val="24"/>
        </w:rPr>
        <w:t>2.</w:t>
      </w:r>
      <w:r w:rsidRPr="00F03589">
        <w:rPr>
          <w:rFonts w:asciiTheme="majorBidi" w:hAnsiTheme="majorBidi" w:cstheme="majorBidi"/>
          <w:noProof/>
          <w:szCs w:val="24"/>
        </w:rPr>
        <w:tab/>
        <w:t>Фондация за МСФО</w:t>
      </w:r>
    </w:p>
    <w:p w14:paraId="22D51633" w14:textId="77777777" w:rsidR="00DC1D59" w:rsidRPr="00F03589" w:rsidRDefault="00DC1D59" w:rsidP="00DC1D59">
      <w:pPr>
        <w:pStyle w:val="ManualHeading1"/>
        <w:rPr>
          <w:rFonts w:asciiTheme="majorBidi" w:hAnsiTheme="majorBidi" w:cstheme="majorBidi"/>
          <w:noProof/>
          <w:szCs w:val="24"/>
        </w:rPr>
      </w:pPr>
      <w:r w:rsidRPr="00F03589">
        <w:rPr>
          <w:rFonts w:asciiTheme="majorBidi" w:hAnsiTheme="majorBidi" w:cstheme="majorBidi"/>
          <w:noProof/>
          <w:szCs w:val="24"/>
        </w:rPr>
        <w:t>2.1.</w:t>
      </w:r>
      <w:r w:rsidRPr="00F03589">
        <w:rPr>
          <w:rFonts w:asciiTheme="majorBidi" w:hAnsiTheme="majorBidi" w:cstheme="majorBidi"/>
          <w:noProof/>
          <w:szCs w:val="24"/>
        </w:rPr>
        <w:tab/>
        <w:t xml:space="preserve">Управление </w:t>
      </w:r>
    </w:p>
    <w:p w14:paraId="63C15567" w14:textId="553F0327" w:rsidR="00DC1D59" w:rsidRPr="00F03589" w:rsidRDefault="00DC1D59" w:rsidP="00DC1D59">
      <w:pPr>
        <w:spacing w:before="120" w:after="120"/>
        <w:jc w:val="both"/>
        <w:rPr>
          <w:rFonts w:asciiTheme="majorBidi" w:hAnsiTheme="majorBidi" w:cstheme="majorBidi"/>
          <w:noProof/>
          <w:sz w:val="24"/>
          <w:szCs w:val="24"/>
        </w:rPr>
      </w:pPr>
      <w:r w:rsidRPr="00F03589">
        <w:rPr>
          <w:rFonts w:asciiTheme="majorBidi" w:hAnsiTheme="majorBidi" w:cstheme="majorBidi"/>
          <w:noProof/>
          <w:sz w:val="24"/>
          <w:szCs w:val="24"/>
        </w:rPr>
        <w:t>Фондацията за МСФО е организация с нестопанска цел по смисъла на Общия търговски закон на щата Делауер (Съединени американски щати), с централно управление в Лондон (Обединеното кралство). Тя е създадена с цел да разработва, насърчава и улеснява използването на единен набор от висококачествени, разбираеми, подлежащи на изпълнение и световно признати счетоводни стандарти и стандарти във връзка с устойчивостта.</w:t>
      </w:r>
    </w:p>
    <w:p w14:paraId="54878A53" w14:textId="43EE5F9B" w:rsidR="001B0B15" w:rsidRPr="00F03589" w:rsidRDefault="00DC1D59" w:rsidP="00DC1D59">
      <w:pPr>
        <w:jc w:val="both"/>
        <w:rPr>
          <w:rFonts w:asciiTheme="majorBidi" w:hAnsiTheme="majorBidi" w:cstheme="majorBidi"/>
          <w:noProof/>
          <w:sz w:val="24"/>
          <w:szCs w:val="24"/>
        </w:rPr>
      </w:pPr>
      <w:r w:rsidRPr="00F03589">
        <w:rPr>
          <w:rFonts w:asciiTheme="majorBidi" w:hAnsiTheme="majorBidi" w:cstheme="majorBidi"/>
          <w:noProof/>
          <w:sz w:val="24"/>
          <w:szCs w:val="24"/>
        </w:rPr>
        <w:t>Част от Фондацията за МСФО е Съветът за международните счетоводни стандарти (СМСС), който отговаря за разработването на международните стандарти за финансово отчитане (МСФО), и новосъздаденият Съвет за международни стандарти за отчитане във връзка с устойчивостта (СМСОУ), който отговаря за разработването на стандарти за оповестяване във връзка с устойчивостта. Двата съвета функционират отделно, но се допълват взаимно.</w:t>
      </w:r>
    </w:p>
    <w:p w14:paraId="22AB8189" w14:textId="6A446BD5" w:rsidR="00DC1D59" w:rsidRPr="00F03589" w:rsidRDefault="00DC1D59" w:rsidP="00DC1D59">
      <w:pPr>
        <w:jc w:val="both"/>
        <w:rPr>
          <w:rFonts w:asciiTheme="majorBidi" w:hAnsiTheme="majorBidi" w:cstheme="majorBidi"/>
          <w:noProof/>
          <w:sz w:val="24"/>
          <w:szCs w:val="24"/>
        </w:rPr>
      </w:pPr>
      <w:r w:rsidRPr="00F03589">
        <w:rPr>
          <w:rFonts w:asciiTheme="majorBidi" w:hAnsiTheme="majorBidi" w:cstheme="majorBidi"/>
          <w:noProof/>
          <w:sz w:val="24"/>
          <w:szCs w:val="24"/>
        </w:rPr>
        <w:t>Съгласно Регламент (ЕС) № 1606/2002</w:t>
      </w:r>
      <w:r w:rsidRPr="00F03589">
        <w:rPr>
          <w:rStyle w:val="FootnoteReference"/>
          <w:rFonts w:asciiTheme="majorBidi" w:hAnsiTheme="majorBidi" w:cstheme="majorBidi"/>
          <w:noProof/>
          <w:sz w:val="24"/>
          <w:szCs w:val="24"/>
          <w:lang w:val="en-GB" w:eastAsia="en-GB"/>
        </w:rPr>
        <w:footnoteReference w:id="4"/>
      </w:r>
      <w:r w:rsidRPr="00F03589">
        <w:rPr>
          <w:rFonts w:asciiTheme="majorBidi" w:hAnsiTheme="majorBidi" w:cstheme="majorBidi"/>
          <w:noProof/>
          <w:sz w:val="24"/>
          <w:szCs w:val="24"/>
        </w:rPr>
        <w:t xml:space="preserve"> на Европейския парламент и на Съвета за прилагането на международните счетоводни стандарти („Регламент за МСС“) Комисията може да утвърждава нови или изменени МСФО, като вземе предвид препоръка за одобрение, издадена от ЕКГФО. За да гарантира висококачествени МСФО, които не противоречат на европейското обществено благо, Комисията предоставя финансова подкрепа на Фондацията за МСФО за разработването на МСФО.</w:t>
      </w:r>
    </w:p>
    <w:p w14:paraId="28953000" w14:textId="77777777" w:rsidR="00DC1D59" w:rsidRPr="00F03589" w:rsidRDefault="00DC1D59" w:rsidP="00DC1D59">
      <w:pPr>
        <w:spacing w:before="120" w:after="120"/>
        <w:jc w:val="both"/>
        <w:rPr>
          <w:rFonts w:asciiTheme="majorBidi" w:hAnsiTheme="majorBidi" w:cstheme="majorBidi"/>
          <w:noProof/>
          <w:sz w:val="24"/>
          <w:szCs w:val="24"/>
        </w:rPr>
      </w:pPr>
      <w:r w:rsidRPr="00F03589">
        <w:rPr>
          <w:rFonts w:asciiTheme="majorBidi" w:hAnsiTheme="majorBidi" w:cstheme="majorBidi"/>
          <w:noProof/>
          <w:sz w:val="24"/>
          <w:szCs w:val="24"/>
        </w:rPr>
        <w:t>Фондацията за МСФО се ръководи от Съвет от 22-ма попечители, които са колективно отговорни за общия надзор и назначенията в СМСС и в СМСОУ. Определянето на попечителите подлежи на разпределение по географски произход, както и на одобрение от страна на Контролния съвет</w:t>
      </w:r>
      <w:r w:rsidRPr="00F03589">
        <w:rPr>
          <w:rStyle w:val="FootnoteReference"/>
          <w:rFonts w:asciiTheme="majorBidi" w:hAnsiTheme="majorBidi" w:cstheme="majorBidi"/>
          <w:noProof/>
          <w:sz w:val="24"/>
          <w:szCs w:val="24"/>
          <w:lang w:val="en-GB" w:eastAsia="en-GB"/>
        </w:rPr>
        <w:footnoteReference w:id="5"/>
      </w:r>
      <w:r w:rsidRPr="00F03589">
        <w:rPr>
          <w:rFonts w:asciiTheme="majorBidi" w:hAnsiTheme="majorBidi" w:cstheme="majorBidi"/>
          <w:noProof/>
          <w:sz w:val="24"/>
          <w:szCs w:val="24"/>
        </w:rPr>
        <w:t>, който има за цел да осигурява връзка с публичните органи и на който Комисията е член.</w:t>
      </w:r>
    </w:p>
    <w:p w14:paraId="24FD38AE" w14:textId="1830B753" w:rsidR="00DC1D59" w:rsidRPr="00F03589" w:rsidRDefault="00DC1D59" w:rsidP="00DC1D59">
      <w:pPr>
        <w:spacing w:before="120" w:after="120"/>
        <w:jc w:val="both"/>
        <w:rPr>
          <w:rFonts w:asciiTheme="majorBidi" w:hAnsiTheme="majorBidi" w:cstheme="majorBidi"/>
          <w:noProof/>
          <w:sz w:val="24"/>
          <w:szCs w:val="24"/>
        </w:rPr>
      </w:pPr>
      <w:r w:rsidRPr="00F03589">
        <w:rPr>
          <w:rFonts w:asciiTheme="majorBidi" w:hAnsiTheme="majorBidi" w:cstheme="majorBidi"/>
          <w:noProof/>
          <w:sz w:val="24"/>
          <w:szCs w:val="24"/>
        </w:rPr>
        <w:t>СМСС и СМСОУ се състоят от 14 членове от различни националности и области на професионално развитие, включително академични среди, счетоводство, устойчивост, инвестиции, съставители, пазарно или финансово регулиране и определяне на стандарти. Членовете на СМСС и СМСОУ се назначават с петгодишен мандат, който може да бъде подновен веднъж. Andreas Barckow е председател на СМСС, а Emmanuel Faber — на СМСОУ.</w:t>
      </w:r>
    </w:p>
    <w:p w14:paraId="22F5CDD3" w14:textId="212AEB70" w:rsidR="008A19B7" w:rsidRPr="00F03589" w:rsidRDefault="008A19B7" w:rsidP="00DC1D59">
      <w:pPr>
        <w:spacing w:before="120" w:after="120"/>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Годишното финансиране от ЕС на Фондацията за МСФО е за дейностите, свързани със СМСС по отношение на МСФО, а не за разработване на стандарти за оповестяване във връзка с устойчивостта. Поради това в настоящия доклад не са включени дейностите на СМСОУ. </w:t>
      </w:r>
    </w:p>
    <w:p w14:paraId="21743D42" w14:textId="4054E6D0" w:rsidR="00DC1D59" w:rsidRPr="00F03589" w:rsidRDefault="00DC1D59" w:rsidP="00DC1D59">
      <w:pPr>
        <w:spacing w:before="120" w:after="120"/>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Попечителите определят и 14-те членове на Комитета за разяснения по МСФО, чиято дейност е свързана с тълкуването на прилагането на МСФО и предоставянето на насоки по въпросите на финансовото отчитане, както и  членовете на Консултативния съвет за МСФО. </w:t>
      </w:r>
    </w:p>
    <w:p w14:paraId="035EE2D9" w14:textId="77777777" w:rsidR="00DC1D59" w:rsidRPr="00F03589" w:rsidRDefault="00DC1D59" w:rsidP="00DC1D59">
      <w:pPr>
        <w:pStyle w:val="ManualHeading1"/>
        <w:rPr>
          <w:rFonts w:asciiTheme="majorBidi" w:hAnsiTheme="majorBidi" w:cstheme="majorBidi"/>
          <w:noProof/>
          <w:szCs w:val="24"/>
        </w:rPr>
      </w:pPr>
      <w:r w:rsidRPr="00F03589">
        <w:rPr>
          <w:rFonts w:asciiTheme="majorBidi" w:hAnsiTheme="majorBidi" w:cstheme="majorBidi"/>
          <w:noProof/>
          <w:szCs w:val="24"/>
        </w:rPr>
        <w:t>2.2</w:t>
      </w:r>
      <w:r w:rsidRPr="00F03589">
        <w:rPr>
          <w:rFonts w:asciiTheme="majorBidi" w:hAnsiTheme="majorBidi" w:cstheme="majorBidi"/>
          <w:noProof/>
          <w:szCs w:val="24"/>
        </w:rPr>
        <w:tab/>
        <w:t>Дейности</w:t>
      </w:r>
    </w:p>
    <w:p w14:paraId="6A315873" w14:textId="77777777" w:rsidR="00DC1D59" w:rsidRPr="00F03589" w:rsidRDefault="00DC1D59" w:rsidP="00DC1D59">
      <w:pPr>
        <w:pStyle w:val="ManualHeading1"/>
        <w:rPr>
          <w:rFonts w:asciiTheme="majorBidi" w:hAnsiTheme="majorBidi" w:cstheme="majorBidi"/>
          <w:noProof/>
          <w:szCs w:val="24"/>
        </w:rPr>
      </w:pPr>
      <w:r w:rsidRPr="00F03589">
        <w:rPr>
          <w:rFonts w:asciiTheme="majorBidi" w:hAnsiTheme="majorBidi" w:cstheme="majorBidi"/>
          <w:noProof/>
          <w:szCs w:val="24"/>
        </w:rPr>
        <w:t>2.2.1</w:t>
      </w:r>
      <w:r w:rsidRPr="00F03589">
        <w:rPr>
          <w:rFonts w:asciiTheme="majorBidi" w:hAnsiTheme="majorBidi" w:cstheme="majorBidi"/>
          <w:noProof/>
          <w:szCs w:val="24"/>
        </w:rPr>
        <w:tab/>
        <w:t>Определяне на стандарти</w:t>
      </w:r>
    </w:p>
    <w:p w14:paraId="0B003FC7" w14:textId="02758636" w:rsidR="00DC1D59" w:rsidRPr="00F03589" w:rsidRDefault="00CE348D" w:rsidP="004B4DBF">
      <w:pPr>
        <w:jc w:val="both"/>
        <w:rPr>
          <w:rFonts w:asciiTheme="majorBidi" w:hAnsiTheme="majorBidi" w:cstheme="majorBidi"/>
          <w:noProof/>
          <w:sz w:val="24"/>
          <w:szCs w:val="24"/>
        </w:rPr>
      </w:pPr>
      <w:r w:rsidRPr="00F03589">
        <w:rPr>
          <w:rFonts w:asciiTheme="majorBidi" w:hAnsiTheme="majorBidi" w:cstheme="majorBidi"/>
          <w:noProof/>
          <w:sz w:val="24"/>
          <w:szCs w:val="24"/>
        </w:rPr>
        <w:t>През юли 2022 г. СМСС публикува справка за получените мнения относно Третата консултация за дневния ред, в която очертава своите приоритети и работни дейности за периода 2022—2026 г. Трите основни стратегически приоритета са 1) поддържане на стратегическата насока и баланс на дейностите на СМСС, като същевременно се увеличат леко усилията за разработване на цифрово финансово отчитане и за подобряване на разбираемостта и достъпността на МСФО; 2) постигане на напредък по текущи проекти; и 3) добавяне на нематериалните активи, отчета за паричните потоци и свързаните с климата рискове във финансовите отчети към работния план.</w:t>
      </w:r>
    </w:p>
    <w:p w14:paraId="0A48F02E" w14:textId="448507F9" w:rsidR="00B13A76" w:rsidRPr="00F03589" w:rsidRDefault="00C54B7A" w:rsidP="00DC1D59">
      <w:pPr>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През септември 2022 г. СМСС издаде изменения на Международен стандарт за финансово отчитане (МСФО) 16 </w:t>
      </w:r>
      <w:r w:rsidRPr="00F03589">
        <w:rPr>
          <w:rFonts w:asciiTheme="majorBidi" w:hAnsiTheme="majorBidi" w:cstheme="majorBidi"/>
          <w:i/>
          <w:iCs/>
          <w:noProof/>
          <w:sz w:val="24"/>
          <w:szCs w:val="24"/>
        </w:rPr>
        <w:t>Лизинг</w:t>
      </w:r>
      <w:r w:rsidRPr="00F03589">
        <w:rPr>
          <w:rFonts w:asciiTheme="majorBidi" w:hAnsiTheme="majorBidi" w:cstheme="majorBidi"/>
          <w:noProof/>
          <w:sz w:val="24"/>
          <w:szCs w:val="24"/>
        </w:rPr>
        <w:t>, в които се посочва как продавачът лизингополучател впоследствие оценява сделките за продажба с обратен лизинг.</w:t>
      </w:r>
    </w:p>
    <w:p w14:paraId="192D6B07" w14:textId="5C2000D3" w:rsidR="00B13A76" w:rsidRPr="00F03589" w:rsidRDefault="00B13A76" w:rsidP="00DC1D59">
      <w:pPr>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През октомври 2022 г. СМСС издаде изменения на Международен счетоводен стандарт (МСС) 1 </w:t>
      </w:r>
      <w:r w:rsidRPr="00F03589">
        <w:rPr>
          <w:rFonts w:asciiTheme="majorBidi" w:hAnsiTheme="majorBidi" w:cstheme="majorBidi"/>
          <w:i/>
          <w:iCs/>
          <w:noProof/>
          <w:sz w:val="24"/>
          <w:szCs w:val="24"/>
        </w:rPr>
        <w:t>Представяне на финансови отчети</w:t>
      </w:r>
      <w:r w:rsidRPr="00F03589">
        <w:rPr>
          <w:rFonts w:asciiTheme="majorBidi" w:hAnsiTheme="majorBidi" w:cstheme="majorBidi"/>
          <w:noProof/>
          <w:sz w:val="24"/>
          <w:szCs w:val="24"/>
        </w:rPr>
        <w:t>, за да уточни как дадено дружество класифицира пасив, произтичащ от споразумение за заем с договорни клаузи, като текущ или нетекущ.</w:t>
      </w:r>
    </w:p>
    <w:p w14:paraId="1225E2D3" w14:textId="3881488C" w:rsidR="00493C1D" w:rsidRPr="00F03589" w:rsidRDefault="00493C1D" w:rsidP="00493C1D">
      <w:pPr>
        <w:jc w:val="both"/>
        <w:rPr>
          <w:rFonts w:asciiTheme="majorBidi" w:hAnsiTheme="majorBidi" w:cstheme="majorBidi"/>
          <w:noProof/>
          <w:sz w:val="24"/>
          <w:szCs w:val="24"/>
        </w:rPr>
      </w:pPr>
      <w:r w:rsidRPr="00F03589">
        <w:rPr>
          <w:rFonts w:asciiTheme="majorBidi" w:hAnsiTheme="majorBidi" w:cstheme="majorBidi"/>
          <w:noProof/>
          <w:sz w:val="24"/>
          <w:szCs w:val="24"/>
        </w:rPr>
        <w:t>През ноември 2022 г. СМСС реши да даде начало на ускорен проект за предлагане на изменения с тесен обхват на МСС 12 Данъци върху дохода в резултат на международни данъчни реформи. С тези изменения ще бъде въведено временно изключение от задължението за осчетоводяване на отсрочените данъци, произтичащи от въвеждането на примерните правила на ОИСР от втори стълб, както и целенасочени оповестявания за засегнатите предприятия.</w:t>
      </w:r>
    </w:p>
    <w:p w14:paraId="7BC40861" w14:textId="77777777" w:rsidR="00DC1D59" w:rsidRPr="00F03589" w:rsidRDefault="00DC1D59" w:rsidP="00DC1D59">
      <w:pPr>
        <w:jc w:val="both"/>
        <w:rPr>
          <w:rFonts w:asciiTheme="majorBidi" w:hAnsiTheme="majorBidi" w:cstheme="majorBidi"/>
          <w:noProof/>
          <w:sz w:val="24"/>
          <w:szCs w:val="24"/>
        </w:rPr>
      </w:pPr>
      <w:r w:rsidRPr="00F03589">
        <w:rPr>
          <w:rFonts w:asciiTheme="majorBidi" w:hAnsiTheme="majorBidi" w:cstheme="majorBidi"/>
          <w:noProof/>
          <w:sz w:val="24"/>
          <w:szCs w:val="24"/>
        </w:rPr>
        <w:t>Накрая, Фондацията за МСФО актуализира таксономията по МСФО, за да отрази ефекта от новите стандарти и изменения</w:t>
      </w:r>
      <w:r w:rsidRPr="00F03589">
        <w:rPr>
          <w:rStyle w:val="FootnoteReference"/>
          <w:rFonts w:asciiTheme="majorBidi" w:hAnsiTheme="majorBidi" w:cstheme="majorBidi"/>
          <w:noProof/>
          <w:sz w:val="24"/>
          <w:szCs w:val="24"/>
          <w:lang w:val="en-GB" w:eastAsia="en-GB"/>
        </w:rPr>
        <w:footnoteReference w:id="6"/>
      </w:r>
      <w:r w:rsidRPr="00F03589">
        <w:rPr>
          <w:rFonts w:asciiTheme="majorBidi" w:hAnsiTheme="majorBidi" w:cstheme="majorBidi"/>
          <w:noProof/>
          <w:sz w:val="24"/>
          <w:szCs w:val="24"/>
        </w:rPr>
        <w:t>.</w:t>
      </w:r>
    </w:p>
    <w:p w14:paraId="2A82660E" w14:textId="50F0223F" w:rsidR="00DC1D59" w:rsidRPr="00F03589" w:rsidRDefault="00DC1D59" w:rsidP="00DC1D59">
      <w:pPr>
        <w:jc w:val="both"/>
        <w:rPr>
          <w:rFonts w:asciiTheme="majorBidi" w:hAnsiTheme="majorBidi" w:cstheme="majorBidi"/>
          <w:noProof/>
          <w:sz w:val="24"/>
          <w:szCs w:val="24"/>
        </w:rPr>
      </w:pPr>
      <w:r w:rsidRPr="00F03589">
        <w:rPr>
          <w:rFonts w:asciiTheme="majorBidi" w:hAnsiTheme="majorBidi" w:cstheme="majorBidi"/>
          <w:noProof/>
          <w:sz w:val="24"/>
          <w:szCs w:val="24"/>
        </w:rPr>
        <w:t>Пълен преглед на дейностите по определяне на стандартите, включително работата на Комитета за разяснения по МСФО, може да бъде намерен на уебсайта на Фондацията за МСФО</w:t>
      </w:r>
      <w:r w:rsidRPr="00F03589">
        <w:rPr>
          <w:rStyle w:val="FootnoteReference"/>
          <w:rFonts w:asciiTheme="majorBidi" w:hAnsiTheme="majorBidi" w:cstheme="majorBidi"/>
          <w:noProof/>
          <w:sz w:val="24"/>
          <w:szCs w:val="24"/>
          <w:lang w:val="en-GB" w:eastAsia="en-GB"/>
        </w:rPr>
        <w:footnoteReference w:id="7"/>
      </w:r>
      <w:r w:rsidRPr="00F03589">
        <w:rPr>
          <w:rFonts w:asciiTheme="majorBidi" w:hAnsiTheme="majorBidi" w:cstheme="majorBidi"/>
          <w:noProof/>
          <w:sz w:val="24"/>
          <w:szCs w:val="24"/>
        </w:rPr>
        <w:t>.</w:t>
      </w:r>
    </w:p>
    <w:p w14:paraId="2432B370" w14:textId="2771359E" w:rsidR="00A67F85" w:rsidRPr="00F03589" w:rsidRDefault="00DC1D59" w:rsidP="00A67F85">
      <w:pPr>
        <w:pStyle w:val="ManualHeading1"/>
        <w:rPr>
          <w:rFonts w:asciiTheme="majorBidi" w:hAnsiTheme="majorBidi" w:cstheme="majorBidi"/>
          <w:noProof/>
          <w:szCs w:val="24"/>
        </w:rPr>
      </w:pPr>
      <w:r w:rsidRPr="00F03589">
        <w:rPr>
          <w:rFonts w:asciiTheme="majorBidi" w:hAnsiTheme="majorBidi" w:cstheme="majorBidi"/>
          <w:noProof/>
          <w:szCs w:val="24"/>
        </w:rPr>
        <w:t>2.2.2.</w:t>
      </w:r>
      <w:r w:rsidRPr="00F03589">
        <w:rPr>
          <w:rFonts w:asciiTheme="majorBidi" w:hAnsiTheme="majorBidi" w:cstheme="majorBidi"/>
          <w:noProof/>
          <w:szCs w:val="24"/>
        </w:rPr>
        <w:tab/>
        <w:t>Научноизследователски проекти</w:t>
      </w:r>
    </w:p>
    <w:p w14:paraId="5DA15D87" w14:textId="734FE871" w:rsidR="0043268C" w:rsidRPr="00F03589" w:rsidRDefault="0043268C" w:rsidP="0043268C">
      <w:pPr>
        <w:jc w:val="both"/>
        <w:rPr>
          <w:rFonts w:asciiTheme="majorBidi" w:hAnsiTheme="majorBidi" w:cstheme="majorBidi"/>
          <w:noProof/>
          <w:sz w:val="24"/>
          <w:szCs w:val="24"/>
        </w:rPr>
      </w:pPr>
      <w:r w:rsidRPr="00F03589">
        <w:rPr>
          <w:rFonts w:asciiTheme="majorBidi" w:hAnsiTheme="majorBidi" w:cstheme="majorBidi"/>
          <w:noProof/>
          <w:sz w:val="24"/>
          <w:szCs w:val="24"/>
        </w:rPr>
        <w:t>През 2022 г. СМСС продължи обсъжданията си по проекта за първичните финансови отчети, който има за цел да повиши прозрачността и да подобри съпоставимостта на отчитането на финансовите резултати в световен мащаб. СМСС очаква да издаде този нов МСФО през първата половина на 2024 г.</w:t>
      </w:r>
    </w:p>
    <w:p w14:paraId="1593A4C0" w14:textId="04345EAB" w:rsidR="00B87FF0" w:rsidRPr="00F03589" w:rsidRDefault="00E92645" w:rsidP="00E92645">
      <w:pPr>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През май 2022 г. СМСС добави проекта </w:t>
      </w:r>
      <w:r w:rsidRPr="00F03589">
        <w:rPr>
          <w:rFonts w:asciiTheme="majorBidi" w:hAnsiTheme="majorBidi" w:cstheme="majorBidi"/>
          <w:i/>
          <w:iCs/>
          <w:noProof/>
          <w:sz w:val="24"/>
          <w:szCs w:val="24"/>
        </w:rPr>
        <w:t>Динамично управление на риска</w:t>
      </w:r>
      <w:r w:rsidRPr="00F03589">
        <w:rPr>
          <w:rFonts w:asciiTheme="majorBidi" w:hAnsiTheme="majorBidi" w:cstheme="majorBidi"/>
          <w:noProof/>
          <w:sz w:val="24"/>
          <w:szCs w:val="24"/>
        </w:rPr>
        <w:t xml:space="preserve"> към своята програма за определяне на стандарти. Обхватът на новия счетоводен стандарт е да се разработят изисквания за макрохеджиране на лихвен риск в банковия портфейл и да се замени настоящият подход на хеджиране, включен в МСС 39 </w:t>
      </w:r>
      <w:r w:rsidRPr="00F03589">
        <w:rPr>
          <w:rFonts w:asciiTheme="majorBidi" w:hAnsiTheme="majorBidi" w:cstheme="majorBidi"/>
          <w:i/>
          <w:iCs/>
          <w:noProof/>
          <w:sz w:val="24"/>
          <w:szCs w:val="24"/>
        </w:rPr>
        <w:t>Финансови инструменти: признаване и оценяване</w:t>
      </w:r>
      <w:r w:rsidRPr="00F03589">
        <w:rPr>
          <w:rFonts w:asciiTheme="majorBidi" w:hAnsiTheme="majorBidi" w:cstheme="majorBidi"/>
          <w:noProof/>
          <w:sz w:val="24"/>
          <w:szCs w:val="24"/>
        </w:rPr>
        <w:t>, за който ЕС предвиди изключение в ЕС, за да се даде възможност за макрохеджиране. Очаква се СМСС да издаде проектопредложение през 2025 г.</w:t>
      </w:r>
    </w:p>
    <w:p w14:paraId="48773506" w14:textId="55157CAC" w:rsidR="00E92645" w:rsidRPr="00F03589" w:rsidRDefault="00B87FF0" w:rsidP="00E92645">
      <w:pPr>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През юни 2022 г. СМСС завърши своя </w:t>
      </w:r>
      <w:r w:rsidRPr="00F03589">
        <w:rPr>
          <w:rFonts w:asciiTheme="majorBidi" w:hAnsiTheme="majorBidi" w:cstheme="majorBidi"/>
          <w:i/>
          <w:iCs/>
          <w:noProof/>
          <w:sz w:val="24"/>
          <w:szCs w:val="24"/>
        </w:rPr>
        <w:t>Преглед след прилагането</w:t>
      </w:r>
      <w:r w:rsidRPr="00F03589">
        <w:rPr>
          <w:rFonts w:asciiTheme="majorBidi" w:hAnsiTheme="majorBidi" w:cstheme="majorBidi"/>
          <w:noProof/>
          <w:sz w:val="24"/>
          <w:szCs w:val="24"/>
        </w:rPr>
        <w:t xml:space="preserve"> (ПСП) на МСФО 10 </w:t>
      </w:r>
      <w:r w:rsidRPr="00F03589">
        <w:rPr>
          <w:rFonts w:asciiTheme="majorBidi" w:hAnsiTheme="majorBidi" w:cstheme="majorBidi"/>
          <w:i/>
          <w:iCs/>
          <w:noProof/>
          <w:sz w:val="24"/>
          <w:szCs w:val="24"/>
        </w:rPr>
        <w:t>Консолидирани финансови отчети</w:t>
      </w:r>
      <w:r w:rsidRPr="00F03589">
        <w:rPr>
          <w:rFonts w:asciiTheme="majorBidi" w:hAnsiTheme="majorBidi" w:cstheme="majorBidi"/>
          <w:noProof/>
          <w:sz w:val="24"/>
          <w:szCs w:val="24"/>
        </w:rPr>
        <w:t xml:space="preserve">, МСФО 11 </w:t>
      </w:r>
      <w:r w:rsidRPr="00F03589">
        <w:rPr>
          <w:rFonts w:asciiTheme="majorBidi" w:hAnsiTheme="majorBidi" w:cstheme="majorBidi"/>
          <w:i/>
          <w:iCs/>
          <w:noProof/>
          <w:sz w:val="24"/>
          <w:szCs w:val="24"/>
        </w:rPr>
        <w:t>Съвместни споразумения</w:t>
      </w:r>
      <w:r w:rsidRPr="00F03589">
        <w:rPr>
          <w:rFonts w:asciiTheme="majorBidi" w:hAnsiTheme="majorBidi" w:cstheme="majorBidi"/>
          <w:noProof/>
          <w:sz w:val="24"/>
          <w:szCs w:val="24"/>
        </w:rPr>
        <w:t xml:space="preserve"> и МСФО 12 </w:t>
      </w:r>
      <w:r w:rsidRPr="00F03589">
        <w:rPr>
          <w:rFonts w:asciiTheme="majorBidi" w:hAnsiTheme="majorBidi" w:cstheme="majorBidi"/>
          <w:i/>
          <w:iCs/>
          <w:noProof/>
          <w:sz w:val="24"/>
          <w:szCs w:val="24"/>
        </w:rPr>
        <w:t>Оповестяване на участията в други предприятия</w:t>
      </w:r>
      <w:r w:rsidRPr="00F03589">
        <w:rPr>
          <w:rFonts w:asciiTheme="majorBidi" w:hAnsiTheme="majorBidi" w:cstheme="majorBidi"/>
          <w:noProof/>
          <w:sz w:val="24"/>
          <w:szCs w:val="24"/>
        </w:rPr>
        <w:t xml:space="preserve"> и стигна до заключението, че включените в тези три стандарта изисквания функционират по предназначение и изпълняват своите цели. СМСС определи пет въпроса като въпроси с нисък приоритет, които биха могли да бъдат проучени, ако бъдат набелязани като приоритетни в следващата консултация по дневния ред.</w:t>
      </w:r>
    </w:p>
    <w:p w14:paraId="0A99148C" w14:textId="345CA4FB" w:rsidR="00D368AA" w:rsidRPr="00F03589" w:rsidRDefault="00D368AA" w:rsidP="00D368AA">
      <w:pPr>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През юли 2022 г. СМСС реши да започне изпълнението на ПСП на МСФО 9 </w:t>
      </w:r>
      <w:r w:rsidRPr="00F03589">
        <w:rPr>
          <w:rFonts w:asciiTheme="majorBidi" w:hAnsiTheme="majorBidi" w:cstheme="majorBidi"/>
          <w:i/>
          <w:iCs/>
          <w:noProof/>
          <w:sz w:val="24"/>
          <w:szCs w:val="24"/>
        </w:rPr>
        <w:t>Финансови инструменти — Обезценка</w:t>
      </w:r>
      <w:r w:rsidRPr="00F03589">
        <w:rPr>
          <w:rFonts w:asciiTheme="majorBidi" w:hAnsiTheme="majorBidi" w:cstheme="majorBidi"/>
          <w:noProof/>
          <w:sz w:val="24"/>
          <w:szCs w:val="24"/>
        </w:rPr>
        <w:t xml:space="preserve"> и обсъди проектния план за първата фаза, като набеляза въпроси за разглеждане. Искането за информация беше публикувано през май 2023 г.</w:t>
      </w:r>
    </w:p>
    <w:p w14:paraId="39A607A0" w14:textId="7D6FDA94" w:rsidR="00905DC5" w:rsidRPr="00F03589" w:rsidRDefault="00905DC5" w:rsidP="00E92645">
      <w:pPr>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През септември 2022 г. СМСС даде начало на ПСП на МСФО 15 </w:t>
      </w:r>
      <w:r w:rsidRPr="00F03589">
        <w:rPr>
          <w:rFonts w:asciiTheme="majorBidi" w:hAnsiTheme="majorBidi" w:cstheme="majorBidi"/>
          <w:i/>
          <w:iCs/>
          <w:noProof/>
          <w:sz w:val="24"/>
          <w:szCs w:val="24"/>
        </w:rPr>
        <w:t>Приходи от договори с клиенти</w:t>
      </w:r>
      <w:r w:rsidRPr="00F03589">
        <w:rPr>
          <w:rFonts w:asciiTheme="majorBidi" w:hAnsiTheme="majorBidi" w:cstheme="majorBidi"/>
          <w:noProof/>
          <w:sz w:val="24"/>
          <w:szCs w:val="24"/>
        </w:rPr>
        <w:t>. Целта е искането за информация да се публикува през юни 2023 г.</w:t>
      </w:r>
    </w:p>
    <w:p w14:paraId="78A1718C" w14:textId="7668ECF3" w:rsidR="00E92645" w:rsidRPr="00F03589" w:rsidRDefault="00E92645" w:rsidP="00E92645">
      <w:pPr>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През декември 2022 г. СМСС реши да добави проекта </w:t>
      </w:r>
      <w:r w:rsidRPr="00F03589">
        <w:rPr>
          <w:rFonts w:asciiTheme="majorBidi" w:hAnsiTheme="majorBidi" w:cstheme="majorBidi"/>
          <w:i/>
          <w:iCs/>
          <w:noProof/>
          <w:sz w:val="24"/>
          <w:szCs w:val="24"/>
        </w:rPr>
        <w:t>Бизнес комбинации — оповестявания, репутация и обезценка</w:t>
      </w:r>
      <w:r w:rsidRPr="00F03589">
        <w:rPr>
          <w:rFonts w:asciiTheme="majorBidi" w:hAnsiTheme="majorBidi" w:cstheme="majorBidi"/>
          <w:noProof/>
          <w:sz w:val="24"/>
          <w:szCs w:val="24"/>
        </w:rPr>
        <w:t xml:space="preserve"> към своята програма за определяне на стандарти след като проведе редица проучвания, обсъждания със заинтересованите страни и анализи. Новият счетоводен стандарт следва да предоставя на ползвателите на финансовите отчети по-полезна информация относно сливанията и придобиванията и последващото отчитане на репутацията чрез запазване на модела, основан само на обезценката.</w:t>
      </w:r>
    </w:p>
    <w:p w14:paraId="0AF146C7" w14:textId="49FA150A" w:rsidR="00C27C9C" w:rsidRPr="00F03589" w:rsidRDefault="0043268C" w:rsidP="00DC1D59">
      <w:pPr>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До края на 2022 г. СМСС завърши също така своя ПСП на МСФО 9 </w:t>
      </w:r>
      <w:r w:rsidRPr="00F03589">
        <w:rPr>
          <w:rFonts w:asciiTheme="majorBidi" w:hAnsiTheme="majorBidi" w:cstheme="majorBidi"/>
          <w:i/>
          <w:iCs/>
          <w:noProof/>
          <w:sz w:val="24"/>
          <w:szCs w:val="24"/>
        </w:rPr>
        <w:t>Финансови инструменти — Класификация и оценяване</w:t>
      </w:r>
      <w:r w:rsidRPr="00F03589">
        <w:rPr>
          <w:rFonts w:asciiTheme="majorBidi" w:hAnsiTheme="majorBidi" w:cstheme="majorBidi"/>
          <w:noProof/>
          <w:sz w:val="24"/>
          <w:szCs w:val="24"/>
        </w:rPr>
        <w:t>, като стигна до заключението, че тези изисквания за класификация и оценяване функционират по предназначение. В отговор на обратната информация във връзка с този ПСП СМСС даде приоритет на проект за определяне на стандарти с тесен обхват, насочен към конкретни изисквания за класификация и оценяване, включително такива, които биха могли да засегнат счетоводното отчитане на финансовите активи, свързани с ЕСУ фактори. Освен това СМСС реши да добави проект за оценка на амортизационната стойност към своята програма за изследвания.</w:t>
      </w:r>
    </w:p>
    <w:p w14:paraId="62E3D311" w14:textId="77777777" w:rsidR="00DC1D59" w:rsidRPr="00F03589" w:rsidRDefault="00DC1D59" w:rsidP="00DC1D59">
      <w:pPr>
        <w:jc w:val="both"/>
        <w:rPr>
          <w:rFonts w:asciiTheme="majorBidi" w:hAnsiTheme="majorBidi" w:cstheme="majorBidi"/>
          <w:noProof/>
          <w:sz w:val="24"/>
          <w:szCs w:val="24"/>
        </w:rPr>
      </w:pPr>
      <w:r w:rsidRPr="00F03589">
        <w:rPr>
          <w:rFonts w:asciiTheme="majorBidi" w:hAnsiTheme="majorBidi" w:cstheme="majorBidi"/>
          <w:noProof/>
          <w:sz w:val="24"/>
          <w:szCs w:val="24"/>
        </w:rPr>
        <w:t>Пълен преглед на научноизследователските проекти може да бъде намерен на уебсайта на Фондацията за МСФО</w:t>
      </w:r>
      <w:r w:rsidRPr="00F03589">
        <w:rPr>
          <w:rStyle w:val="FootnoteReference"/>
          <w:rFonts w:asciiTheme="majorBidi" w:hAnsiTheme="majorBidi" w:cstheme="majorBidi"/>
          <w:noProof/>
          <w:sz w:val="24"/>
          <w:szCs w:val="24"/>
          <w:lang w:val="en-GB" w:eastAsia="en-GB"/>
        </w:rPr>
        <w:footnoteReference w:id="8"/>
      </w:r>
      <w:r w:rsidRPr="00F03589">
        <w:rPr>
          <w:rFonts w:asciiTheme="majorBidi" w:hAnsiTheme="majorBidi" w:cstheme="majorBidi"/>
          <w:noProof/>
          <w:sz w:val="24"/>
          <w:szCs w:val="24"/>
        </w:rPr>
        <w:t>.</w:t>
      </w:r>
    </w:p>
    <w:p w14:paraId="59251435" w14:textId="77777777" w:rsidR="00DC1D59" w:rsidRPr="00F03589" w:rsidRDefault="00DC1D59" w:rsidP="00DC1D59">
      <w:pPr>
        <w:pStyle w:val="ManualHeading1"/>
        <w:rPr>
          <w:rFonts w:asciiTheme="majorBidi" w:hAnsiTheme="majorBidi" w:cstheme="majorBidi"/>
          <w:noProof/>
          <w:szCs w:val="24"/>
        </w:rPr>
      </w:pPr>
      <w:r w:rsidRPr="00F03589">
        <w:rPr>
          <w:rFonts w:asciiTheme="majorBidi" w:hAnsiTheme="majorBidi" w:cstheme="majorBidi"/>
          <w:noProof/>
          <w:szCs w:val="24"/>
        </w:rPr>
        <w:t>2.3.</w:t>
      </w:r>
      <w:r w:rsidRPr="00F03589">
        <w:rPr>
          <w:rFonts w:asciiTheme="majorBidi" w:hAnsiTheme="majorBidi" w:cstheme="majorBidi"/>
          <w:noProof/>
          <w:szCs w:val="24"/>
        </w:rPr>
        <w:tab/>
        <w:t>Прозрачност и отчетност</w:t>
      </w:r>
    </w:p>
    <w:p w14:paraId="7E8517B5" w14:textId="77777777" w:rsidR="00DC1D59" w:rsidRPr="00F03589" w:rsidRDefault="00DC1D59" w:rsidP="00DC1D59">
      <w:pPr>
        <w:pStyle w:val="ManualHeading1"/>
        <w:rPr>
          <w:rFonts w:asciiTheme="majorBidi" w:hAnsiTheme="majorBidi" w:cstheme="majorBidi"/>
          <w:noProof/>
          <w:szCs w:val="24"/>
        </w:rPr>
      </w:pPr>
      <w:r w:rsidRPr="00F03589">
        <w:rPr>
          <w:rFonts w:asciiTheme="majorBidi" w:hAnsiTheme="majorBidi" w:cstheme="majorBidi"/>
          <w:noProof/>
          <w:szCs w:val="24"/>
        </w:rPr>
        <w:t>2.3.1.</w:t>
      </w:r>
      <w:r w:rsidRPr="00F03589">
        <w:rPr>
          <w:rFonts w:asciiTheme="majorBidi" w:hAnsiTheme="majorBidi" w:cstheme="majorBidi"/>
          <w:noProof/>
          <w:szCs w:val="24"/>
        </w:rPr>
        <w:tab/>
        <w:t>Правила за прозрачност</w:t>
      </w:r>
    </w:p>
    <w:p w14:paraId="52EB6E84" w14:textId="1A62967D" w:rsidR="00DC1D59" w:rsidRPr="00F03589" w:rsidRDefault="00DC1D59" w:rsidP="00DC1D59">
      <w:pPr>
        <w:jc w:val="both"/>
        <w:rPr>
          <w:rFonts w:asciiTheme="majorBidi" w:hAnsiTheme="majorBidi" w:cstheme="majorBidi"/>
          <w:noProof/>
          <w:sz w:val="24"/>
          <w:szCs w:val="24"/>
        </w:rPr>
      </w:pPr>
      <w:r w:rsidRPr="00F03589">
        <w:rPr>
          <w:rFonts w:asciiTheme="majorBidi" w:hAnsiTheme="majorBidi" w:cstheme="majorBidi"/>
          <w:noProof/>
          <w:sz w:val="24"/>
          <w:szCs w:val="24"/>
        </w:rPr>
        <w:t>Всички заседания на СМСС и на Комитета за разяснения по МСФО са открити за обществеността. Дневният ред на заседанията се оповестява предварително, а самите заседания може да се гледат онлайн. Освен това всяко тримесечие СМСС оповестява на своя интернет сайт срещите със заинтересовани страни</w:t>
      </w:r>
      <w:r w:rsidRPr="00F03589">
        <w:rPr>
          <w:rStyle w:val="FootnoteReference"/>
          <w:rFonts w:asciiTheme="majorBidi" w:hAnsiTheme="majorBidi" w:cstheme="majorBidi"/>
          <w:noProof/>
          <w:sz w:val="24"/>
          <w:szCs w:val="24"/>
          <w:lang w:val="en-GB"/>
        </w:rPr>
        <w:footnoteReference w:id="9"/>
      </w:r>
      <w:r w:rsidRPr="00F03589">
        <w:rPr>
          <w:rFonts w:asciiTheme="majorBidi" w:hAnsiTheme="majorBidi" w:cstheme="majorBidi"/>
          <w:noProof/>
          <w:sz w:val="24"/>
          <w:szCs w:val="24"/>
        </w:rPr>
        <w:t>.</w:t>
      </w:r>
    </w:p>
    <w:p w14:paraId="2CFBB038" w14:textId="77777777" w:rsidR="00DC1D59" w:rsidRPr="00F03589" w:rsidRDefault="00DC1D59" w:rsidP="00DC1D59">
      <w:pPr>
        <w:pStyle w:val="ManualHeading1"/>
        <w:rPr>
          <w:rFonts w:asciiTheme="majorBidi" w:hAnsiTheme="majorBidi" w:cstheme="majorBidi"/>
          <w:noProof/>
          <w:szCs w:val="24"/>
        </w:rPr>
      </w:pPr>
      <w:r w:rsidRPr="00F03589">
        <w:rPr>
          <w:rFonts w:asciiTheme="majorBidi" w:hAnsiTheme="majorBidi" w:cstheme="majorBidi"/>
          <w:noProof/>
          <w:szCs w:val="24"/>
        </w:rPr>
        <w:t>2.3.2.</w:t>
      </w:r>
      <w:r w:rsidRPr="00F03589">
        <w:rPr>
          <w:rFonts w:asciiTheme="majorBidi" w:hAnsiTheme="majorBidi" w:cstheme="majorBidi"/>
          <w:noProof/>
          <w:szCs w:val="24"/>
        </w:rPr>
        <w:tab/>
        <w:t>Представителство на заинтересованите страни</w:t>
      </w:r>
    </w:p>
    <w:p w14:paraId="4EA42E42" w14:textId="1A05FB60" w:rsidR="00DC1D59" w:rsidRPr="00F03589" w:rsidRDefault="00DC1D59" w:rsidP="00DC1D59">
      <w:pPr>
        <w:spacing w:before="120" w:after="120"/>
        <w:jc w:val="both"/>
        <w:rPr>
          <w:rFonts w:asciiTheme="majorBidi" w:hAnsiTheme="majorBidi" w:cstheme="majorBidi"/>
          <w:noProof/>
          <w:sz w:val="24"/>
          <w:szCs w:val="24"/>
        </w:rPr>
      </w:pPr>
      <w:r w:rsidRPr="00F03589">
        <w:rPr>
          <w:rFonts w:asciiTheme="majorBidi" w:hAnsiTheme="majorBidi" w:cstheme="majorBidi"/>
          <w:noProof/>
          <w:sz w:val="24"/>
          <w:szCs w:val="24"/>
        </w:rPr>
        <w:t>Съгласно устава на Фондацията за МСФО трябва да бъдат назначени шестима попечители от Европа, както и за Америка и Азия и Океания, плюс един попечител от Африка и трима попечители от който и да е район, при условие че се запазва цялостният географски баланс. По същия начин критериите за назначаване на членове на съвета на СМСС изискват по четирима членове от всеки регион, един от Африка и един от който и да е район.</w:t>
      </w:r>
    </w:p>
    <w:p w14:paraId="0B8F729F" w14:textId="48BEF513" w:rsidR="00DC1D59" w:rsidRPr="00F03589" w:rsidRDefault="00DC1D59" w:rsidP="00DC1D59">
      <w:pPr>
        <w:spacing w:before="120" w:after="120"/>
        <w:jc w:val="both"/>
        <w:rPr>
          <w:rFonts w:asciiTheme="majorBidi" w:hAnsiTheme="majorBidi" w:cstheme="majorBidi"/>
          <w:noProof/>
          <w:sz w:val="24"/>
          <w:szCs w:val="24"/>
        </w:rPr>
      </w:pPr>
      <w:r w:rsidRPr="00F03589">
        <w:rPr>
          <w:rFonts w:asciiTheme="majorBidi" w:hAnsiTheme="majorBidi" w:cstheme="majorBidi"/>
          <w:noProof/>
          <w:sz w:val="24"/>
          <w:szCs w:val="24"/>
        </w:rPr>
        <w:t>Към 31 декември 2022 г. Консултативният съвет за МСФО се състои от 51 организации, в това число Европейската централна банка (ЕЦБ) и Европейският орган за ценни книжа и пазари (ЕОЦКП) и Европейската консултативна група за финансова отчетност (ЕКГФО). Комисията участва като наблюдател.</w:t>
      </w:r>
    </w:p>
    <w:p w14:paraId="192CECAB" w14:textId="77777777" w:rsidR="00DC1D59" w:rsidRPr="00F03589" w:rsidRDefault="00DC1D59" w:rsidP="00DC1D59">
      <w:pPr>
        <w:pStyle w:val="ManualHeading1"/>
        <w:rPr>
          <w:rFonts w:asciiTheme="majorBidi" w:hAnsiTheme="majorBidi" w:cstheme="majorBidi"/>
          <w:noProof/>
          <w:szCs w:val="24"/>
        </w:rPr>
      </w:pPr>
      <w:r w:rsidRPr="00F03589">
        <w:rPr>
          <w:rFonts w:asciiTheme="majorBidi" w:hAnsiTheme="majorBidi" w:cstheme="majorBidi"/>
          <w:noProof/>
          <w:szCs w:val="24"/>
        </w:rPr>
        <w:t>2.3.3.</w:t>
      </w:r>
      <w:r w:rsidRPr="00F03589">
        <w:rPr>
          <w:rFonts w:asciiTheme="majorBidi" w:hAnsiTheme="majorBidi" w:cstheme="majorBidi"/>
          <w:noProof/>
          <w:szCs w:val="24"/>
        </w:rPr>
        <w:tab/>
        <w:t>Предотвратяване на конфликти на интереси</w:t>
      </w:r>
    </w:p>
    <w:p w14:paraId="6B802AB8" w14:textId="60CCC19A" w:rsidR="00DC1D59" w:rsidRPr="00F03589" w:rsidRDefault="00DC1D59" w:rsidP="00DC1D59">
      <w:pPr>
        <w:spacing w:before="120" w:after="120"/>
        <w:jc w:val="both"/>
        <w:rPr>
          <w:rFonts w:asciiTheme="majorBidi" w:hAnsiTheme="majorBidi" w:cstheme="majorBidi"/>
          <w:noProof/>
          <w:sz w:val="24"/>
          <w:szCs w:val="24"/>
        </w:rPr>
      </w:pPr>
      <w:r w:rsidRPr="00F03589">
        <w:rPr>
          <w:rFonts w:asciiTheme="majorBidi" w:hAnsiTheme="majorBidi" w:cstheme="majorBidi"/>
          <w:noProof/>
          <w:sz w:val="24"/>
          <w:szCs w:val="24"/>
        </w:rPr>
        <w:t>Попечителите на Фондацията за МСФО се назначават за срок от три години, който може да бъде подновен веднъж, и трябва да се ангажират да действат в обществен интерес. По принцип попечител и член на Контролния съвет не може да бъдат служители в една и съща организация.</w:t>
      </w:r>
    </w:p>
    <w:p w14:paraId="2EF3C370" w14:textId="0E75152D" w:rsidR="00DC1D59" w:rsidRPr="00F03589" w:rsidRDefault="00B846C5" w:rsidP="00DC1D59">
      <w:pPr>
        <w:jc w:val="both"/>
        <w:rPr>
          <w:rFonts w:asciiTheme="majorBidi" w:hAnsiTheme="majorBidi" w:cstheme="majorBidi"/>
          <w:noProof/>
          <w:sz w:val="24"/>
          <w:szCs w:val="24"/>
        </w:rPr>
      </w:pPr>
      <w:r w:rsidRPr="00F03589">
        <w:rPr>
          <w:rFonts w:asciiTheme="majorBidi" w:hAnsiTheme="majorBidi" w:cstheme="majorBidi"/>
          <w:noProof/>
          <w:sz w:val="24"/>
          <w:szCs w:val="24"/>
        </w:rPr>
        <w:t>Всички членове на СМСС са на пълно работно време и трябва да прекъснат всички трудови правоотношения и връзки, които биха могли да засегнат тяхната независимост. Не са разрешени нито командироване от работодателя, нито права за възстановяване на работа при бившия работодател.</w:t>
      </w:r>
    </w:p>
    <w:p w14:paraId="589D7D6C" w14:textId="77777777" w:rsidR="00DC1D59" w:rsidRPr="00F03589" w:rsidRDefault="00DC1D59" w:rsidP="00DC1D59">
      <w:pPr>
        <w:pStyle w:val="ManualHeading1"/>
        <w:rPr>
          <w:rFonts w:asciiTheme="majorBidi" w:hAnsiTheme="majorBidi" w:cstheme="majorBidi"/>
          <w:noProof/>
          <w:szCs w:val="24"/>
        </w:rPr>
      </w:pPr>
      <w:r w:rsidRPr="00F03589">
        <w:rPr>
          <w:rFonts w:asciiTheme="majorBidi" w:hAnsiTheme="majorBidi" w:cstheme="majorBidi"/>
          <w:noProof/>
          <w:szCs w:val="24"/>
        </w:rPr>
        <w:t>2.3.4.</w:t>
      </w:r>
      <w:r w:rsidRPr="00F03589">
        <w:rPr>
          <w:rFonts w:asciiTheme="majorBidi" w:hAnsiTheme="majorBidi" w:cstheme="majorBidi"/>
          <w:noProof/>
          <w:szCs w:val="24"/>
        </w:rPr>
        <w:tab/>
        <w:t>Разпределение на финансирането</w:t>
      </w:r>
    </w:p>
    <w:p w14:paraId="2CE17AFE" w14:textId="5E269101" w:rsidR="00DC1D59" w:rsidRPr="00F03589" w:rsidRDefault="00DC1D59" w:rsidP="00DC1D59">
      <w:pPr>
        <w:spacing w:before="120" w:after="120"/>
        <w:jc w:val="both"/>
        <w:rPr>
          <w:rFonts w:asciiTheme="majorBidi" w:hAnsiTheme="majorBidi" w:cstheme="majorBidi"/>
          <w:noProof/>
          <w:sz w:val="24"/>
          <w:szCs w:val="24"/>
        </w:rPr>
      </w:pPr>
      <w:r w:rsidRPr="00F03589">
        <w:rPr>
          <w:rFonts w:asciiTheme="majorBidi" w:hAnsiTheme="majorBidi" w:cstheme="majorBidi"/>
          <w:noProof/>
          <w:sz w:val="24"/>
          <w:szCs w:val="24"/>
        </w:rPr>
        <w:t>През 2022 г. Фондацията за МСФО получи от Комисията безвъзмездни средства в размер на 3,85 млн. евро за дейности, свързани със СМСС, което представлява 19,4 % от общия размер на получените вноски, предназначени за дейности, свързани със СМСС. Комисията продължи да бъде най-големият вносител, въпреки че относителният дял на финансирането от Комисията и държавите членки намаля в сравнение с 2021 г. (от 36,5 % на 34,4 %).</w:t>
      </w:r>
    </w:p>
    <w:p w14:paraId="6138252F" w14:textId="636B6C74" w:rsidR="00DC1D59" w:rsidRPr="00F03589" w:rsidRDefault="00DC1D59" w:rsidP="00DC1D59">
      <w:pPr>
        <w:spacing w:before="120" w:after="120"/>
        <w:jc w:val="both"/>
        <w:rPr>
          <w:rFonts w:asciiTheme="majorBidi" w:hAnsiTheme="majorBidi" w:cstheme="majorBidi"/>
          <w:noProof/>
          <w:sz w:val="24"/>
          <w:szCs w:val="24"/>
        </w:rPr>
      </w:pPr>
      <w:r w:rsidRPr="00F03589">
        <w:rPr>
          <w:rFonts w:asciiTheme="majorBidi" w:hAnsiTheme="majorBidi" w:cstheme="majorBidi"/>
          <w:noProof/>
          <w:sz w:val="24"/>
          <w:szCs w:val="24"/>
        </w:rPr>
        <w:t>Разпределението на данните за финансирането за дейности, свързани със СМСС, по основни географски райони и международни счетоводни мрежи показва, че ЕС и неговите държави членки са направили 34,4 % от общите вноски, Азия и Океания ― 35,1 %, международните счетоводни мрежи ― 14,7 %, Америка ― 5,7 %, Африка ― 0 % и други ― 10,1 %.</w:t>
      </w:r>
    </w:p>
    <w:p w14:paraId="41F75DC8" w14:textId="17058192" w:rsidR="00DC1D59" w:rsidRPr="00F03589" w:rsidRDefault="00DC1D59" w:rsidP="00DC1D59">
      <w:pPr>
        <w:spacing w:before="120" w:after="120"/>
        <w:jc w:val="both"/>
        <w:rPr>
          <w:rFonts w:asciiTheme="majorBidi" w:hAnsiTheme="majorBidi" w:cstheme="majorBidi"/>
          <w:noProof/>
          <w:sz w:val="24"/>
          <w:szCs w:val="24"/>
        </w:rPr>
      </w:pPr>
      <w:r w:rsidRPr="00F03589">
        <w:rPr>
          <w:rFonts w:asciiTheme="majorBidi" w:hAnsiTheme="majorBidi" w:cstheme="majorBidi"/>
          <w:noProof/>
          <w:sz w:val="24"/>
          <w:szCs w:val="24"/>
        </w:rPr>
        <w:t>Низходящата тенденция във вноските за Фондацията за МСФО за дейности, свързани със СМСС, през последните години продължава и през 2022 г. Отчетените вноски са намалели слабо с 1,6 % (270 000 GBP) като цяло, но със значителни разлики между отделните вносители. Намалението се основава главно на намаление с 13 % на финансирането с безвъзмездни средства от страна на Комисията и спиране на прякото финансиране от Норвегия и Русия.</w:t>
      </w:r>
    </w:p>
    <w:p w14:paraId="49D5961A" w14:textId="5058038E" w:rsidR="00DC1D59" w:rsidRPr="00F03589" w:rsidRDefault="00DC1D59" w:rsidP="00DC1D59">
      <w:pPr>
        <w:jc w:val="both"/>
        <w:rPr>
          <w:rFonts w:asciiTheme="majorBidi" w:hAnsiTheme="majorBidi" w:cstheme="majorBidi"/>
          <w:noProof/>
          <w:sz w:val="24"/>
          <w:szCs w:val="24"/>
        </w:rPr>
      </w:pPr>
      <w:bookmarkStart w:id="2" w:name="_Hlk134180310"/>
      <w:r w:rsidRPr="00F03589">
        <w:rPr>
          <w:rFonts w:asciiTheme="majorBidi" w:hAnsiTheme="majorBidi" w:cstheme="majorBidi"/>
          <w:noProof/>
          <w:sz w:val="24"/>
          <w:szCs w:val="24"/>
        </w:rPr>
        <w:t>Общият натрупан излишък на Фондацията за МСФО към 31 декември 2022 г. възлиза на 49 млн. британски лири. Увеличението на задържания излишък от 8,29 млн. GBP през 2022 г. се дължи до голяма степен на паричните средства, получени като част от консолидирането с Фондацията за отчитане на стойността (VRF)</w:t>
      </w:r>
      <w:r w:rsidRPr="00F03589">
        <w:rPr>
          <w:rStyle w:val="FootnoteReference"/>
          <w:rFonts w:asciiTheme="majorBidi" w:hAnsiTheme="majorBidi" w:cstheme="majorBidi"/>
          <w:noProof/>
          <w:sz w:val="24"/>
          <w:szCs w:val="24"/>
          <w:lang w:val="en-GB" w:eastAsia="en-GB"/>
        </w:rPr>
        <w:footnoteReference w:id="10"/>
      </w:r>
      <w:r w:rsidRPr="00F03589">
        <w:rPr>
          <w:rFonts w:asciiTheme="majorBidi" w:hAnsiTheme="majorBidi" w:cstheme="majorBidi"/>
          <w:noProof/>
          <w:sz w:val="24"/>
          <w:szCs w:val="24"/>
        </w:rPr>
        <w:t xml:space="preserve">. </w:t>
      </w:r>
    </w:p>
    <w:bookmarkEnd w:id="2"/>
    <w:p w14:paraId="21EC321F" w14:textId="77777777" w:rsidR="00DC1D59" w:rsidRPr="00F03589" w:rsidRDefault="00DC1D59" w:rsidP="00DC1D59">
      <w:pPr>
        <w:pStyle w:val="ManualHeading1"/>
        <w:rPr>
          <w:rFonts w:asciiTheme="majorBidi" w:hAnsiTheme="majorBidi" w:cstheme="majorBidi"/>
          <w:noProof/>
          <w:szCs w:val="24"/>
        </w:rPr>
      </w:pPr>
      <w:r w:rsidRPr="00F03589">
        <w:rPr>
          <w:rFonts w:asciiTheme="majorBidi" w:hAnsiTheme="majorBidi" w:cstheme="majorBidi"/>
          <w:noProof/>
          <w:szCs w:val="24"/>
        </w:rPr>
        <w:t>3.</w:t>
      </w:r>
      <w:r w:rsidRPr="00F03589">
        <w:rPr>
          <w:rFonts w:asciiTheme="majorBidi" w:hAnsiTheme="majorBidi" w:cstheme="majorBidi"/>
          <w:noProof/>
          <w:szCs w:val="24"/>
        </w:rPr>
        <w:tab/>
        <w:t>ЕКГФО</w:t>
      </w:r>
    </w:p>
    <w:p w14:paraId="04B60F01" w14:textId="046CFD3A" w:rsidR="007F5618" w:rsidRPr="00F03589" w:rsidRDefault="00DC1D59" w:rsidP="007F5618">
      <w:pPr>
        <w:pStyle w:val="ManualHeading1"/>
        <w:spacing w:after="240"/>
        <w:rPr>
          <w:rFonts w:asciiTheme="majorBidi" w:hAnsiTheme="majorBidi" w:cstheme="majorBidi"/>
          <w:noProof/>
          <w:szCs w:val="24"/>
        </w:rPr>
      </w:pPr>
      <w:r w:rsidRPr="00F03589">
        <w:rPr>
          <w:rFonts w:asciiTheme="majorBidi" w:hAnsiTheme="majorBidi" w:cstheme="majorBidi"/>
          <w:noProof/>
          <w:szCs w:val="24"/>
        </w:rPr>
        <w:t>3.1.</w:t>
      </w:r>
      <w:r w:rsidRPr="00F03589">
        <w:rPr>
          <w:rFonts w:asciiTheme="majorBidi" w:hAnsiTheme="majorBidi" w:cstheme="majorBidi"/>
          <w:noProof/>
          <w:szCs w:val="24"/>
        </w:rPr>
        <w:tab/>
        <w:t>Управление</w:t>
      </w:r>
    </w:p>
    <w:p w14:paraId="7763FF9D" w14:textId="03A2F110" w:rsidR="007F5618" w:rsidRPr="00F03589" w:rsidRDefault="00DC1D59" w:rsidP="000C0687">
      <w:pPr>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ЕКГФО е публично и частно финансирана организация, работеща в европейския обществен интерес, а правната ѝ форма е AISBL (белгийска международна организация с нестопанска цел). От 2022 г. насам ЕКГФО има двойна мисия. </w:t>
      </w:r>
    </w:p>
    <w:p w14:paraId="07CB4226" w14:textId="0012EF58" w:rsidR="007F5618" w:rsidRPr="00F03589" w:rsidRDefault="007F5618" w:rsidP="000C0687">
      <w:pPr>
        <w:jc w:val="both"/>
        <w:rPr>
          <w:rFonts w:asciiTheme="majorBidi" w:hAnsiTheme="majorBidi" w:cstheme="majorBidi"/>
          <w:noProof/>
          <w:sz w:val="24"/>
          <w:szCs w:val="24"/>
        </w:rPr>
      </w:pPr>
      <w:r w:rsidRPr="00F03589">
        <w:rPr>
          <w:rFonts w:asciiTheme="majorBidi" w:hAnsiTheme="majorBidi" w:cstheme="majorBidi"/>
          <w:noProof/>
          <w:sz w:val="24"/>
          <w:szCs w:val="24"/>
        </w:rPr>
        <w:t>В областта на финансовото отчитане мисията на ЕКГФО е да служи на европейския обществен интерес, като разработва и популяризира европейските виждания в областта на финансовото отчитане, както и да гарантира, че тези виждания се вземат надлежно предвид в процеса на определяне на стандартите от СМСС и при свързаните с него международни обсъждания. ЕКГФО предоставя съвети на Комисията относно това дали новите (или преразгледаните) МСФО следва да бъдат одобрени от ЕС въз основа на критериите на Регламента за МСС</w:t>
      </w:r>
      <w:r w:rsidRPr="00F03589">
        <w:rPr>
          <w:rStyle w:val="FootnoteReference"/>
          <w:rFonts w:asciiTheme="majorBidi" w:hAnsiTheme="majorBidi" w:cstheme="majorBidi"/>
          <w:noProof/>
          <w:sz w:val="24"/>
          <w:szCs w:val="24"/>
          <w:lang w:val="en-GB"/>
        </w:rPr>
        <w:footnoteReference w:id="11"/>
      </w:r>
      <w:r w:rsidRPr="00F03589">
        <w:rPr>
          <w:rFonts w:asciiTheme="majorBidi" w:hAnsiTheme="majorBidi" w:cstheme="majorBidi"/>
          <w:noProof/>
          <w:sz w:val="24"/>
          <w:szCs w:val="24"/>
        </w:rPr>
        <w:t xml:space="preserve">, в това число и въз основа на принципа за вярно и честно представяне, както и дали ще допринасят за европейското обществено благо. Наред с това ЕКГФО извършва и проактивна научноизследователска дейност в областта на счетоводството. </w:t>
      </w:r>
    </w:p>
    <w:p w14:paraId="1488CCB4" w14:textId="78F334A1" w:rsidR="00637757" w:rsidRPr="00F03589" w:rsidRDefault="007F5618" w:rsidP="00637757">
      <w:pPr>
        <w:jc w:val="both"/>
        <w:rPr>
          <w:rFonts w:asciiTheme="majorBidi" w:hAnsiTheme="majorBidi" w:cstheme="majorBidi"/>
          <w:noProof/>
          <w:sz w:val="24"/>
          <w:szCs w:val="24"/>
        </w:rPr>
      </w:pPr>
      <w:r w:rsidRPr="00F03589">
        <w:rPr>
          <w:rFonts w:asciiTheme="majorBidi" w:hAnsiTheme="majorBidi" w:cstheme="majorBidi"/>
          <w:noProof/>
          <w:sz w:val="24"/>
          <w:szCs w:val="24"/>
        </w:rPr>
        <w:t>През 2022 г. по искане на комисар Макгинес от май 2021 г.</w:t>
      </w:r>
      <w:r w:rsidRPr="00F03589">
        <w:rPr>
          <w:rFonts w:asciiTheme="majorBidi" w:hAnsiTheme="majorBidi" w:cstheme="majorBidi"/>
          <w:noProof/>
          <w:sz w:val="24"/>
          <w:szCs w:val="24"/>
          <w:vertAlign w:val="superscript"/>
          <w:lang w:val="en-GB" w:eastAsia="en-GB"/>
        </w:rPr>
        <w:footnoteReference w:id="12"/>
      </w:r>
      <w:r w:rsidRPr="00F03589">
        <w:rPr>
          <w:rFonts w:asciiTheme="majorBidi" w:hAnsiTheme="majorBidi" w:cstheme="majorBidi"/>
          <w:noProof/>
          <w:sz w:val="24"/>
          <w:szCs w:val="24"/>
        </w:rPr>
        <w:t xml:space="preserve"> ЕКГФО измени своята организационна и управленска структура въз основа на препоръката на председателя на Съвета на ЕКГФО. ЕКГФО създаде стълб на финансовото отчитане, продължаващ първоначалния мандат на ЕКГФО, и стълб на отчитането във връзка с устойчивостта с цел разработване на проекти на европейски стандарти за отчитане във връзка с устойчивостта (ЕСОУ) като технически съвет към Европейската комисия с оглед на приемането им като делегирани актове от Комисията. Що се отнася до стълба за финансово отчитане, организациите, членуващи в ЕКГФО, включват осем европейски организации на заинтересованите страни, предимно промишлени асоциации и сдружения на инвеститори, и десет национални организации за определяне на счетоводни стандарти. </w:t>
      </w:r>
    </w:p>
    <w:p w14:paraId="79815A6B" w14:textId="1D7B84DD" w:rsidR="00FE3A1D" w:rsidRPr="00F03589" w:rsidRDefault="001823D5" w:rsidP="00FE3A1D">
      <w:pPr>
        <w:jc w:val="both"/>
        <w:rPr>
          <w:rFonts w:asciiTheme="majorBidi" w:hAnsiTheme="majorBidi" w:cstheme="majorBidi"/>
          <w:noProof/>
          <w:sz w:val="24"/>
          <w:szCs w:val="24"/>
        </w:rPr>
      </w:pPr>
      <w:r w:rsidRPr="00F03589">
        <w:rPr>
          <w:rFonts w:asciiTheme="majorBidi" w:hAnsiTheme="majorBidi" w:cstheme="majorBidi"/>
          <w:noProof/>
          <w:sz w:val="24"/>
          <w:szCs w:val="24"/>
        </w:rPr>
        <w:t>С новия стълб на отчитането във връзка с устойчивостта ЕКГФО разшири членската си база за отчитане във връзка с устойчивостта с три допълнителни европейски организации на заинтересовани страни и единадесет членове от организации на гражданското общество, включително НПО, профсъюзи, академични и потребителски организации.</w:t>
      </w:r>
    </w:p>
    <w:p w14:paraId="648CEEDF" w14:textId="70750229" w:rsidR="00F57CB5" w:rsidRPr="00F03589" w:rsidRDefault="001C6BEC" w:rsidP="00023EB0">
      <w:pPr>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След публични покани за кандидати и прозрачен процес на подбор, на 13 април 2022 г. ЕКГФО създаде Съвета по отчитане във връзка с устойчивостта (СОУ), а на 25 април 2022 г. — Техническата експертна група на ЕКГФО по отчитане във връзка с устойчивостта (ТЕГОУ). Предишният Съвет на ЕКГФО стана Съвет по финансова отчетност (СФО), а бившата ТЕГ на ЕКГФО стана Техническа експертна група по финансово отчитане (ТЕГФО). </w:t>
      </w:r>
    </w:p>
    <w:p w14:paraId="180FDF8C" w14:textId="44B030E1" w:rsidR="00780C65" w:rsidRPr="00F03589" w:rsidRDefault="00780C65" w:rsidP="00023EB0">
      <w:pPr>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На 15 ноември 2022 г. ЕКГФО назначи г-н Wolf Klinz, бивш член на ЕП, за председател на СФО, и г-н Patrick de Cambourg за председател на СОУ,  номинирани от Комисията след консултация с Европейския парламент и Съвета. Г-н Hans Buysse пое от г-н Gauzes поста на  председател на Административния съвет на ЕКГФО. </w:t>
      </w:r>
    </w:p>
    <w:p w14:paraId="6C61D4A2" w14:textId="7149B146" w:rsidR="001C6BEC" w:rsidRPr="00F03589" w:rsidRDefault="00341855" w:rsidP="00DC1D59">
      <w:pPr>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Уставът и вътрешните правила на ЕКГФО предвиждат, че Административният съвет на ЕКГФО отговаря за надзора върху всички технически органи на ЕКГФО, що се отнася до прилагането на процедурите за надлежна проверка. За тази цел той се подпомага от Комитет по надлежна проверка (КНП). КНП на ЕКГФО започна дейността си през март 2022 г. като част от новата структура на управление, основана на два стълба. </w:t>
      </w:r>
    </w:p>
    <w:p w14:paraId="3322BB0C" w14:textId="6E401459" w:rsidR="001528B3" w:rsidRPr="00F03589" w:rsidRDefault="001528B3" w:rsidP="00DC1D59">
      <w:pPr>
        <w:jc w:val="both"/>
        <w:rPr>
          <w:rFonts w:asciiTheme="majorBidi" w:hAnsiTheme="majorBidi" w:cstheme="majorBidi"/>
          <w:noProof/>
          <w:sz w:val="24"/>
          <w:szCs w:val="24"/>
        </w:rPr>
      </w:pPr>
      <w:r w:rsidRPr="00F03589">
        <w:rPr>
          <w:rFonts w:asciiTheme="majorBidi" w:hAnsiTheme="majorBidi" w:cstheme="majorBidi"/>
          <w:noProof/>
          <w:sz w:val="24"/>
          <w:szCs w:val="24"/>
        </w:rPr>
        <w:t>През декември 2022 г. с Директивата за отчитането на предприятията във връзка с устойчивостта</w:t>
      </w:r>
      <w:r w:rsidRPr="00F03589">
        <w:rPr>
          <w:rStyle w:val="FootnoteReference"/>
          <w:rFonts w:asciiTheme="majorBidi" w:hAnsiTheme="majorBidi" w:cstheme="majorBidi"/>
          <w:noProof/>
          <w:sz w:val="24"/>
          <w:szCs w:val="24"/>
          <w:lang w:val="en-GB" w:eastAsia="en-GB"/>
        </w:rPr>
        <w:footnoteReference w:id="13"/>
      </w:r>
      <w:r w:rsidRPr="00F03589">
        <w:rPr>
          <w:rFonts w:asciiTheme="majorBidi" w:hAnsiTheme="majorBidi" w:cstheme="majorBidi"/>
          <w:noProof/>
          <w:sz w:val="24"/>
          <w:szCs w:val="24"/>
        </w:rPr>
        <w:t xml:space="preserve"> на ЕКГФО бе възложена задачата да предоставя технически съвети относно европейските стандарти за отчитането във връзка с устойчивостта (ЕСОУ). При разработването на проектите на ЕСОУ ЕКГФО следва да осигури съгласуваност тези проекти с други международни органи, определящи стандарти, по-специално СМСОУ и ГИО (Глобалната инициатива за отчитане). </w:t>
      </w:r>
    </w:p>
    <w:p w14:paraId="4F2B5C87" w14:textId="756599CF" w:rsidR="00DC1D59" w:rsidRPr="00F03589" w:rsidRDefault="00DC1D59" w:rsidP="00DC1D59">
      <w:pPr>
        <w:pStyle w:val="ManualHeading1"/>
        <w:rPr>
          <w:rFonts w:asciiTheme="majorBidi" w:hAnsiTheme="majorBidi" w:cstheme="majorBidi"/>
          <w:noProof/>
          <w:szCs w:val="24"/>
        </w:rPr>
      </w:pPr>
      <w:r w:rsidRPr="00F03589">
        <w:rPr>
          <w:rFonts w:asciiTheme="majorBidi" w:hAnsiTheme="majorBidi" w:cstheme="majorBidi"/>
          <w:noProof/>
          <w:szCs w:val="24"/>
        </w:rPr>
        <w:t>3.2</w:t>
      </w:r>
      <w:r w:rsidRPr="00F03589">
        <w:rPr>
          <w:rFonts w:asciiTheme="majorBidi" w:hAnsiTheme="majorBidi" w:cstheme="majorBidi"/>
          <w:noProof/>
          <w:szCs w:val="24"/>
        </w:rPr>
        <w:tab/>
        <w:t>Стълб за финансово отчитане</w:t>
      </w:r>
    </w:p>
    <w:p w14:paraId="4D897D5C" w14:textId="55CA89C4" w:rsidR="00DC1D59" w:rsidRPr="00F03589" w:rsidRDefault="00DC1D59" w:rsidP="00DC1D59">
      <w:pPr>
        <w:pStyle w:val="ManualHeading1"/>
        <w:rPr>
          <w:rFonts w:asciiTheme="majorBidi" w:hAnsiTheme="majorBidi" w:cstheme="majorBidi"/>
          <w:noProof/>
          <w:szCs w:val="24"/>
        </w:rPr>
      </w:pPr>
      <w:r w:rsidRPr="00F03589">
        <w:rPr>
          <w:rFonts w:asciiTheme="majorBidi" w:hAnsiTheme="majorBidi" w:cstheme="majorBidi"/>
          <w:noProof/>
          <w:szCs w:val="24"/>
        </w:rPr>
        <w:t>3.2.1.</w:t>
      </w:r>
      <w:r w:rsidRPr="00F03589">
        <w:rPr>
          <w:rFonts w:asciiTheme="majorBidi" w:hAnsiTheme="majorBidi" w:cstheme="majorBidi"/>
          <w:noProof/>
          <w:szCs w:val="24"/>
        </w:rPr>
        <w:tab/>
        <w:t>Дейности, свързани с одобрението на стандартите, и научноизследователски дейности</w:t>
      </w:r>
    </w:p>
    <w:p w14:paraId="39B04E9B" w14:textId="5DD65F65" w:rsidR="000E75D8" w:rsidRPr="00F03589" w:rsidRDefault="00DC1D59" w:rsidP="00E30127">
      <w:pPr>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През 2022 г. работата на ЕКГФО по финансовото отчитане продължи да бъде ръководена до голяма степен от работната програма на СМСС, Комитета за разяснения на МСФО и Фондацията за МСФО. </w:t>
      </w:r>
    </w:p>
    <w:p w14:paraId="33485E3B" w14:textId="086BDECC" w:rsidR="000E75D8" w:rsidRPr="00F03589" w:rsidRDefault="000E75D8" w:rsidP="00E30127">
      <w:pPr>
        <w:jc w:val="both"/>
        <w:rPr>
          <w:rFonts w:asciiTheme="majorBidi" w:hAnsiTheme="majorBidi" w:cstheme="majorBidi"/>
          <w:noProof/>
          <w:sz w:val="24"/>
          <w:szCs w:val="24"/>
        </w:rPr>
      </w:pPr>
      <w:r w:rsidRPr="00F03589">
        <w:rPr>
          <w:rFonts w:asciiTheme="majorBidi" w:hAnsiTheme="majorBidi" w:cstheme="majorBidi"/>
          <w:noProof/>
          <w:sz w:val="24"/>
          <w:szCs w:val="24"/>
        </w:rPr>
        <w:t>Преди ЕКГФО да издаде окончателно становище за одобрение на нов МСФО или за изменения на съществуващ МСФО, приет от СМСС, ЕКГФО издава (проект на) писма с коментари до СМСС и изпраща проектостановище за одобрение до Комисията. Тези надеждни процедури по надлежна проверка позволяват на заинтересованите страни да изразят мнението си относно позициите на ЕКГФО.</w:t>
      </w:r>
    </w:p>
    <w:p w14:paraId="372A9247" w14:textId="6C60BF67" w:rsidR="00075B17" w:rsidRPr="00F03589" w:rsidRDefault="00DC1D59" w:rsidP="00E30127">
      <w:pPr>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Що се отнася до резултатите, през 2022 г. ЕКГФО издаде едно окончателно становище относно изменението на МСФО 17 </w:t>
      </w:r>
      <w:r w:rsidRPr="00F03589">
        <w:rPr>
          <w:rFonts w:asciiTheme="majorBidi" w:hAnsiTheme="majorBidi" w:cstheme="majorBidi"/>
          <w:i/>
          <w:iCs/>
          <w:noProof/>
          <w:sz w:val="24"/>
          <w:szCs w:val="24"/>
        </w:rPr>
        <w:t>Застрахователни договори</w:t>
      </w:r>
      <w:r w:rsidRPr="00F03589">
        <w:rPr>
          <w:rFonts w:asciiTheme="majorBidi" w:hAnsiTheme="majorBidi" w:cstheme="majorBidi"/>
          <w:noProof/>
          <w:sz w:val="24"/>
          <w:szCs w:val="24"/>
        </w:rPr>
        <w:t xml:space="preserve"> и МСФО 9 </w:t>
      </w:r>
      <w:r w:rsidRPr="00F03589">
        <w:rPr>
          <w:rFonts w:asciiTheme="majorBidi" w:hAnsiTheme="majorBidi" w:cstheme="majorBidi"/>
          <w:i/>
          <w:iCs/>
          <w:noProof/>
          <w:sz w:val="24"/>
          <w:szCs w:val="24"/>
        </w:rPr>
        <w:t>Финансови инструменти</w:t>
      </w:r>
      <w:r w:rsidRPr="00F03589">
        <w:rPr>
          <w:rFonts w:asciiTheme="majorBidi" w:hAnsiTheme="majorBidi" w:cstheme="majorBidi"/>
          <w:noProof/>
          <w:sz w:val="24"/>
          <w:szCs w:val="24"/>
        </w:rPr>
        <w:t xml:space="preserve"> „Сравнителна информация“, два проекта на становище относно измененията на МСФО 16 </w:t>
      </w:r>
      <w:r w:rsidRPr="00F03589">
        <w:rPr>
          <w:rFonts w:asciiTheme="majorBidi" w:hAnsiTheme="majorBidi" w:cstheme="majorBidi"/>
          <w:i/>
          <w:iCs/>
          <w:noProof/>
          <w:sz w:val="24"/>
          <w:szCs w:val="24"/>
        </w:rPr>
        <w:t>Лизинг</w:t>
      </w:r>
      <w:r w:rsidRPr="00F03589">
        <w:rPr>
          <w:rFonts w:asciiTheme="majorBidi" w:hAnsiTheme="majorBidi" w:cstheme="majorBidi"/>
          <w:noProof/>
          <w:sz w:val="24"/>
          <w:szCs w:val="24"/>
        </w:rPr>
        <w:t xml:space="preserve"> „Пасив по лизинг при продажба с обратен лизинг“ и относно измененията на МСС 1 </w:t>
      </w:r>
      <w:r w:rsidRPr="00F03589">
        <w:rPr>
          <w:rFonts w:asciiTheme="majorBidi" w:hAnsiTheme="majorBidi" w:cstheme="majorBidi"/>
          <w:i/>
          <w:iCs/>
          <w:noProof/>
          <w:sz w:val="24"/>
          <w:szCs w:val="24"/>
        </w:rPr>
        <w:t>Представяне на финансови отчети</w:t>
      </w:r>
      <w:r w:rsidRPr="00F03589">
        <w:rPr>
          <w:rFonts w:asciiTheme="majorBidi" w:hAnsiTheme="majorBidi" w:cstheme="majorBidi"/>
          <w:noProof/>
          <w:sz w:val="24"/>
          <w:szCs w:val="24"/>
        </w:rPr>
        <w:t xml:space="preserve"> „Нетекущи пасиви с договорни клаузи“.</w:t>
      </w:r>
    </w:p>
    <w:p w14:paraId="4BB2E0D1" w14:textId="5DF24CEA" w:rsidR="00CF17F8" w:rsidRPr="00F03589" w:rsidRDefault="00075B17" w:rsidP="00E30127">
      <w:pPr>
        <w:jc w:val="both"/>
        <w:rPr>
          <w:rFonts w:asciiTheme="majorBidi" w:hAnsiTheme="majorBidi" w:cstheme="majorBidi"/>
          <w:noProof/>
          <w:sz w:val="24"/>
          <w:szCs w:val="24"/>
        </w:rPr>
      </w:pPr>
      <w:r w:rsidRPr="00F03589">
        <w:rPr>
          <w:rFonts w:asciiTheme="majorBidi" w:hAnsiTheme="majorBidi" w:cstheme="majorBidi"/>
          <w:noProof/>
          <w:sz w:val="24"/>
          <w:szCs w:val="24"/>
        </w:rPr>
        <w:t>Освен това СФО на ЕКГФО издаде пет окончателни писма с коментари и 7 справки за обратна връзка, а също така публикува проучвания относно счетоводното отчитане на криптоактивите и по-добрата информация за нематериалните активи.</w:t>
      </w:r>
    </w:p>
    <w:p w14:paraId="35C72FCD" w14:textId="630FFA39" w:rsidR="00075B17" w:rsidRPr="00F03589" w:rsidRDefault="000E75D8" w:rsidP="00075B17">
      <w:pPr>
        <w:jc w:val="both"/>
        <w:rPr>
          <w:rFonts w:asciiTheme="majorBidi" w:hAnsiTheme="majorBidi" w:cstheme="majorBidi"/>
          <w:noProof/>
          <w:sz w:val="24"/>
          <w:szCs w:val="24"/>
        </w:rPr>
      </w:pPr>
      <w:r w:rsidRPr="00F03589">
        <w:rPr>
          <w:rFonts w:asciiTheme="majorBidi" w:hAnsiTheme="majorBidi" w:cstheme="majorBidi"/>
          <w:noProof/>
          <w:sz w:val="24"/>
          <w:szCs w:val="24"/>
        </w:rPr>
        <w:t>ЕКГФО също така следеше отблизо важни текущи проекти на СМСС, които се очаква да доведат до определяне на стандарти на СМСС, изискващи одобрение от ЕС през 2024 г. или 2025 г. Тези проекти включват първични финансови отчети, счетоводно отчитане на регулаторни активи и регулаторни пасиви, оповестявания на бизнес комбинации, както и финансови инструменти с капиталови характеристики. През 2022 г. ЕКГФО организира обширни информационни дейности и кръгли маси, за да установи дали и как СМСС счита, че счетоводното третиране би функционирало за европейските участници или би създало предизвикателства пред прилагането.  Впоследствие ЕКГФО информира СМСС за проблемите, пред които са изправени европейските заинтересовани страни.</w:t>
      </w:r>
    </w:p>
    <w:p w14:paraId="00663DC7" w14:textId="0AF240E1" w:rsidR="007D647C" w:rsidRPr="00F03589" w:rsidRDefault="00C80D48" w:rsidP="007D647C">
      <w:pPr>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Като заслуга за добра репутация ЕКГФО получи председателството на Международния форум на организациите, определящи счетоводни стандарти (МФООСС) (известни </w:t>
      </w:r>
      <w:r w:rsidR="00F03589" w:rsidRPr="00F03589">
        <w:rPr>
          <w:rFonts w:asciiTheme="majorBidi" w:hAnsiTheme="majorBidi" w:cstheme="majorBidi"/>
          <w:noProof/>
          <w:sz w:val="24"/>
          <w:szCs w:val="24"/>
        </w:rPr>
        <w:t>преди</w:t>
      </w:r>
      <w:r w:rsidRPr="00F03589">
        <w:rPr>
          <w:rFonts w:asciiTheme="majorBidi" w:hAnsiTheme="majorBidi" w:cstheme="majorBidi"/>
          <w:noProof/>
          <w:sz w:val="24"/>
          <w:szCs w:val="24"/>
        </w:rPr>
        <w:t xml:space="preserve"> като организации, определящи национални счетоводни стандарти). МФООСС е група от национални органи, определящи счетоводни стандарти, от цял свят, която включва и други организации, ангажирани тясно с въпроси от областта на корпоративната отчетност.</w:t>
      </w:r>
    </w:p>
    <w:p w14:paraId="4629EADD" w14:textId="77777777" w:rsidR="00DC1D59" w:rsidRPr="00F03589" w:rsidRDefault="00DC1D59" w:rsidP="00DC1D59">
      <w:pPr>
        <w:pStyle w:val="NormalWeb"/>
        <w:spacing w:line="276" w:lineRule="auto"/>
        <w:jc w:val="both"/>
        <w:rPr>
          <w:rFonts w:asciiTheme="majorBidi" w:hAnsiTheme="majorBidi" w:cstheme="majorBidi"/>
          <w:noProof/>
        </w:rPr>
      </w:pPr>
      <w:r w:rsidRPr="00F03589">
        <w:rPr>
          <w:rFonts w:asciiTheme="majorBidi" w:hAnsiTheme="majorBidi" w:cstheme="majorBidi"/>
          <w:noProof/>
        </w:rPr>
        <w:t>Посредством академичния си комитет и академичната си мрежа ЕКГФО засили своето сътрудничество с академичните среди.</w:t>
      </w:r>
    </w:p>
    <w:p w14:paraId="5123F5A1" w14:textId="74C0947C" w:rsidR="00DC1D59" w:rsidRPr="00F03589" w:rsidRDefault="00DC1D59" w:rsidP="00DC1D59">
      <w:pPr>
        <w:pStyle w:val="ManualHeading1"/>
        <w:rPr>
          <w:rFonts w:asciiTheme="majorBidi" w:hAnsiTheme="majorBidi" w:cstheme="majorBidi"/>
          <w:noProof/>
          <w:szCs w:val="24"/>
        </w:rPr>
      </w:pPr>
      <w:r w:rsidRPr="00F03589">
        <w:rPr>
          <w:rFonts w:asciiTheme="majorBidi" w:hAnsiTheme="majorBidi" w:cstheme="majorBidi"/>
          <w:noProof/>
          <w:szCs w:val="24"/>
        </w:rPr>
        <w:t>3.2.2.</w:t>
      </w:r>
      <w:r w:rsidRPr="00F03589">
        <w:rPr>
          <w:rFonts w:asciiTheme="majorBidi" w:hAnsiTheme="majorBidi" w:cstheme="majorBidi"/>
          <w:noProof/>
          <w:szCs w:val="24"/>
        </w:rPr>
        <w:tab/>
        <w:t>Стълб на отчитането във връзка с устойчивостта</w:t>
      </w:r>
    </w:p>
    <w:p w14:paraId="0B75CC73" w14:textId="25370AB0" w:rsidR="00FE3A1D" w:rsidRPr="00F03589" w:rsidRDefault="00FE3A1D" w:rsidP="00FE3A1D">
      <w:pPr>
        <w:jc w:val="both"/>
        <w:rPr>
          <w:rFonts w:asciiTheme="majorBidi" w:hAnsiTheme="majorBidi" w:cstheme="majorBidi"/>
          <w:noProof/>
          <w:color w:val="000000" w:themeColor="text1"/>
          <w:sz w:val="24"/>
          <w:szCs w:val="24"/>
        </w:rPr>
      </w:pPr>
      <w:r w:rsidRPr="00F03589">
        <w:rPr>
          <w:rFonts w:asciiTheme="majorBidi" w:hAnsiTheme="majorBidi" w:cstheme="majorBidi"/>
          <w:noProof/>
          <w:sz w:val="24"/>
          <w:szCs w:val="24"/>
        </w:rPr>
        <w:t>На 21 април 2021 г. Комисията прие законодателно предложение за Директива относно отчитането на предприятията във връзка с устойчивостта (ДОПУ) с цел преразглеждане и укрепване на разпоредбите на Директивата относно оповестяването на нефинансова информация</w:t>
      </w:r>
      <w:r w:rsidRPr="00F03589">
        <w:rPr>
          <w:rStyle w:val="FootnoteReference"/>
          <w:rFonts w:asciiTheme="majorBidi" w:hAnsiTheme="majorBidi" w:cstheme="majorBidi"/>
          <w:noProof/>
          <w:sz w:val="24"/>
          <w:szCs w:val="24"/>
          <w:lang w:val="en-GB"/>
        </w:rPr>
        <w:footnoteReference w:id="14"/>
      </w:r>
      <w:r w:rsidRPr="00F03589">
        <w:rPr>
          <w:rFonts w:asciiTheme="majorBidi" w:hAnsiTheme="majorBidi" w:cstheme="majorBidi"/>
          <w:noProof/>
          <w:sz w:val="24"/>
          <w:szCs w:val="24"/>
        </w:rPr>
        <w:t xml:space="preserve">. Предложението е ключова инициатива от програмата на ЕС за устойчиво финансиране и е важно за постигането на целите на Европейския зелен пакт. В предложението на Комисията, по което Европейският парламент и Съветът постигнаха политическо съгласие на 21 юни 2022 г., се предвиждаше ЕСОУ да бъдат приети като делегирани актове от Европейската комисия, като се вземат предвид проектите на ЕСОУ, разработени от ЕКГФО като технически съвет, </w:t>
      </w:r>
      <w:r w:rsidRPr="00F03589">
        <w:rPr>
          <w:rFonts w:asciiTheme="majorBidi" w:hAnsiTheme="majorBidi" w:cstheme="majorBidi"/>
          <w:noProof/>
          <w:sz w:val="24"/>
          <w:szCs w:val="24"/>
          <w:shd w:val="clear" w:color="auto" w:fill="FFFFFF"/>
        </w:rPr>
        <w:t>като се използват подходяща надлежна проверка, публичен надзор и прозрачност, както и експертният опит на съответните заинтересовани страни</w:t>
      </w:r>
      <w:r w:rsidRPr="00F03589">
        <w:rPr>
          <w:rFonts w:asciiTheme="majorBidi" w:hAnsiTheme="majorBidi" w:cstheme="majorBidi"/>
          <w:noProof/>
          <w:sz w:val="24"/>
          <w:szCs w:val="24"/>
        </w:rPr>
        <w:t xml:space="preserve">. ДОПУ беше приета и публикувана в </w:t>
      </w:r>
      <w:r w:rsidRPr="00F03589">
        <w:rPr>
          <w:rFonts w:asciiTheme="majorBidi" w:hAnsiTheme="majorBidi" w:cstheme="majorBidi"/>
          <w:i/>
          <w:iCs/>
          <w:noProof/>
          <w:sz w:val="24"/>
          <w:szCs w:val="24"/>
        </w:rPr>
        <w:t>Официален вестник</w:t>
      </w:r>
      <w:r w:rsidRPr="00F03589">
        <w:rPr>
          <w:rFonts w:asciiTheme="majorBidi" w:hAnsiTheme="majorBidi" w:cstheme="majorBidi"/>
          <w:noProof/>
          <w:sz w:val="24"/>
          <w:szCs w:val="24"/>
        </w:rPr>
        <w:t xml:space="preserve"> през декември 2022 г</w:t>
      </w:r>
      <w:r w:rsidRPr="00F03589">
        <w:rPr>
          <w:rStyle w:val="FootnoteReference"/>
          <w:rFonts w:asciiTheme="majorBidi" w:hAnsiTheme="majorBidi" w:cstheme="majorBidi"/>
          <w:noProof/>
          <w:sz w:val="24"/>
          <w:szCs w:val="24"/>
          <w:lang w:val="en-GB"/>
        </w:rPr>
        <w:footnoteReference w:id="15"/>
      </w:r>
      <w:r w:rsidRPr="00F03589">
        <w:rPr>
          <w:rFonts w:asciiTheme="majorBidi" w:hAnsiTheme="majorBidi" w:cstheme="majorBidi"/>
          <w:noProof/>
          <w:sz w:val="24"/>
          <w:szCs w:val="24"/>
        </w:rPr>
        <w:t>.</w:t>
      </w:r>
    </w:p>
    <w:p w14:paraId="79203564" w14:textId="4127972D" w:rsidR="00FE3A1D" w:rsidRPr="00F03589" w:rsidRDefault="00FE3A1D" w:rsidP="00DC1D59">
      <w:pPr>
        <w:jc w:val="both"/>
        <w:rPr>
          <w:rFonts w:asciiTheme="majorBidi" w:hAnsiTheme="majorBidi" w:cstheme="majorBidi"/>
          <w:noProof/>
          <w:sz w:val="24"/>
          <w:szCs w:val="24"/>
        </w:rPr>
      </w:pPr>
      <w:r w:rsidRPr="00F03589">
        <w:rPr>
          <w:rFonts w:asciiTheme="majorBidi" w:hAnsiTheme="majorBidi" w:cstheme="majorBidi"/>
          <w:noProof/>
          <w:sz w:val="24"/>
          <w:szCs w:val="24"/>
        </w:rPr>
        <w:t>Работната група по проектите за европейски стандарти за отчитане във връзка с устойчивостта започна работа през 2021 г., за да изготви проекти на ЕСОУ. С цел да се спазят сроковете в предложението за ДОПУ работната група по проекта за разработване на стандарти за нефинансово отчитане започна да разработва първоначалния набор от проекти за определяне на ЕСОУ успоредно със законодателните преговори по предложението на Комисията за ДОПУ. Целта беше СОУ на ЕКГФО своевременно да получи проектопредложения, за да се даде възможност за подходяща обществена консултация относно ЕСОУ. На 28 април 2022 г. СОУ на ЕКГФО обяви първия набор от 13 проекта за определяне на ЕСОУ за обществена консултация</w:t>
      </w:r>
      <w:r w:rsidRPr="00F03589">
        <w:rPr>
          <w:rStyle w:val="FootnoteReference"/>
          <w:rFonts w:asciiTheme="majorBidi" w:hAnsiTheme="majorBidi" w:cstheme="majorBidi"/>
          <w:noProof/>
          <w:sz w:val="24"/>
          <w:szCs w:val="24"/>
          <w:lang w:val="en-GB" w:eastAsia="en-GB"/>
        </w:rPr>
        <w:footnoteReference w:id="16"/>
      </w:r>
      <w:r w:rsidRPr="00F03589">
        <w:rPr>
          <w:rFonts w:asciiTheme="majorBidi" w:hAnsiTheme="majorBidi" w:cstheme="majorBidi"/>
          <w:noProof/>
          <w:sz w:val="24"/>
          <w:szCs w:val="24"/>
        </w:rPr>
        <w:t xml:space="preserve">. </w:t>
      </w:r>
    </w:p>
    <w:p w14:paraId="4DA366A8" w14:textId="7059BEE2" w:rsidR="00F74EFC" w:rsidRPr="00F03589" w:rsidRDefault="0043432C" w:rsidP="00F74EFC">
      <w:pPr>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Въз основа на политическото споразумение относно ДОПУ, постигнато през юни 2022 г., СОУ и ТЕГОУ на ЕКГФО работиха усилено за финализирането на проекта на ЕСОУ. Новосъздадените СОУ и ТЕГОУ на ЕКГФО проведоха поредица от интензивни публични срещи и организираха подготвителни кръгли маси и информационни прояви относно проектите на ЕСОУ по време на обществената консултация, която се проведе от 30 април до 8 август 2022 г. </w:t>
      </w:r>
    </w:p>
    <w:p w14:paraId="48A4016E" w14:textId="7A6F2E1F" w:rsidR="00F74EFC" w:rsidRPr="00F03589" w:rsidRDefault="00F74EFC" w:rsidP="00F74EFC">
      <w:pPr>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ЕКГФО получи около 700 отговора на консултацията във връзка с ЕСОУ от 19 държави — членки на ЕС, и държави от ЕИП, като повечето отговори бяха от Франция и Германия. Бяха получени някои отговори от заинтересовани страни извън ЕС, включително Япония и САЩ. След обществената консултация ЕКГФО направи някои важни промени: замяна на подхода на оборимата презумпция с оценка на съществеността за повечето ЕСОУ, заличаване на един хоризонтален ЕСОУ, значително намаляване на броя на изискванията за оповестяване и данните и въвеждане на някои преходни разпоредби във връзка с докладването по веригата за създаване на стойност.  </w:t>
      </w:r>
    </w:p>
    <w:p w14:paraId="7C606258" w14:textId="2A197DEF" w:rsidR="0043432C" w:rsidRPr="00F03589" w:rsidRDefault="001528B3" w:rsidP="00DC1D59">
      <w:pPr>
        <w:jc w:val="both"/>
        <w:rPr>
          <w:rFonts w:asciiTheme="majorBidi" w:hAnsiTheme="majorBidi" w:cstheme="majorBidi"/>
          <w:noProof/>
          <w:sz w:val="24"/>
          <w:szCs w:val="24"/>
        </w:rPr>
      </w:pPr>
      <w:r w:rsidRPr="00F03589">
        <w:rPr>
          <w:rFonts w:asciiTheme="majorBidi" w:hAnsiTheme="majorBidi" w:cstheme="majorBidi"/>
          <w:noProof/>
          <w:sz w:val="24"/>
          <w:szCs w:val="24"/>
        </w:rPr>
        <w:t>На 20 ноември 2022 г. СОУ на ЕКГФО представи на Европейската комисия първия набор от 12 окончателни проекта на ЕСОУ, които Комисията прие на 31 юли 2023 г. след допълнително опростяване, подобрена пропорционалност и допълнително поетапно въвеждане.</w:t>
      </w:r>
    </w:p>
    <w:p w14:paraId="6370203B" w14:textId="0EDB5D12" w:rsidR="0019165F" w:rsidRPr="00F03589" w:rsidRDefault="0019165F" w:rsidP="00425531">
      <w:pPr>
        <w:jc w:val="both"/>
        <w:rPr>
          <w:rFonts w:asciiTheme="majorBidi" w:hAnsiTheme="majorBidi" w:cstheme="majorBidi"/>
          <w:noProof/>
          <w:sz w:val="24"/>
          <w:szCs w:val="24"/>
        </w:rPr>
      </w:pPr>
      <w:r w:rsidRPr="00F03589">
        <w:rPr>
          <w:rFonts w:asciiTheme="majorBidi" w:hAnsiTheme="majorBidi" w:cstheme="majorBidi"/>
          <w:noProof/>
          <w:sz w:val="24"/>
          <w:szCs w:val="24"/>
        </w:rPr>
        <w:t>През ноември 2022 г. ЕКГФО постави началото също така на две работни направления относно стандартите за малките и средните предприятия (МСП). Първото произтича от ДОПУ и е свързано с разработване на опростен стандарт за регистрираните на борсата МСП, малките банки и каптивните застрахователи (наричани общо „РМСП“). Второто работно направление е извън мандата на ДОПУ и беше въведено в отговор на пазарните нужди от стандарт за доброволно отчитане във връзка с устойчивостта за МСП и микросубектите, които не са регистрирани на борсата, за да им се окаже подкрепа във връзка с искания от ЕСУ характер от банки или партньори по веригата за създаване на стойност.</w:t>
      </w:r>
    </w:p>
    <w:p w14:paraId="4A98EB50" w14:textId="3B048EBC" w:rsidR="0019165F" w:rsidRPr="00F03589" w:rsidRDefault="00F97659" w:rsidP="00425531">
      <w:pPr>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Освен това  през ноември 2022 г. екипът на ЕКГФО за цифрово отчитане започна работа по проекта за прилагане на таксономията във формат XBRL. Целта е да се изготви пълна таксономия на ЕСОУ във формат XBRL, която дава възможност за цифрово маркиране на отчетите по ЕСОУ, както и възможност на ползвателите на докладите да използват машинночетими набори от данни от ЕСУ характер, както е предвидено в ДОПУ. </w:t>
      </w:r>
    </w:p>
    <w:p w14:paraId="31B86056" w14:textId="28662E41" w:rsidR="00DC1D59" w:rsidRPr="00F03589" w:rsidRDefault="00DC1D59" w:rsidP="00DC1D59">
      <w:pPr>
        <w:pStyle w:val="ManualHeading1"/>
        <w:spacing w:after="240"/>
        <w:rPr>
          <w:rFonts w:asciiTheme="majorBidi" w:hAnsiTheme="majorBidi" w:cstheme="majorBidi"/>
          <w:noProof/>
          <w:szCs w:val="24"/>
        </w:rPr>
      </w:pPr>
      <w:r w:rsidRPr="00F03589">
        <w:rPr>
          <w:rFonts w:asciiTheme="majorBidi" w:hAnsiTheme="majorBidi" w:cstheme="majorBidi"/>
          <w:noProof/>
          <w:szCs w:val="24"/>
        </w:rPr>
        <w:t>3.3.</w:t>
      </w:r>
      <w:r w:rsidRPr="00F03589">
        <w:rPr>
          <w:rFonts w:asciiTheme="majorBidi" w:hAnsiTheme="majorBidi" w:cstheme="majorBidi"/>
          <w:noProof/>
          <w:szCs w:val="24"/>
        </w:rPr>
        <w:tab/>
        <w:t>Прозрачност и отчетност</w:t>
      </w:r>
    </w:p>
    <w:p w14:paraId="09548482" w14:textId="43F89497" w:rsidR="00DC1D59" w:rsidRPr="00F03589" w:rsidRDefault="00DC1D59" w:rsidP="00DC1D59">
      <w:pPr>
        <w:pStyle w:val="ManualHeading1"/>
        <w:spacing w:after="240"/>
        <w:ind w:left="0" w:firstLine="0"/>
        <w:rPr>
          <w:rFonts w:asciiTheme="majorBidi" w:hAnsiTheme="majorBidi" w:cstheme="majorBidi"/>
          <w:noProof/>
          <w:szCs w:val="24"/>
        </w:rPr>
      </w:pPr>
      <w:r w:rsidRPr="00F03589">
        <w:rPr>
          <w:rFonts w:asciiTheme="majorBidi" w:hAnsiTheme="majorBidi" w:cstheme="majorBidi"/>
          <w:noProof/>
          <w:szCs w:val="24"/>
        </w:rPr>
        <w:t>3.3.1</w:t>
      </w:r>
      <w:r w:rsidRPr="00F03589">
        <w:rPr>
          <w:rFonts w:asciiTheme="majorBidi" w:hAnsiTheme="majorBidi" w:cstheme="majorBidi"/>
          <w:noProof/>
          <w:szCs w:val="24"/>
        </w:rPr>
        <w:tab/>
        <w:t>Правила за прозрачност</w:t>
      </w:r>
    </w:p>
    <w:p w14:paraId="0A6C2AB9" w14:textId="45552AE0" w:rsidR="00DC1D59" w:rsidRPr="00F03589" w:rsidRDefault="00DC1D59" w:rsidP="00DC1D59">
      <w:pPr>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ЕКГФО прилага прозрачни обществено достъпни процедури по надлежна проверка. Освен това през март 2022 г. ЕКГФО създаде КНП, който подпомага Административния съвет при наблюдението на това дали СФО и СОУ на ЕКГФО спазват процедурите на ЕКГФО за надлежна проверка, както и вътрешните правила на организацията. Прилаганите от ЕКГФО процедури по надлежна проверка позволяват на всички европейски заинтересовани участници да представят становищата си за разглеждане от ЕКГФО. С тях се гарантира, че при изготвянето на позициите на ЕКГФО, най-вече по отношение на одобрението на МСФО и разработването на ЕСОУ, се отчита разнообразието от счетоводни и икономически модели и възгледи в Европа. </w:t>
      </w:r>
    </w:p>
    <w:p w14:paraId="72AFB739" w14:textId="42E32820" w:rsidR="00DC1D59" w:rsidRPr="00F03589" w:rsidRDefault="00DC1D59" w:rsidP="00DC1D59">
      <w:pPr>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Като част от надлежната проверка, която ЕКГФО извършва, тя публикува проекти на позиции за консултации по тях, предприема теренни тестове и други форми на анализ на въздействието, организира информационни прояви (някои от които специално насочени към ползвателите) и провежда проучвания, оповестява резултатите от тях в справки за получените мнения и след това публикува своите окончателни позиции. ЕКГФО допринася за определянето на стандарти въз основа на фактически доказателства, като предприема количествени проучвания, които предоставят информация в помощ на разискванията относно писмата с коментари и становищата за одобрение на стандарти на ЕКГФО и постепенно се превръщат във все по-важна част от нейната научноизследователска работа.  </w:t>
      </w:r>
    </w:p>
    <w:p w14:paraId="5A14F280" w14:textId="72795C9F" w:rsidR="00DC1D59" w:rsidRPr="00F03589" w:rsidRDefault="00DC1D59" w:rsidP="00DC1D59">
      <w:pPr>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Заседанията на СФО на ЕКГФО и СОУ на ЕКГФО, ТЕГФО на ЕКГФО и ТЕГОУ на ЕКГФО, както и на Консултативния форум на организациите, определящи счетоводни стандарти, към ЕКГФО (КФООСС към ЕКГФО) се провеждат публично. Дневният ред, съпътстващите документи, свързани с дневния ред, и резюметата от заседанията се оповестяват на уебсайта на ЕКГФО. От март 2018 г. заседанията може да се гледат и по интернет, а записите се съхраняват онлайн в продължение на няколко месеца. </w:t>
      </w:r>
    </w:p>
    <w:p w14:paraId="70A80ECF" w14:textId="6FD638F5" w:rsidR="00DC1D59" w:rsidRPr="00F03589" w:rsidRDefault="00DC1D59" w:rsidP="00DC1D59">
      <w:pPr>
        <w:jc w:val="both"/>
        <w:rPr>
          <w:rFonts w:asciiTheme="majorBidi" w:hAnsiTheme="majorBidi" w:cstheme="majorBidi"/>
          <w:noProof/>
          <w:sz w:val="24"/>
          <w:szCs w:val="24"/>
        </w:rPr>
      </w:pPr>
      <w:r w:rsidRPr="00F03589">
        <w:rPr>
          <w:rFonts w:asciiTheme="majorBidi" w:hAnsiTheme="majorBidi" w:cstheme="majorBidi"/>
          <w:noProof/>
          <w:sz w:val="24"/>
          <w:szCs w:val="24"/>
        </w:rPr>
        <w:t>ЕКГФО поддържа публичен регистър за прозрачност, който обхваща заседанията на председателите на СФО на ЕКГФО и СОУ на ЕКГФО, на ТЕГФО на ЕКГФО и ТЕГОУ на ЕКГФО, както и на главния изпълнителен директор на ЕКГФО.</w:t>
      </w:r>
    </w:p>
    <w:p w14:paraId="7A4D1421" w14:textId="6F377A33" w:rsidR="00DC1D59" w:rsidRPr="00F03589" w:rsidRDefault="00DC1D59" w:rsidP="00DC1D59">
      <w:pPr>
        <w:pStyle w:val="ManualHeading1"/>
        <w:spacing w:after="240"/>
        <w:ind w:left="0" w:firstLine="0"/>
        <w:rPr>
          <w:rFonts w:asciiTheme="majorBidi" w:hAnsiTheme="majorBidi" w:cstheme="majorBidi"/>
          <w:noProof/>
          <w:szCs w:val="24"/>
        </w:rPr>
      </w:pPr>
      <w:r w:rsidRPr="00F03589">
        <w:rPr>
          <w:rFonts w:asciiTheme="majorBidi" w:hAnsiTheme="majorBidi" w:cstheme="majorBidi"/>
          <w:noProof/>
          <w:szCs w:val="24"/>
        </w:rPr>
        <w:t>3.3.2</w:t>
      </w:r>
      <w:r w:rsidRPr="00F03589">
        <w:rPr>
          <w:rFonts w:asciiTheme="majorBidi" w:hAnsiTheme="majorBidi" w:cstheme="majorBidi"/>
          <w:noProof/>
          <w:szCs w:val="24"/>
        </w:rPr>
        <w:tab/>
        <w:t xml:space="preserve">Представителство и отчетност </w:t>
      </w:r>
    </w:p>
    <w:p w14:paraId="7A0A3CC8" w14:textId="7BCAB094" w:rsidR="00DC1D59" w:rsidRPr="00F03589" w:rsidRDefault="00DC1D59" w:rsidP="00DC1D59">
      <w:pPr>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ЕКГФО се стреми да постигне подходящ баланс по географски, професионален и полов признак в съветите си по финансово отчитане и отчитане във връзка с устойчивостта, в съответните технически експертни групи, в работните групи и консултативните съвети, както и в Ръководната група на Европейската лаборатория и нейните специализирани проектни групи. Съществува ограничение на броя членове от една и съща националност в СФО и СОУ и техните ТЕГ, като са въведени и правила за професионален опит и баланс между половете. </w:t>
      </w:r>
    </w:p>
    <w:p w14:paraId="75CABC2A" w14:textId="2FD4C45D" w:rsidR="00DC1D59" w:rsidRPr="00F03589" w:rsidRDefault="00DC1D59" w:rsidP="00DC1D59">
      <w:pPr>
        <w:spacing w:after="0"/>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Членовете на Съвета на ЕКГФО се номинират от организациите — членки на ЕКГФО. През 2022 г. балансът между половете и географското представителство в съветите по финансово отчитане и отчитането във връзка с устойчивостта и съответните ТЕГ бяха значително подобрени. </w:t>
      </w:r>
    </w:p>
    <w:p w14:paraId="7DA18CAB" w14:textId="448673CD" w:rsidR="00DC1D59" w:rsidRPr="00F03589" w:rsidRDefault="00DC1D59" w:rsidP="00DC1D59">
      <w:pPr>
        <w:pStyle w:val="ManualHeading1"/>
        <w:spacing w:after="240"/>
        <w:rPr>
          <w:rFonts w:asciiTheme="majorBidi" w:hAnsiTheme="majorBidi" w:cstheme="majorBidi"/>
          <w:noProof/>
          <w:szCs w:val="24"/>
        </w:rPr>
      </w:pPr>
      <w:r w:rsidRPr="00F03589">
        <w:rPr>
          <w:rFonts w:asciiTheme="majorBidi" w:hAnsiTheme="majorBidi" w:cstheme="majorBidi"/>
          <w:noProof/>
          <w:szCs w:val="24"/>
        </w:rPr>
        <w:t>3.3.3</w:t>
      </w:r>
      <w:r w:rsidRPr="00F03589">
        <w:rPr>
          <w:rFonts w:asciiTheme="majorBidi" w:hAnsiTheme="majorBidi" w:cstheme="majorBidi"/>
          <w:noProof/>
          <w:szCs w:val="24"/>
        </w:rPr>
        <w:tab/>
        <w:t>ПРЕДОТВРАТЯВАНЕ НА КОНФЛИКТИТЕ НА ИНТЕРЕСИ</w:t>
      </w:r>
    </w:p>
    <w:p w14:paraId="399E6E3D" w14:textId="29A70CEE" w:rsidR="00DC1D59" w:rsidRPr="00F03589" w:rsidRDefault="00DC1D59" w:rsidP="003E73A3">
      <w:pPr>
        <w:jc w:val="both"/>
        <w:rPr>
          <w:rFonts w:asciiTheme="majorBidi" w:hAnsiTheme="majorBidi" w:cstheme="majorBidi"/>
          <w:noProof/>
          <w:sz w:val="24"/>
          <w:szCs w:val="24"/>
        </w:rPr>
      </w:pPr>
      <w:r w:rsidRPr="00F03589">
        <w:rPr>
          <w:rFonts w:asciiTheme="majorBidi" w:hAnsiTheme="majorBidi" w:cstheme="majorBidi"/>
          <w:noProof/>
          <w:sz w:val="24"/>
          <w:szCs w:val="24"/>
        </w:rPr>
        <w:t>ЕКГФО прилага политика по отношение на конфликтите на интереси, която стои в основата на нейния мандат в защита на обществения интерес и е публикувана на уебсайта на ЕКГФО</w:t>
      </w:r>
      <w:r w:rsidRPr="00F03589">
        <w:rPr>
          <w:rStyle w:val="FootnoteReference"/>
          <w:rFonts w:asciiTheme="majorBidi" w:hAnsiTheme="majorBidi" w:cstheme="majorBidi"/>
          <w:noProof/>
          <w:sz w:val="24"/>
          <w:szCs w:val="24"/>
          <w:lang w:val="en-GB" w:eastAsia="en-GB"/>
        </w:rPr>
        <w:footnoteReference w:id="17"/>
      </w:r>
      <w:r w:rsidRPr="00F03589">
        <w:rPr>
          <w:rFonts w:asciiTheme="majorBidi" w:hAnsiTheme="majorBidi" w:cstheme="majorBidi"/>
          <w:noProof/>
          <w:sz w:val="24"/>
          <w:szCs w:val="24"/>
        </w:rPr>
        <w:t xml:space="preserve">. Членовете на Съвета на ЕКГФО и нейните служители ежегодно удостоверяват своята независимост с подписването на декларация. </w:t>
      </w:r>
    </w:p>
    <w:p w14:paraId="0DF7E637" w14:textId="5D890EC7" w:rsidR="00DC1D59" w:rsidRPr="00F03589" w:rsidRDefault="00DC1D59" w:rsidP="00DC1D59">
      <w:pPr>
        <w:pStyle w:val="ManualHeading1"/>
        <w:spacing w:after="240"/>
        <w:ind w:left="0" w:firstLine="0"/>
        <w:rPr>
          <w:rFonts w:asciiTheme="majorBidi" w:hAnsiTheme="majorBidi" w:cstheme="majorBidi"/>
          <w:noProof/>
          <w:szCs w:val="24"/>
        </w:rPr>
      </w:pPr>
      <w:r w:rsidRPr="00F03589">
        <w:rPr>
          <w:rFonts w:asciiTheme="majorBidi" w:hAnsiTheme="majorBidi" w:cstheme="majorBidi"/>
          <w:noProof/>
          <w:szCs w:val="24"/>
        </w:rPr>
        <w:t>3.3.4</w:t>
      </w:r>
      <w:r w:rsidRPr="00F03589">
        <w:rPr>
          <w:rFonts w:asciiTheme="majorBidi" w:hAnsiTheme="majorBidi" w:cstheme="majorBidi"/>
          <w:noProof/>
          <w:szCs w:val="24"/>
        </w:rPr>
        <w:tab/>
        <w:t>Контакти с Европейския парламент и държавите членки</w:t>
      </w:r>
    </w:p>
    <w:p w14:paraId="7A478D77" w14:textId="644F1A13" w:rsidR="00DC1D59" w:rsidRPr="00F03589" w:rsidRDefault="00DC1D59" w:rsidP="00DC1D59">
      <w:pPr>
        <w:jc w:val="both"/>
        <w:rPr>
          <w:rFonts w:asciiTheme="majorBidi" w:hAnsiTheme="majorBidi" w:cstheme="majorBidi"/>
          <w:noProof/>
          <w:sz w:val="24"/>
          <w:szCs w:val="24"/>
        </w:rPr>
      </w:pPr>
      <w:r w:rsidRPr="00F03589">
        <w:rPr>
          <w:rFonts w:asciiTheme="majorBidi" w:hAnsiTheme="majorBidi" w:cstheme="majorBidi"/>
          <w:noProof/>
          <w:sz w:val="24"/>
          <w:szCs w:val="24"/>
        </w:rPr>
        <w:t>ЕКГФО редовно присъства на заседанията на Счетоводния регулаторен комитет на Европейската комисия, за да обсъжда с експертите от държавите членки нерешени въпроси, по-специално относно одобрението на МСФО.</w:t>
      </w:r>
    </w:p>
    <w:p w14:paraId="260B04FE" w14:textId="5CCED405" w:rsidR="00DC1D59" w:rsidRPr="00F03589" w:rsidRDefault="00DC1D59" w:rsidP="00815BA0">
      <w:pPr>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В някои случаи ЕКГФО поддържа контакти и с членове на Европейския парламент. По отношение на отчитането във връзка с устойчивостта Европейският парламент създаде екип за отчитане във връзка с устойчивостта, който редовно си сътрудничи с ЕКГФО. </w:t>
      </w:r>
    </w:p>
    <w:p w14:paraId="0FCB5A5F" w14:textId="147587BE" w:rsidR="00DC1D59" w:rsidRPr="00F03589" w:rsidRDefault="00DC1D59" w:rsidP="00DC1D59">
      <w:pPr>
        <w:pStyle w:val="ManualHeading1"/>
        <w:tabs>
          <w:tab w:val="clear" w:pos="850"/>
        </w:tabs>
        <w:spacing w:after="240"/>
        <w:ind w:left="0" w:firstLine="0"/>
        <w:rPr>
          <w:rFonts w:asciiTheme="majorBidi" w:hAnsiTheme="majorBidi" w:cstheme="majorBidi"/>
          <w:noProof/>
          <w:szCs w:val="24"/>
        </w:rPr>
      </w:pPr>
      <w:r w:rsidRPr="00F03589">
        <w:rPr>
          <w:rFonts w:asciiTheme="majorBidi" w:hAnsiTheme="majorBidi" w:cstheme="majorBidi"/>
          <w:noProof/>
          <w:szCs w:val="24"/>
        </w:rPr>
        <w:t>3.4</w:t>
      </w:r>
      <w:r w:rsidRPr="00F03589">
        <w:rPr>
          <w:rFonts w:asciiTheme="majorBidi" w:hAnsiTheme="majorBidi" w:cstheme="majorBidi"/>
          <w:noProof/>
          <w:szCs w:val="24"/>
        </w:rPr>
        <w:tab/>
        <w:t>Диверсификация и бюджет</w:t>
      </w:r>
    </w:p>
    <w:p w14:paraId="7B76552B" w14:textId="56AC76BB" w:rsidR="00FE334D" w:rsidRPr="00F03589" w:rsidRDefault="00737011" w:rsidP="00DC1D59">
      <w:pPr>
        <w:jc w:val="both"/>
        <w:rPr>
          <w:rFonts w:asciiTheme="majorBidi" w:eastAsia="Times New Roman" w:hAnsiTheme="majorBidi" w:cstheme="majorBidi"/>
          <w:noProof/>
          <w:sz w:val="24"/>
          <w:szCs w:val="24"/>
        </w:rPr>
      </w:pPr>
      <w:r w:rsidRPr="00F03589">
        <w:rPr>
          <w:rFonts w:asciiTheme="majorBidi" w:hAnsiTheme="majorBidi" w:cstheme="majorBidi"/>
          <w:noProof/>
          <w:sz w:val="24"/>
          <w:szCs w:val="24"/>
        </w:rPr>
        <w:t xml:space="preserve">За 2022 г. общите оперативни разходи на ЕКГФО са били 11 милиона евро, което включва приблизително 3,9 милиона евро непарични вноски, финансирани от трети страни. Финансирането е намаляло с 50 000 EUR спрямо разходите. Поради това в края на 2021 г. от неразпределената печалба на ЕКГФО е била приспадната загуба в размер на 4,6 милиона евро. </w:t>
      </w:r>
    </w:p>
    <w:p w14:paraId="3A769DCB" w14:textId="245496B3" w:rsidR="00FE334D" w:rsidRPr="00F03589" w:rsidRDefault="00FE334D" w:rsidP="00DC1D59">
      <w:pPr>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Получените непарични вноски включват времето на членовете на СФО и СОУ на ЕКГФО, ТЕГФО и ТЕГОУ на ЕКГФО (само председателите получават заплащане), както и временните командировки в секретариата на ЕКГФО. </w:t>
      </w:r>
    </w:p>
    <w:p w14:paraId="075696AD" w14:textId="2A4B2577" w:rsidR="00DC1D59" w:rsidRPr="00F03589" w:rsidRDefault="007D3F5F" w:rsidP="00DC1D59">
      <w:pPr>
        <w:jc w:val="both"/>
        <w:rPr>
          <w:rFonts w:asciiTheme="majorBidi" w:eastAsia="Times New Roman" w:hAnsiTheme="majorBidi" w:cstheme="majorBidi"/>
          <w:noProof/>
          <w:sz w:val="24"/>
          <w:szCs w:val="24"/>
        </w:rPr>
      </w:pPr>
      <w:r w:rsidRPr="00F03589">
        <w:rPr>
          <w:rFonts w:asciiTheme="majorBidi" w:hAnsiTheme="majorBidi" w:cstheme="majorBidi"/>
          <w:noProof/>
          <w:sz w:val="24"/>
          <w:szCs w:val="24"/>
        </w:rPr>
        <w:t>През 2022 г. Комисията предостави финансиране за максимум 60 % от допустимите разходи на ЕКГФО. През 2022 г. безвъзмездните средства, предоставени от Комисията, бяха в размер на 3,97 млн. евро. Други парични вноски, свързани с финансовото отчитане, постъпват от европейски организации на заинтересовани страни (615 000 EUR) и национални организации на заинтересовани страни (напр. Франция, Германия, Обединено кралство, Италия, Нидерландия, Дания, Испания, Швеция и Люксембург) (1,525 млн. евро).</w:t>
      </w:r>
    </w:p>
    <w:p w14:paraId="25C36B21" w14:textId="2659E259" w:rsidR="0088751E" w:rsidRPr="00F03589" w:rsidRDefault="00340C98" w:rsidP="0088751E">
      <w:pPr>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Що се отнася до отчитането във връзка с устойчивостта, европейските организации на заинтересованите страни предоставиха финансиране в размер на 0,248 милиона евро, националните организации за устойчивост — 0,44 милиона евро, а организациите на гражданското общество — 0,054 милиона евро. Освен това ЕКГФО получи </w:t>
      </w:r>
      <w:r w:rsidRPr="00F03589">
        <w:rPr>
          <w:rFonts w:asciiTheme="majorBidi" w:hAnsiTheme="majorBidi" w:cstheme="majorBidi"/>
          <w:i/>
          <w:iCs/>
          <w:noProof/>
          <w:sz w:val="24"/>
          <w:szCs w:val="24"/>
        </w:rPr>
        <w:t>ad hoc</w:t>
      </w:r>
      <w:r w:rsidRPr="00F03589">
        <w:rPr>
          <w:rFonts w:asciiTheme="majorBidi" w:hAnsiTheme="majorBidi" w:cstheme="majorBidi"/>
          <w:noProof/>
          <w:sz w:val="24"/>
          <w:szCs w:val="24"/>
        </w:rPr>
        <w:t xml:space="preserve"> финансиране в размер на 0,178 милиона евро, наред с другото, от френския орган за определяне на стандарти и Европейската група контакт, включваща големи одиторски дружества, и Accountancy Europe. </w:t>
      </w:r>
    </w:p>
    <w:p w14:paraId="6C6C8582" w14:textId="39A656B4" w:rsidR="005E0F0C" w:rsidRPr="00F03589" w:rsidRDefault="00FE334D" w:rsidP="005E0F0C">
      <w:pPr>
        <w:jc w:val="both"/>
        <w:rPr>
          <w:rFonts w:asciiTheme="majorBidi" w:hAnsiTheme="majorBidi" w:cstheme="majorBidi"/>
          <w:noProof/>
          <w:sz w:val="24"/>
          <w:szCs w:val="24"/>
        </w:rPr>
      </w:pPr>
      <w:r w:rsidRPr="00F03589">
        <w:rPr>
          <w:rFonts w:asciiTheme="majorBidi" w:hAnsiTheme="majorBidi" w:cstheme="majorBidi"/>
          <w:i/>
          <w:iCs/>
          <w:noProof/>
          <w:sz w:val="24"/>
          <w:szCs w:val="24"/>
        </w:rPr>
        <w:t>Ad hoc</w:t>
      </w:r>
      <w:r w:rsidRPr="00F03589">
        <w:rPr>
          <w:rFonts w:asciiTheme="majorBidi" w:hAnsiTheme="majorBidi" w:cstheme="majorBidi"/>
          <w:noProof/>
          <w:sz w:val="24"/>
          <w:szCs w:val="24"/>
        </w:rPr>
        <w:t xml:space="preserve"> финансирането и разчитането на непарични вноски не са устойчив модел на финансиране, съизмерим с дейностите на ЕКГФО за определяне на стандарти в областта на устойчивостта. Поради това за 2023 г. Комисията ще оптимизира приноса на ЕС в рамките на бюджетните ограничения и бюджетните правила на ЕС, като раздели безвъзмездните средства за оперативни разходи на две части — безвъзмездни средства за дейности по финансово отчитане и за дейности по отчитане във връзка с устойчивостта, като процентът на съфинансиране за дейности по отчитане във връзка с устойчивостта ще бъде значително по-висок. Това ще допринесе за удовлетворяване на нуждите от структурно финансиране на ЕКГФО. </w:t>
      </w:r>
    </w:p>
    <w:p w14:paraId="067C5089" w14:textId="77777777" w:rsidR="00DC1D59" w:rsidRPr="00F03589" w:rsidRDefault="00DC1D59" w:rsidP="00DC1D59">
      <w:pPr>
        <w:pStyle w:val="ManualHeading1"/>
        <w:rPr>
          <w:rFonts w:asciiTheme="majorBidi" w:hAnsiTheme="majorBidi" w:cstheme="majorBidi"/>
          <w:noProof/>
          <w:szCs w:val="24"/>
        </w:rPr>
      </w:pPr>
      <w:r w:rsidRPr="00F03589">
        <w:rPr>
          <w:rFonts w:asciiTheme="majorBidi" w:hAnsiTheme="majorBidi" w:cstheme="majorBidi"/>
          <w:noProof/>
          <w:szCs w:val="24"/>
        </w:rPr>
        <w:t xml:space="preserve">4. </w:t>
      </w:r>
      <w:r w:rsidRPr="00F03589">
        <w:rPr>
          <w:rFonts w:asciiTheme="majorBidi" w:hAnsiTheme="majorBidi" w:cstheme="majorBidi"/>
          <w:noProof/>
          <w:szCs w:val="24"/>
        </w:rPr>
        <w:tab/>
        <w:t>Надзорен съвет за отчитане и отразяване на обществения интерес (НСОООИ)</w:t>
      </w:r>
    </w:p>
    <w:p w14:paraId="6A2A415A" w14:textId="77777777" w:rsidR="00DC1D59" w:rsidRPr="00F03589" w:rsidRDefault="00DC1D59" w:rsidP="00DC1D59">
      <w:pPr>
        <w:pStyle w:val="ManualHeading1"/>
        <w:rPr>
          <w:rFonts w:asciiTheme="majorBidi" w:hAnsiTheme="majorBidi" w:cstheme="majorBidi"/>
          <w:noProof/>
          <w:szCs w:val="24"/>
        </w:rPr>
      </w:pPr>
      <w:r w:rsidRPr="00F03589">
        <w:rPr>
          <w:rFonts w:asciiTheme="majorBidi" w:hAnsiTheme="majorBidi" w:cstheme="majorBidi"/>
          <w:noProof/>
          <w:szCs w:val="24"/>
        </w:rPr>
        <w:t>4.1.</w:t>
      </w:r>
      <w:r w:rsidRPr="00F03589">
        <w:rPr>
          <w:rFonts w:asciiTheme="majorBidi" w:hAnsiTheme="majorBidi" w:cstheme="majorBidi"/>
          <w:noProof/>
          <w:szCs w:val="24"/>
        </w:rPr>
        <w:tab/>
        <w:t>Управление</w:t>
      </w:r>
    </w:p>
    <w:p w14:paraId="721A12A0" w14:textId="37322302" w:rsidR="00DC1D59" w:rsidRPr="00F03589" w:rsidRDefault="00DC1D59" w:rsidP="00DC1D59">
      <w:pPr>
        <w:jc w:val="both"/>
        <w:rPr>
          <w:rFonts w:asciiTheme="majorBidi" w:hAnsiTheme="majorBidi" w:cstheme="majorBidi"/>
          <w:noProof/>
          <w:sz w:val="24"/>
          <w:szCs w:val="24"/>
        </w:rPr>
      </w:pPr>
      <w:r w:rsidRPr="00F03589">
        <w:rPr>
          <w:rFonts w:asciiTheme="majorBidi" w:hAnsiTheme="majorBidi" w:cstheme="majorBidi"/>
          <w:noProof/>
          <w:sz w:val="24"/>
          <w:szCs w:val="24"/>
        </w:rPr>
        <w:t>НСОООИ е независим надзорен орган от световен мащаб, който наблюдава процеса на определяне на международните стандарти за одит, изразяване на сигурност и етика, формулирани действащите в международен мащаб съвети за определяне на стандарти: Съвета по международни одиторски стандарти и стандарти за изразяване на сигурност (СМОССИС) и Съвета за международни етични стандарти за счетоводителите (СМЕСС). Неговата основна роля е да гарантира, че СМОССИС и СМЕСС следват процедурите по надлежна проверка при разработването на стандарти и стратегии в съответствие с рамката на обществения интерес. Надзорът се осъществява чрез непрекъснати наблюдения и последващи действия от страна на Съвета на НСОООИ и надзорния персонал по отношение на стандартите, които се разработват от двата съвета.</w:t>
      </w:r>
    </w:p>
    <w:p w14:paraId="32023AED" w14:textId="5691E330" w:rsidR="00E66E3B" w:rsidRPr="00F03589" w:rsidRDefault="00E66E3B" w:rsidP="00DC1D59">
      <w:pPr>
        <w:jc w:val="both"/>
        <w:rPr>
          <w:rFonts w:asciiTheme="majorBidi" w:hAnsiTheme="majorBidi" w:cstheme="majorBidi"/>
          <w:noProof/>
          <w:sz w:val="24"/>
          <w:szCs w:val="24"/>
        </w:rPr>
      </w:pPr>
      <w:r w:rsidRPr="00F03589">
        <w:rPr>
          <w:rFonts w:asciiTheme="majorBidi" w:hAnsiTheme="majorBidi" w:cstheme="majorBidi"/>
          <w:noProof/>
          <w:sz w:val="24"/>
          <w:szCs w:val="24"/>
        </w:rPr>
        <w:t>В контекста на изпълнението на реформата на Групата за мониторинг от 2020 г.</w:t>
      </w:r>
      <w:r w:rsidRPr="00F03589">
        <w:rPr>
          <w:rFonts w:asciiTheme="majorBidi" w:hAnsiTheme="majorBidi" w:cstheme="majorBidi"/>
          <w:noProof/>
          <w:sz w:val="24"/>
          <w:szCs w:val="24"/>
          <w:vertAlign w:val="superscript"/>
          <w:lang w:val="en-GB"/>
        </w:rPr>
        <w:footnoteReference w:id="18"/>
      </w:r>
      <w:r w:rsidRPr="00F03589">
        <w:rPr>
          <w:rFonts w:asciiTheme="majorBidi" w:hAnsiTheme="majorBidi" w:cstheme="majorBidi"/>
          <w:noProof/>
          <w:sz w:val="24"/>
          <w:szCs w:val="24"/>
        </w:rPr>
        <w:t xml:space="preserve"> СМОССИС и СМЕСС бяха преместени в рамките на нов правен субект — Международната фондация за етика и одит (МФЕО), която е независима от Международната федерация на счетоводителите (МФС). МФЕО е учредена в САЩ, щата Делауеър. МФЕО започна да функционира в края на ноември 2022 г., като управителният съвет се състои от шестима членове. НСОООИ продължава да функционира от Мадрид и назначава четирима от тези членове, включително председателя</w:t>
      </w:r>
      <w:r w:rsidRPr="00F03589">
        <w:rPr>
          <w:rStyle w:val="FootnoteReference"/>
          <w:rFonts w:asciiTheme="majorBidi" w:hAnsiTheme="majorBidi" w:cstheme="majorBidi"/>
          <w:noProof/>
          <w:sz w:val="24"/>
          <w:szCs w:val="24"/>
          <w:lang w:val="en-GB"/>
        </w:rPr>
        <w:footnoteReference w:id="19"/>
      </w:r>
      <w:r w:rsidRPr="00F03589">
        <w:rPr>
          <w:rFonts w:asciiTheme="majorBidi" w:hAnsiTheme="majorBidi" w:cstheme="majorBidi"/>
          <w:noProof/>
          <w:sz w:val="24"/>
          <w:szCs w:val="24"/>
        </w:rPr>
        <w:t>.</w:t>
      </w:r>
    </w:p>
    <w:p w14:paraId="6D498AC5" w14:textId="6F530D06" w:rsidR="00DC1D59" w:rsidRPr="00F03589" w:rsidRDefault="00DC1D59" w:rsidP="00DC1D59">
      <w:pPr>
        <w:jc w:val="both"/>
        <w:rPr>
          <w:rFonts w:asciiTheme="majorBidi" w:hAnsiTheme="majorBidi" w:cstheme="majorBidi"/>
          <w:noProof/>
          <w:sz w:val="24"/>
          <w:szCs w:val="24"/>
        </w:rPr>
      </w:pPr>
      <w:r w:rsidRPr="00F03589">
        <w:rPr>
          <w:rFonts w:asciiTheme="majorBidi" w:hAnsiTheme="majorBidi" w:cstheme="majorBidi"/>
          <w:noProof/>
          <w:sz w:val="24"/>
          <w:szCs w:val="24"/>
        </w:rPr>
        <w:t>Групата за текущо наблюдение, на която Комисията е член, наблюдава по какъв начин НСОООИ осъществява надзор върху процеса на определяне на стандартите и назначава членовете на НСОООИ (включително председателя).</w:t>
      </w:r>
    </w:p>
    <w:p w14:paraId="395D9124" w14:textId="77777777" w:rsidR="00DC1D59" w:rsidRPr="00F03589" w:rsidRDefault="00DC1D59" w:rsidP="00DC1D59">
      <w:pPr>
        <w:jc w:val="both"/>
        <w:rPr>
          <w:rFonts w:asciiTheme="majorBidi" w:eastAsia="Times New Roman" w:hAnsiTheme="majorBidi" w:cstheme="majorBidi"/>
          <w:b/>
          <w:smallCaps/>
          <w:noProof/>
          <w:sz w:val="24"/>
          <w:szCs w:val="24"/>
        </w:rPr>
      </w:pPr>
      <w:r w:rsidRPr="00F03589">
        <w:rPr>
          <w:rFonts w:asciiTheme="majorBidi" w:hAnsiTheme="majorBidi" w:cstheme="majorBidi"/>
          <w:b/>
          <w:smallCaps/>
          <w:noProof/>
          <w:sz w:val="24"/>
          <w:szCs w:val="24"/>
        </w:rPr>
        <w:t xml:space="preserve">4.2 </w:t>
      </w:r>
      <w:r w:rsidRPr="00F03589">
        <w:rPr>
          <w:rFonts w:asciiTheme="majorBidi" w:hAnsiTheme="majorBidi" w:cstheme="majorBidi"/>
          <w:noProof/>
          <w:sz w:val="24"/>
          <w:szCs w:val="24"/>
        </w:rPr>
        <w:tab/>
      </w:r>
      <w:r w:rsidRPr="00F03589">
        <w:rPr>
          <w:rFonts w:asciiTheme="majorBidi" w:hAnsiTheme="majorBidi" w:cstheme="majorBidi"/>
          <w:b/>
          <w:smallCaps/>
          <w:noProof/>
          <w:sz w:val="24"/>
          <w:szCs w:val="24"/>
        </w:rPr>
        <w:t>Дейности</w:t>
      </w:r>
    </w:p>
    <w:p w14:paraId="7DBE9840" w14:textId="75123587" w:rsidR="00535746" w:rsidRPr="00F03589" w:rsidRDefault="00535746" w:rsidP="00DC1D59">
      <w:pPr>
        <w:spacing w:before="120" w:after="120"/>
        <w:jc w:val="both"/>
        <w:rPr>
          <w:rFonts w:asciiTheme="majorBidi" w:hAnsiTheme="majorBidi" w:cstheme="majorBidi"/>
          <w:noProof/>
          <w:sz w:val="24"/>
          <w:szCs w:val="24"/>
        </w:rPr>
      </w:pPr>
      <w:r w:rsidRPr="00F03589">
        <w:rPr>
          <w:rFonts w:asciiTheme="majorBidi" w:hAnsiTheme="majorBidi" w:cstheme="majorBidi"/>
          <w:noProof/>
          <w:sz w:val="24"/>
          <w:szCs w:val="24"/>
        </w:rPr>
        <w:t>НСОООИ извърши преглед и потвърди, че при дейностите по определяне на стандарти, включително одобряването на 3 стандарта и на работния план на СМОССИС за периода 2022—2023 г., СМОССИС и СМЕСС са спазили процедурите по надлежна проверка по ефективен начин и при надлежно отчитане на обществения интерес. След като през ноември 2021 г. НСОООИ създаде Комитета за номиниране на членовете на съветите за определяне на стандарти, първият цикъл от кандидатури и назначения в СМОССИС и СМЕСС приключи през 2022 г. Комитетът представи своите препоръки през лятото на 2022 г., а НСОООИ ги одобри през октомври.</w:t>
      </w:r>
    </w:p>
    <w:p w14:paraId="6335F188" w14:textId="23B40408" w:rsidR="00DE6B79" w:rsidRPr="00F03589" w:rsidRDefault="00535746" w:rsidP="00DC1D59">
      <w:pPr>
        <w:spacing w:before="120" w:after="120"/>
        <w:jc w:val="both"/>
        <w:rPr>
          <w:rFonts w:asciiTheme="majorBidi" w:hAnsiTheme="majorBidi" w:cstheme="majorBidi"/>
          <w:noProof/>
          <w:sz w:val="24"/>
          <w:szCs w:val="24"/>
        </w:rPr>
      </w:pPr>
      <w:r w:rsidRPr="00F03589">
        <w:rPr>
          <w:rFonts w:asciiTheme="majorBidi" w:hAnsiTheme="majorBidi" w:cstheme="majorBidi"/>
          <w:noProof/>
          <w:sz w:val="24"/>
          <w:szCs w:val="24"/>
        </w:rPr>
        <w:t>На 7 октомври 2022 г. НСОООИ проведе своя 3-ти семинар по въпросите на обществения интерес в Мадрид за участниците, работещи в областта на отчитането във връзка с устойчивостта, предоставянето на увереност, използването на нефинансови доклади, по-специално инвеститорската общност, регулаторни органи и органи, определящи стандарти</w:t>
      </w:r>
      <w:r w:rsidRPr="00F03589">
        <w:rPr>
          <w:rStyle w:val="FootnoteReference"/>
          <w:rFonts w:asciiTheme="majorBidi" w:hAnsiTheme="majorBidi" w:cstheme="majorBidi"/>
          <w:noProof/>
          <w:sz w:val="24"/>
          <w:szCs w:val="24"/>
          <w:lang w:val="en-GB"/>
        </w:rPr>
        <w:footnoteReference w:id="20"/>
      </w:r>
      <w:r w:rsidRPr="00F03589">
        <w:rPr>
          <w:rFonts w:asciiTheme="majorBidi" w:hAnsiTheme="majorBidi" w:cstheme="majorBidi"/>
          <w:noProof/>
          <w:sz w:val="24"/>
          <w:szCs w:val="24"/>
        </w:rPr>
        <w:t>.</w:t>
      </w:r>
    </w:p>
    <w:p w14:paraId="7326AC70" w14:textId="710CF4B6" w:rsidR="00DC1D59" w:rsidRPr="00F03589" w:rsidRDefault="00DC1D59" w:rsidP="00DC1D59">
      <w:pPr>
        <w:spacing w:before="120" w:after="120"/>
        <w:jc w:val="both"/>
        <w:rPr>
          <w:rFonts w:asciiTheme="majorBidi" w:hAnsiTheme="majorBidi" w:cstheme="majorBidi"/>
          <w:noProof/>
          <w:sz w:val="24"/>
          <w:szCs w:val="24"/>
        </w:rPr>
      </w:pPr>
      <w:r w:rsidRPr="00F03589">
        <w:rPr>
          <w:rFonts w:asciiTheme="majorBidi" w:hAnsiTheme="majorBidi" w:cstheme="majorBidi"/>
          <w:noProof/>
          <w:sz w:val="24"/>
          <w:szCs w:val="24"/>
        </w:rPr>
        <w:t>На 29 юни 2023 г. НСОООИ публикува своя 18-ти обществено достъпен доклад, в който е направен пълен преглед на дейността му</w:t>
      </w:r>
      <w:r w:rsidRPr="00F03589">
        <w:rPr>
          <w:rFonts w:asciiTheme="majorBidi" w:hAnsiTheme="majorBidi" w:cstheme="majorBidi"/>
          <w:noProof/>
          <w:sz w:val="24"/>
          <w:szCs w:val="24"/>
          <w:vertAlign w:val="superscript"/>
          <w:lang w:val="en-GB"/>
        </w:rPr>
        <w:footnoteReference w:id="21"/>
      </w:r>
      <w:r w:rsidRPr="00F03589">
        <w:rPr>
          <w:rFonts w:asciiTheme="majorBidi" w:hAnsiTheme="majorBidi" w:cstheme="majorBidi"/>
          <w:noProof/>
          <w:sz w:val="24"/>
          <w:szCs w:val="24"/>
        </w:rPr>
        <w:t xml:space="preserve">. </w:t>
      </w:r>
    </w:p>
    <w:p w14:paraId="2DB2371B" w14:textId="77777777" w:rsidR="00DC1D59" w:rsidRPr="00F03589" w:rsidRDefault="00DC1D59" w:rsidP="00DC1D59">
      <w:pPr>
        <w:pStyle w:val="ManualHeading1"/>
        <w:rPr>
          <w:rFonts w:asciiTheme="majorBidi" w:hAnsiTheme="majorBidi" w:cstheme="majorBidi"/>
          <w:noProof/>
          <w:szCs w:val="24"/>
        </w:rPr>
      </w:pPr>
      <w:r w:rsidRPr="00F03589">
        <w:rPr>
          <w:rFonts w:asciiTheme="majorBidi" w:hAnsiTheme="majorBidi" w:cstheme="majorBidi"/>
          <w:noProof/>
          <w:szCs w:val="24"/>
        </w:rPr>
        <w:t>4.3.</w:t>
      </w:r>
      <w:r w:rsidRPr="00F03589">
        <w:rPr>
          <w:rFonts w:asciiTheme="majorBidi" w:hAnsiTheme="majorBidi" w:cstheme="majorBidi"/>
          <w:noProof/>
          <w:szCs w:val="24"/>
        </w:rPr>
        <w:tab/>
        <w:t>Диверсификация на финансирането</w:t>
      </w:r>
    </w:p>
    <w:p w14:paraId="29FC7D95" w14:textId="65C23865" w:rsidR="00E66E3B" w:rsidRPr="00F03589" w:rsidRDefault="00E66E3B" w:rsidP="00DC1D59">
      <w:pPr>
        <w:spacing w:before="120" w:after="120"/>
        <w:jc w:val="both"/>
        <w:rPr>
          <w:rFonts w:asciiTheme="majorBidi" w:hAnsiTheme="majorBidi" w:cstheme="majorBidi"/>
          <w:noProof/>
          <w:sz w:val="24"/>
          <w:szCs w:val="24"/>
        </w:rPr>
      </w:pPr>
      <w:r w:rsidRPr="00F03589">
        <w:rPr>
          <w:rFonts w:asciiTheme="majorBidi" w:hAnsiTheme="majorBidi" w:cstheme="majorBidi"/>
          <w:noProof/>
          <w:sz w:val="24"/>
          <w:szCs w:val="24"/>
        </w:rPr>
        <w:t xml:space="preserve">Финансирането на НСОООИ има за цел да се запази неговата фактическа и привидна независимост от професионалните счетоводители. Въпреки това, от създаването си през 2005 г. и до 2010 г., когато бе поставено началото на програмата на Общността за финансиране, създадена с Решение № 716/2009/ЕО, НСОООИ се финансира изключително от МФС. От 2010 г. насам Европейският съюз е вторият най-голям дарител на НСОООИ. През 2022 г. приходите на НСОООИ възлизат на 2 191 120 EUR. Вноската на ЕС беше в размер на 350 000 EUR (или 15,97 %), а МФС предостави 1 392 754 EUR (или 63,56 %), което е под горната граница от две трети, разрешена в член 12, параграф 3 от Регламент (ЕС) 2021/690. Други вноски са постъпили от Международната организация на комисиите по ценни книжа (IOSCO), Банката за международни разплащания (БМР), Международния форум на независимите одитни регулаторни органи (МФНОРО), Съвета за финансова отчетност на Обединеното кралство, Федералния орган на Швейцария за одитен надзор, Комисията на Тайван за финансов надзор, а испанското правителство предостави офиса в Мадрид безплатно. Продължава да е необходима допълнителна диверсификация на средствата и заедно с НСОООИ Групата за наблюдение търси други спонсори за допълнително намаляване на финансирането от страна на организациите, представляващи счетоводната професия, по-специално от страна на МФС. </w:t>
      </w:r>
    </w:p>
    <w:p w14:paraId="6B2BBBE0" w14:textId="77777777" w:rsidR="00DC1D59" w:rsidRPr="00F03589" w:rsidRDefault="00DC1D59" w:rsidP="00DC1D59">
      <w:pPr>
        <w:pStyle w:val="ManualHeading1"/>
        <w:rPr>
          <w:rFonts w:asciiTheme="majorBidi" w:eastAsia="Calibri" w:hAnsiTheme="majorBidi" w:cstheme="majorBidi"/>
          <w:noProof/>
          <w:szCs w:val="24"/>
        </w:rPr>
      </w:pPr>
      <w:r w:rsidRPr="00F03589">
        <w:rPr>
          <w:rFonts w:asciiTheme="majorBidi" w:hAnsiTheme="majorBidi" w:cstheme="majorBidi"/>
          <w:noProof/>
          <w:szCs w:val="24"/>
        </w:rPr>
        <w:t>5.</w:t>
      </w:r>
      <w:r w:rsidRPr="00F03589">
        <w:rPr>
          <w:rFonts w:asciiTheme="majorBidi" w:hAnsiTheme="majorBidi" w:cstheme="majorBidi"/>
          <w:noProof/>
          <w:szCs w:val="24"/>
        </w:rPr>
        <w:tab/>
        <w:t xml:space="preserve">Заключения </w:t>
      </w:r>
    </w:p>
    <w:p w14:paraId="001BDDD7" w14:textId="12073DCC" w:rsidR="003C21DD" w:rsidRPr="00F03589" w:rsidRDefault="00DC1D59" w:rsidP="00DC1D59">
      <w:pPr>
        <w:spacing w:before="120" w:after="120"/>
        <w:contextualSpacing/>
        <w:jc w:val="both"/>
        <w:rPr>
          <w:rFonts w:asciiTheme="majorBidi" w:hAnsiTheme="majorBidi" w:cstheme="majorBidi"/>
          <w:bCs/>
          <w:noProof/>
          <w:sz w:val="24"/>
          <w:szCs w:val="24"/>
        </w:rPr>
      </w:pPr>
      <w:r w:rsidRPr="00F03589">
        <w:rPr>
          <w:rFonts w:asciiTheme="majorBidi" w:hAnsiTheme="majorBidi" w:cstheme="majorBidi"/>
          <w:noProof/>
          <w:sz w:val="24"/>
          <w:szCs w:val="24"/>
        </w:rPr>
        <w:t xml:space="preserve">Финансирането от Съюза беше крайно необходимо за трите организации (Фондацията на МСФО, ЕКГФО и НСОООИ). То даде възможност на СМСС да разработи висококачествени МСФО. Финансирането от ЕС беше от съществено значение и с оглед на целта на ЕКГФО да служи на европейския обществен интерес, като разработва и популяризира европейските възгледи в областта на финансовото отчитане, както и разработва европейски стандарти за отчитане във връзка с устойчивостта като технически съвети към Европейската комисия. И накрая, това финансиране помогна на НСОООИ да защити обществения интерес при определянето на международни одиторски стандарти. </w:t>
      </w:r>
    </w:p>
    <w:sectPr w:rsidR="003C21DD" w:rsidRPr="00F03589" w:rsidSect="00A67E18">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31929" w14:textId="77777777" w:rsidR="004137EC" w:rsidRDefault="004137EC" w:rsidP="00DC1D59">
      <w:pPr>
        <w:spacing w:after="0" w:line="240" w:lineRule="auto"/>
      </w:pPr>
      <w:r>
        <w:separator/>
      </w:r>
    </w:p>
  </w:endnote>
  <w:endnote w:type="continuationSeparator" w:id="0">
    <w:p w14:paraId="1978541B" w14:textId="77777777" w:rsidR="004137EC" w:rsidRDefault="004137EC" w:rsidP="00DC1D59">
      <w:pPr>
        <w:spacing w:after="0" w:line="240" w:lineRule="auto"/>
      </w:pPr>
      <w:r>
        <w:continuationSeparator/>
      </w:r>
    </w:p>
  </w:endnote>
  <w:endnote w:type="continuationNotice" w:id="1">
    <w:p w14:paraId="6D2F40FE" w14:textId="77777777" w:rsidR="004137EC" w:rsidRDefault="004137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w:charset w:val="00"/>
    <w:family w:val="swiss"/>
    <w:pitch w:val="variable"/>
    <w:sig w:usb0="20000287" w:usb1="00000001" w:usb2="0000000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77586" w14:textId="1BE57D4F" w:rsidR="00F03589" w:rsidRPr="00535A9A" w:rsidRDefault="00F03589" w:rsidP="00535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E4E05" w14:textId="6164D407" w:rsidR="00F03589" w:rsidRPr="00535A9A" w:rsidRDefault="00535A9A" w:rsidP="00535A9A">
    <w:pPr>
      <w:pStyle w:val="FooterCoverPage"/>
      <w:rPr>
        <w:rFonts w:ascii="Arial" w:hAnsi="Arial" w:cs="Arial"/>
        <w:b/>
        <w:sz w:val="48"/>
      </w:rPr>
    </w:pPr>
    <w:r w:rsidRPr="00535A9A">
      <w:rPr>
        <w:rFonts w:ascii="Arial" w:hAnsi="Arial" w:cs="Arial"/>
        <w:b/>
        <w:sz w:val="48"/>
      </w:rPr>
      <w:t>BG</w:t>
    </w:r>
    <w:r w:rsidRPr="00535A9A">
      <w:rPr>
        <w:rFonts w:ascii="Arial" w:hAnsi="Arial" w:cs="Arial"/>
        <w:b/>
        <w:sz w:val="48"/>
      </w:rPr>
      <w:tab/>
    </w:r>
    <w:r w:rsidRPr="00535A9A">
      <w:rPr>
        <w:rFonts w:ascii="Arial" w:hAnsi="Arial" w:cs="Arial"/>
        <w:b/>
        <w:sz w:val="48"/>
      </w:rPr>
      <w:tab/>
    </w:r>
    <w:r w:rsidRPr="00535A9A">
      <w:tab/>
    </w:r>
    <w:r w:rsidRPr="00535A9A">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BACA3" w14:textId="77777777" w:rsidR="00535A9A" w:rsidRPr="00535A9A" w:rsidRDefault="00535A9A" w:rsidP="00535A9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71936" w14:textId="77777777" w:rsidR="00DC1D59" w:rsidRDefault="00DC1D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453667"/>
      <w:docPartObj>
        <w:docPartGallery w:val="Page Numbers (Bottom of Page)"/>
        <w:docPartUnique/>
      </w:docPartObj>
    </w:sdtPr>
    <w:sdtEndPr>
      <w:rPr>
        <w:noProof/>
      </w:rPr>
    </w:sdtEndPr>
    <w:sdtContent>
      <w:p w14:paraId="30FBB796" w14:textId="7D589EEE" w:rsidR="00F05D4C" w:rsidRDefault="00F05D4C">
        <w:pPr>
          <w:pStyle w:val="Footer"/>
          <w:jc w:val="right"/>
        </w:pPr>
        <w:r>
          <w:fldChar w:fldCharType="begin"/>
        </w:r>
        <w:r>
          <w:instrText xml:space="preserve"> PAGE   \* MERGEFORMAT </w:instrText>
        </w:r>
        <w:r>
          <w:fldChar w:fldCharType="separate"/>
        </w:r>
        <w:r w:rsidR="00535A9A">
          <w:rPr>
            <w:noProof/>
          </w:rPr>
          <w:t>1</w:t>
        </w:r>
        <w:r>
          <w:fldChar w:fldCharType="end"/>
        </w:r>
      </w:p>
    </w:sdtContent>
  </w:sdt>
  <w:p w14:paraId="2504EF99" w14:textId="77777777" w:rsidR="00DC1D59" w:rsidRDefault="00DC1D5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9C60A" w14:textId="77777777" w:rsidR="00DC1D59" w:rsidRDefault="00DC1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3BE07" w14:textId="77777777" w:rsidR="004137EC" w:rsidRDefault="004137EC" w:rsidP="00DC1D59">
      <w:pPr>
        <w:spacing w:after="0" w:line="240" w:lineRule="auto"/>
      </w:pPr>
      <w:r>
        <w:separator/>
      </w:r>
    </w:p>
  </w:footnote>
  <w:footnote w:type="continuationSeparator" w:id="0">
    <w:p w14:paraId="11F6AF24" w14:textId="77777777" w:rsidR="004137EC" w:rsidRDefault="004137EC" w:rsidP="00DC1D59">
      <w:pPr>
        <w:spacing w:after="0" w:line="240" w:lineRule="auto"/>
      </w:pPr>
      <w:r>
        <w:continuationSeparator/>
      </w:r>
    </w:p>
  </w:footnote>
  <w:footnote w:type="continuationNotice" w:id="1">
    <w:p w14:paraId="02059952" w14:textId="77777777" w:rsidR="004137EC" w:rsidRDefault="004137EC">
      <w:pPr>
        <w:spacing w:after="0" w:line="240" w:lineRule="auto"/>
      </w:pPr>
    </w:p>
  </w:footnote>
  <w:footnote w:id="2">
    <w:p w14:paraId="56C7CD38" w14:textId="77777777" w:rsidR="00DC1D59" w:rsidRPr="004F5EEE" w:rsidRDefault="00DC1D59" w:rsidP="00DC1D59">
      <w:pPr>
        <w:pStyle w:val="footnotetext1"/>
        <w:ind w:left="142" w:hanging="142"/>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Регламент (ЕС) 2021/690 за създаване на програма за вътрешния пазар и конкурентоспособността на предприятията), ОВ L 153, 3.5.2021 г., стр. 1—47.</w:t>
      </w:r>
    </w:p>
  </w:footnote>
  <w:footnote w:id="3">
    <w:p w14:paraId="4A18CC89" w14:textId="3A3F8C86" w:rsidR="00DC1D59" w:rsidRPr="005766A8" w:rsidRDefault="00DC1D59" w:rsidP="00044D08">
      <w:pPr>
        <w:pStyle w:val="FootnoteText"/>
        <w:ind w:left="142" w:hanging="142"/>
        <w:jc w:val="both"/>
        <w:rPr>
          <w:rFonts w:ascii="Times New Roman" w:hAnsi="Times New Roman"/>
          <w:sz w:val="18"/>
          <w:szCs w:val="18"/>
        </w:rPr>
      </w:pPr>
      <w:r>
        <w:rPr>
          <w:rStyle w:val="FootnoteReference"/>
        </w:rPr>
        <w:footnoteRef/>
      </w:r>
      <w:r>
        <w:t xml:space="preserve"> </w:t>
      </w:r>
      <w:r>
        <w:rPr>
          <w:rFonts w:ascii="Times New Roman" w:hAnsi="Times New Roman"/>
          <w:sz w:val="18"/>
        </w:rPr>
        <w:t>В миналото са предоставяни безвъзмездни средства съгласно Регламент (ЕС) № 258/2014 на Европейския парламент и на Съвета от 3 април 2014 г. за създаване на програма на Съюза в подкрепа на специфични дейности в областта на финансовото отчитане и одита за периода 2014—2020 г. и за отмяна на Решение № 716/2009/ЕО (ОВ L 105, 8.4.2014 г., стр. 1).</w:t>
      </w:r>
    </w:p>
  </w:footnote>
  <w:footnote w:id="4">
    <w:p w14:paraId="1DEEF69E" w14:textId="77777777" w:rsidR="00DC1D59" w:rsidRPr="008308D1" w:rsidRDefault="00DC1D59" w:rsidP="00DC1D59">
      <w:pPr>
        <w:pStyle w:val="FootnoteText"/>
        <w:rPr>
          <w:rFonts w:ascii="Times New Roman" w:hAnsi="Times New Roman"/>
          <w:sz w:val="18"/>
          <w:szCs w:val="18"/>
        </w:rPr>
      </w:pPr>
      <w:r>
        <w:rPr>
          <w:rStyle w:val="FootnoteReference"/>
          <w:rFonts w:ascii="Times New Roman" w:hAnsi="Times New Roman"/>
          <w:sz w:val="18"/>
        </w:rPr>
        <w:footnoteRef/>
      </w:r>
      <w:r>
        <w:t xml:space="preserve"> </w:t>
      </w:r>
      <w:r w:rsidRPr="008308D1">
        <w:rPr>
          <w:rFonts w:ascii="Times New Roman" w:hAnsi="Times New Roman"/>
          <w:sz w:val="18"/>
          <w:szCs w:val="18"/>
        </w:rPr>
        <w:t>ОВ L 243, 11.9.2002 г., стр. 1.</w:t>
      </w:r>
    </w:p>
  </w:footnote>
  <w:footnote w:id="5">
    <w:p w14:paraId="7377D14E" w14:textId="77777777" w:rsidR="00DC1D59" w:rsidRPr="008308D1" w:rsidRDefault="00DC1D59" w:rsidP="00DC1D59">
      <w:pPr>
        <w:pStyle w:val="FootnoteText"/>
        <w:ind w:left="142" w:hanging="142"/>
        <w:jc w:val="both"/>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sidRPr="008308D1">
        <w:rPr>
          <w:rFonts w:ascii="Times New Roman" w:hAnsi="Times New Roman"/>
          <w:sz w:val="18"/>
          <w:szCs w:val="18"/>
        </w:rPr>
        <w:t>Контролният съвет, на който Комисията е член, се състои от публични органи, които отговарят за определянето на формата и съдържанието на финансовото отчитане.</w:t>
      </w:r>
    </w:p>
  </w:footnote>
  <w:footnote w:id="6">
    <w:p w14:paraId="56A5893B" w14:textId="3F7C6610" w:rsidR="00DC1D59" w:rsidRPr="00B67586" w:rsidRDefault="00DC1D59" w:rsidP="00DC1D59">
      <w:pPr>
        <w:pStyle w:val="FootnoteText"/>
        <w:ind w:left="142" w:hanging="142"/>
        <w:rPr>
          <w:sz w:val="18"/>
          <w:szCs w:val="18"/>
        </w:rPr>
      </w:pPr>
      <w:r>
        <w:rPr>
          <w:rStyle w:val="FootnoteReference"/>
        </w:rPr>
        <w:footnoteRef/>
      </w:r>
      <w:r>
        <w:t xml:space="preserve"> </w:t>
      </w:r>
      <w:r w:rsidRPr="00B67586">
        <w:rPr>
          <w:rFonts w:ascii="Times New Roman" w:hAnsi="Times New Roman"/>
          <w:sz w:val="18"/>
          <w:szCs w:val="18"/>
        </w:rPr>
        <w:t>Предоставеното от Европейския съюз финансиране подпомага също така своевременното актуализиране на таксономията по МСФО, която на свой ред се използва при единния европейски електронен формат за отчитане.</w:t>
      </w:r>
    </w:p>
  </w:footnote>
  <w:footnote w:id="7">
    <w:p w14:paraId="278E8BDB" w14:textId="77777777" w:rsidR="00DC1D59" w:rsidRPr="00B67586" w:rsidRDefault="00DC1D59" w:rsidP="00DC1D59">
      <w:pPr>
        <w:pStyle w:val="FootnoteText"/>
        <w:ind w:left="142" w:hanging="142"/>
        <w:rPr>
          <w:rFonts w:ascii="Times New Roman" w:hAnsi="Times New Roman"/>
        </w:rPr>
      </w:pPr>
      <w:r>
        <w:rPr>
          <w:rStyle w:val="FootnoteReference"/>
          <w:rFonts w:ascii="Times New Roman" w:hAnsi="Times New Roman"/>
          <w:sz w:val="18"/>
        </w:rPr>
        <w:footnoteRef/>
      </w:r>
      <w:r>
        <w:rPr>
          <w:rFonts w:ascii="Times New Roman" w:hAnsi="Times New Roman"/>
          <w:sz w:val="18"/>
        </w:rPr>
        <w:t xml:space="preserve"> </w:t>
      </w:r>
      <w:r w:rsidRPr="00B67586">
        <w:rPr>
          <w:rFonts w:ascii="Times New Roman" w:hAnsi="Times New Roman"/>
          <w:sz w:val="18"/>
          <w:szCs w:val="18"/>
        </w:rPr>
        <w:t xml:space="preserve">Работен план на Фондацията за МСФО: </w:t>
      </w:r>
      <w:hyperlink r:id="rId1" w:history="1">
        <w:r w:rsidRPr="00B67586">
          <w:rPr>
            <w:rStyle w:val="Hyperlink"/>
            <w:rFonts w:ascii="Times New Roman" w:hAnsi="Times New Roman"/>
            <w:sz w:val="18"/>
            <w:szCs w:val="18"/>
          </w:rPr>
          <w:t>https://www.ifrs.org/projects/work-plan/</w:t>
        </w:r>
      </w:hyperlink>
      <w:r w:rsidRPr="00B67586">
        <w:rPr>
          <w:rFonts w:ascii="Times New Roman" w:hAnsi="Times New Roman"/>
          <w:sz w:val="18"/>
          <w:szCs w:val="18"/>
        </w:rPr>
        <w:t xml:space="preserve">; и приключени проекти: </w:t>
      </w:r>
      <w:hyperlink r:id="rId2" w:history="1">
        <w:r w:rsidRPr="00B67586">
          <w:rPr>
            <w:rStyle w:val="Hyperlink"/>
            <w:rFonts w:ascii="Times New Roman" w:hAnsi="Times New Roman"/>
            <w:sz w:val="18"/>
            <w:szCs w:val="18"/>
          </w:rPr>
          <w:t>https://www.ifrs.org/projects/completed-projects/</w:t>
        </w:r>
      </w:hyperlink>
      <w:r w:rsidRPr="00B67586">
        <w:rPr>
          <w:rFonts w:ascii="Times New Roman" w:hAnsi="Times New Roman"/>
        </w:rPr>
        <w:t>.</w:t>
      </w:r>
    </w:p>
  </w:footnote>
  <w:footnote w:id="8">
    <w:p w14:paraId="229807DC" w14:textId="4D407B8F" w:rsidR="00DC1D59" w:rsidRPr="0020101C" w:rsidRDefault="00DC1D59" w:rsidP="00DC1D59">
      <w:pPr>
        <w:pStyle w:val="FootnoteText"/>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sidRPr="00B67586">
        <w:rPr>
          <w:rFonts w:ascii="Times New Roman" w:hAnsi="Times New Roman"/>
          <w:sz w:val="18"/>
          <w:szCs w:val="18"/>
        </w:rPr>
        <w:t xml:space="preserve">Работен план на Фондацията за МСФО: </w:t>
      </w:r>
      <w:hyperlink r:id="rId3" w:history="1">
        <w:r w:rsidRPr="00B67586">
          <w:rPr>
            <w:rStyle w:val="Hyperlink"/>
            <w:rFonts w:ascii="Times New Roman" w:hAnsi="Times New Roman"/>
            <w:sz w:val="18"/>
            <w:szCs w:val="18"/>
          </w:rPr>
          <w:t>https://www.ifrs.org/projects/work-plan/</w:t>
        </w:r>
      </w:hyperlink>
      <w:r w:rsidRPr="00B67586">
        <w:rPr>
          <w:rFonts w:ascii="Times New Roman" w:hAnsi="Times New Roman"/>
          <w:sz w:val="18"/>
          <w:szCs w:val="18"/>
        </w:rPr>
        <w:t xml:space="preserve">; и приключени проекти: </w:t>
      </w:r>
      <w:hyperlink r:id="rId4" w:history="1">
        <w:r w:rsidRPr="00B67586">
          <w:rPr>
            <w:rStyle w:val="Hyperlink"/>
            <w:rFonts w:ascii="Times New Roman" w:hAnsi="Times New Roman"/>
            <w:sz w:val="18"/>
            <w:szCs w:val="18"/>
          </w:rPr>
          <w:t>https://www.ifrs.org/projects/completed-projects/</w:t>
        </w:r>
      </w:hyperlink>
      <w:r>
        <w:rPr>
          <w:rFonts w:ascii="Times New Roman" w:hAnsi="Times New Roman"/>
          <w:sz w:val="18"/>
        </w:rPr>
        <w:t>.</w:t>
      </w:r>
    </w:p>
  </w:footnote>
  <w:footnote w:id="9">
    <w:p w14:paraId="3D723859" w14:textId="77777777" w:rsidR="00DC1D59" w:rsidRPr="00AB768F" w:rsidRDefault="00DC1D59" w:rsidP="00DC1D59">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rPr>
        <w:t xml:space="preserve"> </w:t>
      </w:r>
      <w:hyperlink r:id="rId5" w:history="1">
        <w:r>
          <w:rPr>
            <w:rStyle w:val="Hyperlink"/>
            <w:rFonts w:ascii="Times New Roman" w:hAnsi="Times New Roman"/>
            <w:sz w:val="18"/>
          </w:rPr>
          <w:t>https://www.ifrs.org/groups/international-accounting-standards-board/stakeholder-engagement-register/</w:t>
        </w:r>
      </w:hyperlink>
      <w:r>
        <w:rPr>
          <w:rFonts w:ascii="Times New Roman" w:hAnsi="Times New Roman"/>
          <w:sz w:val="18"/>
        </w:rPr>
        <w:t>.</w:t>
      </w:r>
    </w:p>
  </w:footnote>
  <w:footnote w:id="10">
    <w:p w14:paraId="5B8D4A2E" w14:textId="43A073DF" w:rsidR="003E4C3D" w:rsidRPr="00567A36" w:rsidRDefault="003E4C3D" w:rsidP="00567A36">
      <w:pPr>
        <w:pStyle w:val="FootnoteText"/>
        <w:jc w:val="both"/>
      </w:pPr>
      <w:r>
        <w:rPr>
          <w:rStyle w:val="FootnoteReference"/>
          <w:rFonts w:ascii="Times New Roman" w:hAnsi="Times New Roman"/>
          <w:color w:val="000000" w:themeColor="text1"/>
          <w:sz w:val="18"/>
          <w:szCs w:val="18"/>
        </w:rPr>
        <w:footnoteRef/>
      </w:r>
      <w:r>
        <w:rPr>
          <w:rFonts w:ascii="Times New Roman" w:hAnsi="Times New Roman"/>
          <w:color w:val="000000" w:themeColor="text1"/>
        </w:rPr>
        <w:t xml:space="preserve"> </w:t>
      </w:r>
      <w:r>
        <w:rPr>
          <w:rFonts w:ascii="Times New Roman" w:hAnsi="Times New Roman"/>
          <w:color w:val="000000" w:themeColor="text1"/>
          <w:sz w:val="18"/>
          <w:shd w:val="clear" w:color="auto" w:fill="FFFFFF"/>
        </w:rPr>
        <w:t>Фондацията за отчитане на стойността беше световна организация с нестопанска цел, която предлагаше цялостен набор от ресурси, предназначени да помогнат на предприятията и инвеститорите да постигнат общо разбиране за стойността на предприятията и начините, по които тя се създава, съхранява или губи с течение на времето.</w:t>
      </w:r>
    </w:p>
  </w:footnote>
  <w:footnote w:id="11">
    <w:p w14:paraId="413784C5" w14:textId="77777777" w:rsidR="000C0687" w:rsidRPr="00B67586" w:rsidRDefault="000C0687" w:rsidP="000C0687">
      <w:pPr>
        <w:pStyle w:val="FootnoteText"/>
        <w:rPr>
          <w:rFonts w:ascii="Times New Roman" w:hAnsi="Times New Roman"/>
          <w:sz w:val="18"/>
          <w:szCs w:val="18"/>
        </w:rPr>
      </w:pPr>
      <w:r>
        <w:rPr>
          <w:rStyle w:val="FootnoteReference"/>
          <w:rFonts w:ascii="Times New Roman" w:hAnsi="Times New Roman"/>
          <w:sz w:val="18"/>
        </w:rPr>
        <w:footnoteRef/>
      </w:r>
      <w:r>
        <w:t xml:space="preserve"> </w:t>
      </w:r>
      <w:r w:rsidRPr="00B67586">
        <w:rPr>
          <w:rFonts w:ascii="Times New Roman" w:hAnsi="Times New Roman"/>
          <w:sz w:val="18"/>
          <w:szCs w:val="18"/>
        </w:rPr>
        <w:t>Вж. бележка под линия 4.</w:t>
      </w:r>
    </w:p>
  </w:footnote>
  <w:footnote w:id="12">
    <w:p w14:paraId="48741C9F" w14:textId="1BF7D340" w:rsidR="007F5618" w:rsidRPr="003E73A3" w:rsidRDefault="007F5618" w:rsidP="007F5618">
      <w:pPr>
        <w:pStyle w:val="FootnoteText"/>
        <w:rPr>
          <w:rFonts w:ascii="Times New Roman" w:hAnsi="Times New Roman"/>
        </w:rPr>
      </w:pPr>
      <w:r>
        <w:rPr>
          <w:rStyle w:val="FootnoteReference"/>
          <w:rFonts w:ascii="Times New Roman" w:hAnsi="Times New Roman"/>
          <w:sz w:val="18"/>
        </w:rPr>
        <w:footnoteRef/>
      </w:r>
      <w:hyperlink r:id="rId6" w:history="1">
        <w:r>
          <w:rPr>
            <w:rStyle w:val="Hyperlink"/>
            <w:rFonts w:ascii="Times New Roman" w:hAnsi="Times New Roman"/>
            <w:sz w:val="18"/>
          </w:rPr>
          <w:t>https://www.efrag.org/Assets/Download?assetUrl=/sites/webpublishing/SiteAssets/210512%2520Commissioner%2520McGuinness%2520to%2520EFRAG%2520on%2520sustainability.pdf</w:t>
        </w:r>
      </w:hyperlink>
      <w:r>
        <w:rPr>
          <w:rFonts w:ascii="Times New Roman" w:hAnsi="Times New Roman"/>
          <w:sz w:val="18"/>
        </w:rPr>
        <w:t xml:space="preserve"> </w:t>
      </w:r>
    </w:p>
  </w:footnote>
  <w:footnote w:id="13">
    <w:p w14:paraId="0CF75B0D" w14:textId="77777777" w:rsidR="001528B3" w:rsidRPr="00963B85" w:rsidRDefault="001528B3" w:rsidP="001528B3">
      <w:pPr>
        <w:pStyle w:val="FootnoteText"/>
      </w:pPr>
      <w:r>
        <w:rPr>
          <w:rStyle w:val="FootnoteReference"/>
        </w:rPr>
        <w:footnoteRef/>
      </w:r>
      <w:r>
        <w:t xml:space="preserve"> </w:t>
      </w:r>
      <w:r>
        <w:rPr>
          <w:rFonts w:ascii="Times New Roman" w:hAnsi="Times New Roman"/>
          <w:sz w:val="18"/>
        </w:rPr>
        <w:t>OВ L322,16.12.2022 г., стр. 15.</w:t>
      </w:r>
    </w:p>
  </w:footnote>
  <w:footnote w:id="14">
    <w:p w14:paraId="41310B67" w14:textId="77777777" w:rsidR="00FE3A1D" w:rsidRPr="00B67586" w:rsidRDefault="00FE3A1D" w:rsidP="00FE3A1D">
      <w:pPr>
        <w:pStyle w:val="NormalWeb"/>
        <w:shd w:val="clear" w:color="auto" w:fill="FFFFFF"/>
        <w:spacing w:before="0" w:beforeAutospacing="0" w:after="0" w:afterAutospacing="0"/>
        <w:jc w:val="both"/>
        <w:rPr>
          <w:color w:val="444444"/>
          <w:sz w:val="18"/>
          <w:szCs w:val="18"/>
        </w:rPr>
      </w:pPr>
      <w:r>
        <w:rPr>
          <w:rStyle w:val="FootnoteReference"/>
          <w:sz w:val="18"/>
          <w:szCs w:val="18"/>
        </w:rPr>
        <w:footnoteRef/>
      </w:r>
      <w:r>
        <w:rPr>
          <w:sz w:val="18"/>
        </w:rPr>
        <w:t xml:space="preserve"> </w:t>
      </w:r>
      <w:r w:rsidRPr="00B67586">
        <w:rPr>
          <w:sz w:val="18"/>
          <w:szCs w:val="18"/>
        </w:rPr>
        <w:t>Предложение за Директива на Европейския парламент и на Съвета за изменение на Директива 2013/34/ЕС, Директива 2004/109/ЕО, Директива 2006/43/ЕО и Регламент (ЕС) № 537/2014 относно отчитането на предприятията във връзка с устойчивостта, COM/2021/189 final.</w:t>
      </w:r>
    </w:p>
  </w:footnote>
  <w:footnote w:id="15">
    <w:p w14:paraId="443E5770" w14:textId="2D968F4D" w:rsidR="008502FB" w:rsidRPr="00B67586" w:rsidRDefault="008502FB">
      <w:pPr>
        <w:pStyle w:val="FootnoteText"/>
        <w:rPr>
          <w:rFonts w:ascii="Times New Roman" w:hAnsi="Times New Roman"/>
          <w:sz w:val="18"/>
          <w:szCs w:val="18"/>
        </w:rPr>
      </w:pPr>
      <w:r w:rsidRPr="00B67586">
        <w:rPr>
          <w:rStyle w:val="FootnoteReference"/>
          <w:rFonts w:ascii="Times New Roman" w:hAnsi="Times New Roman"/>
          <w:sz w:val="18"/>
          <w:szCs w:val="18"/>
        </w:rPr>
        <w:footnoteRef/>
      </w:r>
      <w:r w:rsidRPr="00B67586">
        <w:rPr>
          <w:rFonts w:ascii="Times New Roman" w:hAnsi="Times New Roman"/>
          <w:sz w:val="18"/>
          <w:szCs w:val="18"/>
        </w:rPr>
        <w:t xml:space="preserve"> Директива (ЕС) 2022/2464 на Европейския парламент и на Съвета от 14 декември 2022 г. за изменение на Регламент (ЕС) № 527/2014, Директива 2004/109/ЕО, Директива 2006/43/ЕО и Директива 2013/34/ЕС, по отношение на отчитането на предприятията във връзка с устойчивостта (ОВ L 322, 16.12.2022 г., стр. 15).</w:t>
      </w:r>
    </w:p>
  </w:footnote>
  <w:footnote w:id="16">
    <w:p w14:paraId="7F565851" w14:textId="4326D87A" w:rsidR="00F93CDD" w:rsidRPr="00044D08" w:rsidRDefault="00F93CDD" w:rsidP="00F93CDD">
      <w:pPr>
        <w:pStyle w:val="FootnoteText"/>
        <w:rPr>
          <w:rStyle w:val="FootnoteReference"/>
          <w:rFonts w:ascii="Times New Roman" w:hAnsi="Times New Roman"/>
          <w:sz w:val="18"/>
          <w:vertAlign w:val="baseline"/>
        </w:rPr>
      </w:pPr>
      <w:r>
        <w:rPr>
          <w:rStyle w:val="FootnoteReference"/>
          <w:rFonts w:ascii="Times New Roman" w:hAnsi="Times New Roman"/>
          <w:sz w:val="18"/>
        </w:rPr>
        <w:footnoteRef/>
      </w:r>
      <w:r>
        <w:rPr>
          <w:rFonts w:ascii="Times New Roman" w:hAnsi="Times New Roman"/>
          <w:sz w:val="18"/>
        </w:rPr>
        <w:t xml:space="preserve"> </w:t>
      </w:r>
      <w:hyperlink r:id="rId7" w:history="1">
        <w:r>
          <w:rPr>
            <w:rStyle w:val="Hyperlink"/>
            <w:rFonts w:ascii="Times New Roman" w:hAnsi="Times New Roman"/>
            <w:sz w:val="18"/>
          </w:rPr>
          <w:t>https://efrag.org/lab3</w:t>
        </w:r>
      </w:hyperlink>
      <w:r>
        <w:rPr>
          <w:rFonts w:ascii="Times New Roman" w:hAnsi="Times New Roman"/>
          <w:sz w:val="18"/>
        </w:rPr>
        <w:t>.</w:t>
      </w:r>
    </w:p>
  </w:footnote>
  <w:footnote w:id="17">
    <w:p w14:paraId="2DAA6152" w14:textId="77777777" w:rsidR="00DC1D59" w:rsidRPr="00AC245F" w:rsidRDefault="00DC1D59" w:rsidP="00DC1D59">
      <w:pPr>
        <w:pStyle w:val="FootnoteText"/>
        <w:rPr>
          <w:rFonts w:ascii="Times New Roman" w:hAnsi="Times New Roman"/>
        </w:rPr>
      </w:pPr>
      <w:r>
        <w:rPr>
          <w:rStyle w:val="FootnoteReference"/>
          <w:rFonts w:ascii="Times New Roman" w:hAnsi="Times New Roman"/>
          <w:sz w:val="18"/>
        </w:rPr>
        <w:footnoteRef/>
      </w:r>
      <w:r>
        <w:rPr>
          <w:rFonts w:ascii="Times New Roman" w:hAnsi="Times New Roman"/>
          <w:sz w:val="18"/>
        </w:rPr>
        <w:t xml:space="preserve"> </w:t>
      </w:r>
      <w:hyperlink r:id="rId8" w:history="1">
        <w:r>
          <w:rPr>
            <w:rStyle w:val="Hyperlink"/>
            <w:rFonts w:ascii="Times New Roman" w:hAnsi="Times New Roman"/>
            <w:sz w:val="18"/>
          </w:rPr>
          <w:t>www.efrag.org</w:t>
        </w:r>
      </w:hyperlink>
      <w:r>
        <w:rPr>
          <w:rFonts w:ascii="Times New Roman" w:hAnsi="Times New Roman"/>
          <w:sz w:val="18"/>
        </w:rPr>
        <w:t>.</w:t>
      </w:r>
      <w:r>
        <w:rPr>
          <w:rFonts w:ascii="Times New Roman" w:hAnsi="Times New Roman"/>
          <w:sz w:val="14"/>
        </w:rPr>
        <w:t xml:space="preserve"> </w:t>
      </w:r>
    </w:p>
  </w:footnote>
  <w:footnote w:id="18">
    <w:p w14:paraId="7F0205F4" w14:textId="77777777" w:rsidR="00BA5BE4" w:rsidRPr="00873C4A" w:rsidRDefault="00BA5BE4" w:rsidP="00BA5BE4">
      <w:pPr>
        <w:pStyle w:val="FootnoteText"/>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hyperlink r:id="rId9" w:history="1">
        <w:r>
          <w:rPr>
            <w:rStyle w:val="Hyperlink"/>
            <w:rFonts w:ascii="Times New Roman" w:hAnsi="Times New Roman"/>
            <w:sz w:val="18"/>
          </w:rPr>
          <w:t>https://www.iosco.org/about/monitoring_group/pdf/2020-07-MG-Paper-Strengthening-The-International-Audit-And-Ethics-Standard-Setting-System.pdf</w:t>
        </w:r>
      </w:hyperlink>
      <w:r>
        <w:rPr>
          <w:rStyle w:val="Hyperlink"/>
          <w:rFonts w:ascii="Times New Roman" w:hAnsi="Times New Roman"/>
          <w:sz w:val="18"/>
        </w:rPr>
        <w:t>.</w:t>
      </w:r>
      <w:r>
        <w:rPr>
          <w:rFonts w:ascii="Times New Roman" w:hAnsi="Times New Roman"/>
          <w:sz w:val="18"/>
        </w:rPr>
        <w:t xml:space="preserve"> </w:t>
      </w:r>
    </w:p>
  </w:footnote>
  <w:footnote w:id="19">
    <w:p w14:paraId="0ADC8615" w14:textId="5012305C" w:rsidR="001528B3" w:rsidRPr="00CB1B24" w:rsidRDefault="001528B3">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rPr>
        <w:t xml:space="preserve">Вж. </w:t>
      </w:r>
      <w:hyperlink r:id="rId10" w:history="1">
        <w:r>
          <w:rPr>
            <w:rStyle w:val="Hyperlink"/>
            <w:rFonts w:ascii="Times New Roman" w:hAnsi="Times New Roman"/>
            <w:sz w:val="18"/>
          </w:rPr>
          <w:t>www.ethicsandaudit.org</w:t>
        </w:r>
      </w:hyperlink>
      <w:r>
        <w:rPr>
          <w:rFonts w:ascii="Times New Roman" w:hAnsi="Times New Roman"/>
          <w:sz w:val="18"/>
        </w:rPr>
        <w:t>.</w:t>
      </w:r>
    </w:p>
  </w:footnote>
  <w:footnote w:id="20">
    <w:p w14:paraId="0117B95B" w14:textId="06D6DF4F" w:rsidR="001528B3" w:rsidRPr="00CB1B24" w:rsidRDefault="001528B3">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rPr>
        <w:t xml:space="preserve"> Вж. </w:t>
      </w:r>
      <w:hyperlink r:id="rId11" w:history="1">
        <w:r>
          <w:rPr>
            <w:rStyle w:val="Hyperlink"/>
            <w:rFonts w:ascii="Times New Roman" w:hAnsi="Times New Roman"/>
            <w:sz w:val="18"/>
          </w:rPr>
          <w:t>https://piobworkshop.org</w:t>
        </w:r>
      </w:hyperlink>
      <w:r>
        <w:rPr>
          <w:rFonts w:ascii="Times New Roman" w:hAnsi="Times New Roman"/>
          <w:sz w:val="18"/>
        </w:rPr>
        <w:t>.</w:t>
      </w:r>
    </w:p>
  </w:footnote>
  <w:footnote w:id="21">
    <w:p w14:paraId="5B7DA0ED" w14:textId="77777777" w:rsidR="00DC1D59" w:rsidRPr="00E60C91" w:rsidRDefault="00DC1D59" w:rsidP="00DC1D59">
      <w:pPr>
        <w:pStyle w:val="FootnoteText"/>
        <w:rPr>
          <w:rStyle w:val="Hyperlink"/>
        </w:rPr>
      </w:pPr>
      <w:r>
        <w:rPr>
          <w:rStyle w:val="FootnoteReference"/>
          <w:rFonts w:ascii="Times New Roman" w:hAnsi="Times New Roman"/>
          <w:sz w:val="18"/>
          <w:szCs w:val="18"/>
        </w:rPr>
        <w:footnoteRef/>
      </w:r>
      <w:r>
        <w:rPr>
          <w:rFonts w:ascii="Times New Roman" w:hAnsi="Times New Roman"/>
          <w:sz w:val="18"/>
        </w:rPr>
        <w:t xml:space="preserve"> </w:t>
      </w:r>
      <w:hyperlink r:id="rId12" w:history="1">
        <w:r>
          <w:rPr>
            <w:rStyle w:val="Hyperlink"/>
            <w:rFonts w:ascii="Times New Roman" w:hAnsi="Times New Roman"/>
            <w:sz w:val="18"/>
          </w:rPr>
          <w:t>https://ipiob.org/</w:t>
        </w:r>
      </w:hyperlink>
      <w:r>
        <w:rPr>
          <w:rFonts w:ascii="Times New Roman" w:hAnsi="Times New Roman"/>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42125" w14:textId="77777777" w:rsidR="00535A9A" w:rsidRPr="00535A9A" w:rsidRDefault="00535A9A" w:rsidP="00535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3BC80" w14:textId="77777777" w:rsidR="00535A9A" w:rsidRPr="00535A9A" w:rsidRDefault="00535A9A" w:rsidP="00535A9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5BA61" w14:textId="77777777" w:rsidR="00535A9A" w:rsidRPr="00535A9A" w:rsidRDefault="00535A9A" w:rsidP="00535A9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63E2" w14:textId="77777777" w:rsidR="00DC1D59" w:rsidRDefault="00DC1D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02DA4" w14:textId="77777777" w:rsidR="00DC1D59" w:rsidRDefault="00DC1D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FF343" w14:textId="77777777" w:rsidR="00DC1D59" w:rsidRDefault="00DC1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185"/>
      </v:shape>
    </w:pict>
  </w:numPicBullet>
  <w:abstractNum w:abstractNumId="0"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5041CFA"/>
    <w:multiLevelType w:val="multilevel"/>
    <w:tmpl w:val="AF98C5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7503497"/>
    <w:multiLevelType w:val="hybridMultilevel"/>
    <w:tmpl w:val="63A40044"/>
    <w:lvl w:ilvl="0" w:tplc="080C0005">
      <w:start w:val="1"/>
      <w:numFmt w:val="bullet"/>
      <w:lvlText w:val=""/>
      <w:lvlJc w:val="left"/>
      <w:pPr>
        <w:ind w:left="1452" w:hanging="360"/>
      </w:pPr>
      <w:rPr>
        <w:rFonts w:ascii="Wingdings" w:hAnsi="Wingdings" w:hint="default"/>
      </w:rPr>
    </w:lvl>
    <w:lvl w:ilvl="1" w:tplc="08090003">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3" w15:restartNumberingAfterBreak="0">
    <w:nsid w:val="0FC40569"/>
    <w:multiLevelType w:val="hybridMultilevel"/>
    <w:tmpl w:val="3DDC9900"/>
    <w:lvl w:ilvl="0" w:tplc="A8680940">
      <w:start w:val="2"/>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3805DA"/>
    <w:multiLevelType w:val="hybridMultilevel"/>
    <w:tmpl w:val="4E4E6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946E0"/>
    <w:multiLevelType w:val="hybridMultilevel"/>
    <w:tmpl w:val="656C690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 w15:restartNumberingAfterBreak="0">
    <w:nsid w:val="22055F87"/>
    <w:multiLevelType w:val="hybridMultilevel"/>
    <w:tmpl w:val="12B62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E90B93"/>
    <w:multiLevelType w:val="multilevel"/>
    <w:tmpl w:val="4088180A"/>
    <w:lvl w:ilvl="0">
      <w:start w:val="1"/>
      <w:numFmt w:val="decimal"/>
      <w:lvlText w:val="%1."/>
      <w:lvlJc w:val="left"/>
      <w:pPr>
        <w:ind w:left="720" w:hanging="360"/>
      </w:pPr>
      <w:rPr>
        <w:rFonts w:hint="default"/>
        <w:color w:val="auto"/>
      </w:rPr>
    </w:lvl>
    <w:lvl w:ilvl="1">
      <w:start w:val="1"/>
      <w:numFmt w:val="decimal"/>
      <w:isLgl/>
      <w:lvlText w:val="%1.%2."/>
      <w:lvlJc w:val="left"/>
      <w:pPr>
        <w:ind w:left="1146" w:hanging="720"/>
      </w:pPr>
      <w:rPr>
        <w:rFonts w:hint="default"/>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800" w:hanging="144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8" w15:restartNumberingAfterBreak="0">
    <w:nsid w:val="26E90104"/>
    <w:multiLevelType w:val="hybridMultilevel"/>
    <w:tmpl w:val="4E6CEC50"/>
    <w:lvl w:ilvl="0" w:tplc="73C83AD8">
      <w:numFmt w:val="bullet"/>
      <w:lvlText w:val="•"/>
      <w:lvlJc w:val="left"/>
      <w:pPr>
        <w:ind w:left="22" w:hanging="720"/>
      </w:pPr>
      <w:rPr>
        <w:rFonts w:ascii="Calibri" w:eastAsia="Calibri" w:hAnsi="Calibri" w:cs="Calibri" w:hint="default"/>
      </w:rPr>
    </w:lvl>
    <w:lvl w:ilvl="1" w:tplc="08090003" w:tentative="1">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9" w15:restartNumberingAfterBreak="0">
    <w:nsid w:val="27285392"/>
    <w:multiLevelType w:val="multilevel"/>
    <w:tmpl w:val="E01E7708"/>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8626F24"/>
    <w:multiLevelType w:val="hybridMultilevel"/>
    <w:tmpl w:val="A726E242"/>
    <w:lvl w:ilvl="0" w:tplc="BFE413C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844214"/>
    <w:multiLevelType w:val="hybridMultilevel"/>
    <w:tmpl w:val="ACB8A3DE"/>
    <w:lvl w:ilvl="0" w:tplc="A54E218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926A4"/>
    <w:multiLevelType w:val="hybridMultilevel"/>
    <w:tmpl w:val="838E860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 w15:restartNumberingAfterBreak="0">
    <w:nsid w:val="2E676948"/>
    <w:multiLevelType w:val="multilevel"/>
    <w:tmpl w:val="2812C55C"/>
    <w:styleLink w:val="EFRAGNumbering"/>
    <w:lvl w:ilvl="0">
      <w:start w:val="1"/>
      <w:numFmt w:val="decimal"/>
      <w:pStyle w:val="Normalnumberedlevel1"/>
      <w:lvlText w:val="%1"/>
      <w:lvlJc w:val="left"/>
      <w:pPr>
        <w:ind w:left="567" w:hanging="567"/>
      </w:pPr>
      <w:rPr>
        <w:rFonts w:ascii="Arial" w:hAnsi="Arial" w:hint="default"/>
        <w:sz w:val="22"/>
      </w:rPr>
    </w:lvl>
    <w:lvl w:ilvl="1">
      <w:start w:val="1"/>
      <w:numFmt w:val="lowerLetter"/>
      <w:pStyle w:val="Normalnumberedlevel2"/>
      <w:lvlText w:val="(%2)"/>
      <w:lvlJc w:val="left"/>
      <w:pPr>
        <w:ind w:left="1134" w:hanging="567"/>
      </w:pPr>
      <w:rPr>
        <w:rFonts w:ascii="Arial" w:hAnsi="Arial" w:hint="default"/>
        <w:b w:val="0"/>
        <w:i w:val="0"/>
        <w:sz w:val="22"/>
      </w:rPr>
    </w:lvl>
    <w:lvl w:ilvl="2">
      <w:start w:val="1"/>
      <w:numFmt w:val="lowerRoman"/>
      <w:pStyle w:val="Normalnumberedlevel3"/>
      <w:lvlText w:val="(%3)"/>
      <w:lvlJc w:val="left"/>
      <w:pPr>
        <w:ind w:left="1701" w:hanging="567"/>
      </w:pPr>
      <w:rPr>
        <w:rFonts w:ascii="Arial" w:hAnsi="Arial" w:hint="default"/>
        <w:b w:val="0"/>
        <w:i w:val="0"/>
        <w:sz w:val="22"/>
      </w:rPr>
    </w:lvl>
    <w:lvl w:ilvl="3">
      <w:start w:val="1"/>
      <w:numFmt w:val="bullet"/>
      <w:lvlText w:val=""/>
      <w:lvlJc w:val="left"/>
      <w:pPr>
        <w:tabs>
          <w:tab w:val="num" w:pos="2835"/>
        </w:tabs>
        <w:ind w:left="2268" w:hanging="567"/>
      </w:pPr>
      <w:rPr>
        <w:rFonts w:ascii="Symbol" w:hAnsi="Symbol" w:hint="default"/>
        <w:b w:val="0"/>
        <w:i w:val="0"/>
        <w:sz w:val="22"/>
      </w:rPr>
    </w:lvl>
    <w:lvl w:ilvl="4">
      <w:start w:val="1"/>
      <w:numFmt w:val="lowerLetter"/>
      <w:lvlText w:val="(%5)"/>
      <w:lvlJc w:val="left"/>
      <w:pPr>
        <w:ind w:left="2835" w:hanging="567"/>
      </w:pPr>
      <w:rPr>
        <w:rFonts w:ascii="Arial" w:hAnsi="Arial" w:hint="default"/>
        <w:b/>
        <w:i w:val="0"/>
        <w:sz w:val="22"/>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35495D1D"/>
    <w:multiLevelType w:val="hybridMultilevel"/>
    <w:tmpl w:val="E0D4B678"/>
    <w:lvl w:ilvl="0" w:tplc="BFE413C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E5216A"/>
    <w:multiLevelType w:val="hybridMultilevel"/>
    <w:tmpl w:val="1A9AEF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F1410C"/>
    <w:multiLevelType w:val="hybridMultilevel"/>
    <w:tmpl w:val="57FA9792"/>
    <w:lvl w:ilvl="0" w:tplc="080C0005">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7" w15:restartNumberingAfterBreak="0">
    <w:nsid w:val="3A645BC6"/>
    <w:multiLevelType w:val="hybridMultilevel"/>
    <w:tmpl w:val="5C26A810"/>
    <w:lvl w:ilvl="0" w:tplc="3EFEE1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C32ECD"/>
    <w:multiLevelType w:val="multilevel"/>
    <w:tmpl w:val="5B4871FE"/>
    <w:lvl w:ilvl="0">
      <w:start w:val="1"/>
      <w:numFmt w:val="decimal"/>
      <w:lvlText w:val="%1."/>
      <w:lvlJc w:val="left"/>
      <w:pPr>
        <w:ind w:left="1778" w:hanging="360"/>
      </w:pPr>
      <w:rPr>
        <w:rFonts w:ascii="Times New Roman" w:hAnsi="Times New Roman"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943EDD"/>
    <w:multiLevelType w:val="multilevel"/>
    <w:tmpl w:val="9D3EC58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355"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EC2F27"/>
    <w:multiLevelType w:val="hybridMultilevel"/>
    <w:tmpl w:val="66007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696BA1"/>
    <w:multiLevelType w:val="hybridMultilevel"/>
    <w:tmpl w:val="ACB64C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B9021A2"/>
    <w:multiLevelType w:val="hybridMultilevel"/>
    <w:tmpl w:val="0C78BFEA"/>
    <w:lvl w:ilvl="0" w:tplc="55DC5CDA">
      <w:start w:val="1"/>
      <w:numFmt w:val="bullet"/>
      <w:lvlText w:val="-"/>
      <w:lvlJc w:val="left"/>
      <w:pPr>
        <w:ind w:left="360" w:hanging="360"/>
      </w:pPr>
      <w:rPr>
        <w:rFonts w:ascii="EC Square Sans Pro" w:hAnsi="EC Square Sans Pro"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3" w15:restartNumberingAfterBreak="0">
    <w:nsid w:val="4DAD2746"/>
    <w:multiLevelType w:val="hybridMultilevel"/>
    <w:tmpl w:val="785AB8E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4" w15:restartNumberingAfterBreak="0">
    <w:nsid w:val="4E607DFD"/>
    <w:multiLevelType w:val="hybridMultilevel"/>
    <w:tmpl w:val="550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B33C63"/>
    <w:multiLevelType w:val="hybridMultilevel"/>
    <w:tmpl w:val="E8E89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B6388A"/>
    <w:multiLevelType w:val="multilevel"/>
    <w:tmpl w:val="EC9E2C72"/>
    <w:lvl w:ilvl="0">
      <w:start w:val="1"/>
      <w:numFmt w:val="decimal"/>
      <w:pStyle w:val="Normalnumbered"/>
      <w:lvlText w:val="%1"/>
      <w:lvlJc w:val="left"/>
      <w:pPr>
        <w:ind w:left="562" w:hanging="562"/>
      </w:pPr>
      <w:rPr>
        <w:rFonts w:ascii="Arial" w:hAnsi="Arial" w:hint="default"/>
        <w:i w:val="0"/>
        <w:sz w:val="22"/>
      </w:rPr>
    </w:lvl>
    <w:lvl w:ilvl="1">
      <w:start w:val="1"/>
      <w:numFmt w:val="bullet"/>
      <w:lvlText w:val=""/>
      <w:lvlJc w:val="left"/>
      <w:pPr>
        <w:ind w:left="1128" w:hanging="561"/>
      </w:pPr>
      <w:rPr>
        <w:rFonts w:ascii="Symbol" w:hAnsi="Symbol" w:hint="default"/>
        <w:b w:val="0"/>
        <w:i w:val="0"/>
        <w:sz w:val="22"/>
      </w:rPr>
    </w:lvl>
    <w:lvl w:ilvl="2">
      <w:start w:val="1"/>
      <w:numFmt w:val="lowerRoman"/>
      <w:lvlText w:val="(%3)"/>
      <w:lvlJc w:val="left"/>
      <w:pPr>
        <w:tabs>
          <w:tab w:val="num" w:pos="1224"/>
        </w:tabs>
        <w:ind w:left="1685" w:hanging="562"/>
      </w:pPr>
      <w:rPr>
        <w:rFonts w:ascii="Arial" w:hAnsi="Arial" w:hint="default"/>
        <w:b w:val="0"/>
        <w:i w:val="0"/>
        <w:sz w:val="22"/>
      </w:rPr>
    </w:lvl>
    <w:lvl w:ilvl="3">
      <w:start w:val="1"/>
      <w:numFmt w:val="bullet"/>
      <w:lvlText w:val=""/>
      <w:lvlJc w:val="left"/>
      <w:pPr>
        <w:tabs>
          <w:tab w:val="num" w:pos="1701"/>
        </w:tabs>
        <w:ind w:left="2262" w:hanging="561"/>
      </w:pPr>
      <w:rPr>
        <w:rFonts w:ascii="Symbol" w:hAnsi="Symbol" w:hint="default"/>
        <w:b w:val="0"/>
        <w:i w:val="0"/>
        <w:sz w:val="22"/>
      </w:rPr>
    </w:lvl>
    <w:lvl w:ilvl="4">
      <w:start w:val="1"/>
      <w:numFmt w:val="lowerLetter"/>
      <w:lvlText w:val="(%5)"/>
      <w:lvlJc w:val="left"/>
      <w:pPr>
        <w:ind w:left="561" w:hanging="561"/>
      </w:pPr>
      <w:rPr>
        <w:rFonts w:ascii="Arial" w:hAnsi="Arial"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1732254"/>
    <w:multiLevelType w:val="hybridMultilevel"/>
    <w:tmpl w:val="79368098"/>
    <w:lvl w:ilvl="0" w:tplc="8B022C78">
      <w:start w:val="1"/>
      <w:numFmt w:val="bullet"/>
      <w:lvlText w:val=""/>
      <w:lvlJc w:val="left"/>
      <w:pPr>
        <w:ind w:left="360" w:hanging="360"/>
      </w:pPr>
      <w:rPr>
        <w:rFonts w:ascii="Webdings" w:hAnsi="Webdings" w:hint="default"/>
        <w:lang w:val="en-GB"/>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33A5AA8"/>
    <w:multiLevelType w:val="hybridMultilevel"/>
    <w:tmpl w:val="4A3AF16E"/>
    <w:lvl w:ilvl="0" w:tplc="08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920C33"/>
    <w:multiLevelType w:val="hybridMultilevel"/>
    <w:tmpl w:val="E90C316E"/>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D6C76D0"/>
    <w:multiLevelType w:val="hybridMultilevel"/>
    <w:tmpl w:val="CA4AF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8"/>
  </w:num>
  <w:num w:numId="4">
    <w:abstractNumId w:val="0"/>
  </w:num>
  <w:num w:numId="5">
    <w:abstractNumId w:val="21"/>
  </w:num>
  <w:num w:numId="6">
    <w:abstractNumId w:val="19"/>
  </w:num>
  <w:num w:numId="7">
    <w:abstractNumId w:val="18"/>
  </w:num>
  <w:num w:numId="8">
    <w:abstractNumId w:val="9"/>
  </w:num>
  <w:num w:numId="9">
    <w:abstractNumId w:val="16"/>
  </w:num>
  <w:num w:numId="10">
    <w:abstractNumId w:val="24"/>
  </w:num>
  <w:num w:numId="11">
    <w:abstractNumId w:val="25"/>
  </w:num>
  <w:num w:numId="12">
    <w:abstractNumId w:val="11"/>
  </w:num>
  <w:num w:numId="13">
    <w:abstractNumId w:val="2"/>
  </w:num>
  <w:num w:numId="14">
    <w:abstractNumId w:val="6"/>
  </w:num>
  <w:num w:numId="15">
    <w:abstractNumId w:val="14"/>
  </w:num>
  <w:num w:numId="16">
    <w:abstractNumId w:val="27"/>
  </w:num>
  <w:num w:numId="17">
    <w:abstractNumId w:val="26"/>
  </w:num>
  <w:num w:numId="18">
    <w:abstractNumId w:val="15"/>
  </w:num>
  <w:num w:numId="19">
    <w:abstractNumId w:val="17"/>
  </w:num>
  <w:num w:numId="20">
    <w:abstractNumId w:val="28"/>
  </w:num>
  <w:num w:numId="21">
    <w:abstractNumId w:val="1"/>
  </w:num>
  <w:num w:numId="22">
    <w:abstractNumId w:val="10"/>
  </w:num>
  <w:num w:numId="23">
    <w:abstractNumId w:val="4"/>
  </w:num>
  <w:num w:numId="24">
    <w:abstractNumId w:val="30"/>
  </w:num>
  <w:num w:numId="25">
    <w:abstractNumId w:val="29"/>
  </w:num>
  <w:num w:numId="26">
    <w:abstractNumId w:val="22"/>
  </w:num>
  <w:num w:numId="27">
    <w:abstractNumId w:val="5"/>
  </w:num>
  <w:num w:numId="28">
    <w:abstractNumId w:val="12"/>
  </w:num>
  <w:num w:numId="29">
    <w:abstractNumId w:val="23"/>
  </w:num>
  <w:num w:numId="30">
    <w:abstractNumId w:val="3"/>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7675DEB5-E2EA-495D-B20B-9181E9AA295A"/>
    <w:docVar w:name="LW_COVERPAGE_TYPE" w:val="1"/>
    <w:docVar w:name="LW_CROSSREFERENCE" w:val="&lt;UNUSED&gt;"/>
    <w:docVar w:name="LW_DocType" w:val="NORMAL"/>
    <w:docVar w:name="LW_EMISSION" w:val="20.11.2023"/>
    <w:docVar w:name="LW_EMISSION_ISODATE" w:val="2023-11-20"/>
    <w:docVar w:name="LW_EMISSION_LOCATION" w:val="BRX"/>
    <w:docVar w:name="LW_EMISSION_PREFIX" w:val="\u1041?\u1088?\u1102?\u1082?\u1089?\u1077?\u1083?, "/>
    <w:docVar w:name="LW_EMISSION_SUFFIX" w:val=" \u1075?."/>
    <w:docVar w:name="LW_ID_DOCTYPE_NONLW" w:val="CP-006"/>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3) 71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относно дейностите на Фондацията за международните стандарти за финансово отчитане, Европейската консултативна група за финансова отчетност и Надзорния съвет за отчитане и отразяване на обществения интерес през 2022 г."/>
    <w:docVar w:name="LW_TYPE.DOC.CP" w:val="ДОКЛАД НА КОМИСИЯТА ДО ЕВРОПЕЙСКИЯ ПАРЛАМЕНТ И СЪВЕТА"/>
    <w:docVar w:name="LwApiVersions" w:val="LW4CoDe 1.23.2.0; LW 8.0, Build 20211117"/>
  </w:docVars>
  <w:rsids>
    <w:rsidRoot w:val="00DC1D59"/>
    <w:rsid w:val="000043F0"/>
    <w:rsid w:val="00015B69"/>
    <w:rsid w:val="000233DF"/>
    <w:rsid w:val="00023EB0"/>
    <w:rsid w:val="00041CFF"/>
    <w:rsid w:val="00044D08"/>
    <w:rsid w:val="00050B75"/>
    <w:rsid w:val="0007211A"/>
    <w:rsid w:val="000745AB"/>
    <w:rsid w:val="00075B17"/>
    <w:rsid w:val="000819DF"/>
    <w:rsid w:val="00085FE6"/>
    <w:rsid w:val="00094A0E"/>
    <w:rsid w:val="000B0E5B"/>
    <w:rsid w:val="000C0687"/>
    <w:rsid w:val="000C2161"/>
    <w:rsid w:val="000C6A52"/>
    <w:rsid w:val="000D21E6"/>
    <w:rsid w:val="000D45A0"/>
    <w:rsid w:val="000E75D8"/>
    <w:rsid w:val="000F1BD6"/>
    <w:rsid w:val="0010064D"/>
    <w:rsid w:val="001038F0"/>
    <w:rsid w:val="001069A1"/>
    <w:rsid w:val="00117A16"/>
    <w:rsid w:val="00121F17"/>
    <w:rsid w:val="001326BE"/>
    <w:rsid w:val="001332EB"/>
    <w:rsid w:val="001528B3"/>
    <w:rsid w:val="0016140C"/>
    <w:rsid w:val="001823D5"/>
    <w:rsid w:val="0019165F"/>
    <w:rsid w:val="00196C1D"/>
    <w:rsid w:val="001B0B15"/>
    <w:rsid w:val="001B1067"/>
    <w:rsid w:val="001C6BEC"/>
    <w:rsid w:val="0020101C"/>
    <w:rsid w:val="00214754"/>
    <w:rsid w:val="002152EB"/>
    <w:rsid w:val="0024146B"/>
    <w:rsid w:val="002449CA"/>
    <w:rsid w:val="00287AA8"/>
    <w:rsid w:val="00290482"/>
    <w:rsid w:val="002A5C28"/>
    <w:rsid w:val="002C071D"/>
    <w:rsid w:val="002D538F"/>
    <w:rsid w:val="002F2BAC"/>
    <w:rsid w:val="00301C66"/>
    <w:rsid w:val="0032115B"/>
    <w:rsid w:val="00340C98"/>
    <w:rsid w:val="003415F3"/>
    <w:rsid w:val="00341855"/>
    <w:rsid w:val="00350F10"/>
    <w:rsid w:val="00374037"/>
    <w:rsid w:val="003A1521"/>
    <w:rsid w:val="003A3D63"/>
    <w:rsid w:val="003C021C"/>
    <w:rsid w:val="003C21DD"/>
    <w:rsid w:val="003E4C3D"/>
    <w:rsid w:val="003E4D53"/>
    <w:rsid w:val="003E73A3"/>
    <w:rsid w:val="003F6B55"/>
    <w:rsid w:val="00400076"/>
    <w:rsid w:val="00405C20"/>
    <w:rsid w:val="004137EC"/>
    <w:rsid w:val="00416668"/>
    <w:rsid w:val="00425531"/>
    <w:rsid w:val="0043268C"/>
    <w:rsid w:val="0043432C"/>
    <w:rsid w:val="00440F92"/>
    <w:rsid w:val="0045588F"/>
    <w:rsid w:val="004752FA"/>
    <w:rsid w:val="00493C1D"/>
    <w:rsid w:val="004A1231"/>
    <w:rsid w:val="004B340A"/>
    <w:rsid w:val="004B4DBF"/>
    <w:rsid w:val="004C7543"/>
    <w:rsid w:val="004C772B"/>
    <w:rsid w:val="004D1E74"/>
    <w:rsid w:val="004E7C7C"/>
    <w:rsid w:val="004F7544"/>
    <w:rsid w:val="00501CED"/>
    <w:rsid w:val="00502956"/>
    <w:rsid w:val="00526B8B"/>
    <w:rsid w:val="00535746"/>
    <w:rsid w:val="00535A9A"/>
    <w:rsid w:val="0056258B"/>
    <w:rsid w:val="00563B29"/>
    <w:rsid w:val="00567A36"/>
    <w:rsid w:val="00594DA6"/>
    <w:rsid w:val="005A6D86"/>
    <w:rsid w:val="005B0026"/>
    <w:rsid w:val="005B177F"/>
    <w:rsid w:val="005E0F0C"/>
    <w:rsid w:val="005E77F9"/>
    <w:rsid w:val="005F15C6"/>
    <w:rsid w:val="00604B29"/>
    <w:rsid w:val="006178F6"/>
    <w:rsid w:val="00621557"/>
    <w:rsid w:val="006246B4"/>
    <w:rsid w:val="00634675"/>
    <w:rsid w:val="00637757"/>
    <w:rsid w:val="006428BA"/>
    <w:rsid w:val="006465F6"/>
    <w:rsid w:val="006567BA"/>
    <w:rsid w:val="00657D6D"/>
    <w:rsid w:val="00676525"/>
    <w:rsid w:val="006B2C89"/>
    <w:rsid w:val="006B45B1"/>
    <w:rsid w:val="006B755C"/>
    <w:rsid w:val="006C16C3"/>
    <w:rsid w:val="006E70AD"/>
    <w:rsid w:val="006F586E"/>
    <w:rsid w:val="00703565"/>
    <w:rsid w:val="007166A4"/>
    <w:rsid w:val="00737011"/>
    <w:rsid w:val="00745D56"/>
    <w:rsid w:val="00760BE7"/>
    <w:rsid w:val="00770FA2"/>
    <w:rsid w:val="00780C65"/>
    <w:rsid w:val="00794612"/>
    <w:rsid w:val="007B5DCF"/>
    <w:rsid w:val="007C482B"/>
    <w:rsid w:val="007D1019"/>
    <w:rsid w:val="007D3F5F"/>
    <w:rsid w:val="007D647C"/>
    <w:rsid w:val="007D67D8"/>
    <w:rsid w:val="007E68E5"/>
    <w:rsid w:val="007F5618"/>
    <w:rsid w:val="008019D4"/>
    <w:rsid w:val="00802769"/>
    <w:rsid w:val="0081545D"/>
    <w:rsid w:val="00815BA0"/>
    <w:rsid w:val="00822733"/>
    <w:rsid w:val="008308D1"/>
    <w:rsid w:val="00841EE9"/>
    <w:rsid w:val="008502FB"/>
    <w:rsid w:val="00873C4A"/>
    <w:rsid w:val="0088751E"/>
    <w:rsid w:val="00892329"/>
    <w:rsid w:val="008A19B7"/>
    <w:rsid w:val="008A7C21"/>
    <w:rsid w:val="008B62BD"/>
    <w:rsid w:val="008E0953"/>
    <w:rsid w:val="008F1F94"/>
    <w:rsid w:val="008F3FB9"/>
    <w:rsid w:val="008F5C0B"/>
    <w:rsid w:val="00905DC5"/>
    <w:rsid w:val="009319E2"/>
    <w:rsid w:val="009506E7"/>
    <w:rsid w:val="00963B85"/>
    <w:rsid w:val="009A7804"/>
    <w:rsid w:val="009C48D4"/>
    <w:rsid w:val="009C7C61"/>
    <w:rsid w:val="009D11A5"/>
    <w:rsid w:val="009F392C"/>
    <w:rsid w:val="00A17E00"/>
    <w:rsid w:val="00A200F5"/>
    <w:rsid w:val="00A26B27"/>
    <w:rsid w:val="00A3238F"/>
    <w:rsid w:val="00A67323"/>
    <w:rsid w:val="00A67E18"/>
    <w:rsid w:val="00A67F85"/>
    <w:rsid w:val="00A82004"/>
    <w:rsid w:val="00A9300E"/>
    <w:rsid w:val="00AB1720"/>
    <w:rsid w:val="00AB707E"/>
    <w:rsid w:val="00AB768F"/>
    <w:rsid w:val="00AD11D5"/>
    <w:rsid w:val="00AF5855"/>
    <w:rsid w:val="00B13A76"/>
    <w:rsid w:val="00B270C6"/>
    <w:rsid w:val="00B36733"/>
    <w:rsid w:val="00B4593D"/>
    <w:rsid w:val="00B50AD9"/>
    <w:rsid w:val="00B67586"/>
    <w:rsid w:val="00B846C5"/>
    <w:rsid w:val="00B87FF0"/>
    <w:rsid w:val="00BA16B2"/>
    <w:rsid w:val="00BA226A"/>
    <w:rsid w:val="00BA5BE4"/>
    <w:rsid w:val="00BA7778"/>
    <w:rsid w:val="00BB0CD4"/>
    <w:rsid w:val="00BB3D4C"/>
    <w:rsid w:val="00BE4CC5"/>
    <w:rsid w:val="00BF05FE"/>
    <w:rsid w:val="00C12AE4"/>
    <w:rsid w:val="00C27C9C"/>
    <w:rsid w:val="00C33315"/>
    <w:rsid w:val="00C37B76"/>
    <w:rsid w:val="00C4106F"/>
    <w:rsid w:val="00C444FA"/>
    <w:rsid w:val="00C528C5"/>
    <w:rsid w:val="00C54B7A"/>
    <w:rsid w:val="00C61F18"/>
    <w:rsid w:val="00C80D48"/>
    <w:rsid w:val="00C83D3E"/>
    <w:rsid w:val="00CA31DC"/>
    <w:rsid w:val="00CA79EE"/>
    <w:rsid w:val="00CB1B24"/>
    <w:rsid w:val="00CD7681"/>
    <w:rsid w:val="00CE348D"/>
    <w:rsid w:val="00CF17F8"/>
    <w:rsid w:val="00D045DD"/>
    <w:rsid w:val="00D30AA8"/>
    <w:rsid w:val="00D368AA"/>
    <w:rsid w:val="00D40152"/>
    <w:rsid w:val="00D72DBA"/>
    <w:rsid w:val="00D85D66"/>
    <w:rsid w:val="00D8674A"/>
    <w:rsid w:val="00D87CCE"/>
    <w:rsid w:val="00DB2279"/>
    <w:rsid w:val="00DC1D59"/>
    <w:rsid w:val="00DD155E"/>
    <w:rsid w:val="00DD5C18"/>
    <w:rsid w:val="00DE3CDE"/>
    <w:rsid w:val="00DE6B79"/>
    <w:rsid w:val="00E07DEA"/>
    <w:rsid w:val="00E30127"/>
    <w:rsid w:val="00E52E5F"/>
    <w:rsid w:val="00E56EF8"/>
    <w:rsid w:val="00E61B04"/>
    <w:rsid w:val="00E66E3B"/>
    <w:rsid w:val="00E84B10"/>
    <w:rsid w:val="00E87772"/>
    <w:rsid w:val="00E92645"/>
    <w:rsid w:val="00EB3F18"/>
    <w:rsid w:val="00EC0C96"/>
    <w:rsid w:val="00EC4BDC"/>
    <w:rsid w:val="00EE4BEF"/>
    <w:rsid w:val="00F02DD0"/>
    <w:rsid w:val="00F03589"/>
    <w:rsid w:val="00F05D4C"/>
    <w:rsid w:val="00F268F4"/>
    <w:rsid w:val="00F40CB3"/>
    <w:rsid w:val="00F57CB5"/>
    <w:rsid w:val="00F678E5"/>
    <w:rsid w:val="00F726A7"/>
    <w:rsid w:val="00F746D0"/>
    <w:rsid w:val="00F74EFC"/>
    <w:rsid w:val="00F75E4E"/>
    <w:rsid w:val="00F80D3B"/>
    <w:rsid w:val="00F93CDD"/>
    <w:rsid w:val="00F97659"/>
    <w:rsid w:val="00FA595E"/>
    <w:rsid w:val="00FA7EC4"/>
    <w:rsid w:val="00FC6484"/>
    <w:rsid w:val="00FC6AB6"/>
    <w:rsid w:val="00FC7872"/>
    <w:rsid w:val="00FD4CC2"/>
    <w:rsid w:val="00FE334D"/>
    <w:rsid w:val="00FE3A1D"/>
    <w:rsid w:val="00FE49CD"/>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4C2FF33E"/>
  <w15:chartTrackingRefBased/>
  <w15:docId w15:val="{14E535F6-1C0B-4F16-9E78-E161E9DBD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1D59"/>
    <w:pPr>
      <w:keepNext/>
      <w:tabs>
        <w:tab w:val="num" w:pos="850"/>
      </w:tabs>
      <w:spacing w:before="240" w:after="60" w:line="276" w:lineRule="auto"/>
      <w:ind w:left="850" w:hanging="850"/>
      <w:outlineLvl w:val="0"/>
    </w:pPr>
    <w:rPr>
      <w:rFonts w:ascii="Cambria" w:eastAsia="Times New Roman" w:hAnsi="Cambria" w:cs="Times New Roman"/>
      <w:b/>
      <w:bCs/>
      <w:kern w:val="32"/>
      <w:sz w:val="32"/>
      <w:szCs w:val="32"/>
      <w:lang w:eastAsia="en-GB"/>
    </w:rPr>
  </w:style>
  <w:style w:type="paragraph" w:styleId="Heading2">
    <w:name w:val="heading 2"/>
    <w:basedOn w:val="Normal"/>
    <w:next w:val="Normal"/>
    <w:link w:val="Heading2Char"/>
    <w:uiPriority w:val="9"/>
    <w:qFormat/>
    <w:rsid w:val="00DC1D59"/>
    <w:pPr>
      <w:keepNext/>
      <w:tabs>
        <w:tab w:val="num" w:pos="850"/>
      </w:tabs>
      <w:spacing w:before="240" w:after="60" w:line="276" w:lineRule="auto"/>
      <w:ind w:left="850" w:hanging="85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DC1D59"/>
    <w:pPr>
      <w:keepNext/>
      <w:tabs>
        <w:tab w:val="num" w:pos="850"/>
      </w:tabs>
      <w:spacing w:before="240" w:after="60" w:line="276" w:lineRule="auto"/>
      <w:ind w:left="850" w:hanging="850"/>
      <w:jc w:val="both"/>
      <w:outlineLvl w:val="2"/>
    </w:pPr>
    <w:rPr>
      <w:rFonts w:ascii="Times New Roman" w:eastAsia="Times New Roman" w:hAnsi="Times New Roman" w:cs="Times New Roman"/>
      <w:b/>
      <w:bCs/>
      <w:i/>
      <w:sz w:val="24"/>
      <w:szCs w:val="20"/>
      <w:lang w:eastAsia="en-GB"/>
    </w:rPr>
  </w:style>
  <w:style w:type="paragraph" w:styleId="Heading4">
    <w:name w:val="heading 4"/>
    <w:basedOn w:val="Normal"/>
    <w:next w:val="Normal"/>
    <w:link w:val="Heading4Char"/>
    <w:qFormat/>
    <w:rsid w:val="00DC1D59"/>
    <w:pPr>
      <w:keepNext/>
      <w:tabs>
        <w:tab w:val="num" w:pos="850"/>
      </w:tabs>
      <w:spacing w:after="200" w:line="276" w:lineRule="auto"/>
      <w:ind w:left="850" w:hanging="850"/>
      <w:jc w:val="both"/>
      <w:outlineLvl w:val="3"/>
    </w:pPr>
    <w:rPr>
      <w:rFonts w:ascii="Calibri" w:eastAsia="Calibri" w:hAnsi="Calibri" w:cs="Times New Roman"/>
      <w:i/>
      <w:iCs/>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DC1D59"/>
    <w:rPr>
      <w:color w:val="0000FF"/>
      <w:shd w:val="clear" w:color="auto" w:fill="auto"/>
    </w:rPr>
  </w:style>
  <w:style w:type="paragraph" w:styleId="Header">
    <w:name w:val="header"/>
    <w:basedOn w:val="Normal"/>
    <w:link w:val="HeaderChar"/>
    <w:uiPriority w:val="99"/>
    <w:unhideWhenUsed/>
    <w:rsid w:val="00DC1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D59"/>
  </w:style>
  <w:style w:type="paragraph" w:styleId="Footer">
    <w:name w:val="footer"/>
    <w:basedOn w:val="Normal"/>
    <w:link w:val="FooterChar"/>
    <w:uiPriority w:val="99"/>
    <w:unhideWhenUsed/>
    <w:rsid w:val="00DC1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D59"/>
  </w:style>
  <w:style w:type="paragraph" w:customStyle="1" w:styleId="Pagedecouverture">
    <w:name w:val="Page de couverture"/>
    <w:basedOn w:val="Normal"/>
    <w:next w:val="Normal"/>
    <w:link w:val="PagedecouvertureChar"/>
    <w:rsid w:val="00DC1D59"/>
    <w:pPr>
      <w:spacing w:after="0" w:line="240" w:lineRule="auto"/>
      <w:jc w:val="both"/>
    </w:pPr>
    <w:rPr>
      <w:rFonts w:ascii="Times New Roman" w:hAnsi="Times New Roman" w:cs="Times New Roman"/>
      <w:sz w:val="24"/>
    </w:rPr>
  </w:style>
  <w:style w:type="paragraph" w:customStyle="1" w:styleId="Typedudocument">
    <w:name w:val="Type du document"/>
    <w:basedOn w:val="Normal"/>
    <w:next w:val="Normal"/>
    <w:rsid w:val="00DC1D59"/>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DC1D59"/>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rsid w:val="00DC1D59"/>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DC1D59"/>
    <w:rPr>
      <w:rFonts w:ascii="Times New Roman" w:hAnsi="Times New Roman" w:cs="Times New Roman"/>
      <w:sz w:val="24"/>
    </w:rPr>
  </w:style>
  <w:style w:type="character" w:customStyle="1" w:styleId="FooterCoverPageChar">
    <w:name w:val="Footer Cover Page Char"/>
    <w:basedOn w:val="PagedecouvertureChar"/>
    <w:link w:val="FooterCoverPage"/>
    <w:rsid w:val="00DC1D59"/>
    <w:rPr>
      <w:rFonts w:ascii="Times New Roman" w:hAnsi="Times New Roman" w:cs="Times New Roman"/>
      <w:sz w:val="24"/>
    </w:rPr>
  </w:style>
  <w:style w:type="paragraph" w:customStyle="1" w:styleId="FooterSensitivity">
    <w:name w:val="Footer Sensitivity"/>
    <w:basedOn w:val="Normal"/>
    <w:link w:val="FooterSensitivityChar"/>
    <w:rsid w:val="00DC1D59"/>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DC1D59"/>
    <w:rPr>
      <w:rFonts w:ascii="Times New Roman" w:hAnsi="Times New Roman" w:cs="Times New Roman"/>
      <w:b/>
      <w:sz w:val="32"/>
    </w:rPr>
  </w:style>
  <w:style w:type="paragraph" w:customStyle="1" w:styleId="HeaderCoverPage">
    <w:name w:val="Header Cover Page"/>
    <w:basedOn w:val="Normal"/>
    <w:link w:val="HeaderCoverPageChar"/>
    <w:rsid w:val="00DC1D59"/>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DC1D59"/>
    <w:rPr>
      <w:rFonts w:ascii="Times New Roman" w:hAnsi="Times New Roman" w:cs="Times New Roman"/>
      <w:sz w:val="24"/>
    </w:rPr>
  </w:style>
  <w:style w:type="paragraph" w:customStyle="1" w:styleId="HeaderSensitivity">
    <w:name w:val="Header Sensitivity"/>
    <w:basedOn w:val="Normal"/>
    <w:link w:val="HeaderSensitivityChar"/>
    <w:rsid w:val="00DC1D59"/>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DC1D59"/>
    <w:rPr>
      <w:rFonts w:ascii="Times New Roman" w:hAnsi="Times New Roman" w:cs="Times New Roman"/>
      <w:b/>
      <w:sz w:val="32"/>
    </w:rPr>
  </w:style>
  <w:style w:type="paragraph" w:customStyle="1" w:styleId="HeaderSensitivityRight">
    <w:name w:val="Header Sensitivity Right"/>
    <w:basedOn w:val="Normal"/>
    <w:link w:val="HeaderSensitivityRightChar"/>
    <w:rsid w:val="00DC1D59"/>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DC1D59"/>
    <w:rPr>
      <w:rFonts w:ascii="Times New Roman" w:hAnsi="Times New Roman" w:cs="Times New Roman"/>
      <w:sz w:val="28"/>
    </w:rPr>
  </w:style>
  <w:style w:type="character" w:customStyle="1" w:styleId="Heading1Char">
    <w:name w:val="Heading 1 Char"/>
    <w:basedOn w:val="DefaultParagraphFont"/>
    <w:link w:val="Heading1"/>
    <w:uiPriority w:val="9"/>
    <w:rsid w:val="00DC1D59"/>
    <w:rPr>
      <w:rFonts w:ascii="Cambria" w:eastAsia="Times New Roman" w:hAnsi="Cambria" w:cs="Times New Roman"/>
      <w:b/>
      <w:bCs/>
      <w:kern w:val="32"/>
      <w:sz w:val="32"/>
      <w:szCs w:val="32"/>
      <w:lang w:val="bg-BG" w:eastAsia="en-GB"/>
    </w:rPr>
  </w:style>
  <w:style w:type="character" w:customStyle="1" w:styleId="Heading2Char">
    <w:name w:val="Heading 2 Char"/>
    <w:basedOn w:val="DefaultParagraphFont"/>
    <w:link w:val="Heading2"/>
    <w:uiPriority w:val="9"/>
    <w:rsid w:val="00DC1D59"/>
    <w:rPr>
      <w:rFonts w:ascii="Cambria" w:eastAsia="Times New Roman" w:hAnsi="Cambria" w:cs="Times New Roman"/>
      <w:b/>
      <w:bCs/>
      <w:i/>
      <w:iCs/>
      <w:sz w:val="28"/>
      <w:szCs w:val="28"/>
      <w:lang w:val="bg-BG"/>
    </w:rPr>
  </w:style>
  <w:style w:type="character" w:customStyle="1" w:styleId="Heading3Char">
    <w:name w:val="Heading 3 Char"/>
    <w:basedOn w:val="DefaultParagraphFont"/>
    <w:link w:val="Heading3"/>
    <w:uiPriority w:val="9"/>
    <w:rsid w:val="00DC1D59"/>
    <w:rPr>
      <w:rFonts w:ascii="Times New Roman" w:eastAsia="Times New Roman" w:hAnsi="Times New Roman" w:cs="Times New Roman"/>
      <w:b/>
      <w:bCs/>
      <w:i/>
      <w:sz w:val="24"/>
      <w:szCs w:val="20"/>
      <w:lang w:val="bg-BG" w:eastAsia="en-GB"/>
    </w:rPr>
  </w:style>
  <w:style w:type="character" w:customStyle="1" w:styleId="Heading4Char">
    <w:name w:val="Heading 4 Char"/>
    <w:basedOn w:val="DefaultParagraphFont"/>
    <w:link w:val="Heading4"/>
    <w:rsid w:val="00DC1D59"/>
    <w:rPr>
      <w:rFonts w:ascii="Calibri" w:eastAsia="Calibri" w:hAnsi="Calibri" w:cs="Times New Roman"/>
      <w:i/>
      <w:iCs/>
      <w:lang w:val="bg-BG" w:eastAsia="en-GB"/>
    </w:rPr>
  </w:style>
  <w:style w:type="paragraph" w:styleId="Title">
    <w:name w:val="Title"/>
    <w:basedOn w:val="Normal"/>
    <w:next w:val="Normal"/>
    <w:link w:val="TitleChar1"/>
    <w:qFormat/>
    <w:rsid w:val="00DC1D59"/>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rsid w:val="00DC1D59"/>
    <w:rPr>
      <w:rFonts w:asciiTheme="majorHAnsi" w:eastAsiaTheme="majorEastAsia" w:hAnsiTheme="majorHAnsi" w:cstheme="majorBidi"/>
      <w:spacing w:val="-10"/>
      <w:kern w:val="28"/>
      <w:sz w:val="56"/>
      <w:szCs w:val="56"/>
    </w:rPr>
  </w:style>
  <w:style w:type="paragraph" w:styleId="TOCHeading">
    <w:name w:val="TOC Heading"/>
    <w:basedOn w:val="Heading1"/>
    <w:next w:val="Normal"/>
    <w:qFormat/>
    <w:rsid w:val="00DC1D59"/>
    <w:pPr>
      <w:keepLines/>
      <w:tabs>
        <w:tab w:val="clear" w:pos="850"/>
      </w:tabs>
      <w:spacing w:before="480" w:after="0"/>
      <w:ind w:left="0" w:firstLine="0"/>
      <w:outlineLvl w:val="9"/>
    </w:pPr>
    <w:rPr>
      <w:rFonts w:eastAsia="MS Gothic"/>
      <w:color w:val="365F91"/>
      <w:kern w:val="0"/>
      <w:sz w:val="28"/>
      <w:szCs w:val="28"/>
      <w:lang w:eastAsia="ja-JP"/>
    </w:rPr>
  </w:style>
  <w:style w:type="paragraph" w:styleId="TOC1">
    <w:name w:val="toc 1"/>
    <w:basedOn w:val="Normal"/>
    <w:next w:val="Normal"/>
    <w:autoRedefine/>
    <w:semiHidden/>
    <w:unhideWhenUsed/>
    <w:rsid w:val="00DC1D59"/>
    <w:pPr>
      <w:spacing w:after="200" w:line="276" w:lineRule="auto"/>
    </w:pPr>
    <w:rPr>
      <w:rFonts w:ascii="Calibri" w:eastAsia="Calibri" w:hAnsi="Calibri" w:cs="Times New Roman"/>
    </w:rPr>
  </w:style>
  <w:style w:type="paragraph" w:styleId="TOC2">
    <w:name w:val="toc 2"/>
    <w:basedOn w:val="Normal"/>
    <w:next w:val="Normal"/>
    <w:autoRedefine/>
    <w:semiHidden/>
    <w:unhideWhenUsed/>
    <w:rsid w:val="00DC1D59"/>
    <w:pPr>
      <w:spacing w:after="200" w:line="276" w:lineRule="auto"/>
      <w:ind w:left="220"/>
    </w:pPr>
    <w:rPr>
      <w:rFonts w:ascii="Calibri" w:eastAsia="Calibri" w:hAnsi="Calibri" w:cs="Times New Roman"/>
    </w:rPr>
  </w:style>
  <w:style w:type="paragraph" w:styleId="TOC3">
    <w:name w:val="toc 3"/>
    <w:basedOn w:val="Normal"/>
    <w:next w:val="Normal"/>
    <w:autoRedefine/>
    <w:semiHidden/>
    <w:unhideWhenUsed/>
    <w:rsid w:val="00DC1D59"/>
    <w:pPr>
      <w:spacing w:after="200" w:line="276" w:lineRule="auto"/>
      <w:ind w:left="440"/>
    </w:pPr>
    <w:rPr>
      <w:rFonts w:ascii="Calibri" w:eastAsia="Calibri" w:hAnsi="Calibri" w:cs="Times New Roman"/>
    </w:rPr>
  </w:style>
  <w:style w:type="character" w:styleId="Hyperlink">
    <w:name w:val="Hyperlink"/>
    <w:unhideWhenUsed/>
    <w:rsid w:val="00DC1D59"/>
    <w:rPr>
      <w:color w:val="0000FF"/>
      <w:u w:val="single"/>
    </w:rPr>
  </w:style>
  <w:style w:type="character" w:styleId="CommentReference">
    <w:name w:val="annotation reference"/>
    <w:uiPriority w:val="99"/>
    <w:unhideWhenUsed/>
    <w:rsid w:val="00DC1D59"/>
    <w:rPr>
      <w:sz w:val="16"/>
      <w:szCs w:val="16"/>
    </w:rPr>
  </w:style>
  <w:style w:type="paragraph" w:styleId="CommentText">
    <w:name w:val="annotation text"/>
    <w:basedOn w:val="Normal"/>
    <w:link w:val="CommentTextChar"/>
    <w:unhideWhenUsed/>
    <w:rsid w:val="00DC1D59"/>
    <w:pPr>
      <w:spacing w:after="200" w:line="276" w:lineRule="auto"/>
    </w:pPr>
    <w:rPr>
      <w:rFonts w:ascii="Calibri" w:eastAsia="Times New Roman" w:hAnsi="Calibri" w:cs="Times New Roman"/>
      <w:sz w:val="20"/>
      <w:szCs w:val="20"/>
      <w:lang w:eastAsia="en-GB"/>
    </w:rPr>
  </w:style>
  <w:style w:type="character" w:customStyle="1" w:styleId="CommentTextChar">
    <w:name w:val="Comment Text Char"/>
    <w:basedOn w:val="DefaultParagraphFont"/>
    <w:link w:val="CommentText"/>
    <w:rsid w:val="00DC1D59"/>
    <w:rPr>
      <w:rFonts w:ascii="Calibri" w:eastAsia="Times New Roman" w:hAnsi="Calibri" w:cs="Times New Roman"/>
      <w:sz w:val="20"/>
      <w:szCs w:val="20"/>
      <w:lang w:val="bg-BG" w:eastAsia="en-GB"/>
    </w:rPr>
  </w:style>
  <w:style w:type="paragraph" w:styleId="BalloonText">
    <w:name w:val="Balloon Text"/>
    <w:basedOn w:val="Normal"/>
    <w:link w:val="BalloonTextChar"/>
    <w:semiHidden/>
    <w:unhideWhenUsed/>
    <w:rsid w:val="00DC1D5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sid w:val="00DC1D59"/>
    <w:rPr>
      <w:rFonts w:ascii="Tahoma" w:eastAsia="Calibri" w:hAnsi="Tahoma" w:cs="Tahoma"/>
      <w:sz w:val="16"/>
      <w:szCs w:val="16"/>
      <w:lang w:val="bg-BG"/>
    </w:rPr>
  </w:style>
  <w:style w:type="paragraph" w:customStyle="1" w:styleId="footnotetext1">
    <w:name w:val="footnote text1"/>
    <w:aliases w:val="FT"/>
    <w:basedOn w:val="Normal"/>
    <w:unhideWhenUsed/>
    <w:rsid w:val="00DC1D59"/>
    <w:pPr>
      <w:spacing w:after="0" w:line="240" w:lineRule="auto"/>
    </w:pPr>
    <w:rPr>
      <w:rFonts w:ascii="Calibri" w:eastAsia="Calibri" w:hAnsi="Calibri" w:cs="Times New Roman"/>
      <w:sz w:val="20"/>
      <w:szCs w:val="20"/>
    </w:rPr>
  </w:style>
  <w:style w:type="character" w:styleId="FootnoteReference">
    <w:name w:val="footnote reference"/>
    <w:aliases w:val="Footnote,Footnote number,Footnote symbol,Footnote Reference Number,Footnote reference number,Times 10 Point,Exposant 3 Point,Footnote Reference Superscript,note TESI,SUPERS,EN Footnote Reference,Ref,de nota al pie"/>
    <w:link w:val="BVIfnrCarCarCarCarCharCharCharChar"/>
    <w:uiPriority w:val="99"/>
    <w:unhideWhenUsed/>
    <w:qFormat/>
    <w:rsid w:val="00DC1D59"/>
    <w:rPr>
      <w:vertAlign w:val="superscript"/>
    </w:rPr>
  </w:style>
  <w:style w:type="paragraph" w:customStyle="1" w:styleId="Default">
    <w:name w:val="Default"/>
    <w:rsid w:val="00DC1D59"/>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styleId="BodyText">
    <w:name w:val="Body Text"/>
    <w:basedOn w:val="Normal"/>
    <w:link w:val="BodyTextChar"/>
    <w:semiHidden/>
    <w:rsid w:val="00DC1D59"/>
    <w:pPr>
      <w:tabs>
        <w:tab w:val="left" w:pos="33"/>
        <w:tab w:val="left" w:leader="underscore" w:pos="3577"/>
        <w:tab w:val="left" w:leader="underscore" w:pos="6379"/>
        <w:tab w:val="left" w:leader="underscore" w:pos="8364"/>
      </w:tabs>
      <w:spacing w:after="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semiHidden/>
    <w:rsid w:val="00DC1D59"/>
    <w:rPr>
      <w:rFonts w:ascii="Times New Roman" w:eastAsia="Times New Roman" w:hAnsi="Times New Roman" w:cs="Times New Roman"/>
      <w:sz w:val="20"/>
      <w:szCs w:val="20"/>
      <w:lang w:val="bg-BG" w:eastAsia="en-GB"/>
    </w:rPr>
  </w:style>
  <w:style w:type="paragraph" w:styleId="CommentSubject">
    <w:name w:val="annotation subject"/>
    <w:basedOn w:val="CommentText"/>
    <w:next w:val="CommentText"/>
    <w:link w:val="CommentSubjectChar"/>
    <w:semiHidden/>
    <w:unhideWhenUsed/>
    <w:rsid w:val="00DC1D59"/>
    <w:rPr>
      <w:rFonts w:eastAsia="Calibri"/>
      <w:b/>
      <w:bCs/>
      <w:lang w:eastAsia="en-US"/>
    </w:rPr>
  </w:style>
  <w:style w:type="character" w:customStyle="1" w:styleId="CommentSubjectChar">
    <w:name w:val="Comment Subject Char"/>
    <w:basedOn w:val="CommentTextChar"/>
    <w:link w:val="CommentSubject"/>
    <w:semiHidden/>
    <w:rsid w:val="00DC1D59"/>
    <w:rPr>
      <w:rFonts w:ascii="Calibri" w:eastAsia="Calibri" w:hAnsi="Calibri" w:cs="Times New Roman"/>
      <w:b/>
      <w:bCs/>
      <w:sz w:val="20"/>
      <w:szCs w:val="20"/>
      <w:lang w:val="bg-BG" w:eastAsia="en-GB"/>
    </w:rPr>
  </w:style>
  <w:style w:type="character" w:customStyle="1" w:styleId="CommentTextChar1">
    <w:name w:val="Comment Text Char1"/>
    <w:semiHidden/>
    <w:rsid w:val="00DC1D59"/>
    <w:rPr>
      <w:rFonts w:eastAsia="Times New Roman"/>
    </w:rPr>
  </w:style>
  <w:style w:type="character" w:styleId="Emphasis">
    <w:name w:val="Emphasis"/>
    <w:uiPriority w:val="20"/>
    <w:qFormat/>
    <w:rsid w:val="00DC1D59"/>
    <w:rPr>
      <w:i/>
      <w:iCs/>
    </w:rPr>
  </w:style>
  <w:style w:type="paragraph" w:styleId="Revision">
    <w:name w:val="Revision"/>
    <w:hidden/>
    <w:semiHidden/>
    <w:rsid w:val="00DC1D59"/>
    <w:pPr>
      <w:spacing w:after="0" w:line="240" w:lineRule="auto"/>
    </w:pPr>
    <w:rPr>
      <w:rFonts w:ascii="Calibri" w:eastAsia="Calibri" w:hAnsi="Calibri" w:cs="Times New Roman"/>
    </w:rPr>
  </w:style>
  <w:style w:type="character" w:styleId="FollowedHyperlink">
    <w:name w:val="FollowedHyperlink"/>
    <w:semiHidden/>
    <w:rsid w:val="00DC1D59"/>
    <w:rPr>
      <w:color w:val="800080"/>
      <w:u w:val="single"/>
    </w:rPr>
  </w:style>
  <w:style w:type="paragraph" w:styleId="NoSpacing">
    <w:name w:val="No Spacing"/>
    <w:link w:val="NoSpacingChar"/>
    <w:uiPriority w:val="1"/>
    <w:qFormat/>
    <w:rsid w:val="00DC1D59"/>
    <w:pPr>
      <w:spacing w:after="0" w:line="240" w:lineRule="auto"/>
    </w:pPr>
    <w:rPr>
      <w:rFonts w:ascii="Calibri" w:eastAsia="MS Mincho" w:hAnsi="Calibri" w:cs="Times New Roman"/>
      <w:lang w:eastAsia="ja-JP"/>
    </w:rPr>
  </w:style>
  <w:style w:type="character" w:customStyle="1" w:styleId="NoSpacingChar">
    <w:name w:val="No Spacing Char"/>
    <w:link w:val="NoSpacing"/>
    <w:uiPriority w:val="1"/>
    <w:rsid w:val="00DC1D59"/>
    <w:rPr>
      <w:rFonts w:ascii="Calibri" w:eastAsia="MS Mincho" w:hAnsi="Calibri" w:cs="Times New Roman"/>
      <w:lang w:val="bg-BG" w:eastAsia="ja-JP"/>
    </w:rPr>
  </w:style>
  <w:style w:type="character" w:customStyle="1" w:styleId="TitleChar1">
    <w:name w:val="Title Char1"/>
    <w:link w:val="Title"/>
    <w:rsid w:val="00DC1D59"/>
    <w:rPr>
      <w:rFonts w:ascii="Cambria" w:eastAsia="Times New Roman" w:hAnsi="Cambria" w:cs="Times New Roman"/>
      <w:b/>
      <w:bCs/>
      <w:kern w:val="28"/>
      <w:sz w:val="32"/>
      <w:szCs w:val="32"/>
      <w:lang w:val="bg-BG"/>
    </w:rPr>
  </w:style>
  <w:style w:type="paragraph" w:customStyle="1" w:styleId="ManualHeading1">
    <w:name w:val="Manual Heading 1"/>
    <w:basedOn w:val="Normal"/>
    <w:next w:val="Normal"/>
    <w:rsid w:val="00DC1D59"/>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0"/>
      <w:lang w:eastAsia="en-GB"/>
    </w:rPr>
  </w:style>
  <w:style w:type="paragraph" w:customStyle="1" w:styleId="ManualHeading2">
    <w:name w:val="Manual Heading 2"/>
    <w:basedOn w:val="Normal"/>
    <w:next w:val="Normal"/>
    <w:rsid w:val="00DC1D59"/>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0"/>
      <w:lang w:eastAsia="en-GB"/>
    </w:rPr>
  </w:style>
  <w:style w:type="paragraph" w:customStyle="1" w:styleId="CM1">
    <w:name w:val="CM1"/>
    <w:basedOn w:val="Default"/>
    <w:next w:val="Default"/>
    <w:uiPriority w:val="99"/>
    <w:rsid w:val="00DC1D59"/>
    <w:rPr>
      <w:rFonts w:ascii="EUAlbertina" w:hAnsi="EUAlbertina"/>
      <w:color w:val="auto"/>
    </w:rPr>
  </w:style>
  <w:style w:type="paragraph" w:customStyle="1" w:styleId="CM3">
    <w:name w:val="CM3"/>
    <w:basedOn w:val="Default"/>
    <w:next w:val="Default"/>
    <w:uiPriority w:val="99"/>
    <w:rsid w:val="00DC1D59"/>
    <w:rPr>
      <w:rFonts w:ascii="EUAlbertina" w:hAnsi="EUAlbertina"/>
      <w:color w:val="auto"/>
    </w:rPr>
  </w:style>
  <w:style w:type="paragraph" w:customStyle="1" w:styleId="CM4">
    <w:name w:val="CM4"/>
    <w:basedOn w:val="Default"/>
    <w:next w:val="Default"/>
    <w:uiPriority w:val="99"/>
    <w:rsid w:val="00DC1D59"/>
    <w:rPr>
      <w:rFonts w:ascii="EUAlbertina" w:hAnsi="EUAlbertina"/>
      <w:color w:val="auto"/>
    </w:rPr>
  </w:style>
  <w:style w:type="paragraph" w:styleId="ListParagraph">
    <w:name w:val="List Paragraph"/>
    <w:basedOn w:val="Normal"/>
    <w:link w:val="ListParagraphChar"/>
    <w:uiPriority w:val="34"/>
    <w:qFormat/>
    <w:rsid w:val="00DC1D59"/>
    <w:pPr>
      <w:widowControl w:val="0"/>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DC1D59"/>
    <w:rPr>
      <w:rFonts w:ascii="Calibri" w:eastAsia="Calibri" w:hAnsi="Calibri" w:cs="Times New Roman"/>
      <w:lang w:val="bg-BG"/>
    </w:rPr>
  </w:style>
  <w:style w:type="paragraph" w:styleId="NormalWeb">
    <w:name w:val="Normal (Web)"/>
    <w:basedOn w:val="Normal"/>
    <w:uiPriority w:val="99"/>
    <w:unhideWhenUsed/>
    <w:rsid w:val="00DC1D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DC1D59"/>
    <w:rPr>
      <w:b/>
      <w:bCs/>
    </w:rPr>
  </w:style>
  <w:style w:type="character" w:customStyle="1" w:styleId="hvr">
    <w:name w:val="hvr"/>
    <w:rsid w:val="00DC1D59"/>
  </w:style>
  <w:style w:type="paragraph" w:customStyle="1" w:styleId="Declassification">
    <w:name w:val="Declassification"/>
    <w:basedOn w:val="Normal"/>
    <w:next w:val="Normal"/>
    <w:rsid w:val="00DC1D59"/>
    <w:pPr>
      <w:spacing w:after="0" w:line="240" w:lineRule="auto"/>
      <w:jc w:val="both"/>
    </w:pPr>
    <w:rPr>
      <w:rFonts w:ascii="Times New Roman" w:eastAsia="Calibri" w:hAnsi="Times New Roman" w:cs="Times New Roman"/>
      <w:sz w:val="24"/>
    </w:rPr>
  </w:style>
  <w:style w:type="paragraph" w:customStyle="1" w:styleId="HeaderLandscape">
    <w:name w:val="HeaderLandscape"/>
    <w:basedOn w:val="Normal"/>
    <w:rsid w:val="00DC1D59"/>
    <w:pPr>
      <w:tabs>
        <w:tab w:val="center" w:pos="7285"/>
        <w:tab w:val="right" w:pos="14003"/>
      </w:tabs>
      <w:spacing w:after="120" w:line="240" w:lineRule="auto"/>
      <w:jc w:val="both"/>
    </w:pPr>
    <w:rPr>
      <w:rFonts w:ascii="Times New Roman" w:eastAsia="Calibri" w:hAnsi="Times New Roman" w:cs="Times New Roman"/>
      <w:sz w:val="24"/>
    </w:rPr>
  </w:style>
  <w:style w:type="paragraph" w:customStyle="1" w:styleId="FooterLandscape">
    <w:name w:val="FooterLandscape"/>
    <w:basedOn w:val="Normal"/>
    <w:rsid w:val="00DC1D59"/>
    <w:pPr>
      <w:tabs>
        <w:tab w:val="center" w:pos="7285"/>
        <w:tab w:val="center" w:pos="10913"/>
        <w:tab w:val="right" w:pos="15137"/>
      </w:tabs>
      <w:spacing w:before="360" w:after="0" w:line="240" w:lineRule="auto"/>
      <w:ind w:left="-567" w:right="-567"/>
    </w:pPr>
    <w:rPr>
      <w:rFonts w:ascii="Times New Roman" w:eastAsia="Calibri" w:hAnsi="Times New Roman" w:cs="Times New Roman"/>
      <w:sz w:val="24"/>
    </w:rPr>
  </w:style>
  <w:style w:type="numbering" w:customStyle="1" w:styleId="EFRAGNumbering">
    <w:name w:val="EFRAG Numbering"/>
    <w:uiPriority w:val="99"/>
    <w:rsid w:val="00DC1D59"/>
    <w:pPr>
      <w:numPr>
        <w:numId w:val="2"/>
      </w:numPr>
    </w:pPr>
  </w:style>
  <w:style w:type="paragraph" w:customStyle="1" w:styleId="Normalnumberedlevel1">
    <w:name w:val="Normal numbered level 1"/>
    <w:basedOn w:val="Normal"/>
    <w:link w:val="Normalnumberedlevel1Char"/>
    <w:uiPriority w:val="99"/>
    <w:qFormat/>
    <w:rsid w:val="00DC1D59"/>
    <w:pPr>
      <w:numPr>
        <w:numId w:val="2"/>
      </w:numPr>
      <w:tabs>
        <w:tab w:val="left" w:pos="567"/>
        <w:tab w:val="left" w:pos="1134"/>
        <w:tab w:val="left" w:pos="1701"/>
        <w:tab w:val="left" w:pos="2268"/>
        <w:tab w:val="left" w:pos="2835"/>
      </w:tabs>
      <w:spacing w:before="120" w:after="120" w:line="240" w:lineRule="auto"/>
      <w:jc w:val="both"/>
    </w:pPr>
    <w:rPr>
      <w:rFonts w:ascii="Arial" w:eastAsia="Times New Roman" w:hAnsi="Arial" w:cs="Arial"/>
    </w:rPr>
  </w:style>
  <w:style w:type="character" w:customStyle="1" w:styleId="Normalnumberedlevel1Char">
    <w:name w:val="Normal numbered level 1 Char"/>
    <w:link w:val="Normalnumberedlevel1"/>
    <w:uiPriority w:val="99"/>
    <w:rsid w:val="00DC1D59"/>
    <w:rPr>
      <w:rFonts w:ascii="Arial" w:eastAsia="Times New Roman" w:hAnsi="Arial" w:cs="Arial"/>
      <w:lang w:val="bg-BG"/>
    </w:rPr>
  </w:style>
  <w:style w:type="paragraph" w:customStyle="1" w:styleId="Normalnumberedlevel2">
    <w:name w:val="Normal numbered level 2"/>
    <w:basedOn w:val="Normalnumberedlevel1"/>
    <w:uiPriority w:val="99"/>
    <w:qFormat/>
    <w:rsid w:val="00DC1D59"/>
    <w:pPr>
      <w:numPr>
        <w:ilvl w:val="1"/>
      </w:numPr>
      <w:ind w:left="1440" w:hanging="360"/>
    </w:pPr>
  </w:style>
  <w:style w:type="paragraph" w:customStyle="1" w:styleId="Normalnumberedlevel3">
    <w:name w:val="Normal numbered level 3"/>
    <w:basedOn w:val="Normalnumberedlevel2"/>
    <w:qFormat/>
    <w:rsid w:val="00DC1D59"/>
    <w:pPr>
      <w:numPr>
        <w:ilvl w:val="2"/>
      </w:numPr>
      <w:tabs>
        <w:tab w:val="num" w:pos="360"/>
      </w:tabs>
      <w:ind w:left="2160" w:hanging="360"/>
    </w:pPr>
    <w:rPr>
      <w:lang w:eastAsia="en-GB"/>
    </w:rPr>
  </w:style>
  <w:style w:type="table" w:styleId="TableGrid">
    <w:name w:val="Table Grid"/>
    <w:basedOn w:val="TableNormal"/>
    <w:uiPriority w:val="39"/>
    <w:rsid w:val="00DC1D59"/>
    <w:pPr>
      <w:spacing w:after="0" w:line="240" w:lineRule="auto"/>
    </w:pPr>
    <w:rPr>
      <w:rFonts w:ascii="Calibri" w:eastAsia="Calibri"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5">
    <w:name w:val="List Bullet 5"/>
    <w:basedOn w:val="Normal"/>
    <w:autoRedefine/>
    <w:rsid w:val="00DC1D59"/>
    <w:pPr>
      <w:numPr>
        <w:numId w:val="4"/>
      </w:numPr>
      <w:spacing w:after="240" w:line="240" w:lineRule="auto"/>
      <w:jc w:val="both"/>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DC1D59"/>
    <w:pPr>
      <w:spacing w:after="200" w:line="276"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DC1D59"/>
    <w:rPr>
      <w:rFonts w:ascii="Calibri" w:eastAsia="Calibri" w:hAnsi="Calibri" w:cs="Times New Roman"/>
      <w:sz w:val="20"/>
      <w:szCs w:val="20"/>
      <w:lang w:val="bg-BG"/>
    </w:rPr>
  </w:style>
  <w:style w:type="character" w:styleId="EndnoteReference">
    <w:name w:val="endnote reference"/>
    <w:uiPriority w:val="99"/>
    <w:semiHidden/>
    <w:unhideWhenUsed/>
    <w:rsid w:val="00DC1D59"/>
    <w:rPr>
      <w:vertAlign w:val="superscript"/>
    </w:rPr>
  </w:style>
  <w:style w:type="table" w:customStyle="1" w:styleId="GridTable4-Accent51">
    <w:name w:val="Grid Table 4 - Accent 51"/>
    <w:basedOn w:val="TableNormal"/>
    <w:uiPriority w:val="49"/>
    <w:rsid w:val="00DC1D59"/>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ext1">
    <w:name w:val="Text 1"/>
    <w:basedOn w:val="Normal"/>
    <w:rsid w:val="00DC1D59"/>
    <w:pPr>
      <w:spacing w:before="120" w:after="120" w:line="240" w:lineRule="auto"/>
      <w:ind w:left="850"/>
      <w:jc w:val="both"/>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DC1D5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DC1D59"/>
    <w:rPr>
      <w:rFonts w:ascii="Calibri" w:eastAsia="Calibri" w:hAnsi="Calibri" w:cs="Times New Roman"/>
      <w:sz w:val="20"/>
      <w:szCs w:val="20"/>
      <w:lang w:val="bg-BG"/>
    </w:rPr>
  </w:style>
  <w:style w:type="paragraph" w:customStyle="1" w:styleId="PSParagraphText">
    <w:name w:val="PS_Paragraph_Text"/>
    <w:basedOn w:val="Normal"/>
    <w:link w:val="PSParagraphTextChar"/>
    <w:qFormat/>
    <w:rsid w:val="00DC1D59"/>
    <w:pPr>
      <w:spacing w:after="120" w:line="240" w:lineRule="auto"/>
      <w:jc w:val="both"/>
    </w:pPr>
    <w:rPr>
      <w:rFonts w:ascii="Times New Roman" w:eastAsia="Times New Roman" w:hAnsi="Times New Roman" w:cs="Times New Roman"/>
      <w:sz w:val="20"/>
      <w:szCs w:val="20"/>
      <w:lang w:eastAsia="en-GB"/>
    </w:rPr>
  </w:style>
  <w:style w:type="character" w:customStyle="1" w:styleId="PSParagraphTextChar">
    <w:name w:val="PS_Paragraph_Text Char"/>
    <w:basedOn w:val="DefaultParagraphFont"/>
    <w:link w:val="PSParagraphText"/>
    <w:rsid w:val="00DC1D59"/>
    <w:rPr>
      <w:rFonts w:ascii="Times New Roman" w:eastAsia="Times New Roman" w:hAnsi="Times New Roman" w:cs="Times New Roman"/>
      <w:sz w:val="20"/>
      <w:szCs w:val="20"/>
      <w:lang w:val="bg-BG" w:eastAsia="en-GB"/>
    </w:rPr>
  </w:style>
  <w:style w:type="paragraph" w:customStyle="1" w:styleId="Normalnumbered">
    <w:name w:val="Normal numbered"/>
    <w:basedOn w:val="Normal"/>
    <w:link w:val="NormalnumberedChar"/>
    <w:uiPriority w:val="99"/>
    <w:qFormat/>
    <w:rsid w:val="00DC1D59"/>
    <w:pPr>
      <w:numPr>
        <w:numId w:val="17"/>
      </w:numPr>
      <w:spacing w:before="240" w:after="0" w:line="240" w:lineRule="auto"/>
      <w:jc w:val="both"/>
    </w:pPr>
    <w:rPr>
      <w:rFonts w:ascii="Arial" w:eastAsia="Times New Roman" w:hAnsi="Arial" w:cs="Times New Roman"/>
    </w:rPr>
  </w:style>
  <w:style w:type="character" w:customStyle="1" w:styleId="NormalnumberedChar">
    <w:name w:val="Normal numbered Char"/>
    <w:link w:val="Normalnumbered"/>
    <w:uiPriority w:val="99"/>
    <w:rsid w:val="00DC1D59"/>
    <w:rPr>
      <w:rFonts w:ascii="Arial" w:eastAsia="Times New Roman" w:hAnsi="Arial" w:cs="Times New Roman"/>
      <w:lang w:val="bg-BG"/>
    </w:rPr>
  </w:style>
  <w:style w:type="paragraph" w:customStyle="1" w:styleId="SecurityMarking">
    <w:name w:val="SecurityMarking"/>
    <w:basedOn w:val="Normal"/>
    <w:rsid w:val="00DC1D59"/>
    <w:pPr>
      <w:spacing w:after="0" w:line="276" w:lineRule="auto"/>
      <w:ind w:left="5103"/>
    </w:pPr>
    <w:rPr>
      <w:rFonts w:ascii="Times New Roman" w:hAnsi="Times New Roman" w:cs="Times New Roman"/>
      <w:sz w:val="28"/>
    </w:rPr>
  </w:style>
  <w:style w:type="paragraph" w:customStyle="1" w:styleId="DateMarking">
    <w:name w:val="DateMarking"/>
    <w:basedOn w:val="Normal"/>
    <w:rsid w:val="00DC1D59"/>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DC1D59"/>
    <w:pPr>
      <w:spacing w:after="0" w:line="276" w:lineRule="auto"/>
      <w:ind w:left="5103"/>
    </w:pPr>
    <w:rPr>
      <w:rFonts w:ascii="Times New Roman" w:hAnsi="Times New Roman" w:cs="Times New Roman"/>
      <w:i/>
      <w:sz w:val="28"/>
    </w:rPr>
  </w:style>
  <w:style w:type="table" w:customStyle="1" w:styleId="GridTable4-Accent52">
    <w:name w:val="Grid Table 4 - Accent 52"/>
    <w:basedOn w:val="TableNormal"/>
    <w:next w:val="GridTable4-Accent53"/>
    <w:uiPriority w:val="49"/>
    <w:rsid w:val="00DC1D59"/>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uiPriority w:val="49"/>
    <w:rsid w:val="00DC1D59"/>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51">
    <w:name w:val="Grid Table 5 Dark - Accent 51"/>
    <w:basedOn w:val="TableNormal"/>
    <w:uiPriority w:val="50"/>
    <w:rsid w:val="00DC1D59"/>
    <w:pPr>
      <w:spacing w:after="0" w:line="240" w:lineRule="auto"/>
    </w:pPr>
    <w:rPr>
      <w:rFonts w:ascii="Calibri" w:eastAsia="Calibri" w:hAnsi="Calibri" w:cs="Times New Roman"/>
      <w:sz w:val="20"/>
      <w:szCs w:val="20"/>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BVIfnrCarCarCarCarCharCharCharChar">
    <w:name w:val="BVI fnr Car Car Car Car Char Char Char Char"/>
    <w:basedOn w:val="Normal"/>
    <w:link w:val="FootnoteReference"/>
    <w:autoRedefine/>
    <w:uiPriority w:val="99"/>
    <w:qFormat/>
    <w:rsid w:val="00DC1D59"/>
    <w:pPr>
      <w:spacing w:after="0" w:line="240" w:lineRule="auto"/>
      <w:ind w:left="720" w:hanging="720"/>
    </w:pPr>
    <w:rPr>
      <w:vertAlign w:val="superscript"/>
    </w:rPr>
  </w:style>
  <w:style w:type="paragraph" w:customStyle="1" w:styleId="Textcontents">
    <w:name w:val="Text contents"/>
    <w:basedOn w:val="Normal"/>
    <w:link w:val="TextcontentsChar"/>
    <w:qFormat/>
    <w:rsid w:val="00DC1D59"/>
    <w:pPr>
      <w:tabs>
        <w:tab w:val="left" w:pos="1100"/>
      </w:tabs>
      <w:spacing w:after="120" w:line="240" w:lineRule="auto"/>
      <w:jc w:val="both"/>
    </w:pPr>
    <w:rPr>
      <w:rFonts w:ascii="Arial" w:eastAsiaTheme="minorEastAsia" w:hAnsi="Arial" w:cs="Arial"/>
      <w:color w:val="17365D"/>
    </w:rPr>
  </w:style>
  <w:style w:type="character" w:customStyle="1" w:styleId="TextcontentsChar">
    <w:name w:val="Text contents Char"/>
    <w:basedOn w:val="DefaultParagraphFont"/>
    <w:link w:val="Textcontents"/>
    <w:rsid w:val="00DC1D59"/>
    <w:rPr>
      <w:rFonts w:ascii="Arial" w:eastAsiaTheme="minorEastAsia" w:hAnsi="Arial" w:cs="Arial"/>
      <w:color w:val="17365D"/>
      <w:lang w:val="bg-BG"/>
    </w:rPr>
  </w:style>
  <w:style w:type="character" w:customStyle="1" w:styleId="UnresolvedMention">
    <w:name w:val="Unresolved Mention"/>
    <w:basedOn w:val="DefaultParagraphFont"/>
    <w:uiPriority w:val="99"/>
    <w:semiHidden/>
    <w:unhideWhenUsed/>
    <w:rsid w:val="00D40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9365">
      <w:bodyDiv w:val="1"/>
      <w:marLeft w:val="0"/>
      <w:marRight w:val="0"/>
      <w:marTop w:val="0"/>
      <w:marBottom w:val="0"/>
      <w:divBdr>
        <w:top w:val="none" w:sz="0" w:space="0" w:color="auto"/>
        <w:left w:val="none" w:sz="0" w:space="0" w:color="auto"/>
        <w:bottom w:val="none" w:sz="0" w:space="0" w:color="auto"/>
        <w:right w:val="none" w:sz="0" w:space="0" w:color="auto"/>
      </w:divBdr>
    </w:div>
    <w:div w:id="179177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efrag.org" TargetMode="External"/><Relationship Id="rId3" Type="http://schemas.openxmlformats.org/officeDocument/2006/relationships/hyperlink" Target="https://www.ifrs.org/projects/work-plan/" TargetMode="External"/><Relationship Id="rId7" Type="http://schemas.openxmlformats.org/officeDocument/2006/relationships/hyperlink" Target="https://efrag.org/lab3" TargetMode="External"/><Relationship Id="rId12" Type="http://schemas.openxmlformats.org/officeDocument/2006/relationships/hyperlink" Target="https://ipiob.org/" TargetMode="External"/><Relationship Id="rId2" Type="http://schemas.openxmlformats.org/officeDocument/2006/relationships/hyperlink" Target="https://www.ifrs.org/projects/completed-projects/" TargetMode="External"/><Relationship Id="rId1" Type="http://schemas.openxmlformats.org/officeDocument/2006/relationships/hyperlink" Target="https://www.ifrs.org/projects/work-plan/" TargetMode="External"/><Relationship Id="rId6" Type="http://schemas.openxmlformats.org/officeDocument/2006/relationships/hyperlink" Target="https://www.efrag.org/Assets/Download?assetUrl=/sites/webpublishing/SiteAssets/210512%2520Commissioner%2520McGuinness%2520to%2520EFRAG%2520on%2520sustainability.pdf" TargetMode="External"/><Relationship Id="rId11" Type="http://schemas.openxmlformats.org/officeDocument/2006/relationships/hyperlink" Target="https://piobworkshop.org" TargetMode="External"/><Relationship Id="rId5" Type="http://schemas.openxmlformats.org/officeDocument/2006/relationships/hyperlink" Target="https://www.ifrs.org/groups/international-accounting-standards-board/stakeholder-engagement-register/" TargetMode="External"/><Relationship Id="rId10" Type="http://schemas.openxmlformats.org/officeDocument/2006/relationships/hyperlink" Target="http://www.ethicsandaudit.org" TargetMode="External"/><Relationship Id="rId4" Type="http://schemas.openxmlformats.org/officeDocument/2006/relationships/hyperlink" Target="https://www.ifrs.org/projects/completed-projects/" TargetMode="External"/><Relationship Id="rId9" Type="http://schemas.openxmlformats.org/officeDocument/2006/relationships/hyperlink" Target="https://www.iosco.org/about/monitoring_group/pdf/2020-07-MG-Paper-Strengthening-The-International-Audit-And-Ethics-Standard-Setting-System.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A576F-7853-4423-AFDD-0DE135782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5057</Words>
  <Characters>28931</Characters>
  <Application>Microsoft Office Word</Application>
  <DocSecurity>0</DocSecurity>
  <Lines>490</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33</cp:revision>
  <cp:lastPrinted>2023-08-21T12:35:00Z</cp:lastPrinted>
  <dcterms:created xsi:type="dcterms:W3CDTF">2023-10-10T13:22:00Z</dcterms:created>
  <dcterms:modified xsi:type="dcterms:W3CDTF">2023-11-17T15:10:00Z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2023-04-24T12:01:04Z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f3ae261f-93ee-4fdf-a4f0-d253ffd48b17</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CP-006</vt:lpwstr>
  </property>
  <property fmtid="{D5CDD505-2E9C-101B-9397-08002B2CF9AE}" pid="14" name="Last edited using">
    <vt:lpwstr>LW 9.0, Build 20230317</vt:lpwstr>
  </property>
  <property fmtid="{D5CDD505-2E9C-101B-9397-08002B2CF9AE}" pid="15" name="Created using">
    <vt:lpwstr>LW 9.0, Build 20230317</vt:lpwstr>
  </property>
</Properties>
</file>