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4553B" w14:textId="29C46A9D" w:rsidR="005F65B6" w:rsidRPr="005B4C91" w:rsidRDefault="001C715E" w:rsidP="001C715E">
      <w:pPr>
        <w:pStyle w:val="Pagedecouverture"/>
        <w:rPr>
          <w:noProof/>
        </w:rPr>
      </w:pPr>
      <w:r>
        <w:rPr>
          <w:noProof/>
        </w:rPr>
        <w:pict w14:anchorId="6FDFF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9A13E2-4C47-43ED-B42A-BEFF8C4A91CF" style="width:455.25pt;height:383.25pt">
            <v:imagedata r:id="rId11" o:title=""/>
          </v:shape>
        </w:pict>
      </w:r>
    </w:p>
    <w:p w14:paraId="23566ED5" w14:textId="77777777" w:rsidR="005F65B6" w:rsidRPr="005B4C91" w:rsidRDefault="005F65B6" w:rsidP="005F65B6">
      <w:pPr>
        <w:rPr>
          <w:noProof/>
        </w:rPr>
        <w:sectPr w:rsidR="005F65B6" w:rsidRPr="005B4C91" w:rsidSect="001C715E">
          <w:footerReference w:type="default" r:id="rId12"/>
          <w:pgSz w:w="11907" w:h="16839"/>
          <w:pgMar w:top="1134" w:right="1417" w:bottom="1134" w:left="1417" w:header="709" w:footer="709" w:gutter="0"/>
          <w:pgNumType w:start="0"/>
          <w:cols w:space="720"/>
          <w:docGrid w:linePitch="360"/>
        </w:sectPr>
      </w:pPr>
    </w:p>
    <w:p w14:paraId="45E6B646" w14:textId="77777777" w:rsidR="005F65B6" w:rsidRPr="005B4C91" w:rsidRDefault="005F65B6" w:rsidP="00BB6B30">
      <w:pPr>
        <w:pStyle w:val="Exposdesmotifstitre"/>
        <w:rPr>
          <w:noProof/>
        </w:rPr>
      </w:pPr>
      <w:bookmarkStart w:id="0" w:name="_GoBack"/>
      <w:bookmarkEnd w:id="0"/>
      <w:r w:rsidRPr="005B4C91">
        <w:rPr>
          <w:noProof/>
        </w:rPr>
        <w:lastRenderedPageBreak/>
        <w:t>DŮVODOVÁ ZPRÁVA</w:t>
      </w:r>
    </w:p>
    <w:p w14:paraId="3EEB6D8D" w14:textId="77777777" w:rsidR="00DE0AE6" w:rsidRPr="005B4C91" w:rsidRDefault="00DE0AE6" w:rsidP="00DE0AE6">
      <w:pPr>
        <w:pBdr>
          <w:top w:val="nil"/>
          <w:left w:val="nil"/>
          <w:bottom w:val="nil"/>
          <w:right w:val="nil"/>
          <w:between w:val="nil"/>
          <w:bar w:val="nil"/>
        </w:pBdr>
        <w:spacing w:before="0" w:after="240"/>
        <w:rPr>
          <w:rFonts w:eastAsia="Arial Unicode MS"/>
          <w:noProof/>
        </w:rPr>
      </w:pPr>
      <w:r w:rsidRPr="005B4C91">
        <w:rPr>
          <w:noProof/>
        </w:rPr>
        <w:t>Podle čl. 395 odst. 1 směrnice 2006/112/ES ze dne 28. listopadu 2006 o společném systému daně z přidané hodnoty (dále jen „směrnice o DPH“</w:t>
      </w:r>
      <w:r w:rsidRPr="005B4C91">
        <w:rPr>
          <w:rStyle w:val="FootnoteReference"/>
          <w:noProof/>
        </w:rPr>
        <w:footnoteReference w:id="1"/>
      </w:r>
      <w:r w:rsidRPr="005B4C91">
        <w:rPr>
          <w:noProof/>
        </w:rPr>
        <w:t>) může Rada na návrh Komise jednomyslně povolit kterémukoli členskému státu, aby zavedl zvláštní opatření odchylující se od ustanovení uvedené směrnice, jejichž cílem je zjednodušit postup výběru DPH nebo zabránit určitým druhům daňových úniků nebo vyhýbání se daňovým povinnostem.</w:t>
      </w:r>
    </w:p>
    <w:p w14:paraId="68D6970F" w14:textId="77777777" w:rsidR="00DE0AE6" w:rsidRPr="005B4C91" w:rsidRDefault="00DE0AE6" w:rsidP="00DE0AE6">
      <w:pPr>
        <w:rPr>
          <w:noProof/>
        </w:rPr>
      </w:pPr>
      <w:bookmarkStart w:id="1" w:name="_Hlk140344340"/>
      <w:r w:rsidRPr="005B4C91">
        <w:rPr>
          <w:noProof/>
        </w:rPr>
        <w:t>Spojené království</w:t>
      </w:r>
      <w:bookmarkEnd w:id="1"/>
      <w:r w:rsidRPr="005B4C91">
        <w:rPr>
          <w:noProof/>
        </w:rPr>
        <w:t xml:space="preserve"> přestalo být 31. ledna 2020 členem Evropské unie (EU). V souladu s dohodou o vystoupení</w:t>
      </w:r>
      <w:r w:rsidRPr="005B4C91">
        <w:rPr>
          <w:rStyle w:val="FootnoteReference"/>
          <w:noProof/>
        </w:rPr>
        <w:footnoteReference w:id="2"/>
      </w:r>
      <w:r w:rsidRPr="005B4C91">
        <w:rPr>
          <w:noProof/>
        </w:rPr>
        <w:t xml:space="preserve"> je nyní ve vztahu k EU třetí zemí.</w:t>
      </w:r>
    </w:p>
    <w:p w14:paraId="148F2911" w14:textId="273129A6" w:rsidR="00DE0AE6" w:rsidRPr="005B4C91" w:rsidRDefault="00DE0AE6" w:rsidP="00DE0AE6">
      <w:pPr>
        <w:rPr>
          <w:noProof/>
        </w:rPr>
      </w:pPr>
      <w:r w:rsidRPr="005B4C91">
        <w:rPr>
          <w:noProof/>
        </w:rPr>
        <w:t>Od 1. ledna 2021 se právní předpisy EU o DPH již na Spojené království nevztahují. Na základě Protokolu o Irsku/Severním Irsku</w:t>
      </w:r>
      <w:r w:rsidRPr="005B4C91">
        <w:rPr>
          <w:rStyle w:val="FootnoteReference"/>
          <w:noProof/>
        </w:rPr>
        <w:footnoteReference w:id="3"/>
      </w:r>
      <w:r w:rsidRPr="005B4C91">
        <w:rPr>
          <w:noProof/>
        </w:rPr>
        <w:t xml:space="preserve"> (dále jen „protokol“), který je součástí dohody o vystoupení, se však na Severní Irsko i nadále vztahují právní předpisy EU o DPH, pokud jde o zboží, aby se zabránilo vzniku tvrdé hranice mezi Irskem a Severním Irskem. Pokud jde o služby, považuje se nicméně Severní Irsko spolu se zbytkem Spojeného království za třetí zemi.</w:t>
      </w:r>
    </w:p>
    <w:p w14:paraId="53272806" w14:textId="77777777" w:rsidR="00DE0AE6" w:rsidRPr="005B4C91" w:rsidRDefault="00DE0AE6" w:rsidP="00DE0AE6">
      <w:pPr>
        <w:rPr>
          <w:noProof/>
        </w:rPr>
      </w:pPr>
      <w:r w:rsidRPr="005B4C91">
        <w:rPr>
          <w:noProof/>
        </w:rPr>
        <w:t>To nevyhnutelně vede k existenci dvojího či smíšeného systému DPH v Severním Irsku, kdy v případě zboží nacházejícího se v Severním Irsku dodání zboží, pořízení zboží uvnitř Společenství a dovoz zboží podléhají podle pravidel ohledně místa zdanitelného plnění stanovených v hlavě V směrnice o DPH harmonizovaným pravidlům EU, zatímco na poskytování služeb na témže území se unijní systém DPH nevztahuje.</w:t>
      </w:r>
    </w:p>
    <w:p w14:paraId="20374686" w14:textId="77777777" w:rsidR="00DE0AE6" w:rsidRPr="005B4C91" w:rsidRDefault="00DE0AE6" w:rsidP="00DE0AE6">
      <w:pPr>
        <w:pBdr>
          <w:top w:val="nil"/>
          <w:left w:val="nil"/>
          <w:bottom w:val="nil"/>
          <w:right w:val="nil"/>
          <w:between w:val="nil"/>
          <w:bar w:val="nil"/>
        </w:pBdr>
        <w:spacing w:before="0" w:after="240"/>
        <w:rPr>
          <w:rFonts w:eastAsia="Arial Unicode MS"/>
          <w:noProof/>
        </w:rPr>
      </w:pPr>
      <w:r w:rsidRPr="005B4C91">
        <w:rPr>
          <w:noProof/>
        </w:rPr>
        <w:t>Aby tedy bylo možné v Severním Irsku nadále uplatňovat zvláštní režim DPH, který stanoví paušální opatření při neodečitatelné dani z přidané hodnoty na náklady na pohonné hmoty u podnikových vozidel, která se odchylují od všeobecných pravidel stanovených ve směrnici o DPH, je třeba udělit odchylku podle čl. 395 odst. 1 směrnice o DPH.</w:t>
      </w:r>
    </w:p>
    <w:p w14:paraId="03993C14" w14:textId="77777777" w:rsidR="00BF4D5A" w:rsidRPr="005B4C91" w:rsidRDefault="00DE0AE6" w:rsidP="00DE0AE6">
      <w:pPr>
        <w:widowControl w:val="0"/>
        <w:shd w:val="clear" w:color="auto" w:fill="FFFFFF"/>
        <w:autoSpaceDE w:val="0"/>
        <w:autoSpaceDN w:val="0"/>
        <w:adjustRightInd w:val="0"/>
        <w:spacing w:before="230" w:after="0" w:line="269" w:lineRule="exact"/>
        <w:ind w:right="86"/>
        <w:rPr>
          <w:noProof/>
        </w:rPr>
      </w:pPr>
      <w:r w:rsidRPr="005B4C91">
        <w:rPr>
          <w:noProof/>
        </w:rPr>
        <w:t xml:space="preserve">Spojené království požádalo dopisem, který Komise zaevidovala dne 13. července 2023, o povolení nadále uplatňovat opatření odchylující se od článků 16 a 168 směrnice o DPH. V souladu s čl. 395 odst. 2 směrnice o DPH informovala Komise o žádosti Spojeného království všechny členské státy kromě Kypru dopisem ze dne 7. srpna 2023. Kypr byl informován dopisem ze dne 8. srpna 2023. Ve stejný den, </w:t>
      </w:r>
      <w:bookmarkStart w:id="2" w:name="_Hlk142914209"/>
      <w:r w:rsidRPr="005B4C91">
        <w:rPr>
          <w:noProof/>
        </w:rPr>
        <w:t>8. srpna 2023</w:t>
      </w:r>
      <w:bookmarkEnd w:id="2"/>
      <w:r w:rsidRPr="005B4C91">
        <w:rPr>
          <w:noProof/>
        </w:rPr>
        <w:t>, oznámila Komise Spojenému království, že má k dispozici veškeré informace, které považuje za nezbytné k posouzení žádosti.</w:t>
      </w:r>
    </w:p>
    <w:p w14:paraId="28A283FD" w14:textId="77777777" w:rsidR="005F65B6" w:rsidRPr="005B4C91" w:rsidRDefault="005F65B6" w:rsidP="00BB6B30">
      <w:pPr>
        <w:pStyle w:val="ManualHeading1"/>
        <w:rPr>
          <w:noProof/>
        </w:rPr>
      </w:pPr>
      <w:r w:rsidRPr="005B4C91">
        <w:rPr>
          <w:noProof/>
        </w:rPr>
        <w:t>1.</w:t>
      </w:r>
      <w:r w:rsidRPr="005B4C91">
        <w:rPr>
          <w:noProof/>
        </w:rPr>
        <w:tab/>
        <w:t>SOUVISLOSTI NÁVRHU</w:t>
      </w:r>
    </w:p>
    <w:p w14:paraId="7DAE47A4" w14:textId="77777777" w:rsidR="005F65B6" w:rsidRPr="005B4C91" w:rsidRDefault="005F65B6" w:rsidP="00044058">
      <w:pPr>
        <w:pStyle w:val="ManualHeading2"/>
        <w:rPr>
          <w:rFonts w:eastAsia="Arial Unicode MS"/>
          <w:noProof/>
        </w:rPr>
      </w:pPr>
      <w:r w:rsidRPr="005B4C91">
        <w:rPr>
          <w:noProof/>
          <w:color w:val="000000"/>
          <w:u w:color="000000"/>
          <w:bdr w:val="nil"/>
        </w:rPr>
        <w:t>•</w:t>
      </w:r>
      <w:r w:rsidRPr="005B4C91">
        <w:rPr>
          <w:noProof/>
          <w:color w:val="000000"/>
          <w:u w:color="000000"/>
          <w:bdr w:val="nil"/>
        </w:rPr>
        <w:tab/>
      </w:r>
      <w:r w:rsidRPr="005B4C91">
        <w:rPr>
          <w:noProof/>
        </w:rPr>
        <w:t>Odůvodnění a cíle návrhu</w:t>
      </w:r>
    </w:p>
    <w:p w14:paraId="21FF4A67" w14:textId="77777777" w:rsidR="002D1E97" w:rsidRPr="005B4C91" w:rsidRDefault="0099098A" w:rsidP="0099098A">
      <w:pPr>
        <w:rPr>
          <w:noProof/>
        </w:rPr>
      </w:pPr>
      <w:r w:rsidRPr="005B4C91">
        <w:rPr>
          <w:noProof/>
        </w:rPr>
        <w:t>Článek 168 směrnice o DPH stanoví, že osoba povinná k dani má nárok na odpočet DPH zaplacené při nákupu pro účely svých zdaněných plnění. Článek 16 zmíněné směrnice stanoví, že dodání zboží za úplatu nastane, použije-li osoba povinná k dani zboží,</w:t>
      </w:r>
      <w:r w:rsidRPr="005B4C91">
        <w:rPr>
          <w:noProof/>
          <w:color w:val="000000"/>
        </w:rPr>
        <w:t xml:space="preserve"> </w:t>
      </w:r>
      <w:r w:rsidRPr="005B4C91">
        <w:rPr>
          <w:noProof/>
        </w:rPr>
        <w:t>které tvoří součást jejího obchodního majetku, pro svou soukromou potřebu</w:t>
      </w:r>
      <w:r w:rsidRPr="005B4C91">
        <w:rPr>
          <w:noProof/>
          <w:color w:val="000000"/>
        </w:rPr>
        <w:t xml:space="preserve"> </w:t>
      </w:r>
      <w:r w:rsidRPr="005B4C91">
        <w:rPr>
          <w:noProof/>
        </w:rPr>
        <w:t xml:space="preserve">nebo pro potřebu svých zaměstnanců, pokud byla daň z dotyčného zboží nebo jeho části plně nebo zčásti odpočitatelná. </w:t>
      </w:r>
    </w:p>
    <w:p w14:paraId="59D61394" w14:textId="77777777" w:rsidR="0099098A" w:rsidRPr="005B4C91" w:rsidRDefault="0099098A" w:rsidP="0099098A">
      <w:pPr>
        <w:rPr>
          <w:noProof/>
        </w:rPr>
      </w:pPr>
      <w:r w:rsidRPr="005B4C91">
        <w:rPr>
          <w:noProof/>
        </w:rPr>
        <w:t>Podle výše uvedených pravidel je často obtížné vypočítat a zdanit náklady související se soukromým použitím podnikových vozidel, která se částečně využívají pro soukromé (neobchodní) účely.</w:t>
      </w:r>
    </w:p>
    <w:p w14:paraId="04B9FD85" w14:textId="24178EBD" w:rsidR="0099098A" w:rsidRPr="005B4C91" w:rsidRDefault="0099098A" w:rsidP="008770B1">
      <w:pPr>
        <w:rPr>
          <w:noProof/>
        </w:rPr>
      </w:pPr>
      <w:bookmarkStart w:id="3" w:name="_Hlk140399795"/>
      <w:r w:rsidRPr="005B4C91">
        <w:rPr>
          <w:noProof/>
        </w:rPr>
        <w:t>V této souvislosti zavedlo Spojené království zvláštní režim, který byl schválen rozhodnutím Rady 86/356/EHS ze dne 21. července 1986, kterým se Spojenému království povoluje uplatňovat paušální opatření, pokud jde o neodpočitatelnou DPH z nákladů na pohonné hmoty u podnikových vozidel</w:t>
      </w:r>
      <w:r w:rsidRPr="005B4C91">
        <w:rPr>
          <w:rStyle w:val="FootnoteReference"/>
          <w:noProof/>
        </w:rPr>
        <w:footnoteReference w:id="4"/>
      </w:r>
      <w:r w:rsidRPr="005B4C91">
        <w:rPr>
          <w:noProof/>
        </w:rPr>
        <w:t>, která se zakládá na zdvihovém objemu motoru a typu paliva vozidla. Na základě protokolu zůstávají právní předpisy EU o DPH použitelné v Severním Irsku, pokud jde o dodání zboží. Prováděcím rozhodnutím Rady (EU) 2021/512</w:t>
      </w:r>
      <w:r w:rsidR="0036249B" w:rsidRPr="005B4C91">
        <w:rPr>
          <w:rStyle w:val="FootnoteReference"/>
          <w:noProof/>
        </w:rPr>
        <w:footnoteReference w:id="5"/>
      </w:r>
      <w:r w:rsidRPr="005B4C91">
        <w:rPr>
          <w:noProof/>
        </w:rPr>
        <w:t xml:space="preserve"> bylo Spojenému království ve vztahu k Severnímu Irsku povoleno používat zvláštní opatření odchylující se od článků 16 a 168 směrnice 2006/112/ES, jehož platnost má skončit dne 31. prosince 2023.</w:t>
      </w:r>
    </w:p>
    <w:bookmarkEnd w:id="3"/>
    <w:p w14:paraId="6E3F883E" w14:textId="77777777" w:rsidR="0076644C" w:rsidRPr="005B4C91" w:rsidRDefault="00BC2033" w:rsidP="0099098A">
      <w:pPr>
        <w:rPr>
          <w:noProof/>
        </w:rPr>
      </w:pPr>
      <w:r w:rsidRPr="005B4C91">
        <w:rPr>
          <w:noProof/>
        </w:rPr>
        <w:t>Spojené království ve své žádosti uvedlo vysvětlení k fungování zvláštního režimu. Tento režim kombinuje různé prvky pro výpočet poplatku za soukromé užívání, z něhož je DPH splatná. Těmito prvky jsou spotřeba paliva na kilometr, která se vypočítá na základě hodnocení emisí CO</w:t>
      </w:r>
      <w:r w:rsidRPr="005B4C91">
        <w:rPr>
          <w:noProof/>
          <w:vertAlign w:val="subscript"/>
        </w:rPr>
        <w:t>2</w:t>
      </w:r>
      <w:r w:rsidRPr="005B4C91">
        <w:rPr>
          <w:noProof/>
        </w:rPr>
        <w:t xml:space="preserve">, průměrného počtu ujetých mil pro soukromé účely, který je určen na základě údajů z Národního průzkumu cestování ministerstva dopravy, a maloobchodní ceny pohonných hmot. </w:t>
      </w:r>
    </w:p>
    <w:p w14:paraId="165AA3D1" w14:textId="77777777" w:rsidR="0099098A" w:rsidRPr="005B4C91" w:rsidRDefault="0099098A" w:rsidP="0099098A">
      <w:pPr>
        <w:rPr>
          <w:rFonts w:eastAsia="Arial Unicode MS"/>
          <w:noProof/>
        </w:rPr>
      </w:pPr>
      <w:r w:rsidRPr="005B4C91">
        <w:rPr>
          <w:noProof/>
        </w:rPr>
        <w:t>Zvláštní režim je pro osoby povinné k dani dobrovolný; místo toho se mohou rozhodnout, že DPH ze svých pohonných hmot nezískají zpět nebo ji získají podle podílové metody výpočtu založené na podrobných záznamech o počtu ujetých mil.</w:t>
      </w:r>
    </w:p>
    <w:p w14:paraId="2E4B54FB" w14:textId="77777777" w:rsidR="0099098A" w:rsidRPr="005B4C91" w:rsidRDefault="0099098A" w:rsidP="0099098A">
      <w:pPr>
        <w:rPr>
          <w:noProof/>
        </w:rPr>
      </w:pPr>
      <w:r w:rsidRPr="005B4C91">
        <w:rPr>
          <w:noProof/>
        </w:rPr>
        <w:t>Spojené království uvedlo, že tento režim je přesný a vedl k podstatnému zjednodušení práce podnikům i daňové správě. Spojené království dále dodává, že osobám povinným k dani poskytuje právní jistotu prostřednictvím zjednodušené metody, již lze využít pro vyúčtování DPH za pohonné hmoty pro soukromé účely a je v souladu s obecnými pravidly pro odpočet daně stanovenými směrnicí o DPH.</w:t>
      </w:r>
    </w:p>
    <w:p w14:paraId="1B07E2AC" w14:textId="77777777" w:rsidR="0099098A" w:rsidRPr="005B4C91" w:rsidRDefault="0099098A" w:rsidP="0099098A">
      <w:pPr>
        <w:pBdr>
          <w:top w:val="nil"/>
          <w:left w:val="nil"/>
          <w:bottom w:val="nil"/>
          <w:right w:val="nil"/>
          <w:between w:val="nil"/>
          <w:bar w:val="nil"/>
        </w:pBdr>
        <w:spacing w:before="0" w:after="240"/>
        <w:rPr>
          <w:rFonts w:eastAsia="Arial Unicode MS"/>
          <w:noProof/>
        </w:rPr>
      </w:pPr>
      <w:r w:rsidRPr="005B4C91">
        <w:rPr>
          <w:noProof/>
        </w:rPr>
        <w:t>Spojené království proto ve vztahu k Severnímu Irsku požádalo, aby mohlo nadále odchylku uplatňovat, a to od 1. ledna 2024. Odchylující se opatření by mělo být časově omezeno na období do 31. prosince 2026, aby bylo možné posoudit, zda zvláštní režim nadále správně odráží celkový podíl používání pro podnikatelské a soukromé účely.</w:t>
      </w:r>
    </w:p>
    <w:p w14:paraId="188FB0E3" w14:textId="77777777" w:rsidR="005F65B6" w:rsidRPr="005B4C91" w:rsidRDefault="005F65B6" w:rsidP="00044058">
      <w:pPr>
        <w:pStyle w:val="ManualHeading2"/>
        <w:rPr>
          <w:rFonts w:eastAsia="Arial Unicode MS"/>
          <w:noProof/>
          <w:color w:val="000000"/>
          <w:u w:color="000000"/>
          <w:bdr w:val="nil"/>
        </w:rPr>
      </w:pPr>
      <w:r w:rsidRPr="005B4C91">
        <w:rPr>
          <w:noProof/>
          <w:color w:val="000000"/>
          <w:u w:color="000000"/>
          <w:bdr w:val="nil"/>
        </w:rPr>
        <w:t>•</w:t>
      </w:r>
      <w:r w:rsidRPr="005B4C91">
        <w:rPr>
          <w:noProof/>
          <w:color w:val="000000"/>
          <w:u w:color="000000"/>
          <w:bdr w:val="nil"/>
        </w:rPr>
        <w:tab/>
      </w:r>
      <w:r w:rsidRPr="005B4C91">
        <w:rPr>
          <w:noProof/>
        </w:rPr>
        <w:t>Soulad s platnými předpisy v této oblasti politiky</w:t>
      </w:r>
    </w:p>
    <w:p w14:paraId="5B81A41E" w14:textId="77777777" w:rsidR="00D85334" w:rsidRPr="005B4C91" w:rsidRDefault="00D85334" w:rsidP="00D85334">
      <w:pPr>
        <w:pBdr>
          <w:top w:val="nil"/>
          <w:left w:val="nil"/>
          <w:bottom w:val="nil"/>
          <w:right w:val="nil"/>
          <w:between w:val="nil"/>
          <w:bar w:val="nil"/>
        </w:pBdr>
        <w:spacing w:before="0" w:after="240"/>
        <w:rPr>
          <w:rFonts w:eastAsia="Arial Unicode MS"/>
          <w:noProof/>
        </w:rPr>
      </w:pPr>
      <w:r w:rsidRPr="005B4C91">
        <w:rPr>
          <w:noProof/>
        </w:rPr>
        <w:t xml:space="preserve">Článek 176 směrnice o DPH stanoví, že Rada rozhodne o tom, z jakých výdajů nelze DPH odpočíst. V mezičase povoluje členským státům, aby si zachovaly výjimky, které byly stanovené jejich vnitrostátními předpisy ke dni 1. ledna 1979. Proto existuje celá řada ustanovení o zachování původního stavu, která omezují nárok na odpočet u osobních automobilů. </w:t>
      </w:r>
    </w:p>
    <w:p w14:paraId="178200D2" w14:textId="77777777" w:rsidR="005F65B6" w:rsidRPr="005B4C91" w:rsidRDefault="00D85334" w:rsidP="00D85334">
      <w:pPr>
        <w:pBdr>
          <w:top w:val="nil"/>
          <w:left w:val="nil"/>
          <w:bottom w:val="nil"/>
          <w:right w:val="nil"/>
          <w:between w:val="nil"/>
          <w:bar w:val="nil"/>
        </w:pBdr>
        <w:spacing w:before="0" w:after="240"/>
        <w:rPr>
          <w:rFonts w:eastAsia="Arial Unicode MS"/>
          <w:noProof/>
        </w:rPr>
      </w:pPr>
      <w:r w:rsidRPr="005B4C91">
        <w:rPr>
          <w:noProof/>
        </w:rPr>
        <w:t>Bez ohledu na předchozí iniciativy, které stanovily pravidla týkající se kategorií výdajů, jež mohou podléhat omezení nároku na odpočet</w:t>
      </w:r>
      <w:r w:rsidR="003C15B6" w:rsidRPr="005B4C91">
        <w:rPr>
          <w:rStyle w:val="FootnoteReference"/>
          <w:rFonts w:eastAsia="Arial Unicode MS"/>
          <w:noProof/>
        </w:rPr>
        <w:footnoteReference w:id="6"/>
      </w:r>
      <w:r w:rsidRPr="005B4C91">
        <w:rPr>
          <w:noProof/>
        </w:rPr>
        <w:t>, je takový zvláštní režim vhodný až do doby harmonizace těchto pravidel na úrovni EU.</w:t>
      </w:r>
    </w:p>
    <w:p w14:paraId="71663DAC" w14:textId="77777777" w:rsidR="005F65B6" w:rsidRPr="005B4C91" w:rsidRDefault="005F65B6" w:rsidP="00550536">
      <w:pPr>
        <w:pStyle w:val="ManualHeading1"/>
        <w:rPr>
          <w:noProof/>
        </w:rPr>
      </w:pPr>
      <w:r w:rsidRPr="005B4C91">
        <w:rPr>
          <w:noProof/>
        </w:rPr>
        <w:t>2.</w:t>
      </w:r>
      <w:r w:rsidRPr="005B4C91">
        <w:rPr>
          <w:noProof/>
        </w:rPr>
        <w:tab/>
        <w:t>PRÁVNÍ ZÁKLAD, SUBSIDIARITA A PROPORCIONALITA</w:t>
      </w:r>
    </w:p>
    <w:p w14:paraId="7A58D0F6"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Právní základ</w:t>
      </w:r>
    </w:p>
    <w:p w14:paraId="3C5579B5" w14:textId="77777777" w:rsidR="005F65B6" w:rsidRPr="005B4C91" w:rsidRDefault="003C15B6" w:rsidP="00550536">
      <w:pPr>
        <w:pBdr>
          <w:top w:val="nil"/>
          <w:left w:val="nil"/>
          <w:bottom w:val="nil"/>
          <w:right w:val="nil"/>
          <w:between w:val="nil"/>
          <w:bar w:val="nil"/>
        </w:pBdr>
        <w:spacing w:before="0" w:after="240"/>
        <w:rPr>
          <w:rFonts w:eastAsia="Arial Unicode MS"/>
          <w:noProof/>
        </w:rPr>
      </w:pPr>
      <w:r w:rsidRPr="005B4C91">
        <w:rPr>
          <w:noProof/>
        </w:rPr>
        <w:t>Článek 395 směrnice o DPH.</w:t>
      </w:r>
    </w:p>
    <w:p w14:paraId="362AF6D6"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 xml:space="preserve">Subsidiarita (v případě nevýlučné pravomoci) </w:t>
      </w:r>
    </w:p>
    <w:p w14:paraId="294C40AB" w14:textId="77777777" w:rsidR="00BA0F04" w:rsidRPr="005B4C91" w:rsidRDefault="00BA0F04" w:rsidP="00BA0F04">
      <w:pPr>
        <w:pBdr>
          <w:top w:val="nil"/>
          <w:left w:val="nil"/>
          <w:bottom w:val="nil"/>
          <w:right w:val="nil"/>
          <w:between w:val="nil"/>
          <w:bar w:val="nil"/>
        </w:pBdr>
        <w:spacing w:before="0" w:after="240"/>
        <w:rPr>
          <w:rFonts w:eastAsia="Arial Unicode MS"/>
          <w:noProof/>
        </w:rPr>
      </w:pPr>
      <w:r w:rsidRPr="005B4C91">
        <w:rPr>
          <w:noProof/>
        </w:rPr>
        <w:t xml:space="preserve">S ohledem na ustanovení směrnice o DPH, na němž je návrh založen, je zásada subsidiarity na úrovni směrnice o DPH dodržena. </w:t>
      </w:r>
    </w:p>
    <w:p w14:paraId="6D599A30"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Proporcionalita</w:t>
      </w:r>
    </w:p>
    <w:p w14:paraId="217D1AE0" w14:textId="77777777" w:rsidR="00A530A6" w:rsidRPr="005B4C91" w:rsidRDefault="00A530A6" w:rsidP="00A530A6">
      <w:pPr>
        <w:pBdr>
          <w:top w:val="nil"/>
          <w:left w:val="nil"/>
          <w:bottom w:val="nil"/>
          <w:right w:val="nil"/>
          <w:between w:val="nil"/>
          <w:bar w:val="nil"/>
        </w:pBdr>
        <w:spacing w:before="0" w:after="240"/>
        <w:rPr>
          <w:rFonts w:eastAsia="Arial Unicode MS"/>
          <w:noProof/>
        </w:rPr>
      </w:pPr>
      <w:r w:rsidRPr="005B4C91">
        <w:rPr>
          <w:noProof/>
        </w:rPr>
        <w:t>Rozhodnutí se týká povolení udělovaného Spojenému království ve vztahu k Severnímu Irsku na základě jeho vlastní žádosti a nezakládá žádnou povinnost.</w:t>
      </w:r>
    </w:p>
    <w:p w14:paraId="577CCB88" w14:textId="77777777" w:rsidR="00A530A6" w:rsidRPr="005B4C91" w:rsidRDefault="00FD25B5" w:rsidP="00A530A6">
      <w:pPr>
        <w:pBdr>
          <w:top w:val="nil"/>
          <w:left w:val="nil"/>
          <w:bottom w:val="nil"/>
          <w:right w:val="nil"/>
          <w:between w:val="nil"/>
          <w:bar w:val="nil"/>
        </w:pBdr>
        <w:spacing w:before="0" w:after="240"/>
        <w:rPr>
          <w:rFonts w:eastAsia="Arial Unicode MS"/>
          <w:noProof/>
        </w:rPr>
      </w:pPr>
      <w:r w:rsidRPr="005B4C91">
        <w:rPr>
          <w:noProof/>
        </w:rPr>
        <w:t>Vzhledem k omezené oblasti působnosti zvláštního režimu je návrh přiměřený sledovanému cíli, tj. zjednodušit povinnosti v oblasti DPH a výběr DPH. Opatření nepřekračuje rámec toho, co je nezbytné pro zjednodušení povinnosti v oblasti DPH a výběru DPH v konkrétním sektoru. Režim je pro osoby povinné k dani nadále dobrovolný.</w:t>
      </w:r>
    </w:p>
    <w:p w14:paraId="6998F72C"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Volba nástroje</w:t>
      </w:r>
    </w:p>
    <w:p w14:paraId="2C4F39DD" w14:textId="77777777" w:rsidR="00FD25B5" w:rsidRPr="005B4C91" w:rsidRDefault="00FD25B5" w:rsidP="00FD25B5">
      <w:pPr>
        <w:pBdr>
          <w:top w:val="nil"/>
          <w:left w:val="nil"/>
          <w:bottom w:val="nil"/>
          <w:right w:val="nil"/>
          <w:between w:val="nil"/>
          <w:bar w:val="nil"/>
        </w:pBdr>
        <w:spacing w:before="0" w:after="240"/>
        <w:rPr>
          <w:rFonts w:eastAsia="Arial Unicode MS"/>
          <w:noProof/>
        </w:rPr>
      </w:pPr>
      <w:r w:rsidRPr="005B4C91">
        <w:rPr>
          <w:noProof/>
        </w:rPr>
        <w:t>Navrhovaným nástrojem je prováděcí rozhodnutí Rady.</w:t>
      </w:r>
    </w:p>
    <w:p w14:paraId="766B95D2" w14:textId="09ACDEE8" w:rsidR="005F65B6" w:rsidRPr="005B4C91" w:rsidRDefault="00FD25B5" w:rsidP="00FD25B5">
      <w:pPr>
        <w:pBdr>
          <w:top w:val="nil"/>
          <w:left w:val="nil"/>
          <w:bottom w:val="nil"/>
          <w:right w:val="nil"/>
          <w:between w:val="nil"/>
          <w:bar w:val="nil"/>
        </w:pBdr>
        <w:spacing w:before="0" w:after="240"/>
        <w:rPr>
          <w:rFonts w:eastAsia="Arial Unicode MS"/>
          <w:noProof/>
        </w:rPr>
      </w:pPr>
      <w:r w:rsidRPr="005B4C91">
        <w:rPr>
          <w:noProof/>
        </w:rPr>
        <w:t>Podle článku 395 směrnice o DPH je odchylka od společných pravidel pro DPH možná pouze v případě, že ji jednomyslně schválí Rada na návrh Komise. Prováděcí rozhodnutí Rady je nejvhodnějším nástrojem, neboť může být určeno individuálně.</w:t>
      </w:r>
    </w:p>
    <w:p w14:paraId="185F7E85" w14:textId="77777777" w:rsidR="005F65B6" w:rsidRPr="005B4C91" w:rsidRDefault="005F65B6" w:rsidP="00DA69AA">
      <w:pPr>
        <w:pStyle w:val="ManualHeading1"/>
        <w:rPr>
          <w:noProof/>
        </w:rPr>
      </w:pPr>
      <w:r w:rsidRPr="005B4C91">
        <w:rPr>
          <w:noProof/>
        </w:rPr>
        <w:t>3.</w:t>
      </w:r>
      <w:r w:rsidRPr="005B4C91">
        <w:rPr>
          <w:noProof/>
        </w:rPr>
        <w:tab/>
        <w:t>VÝSLEDKY HODNOCENÍ EX POST, KONZULTACÍ SE ZÚČASTNĚNÝMI STRANAMI A POSOUZENÍ DOPADŮ</w:t>
      </w:r>
    </w:p>
    <w:p w14:paraId="22857714"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Konzultace se zúčastněnými stranami</w:t>
      </w:r>
    </w:p>
    <w:p w14:paraId="75360E08" w14:textId="77777777" w:rsidR="005F65B6" w:rsidRPr="005B4C91" w:rsidRDefault="00DA69AA" w:rsidP="00550536">
      <w:pPr>
        <w:pBdr>
          <w:top w:val="nil"/>
          <w:left w:val="nil"/>
          <w:bottom w:val="nil"/>
          <w:right w:val="nil"/>
          <w:between w:val="nil"/>
          <w:bar w:val="nil"/>
        </w:pBdr>
        <w:spacing w:before="0" w:after="240"/>
        <w:rPr>
          <w:rFonts w:eastAsia="Arial Unicode MS"/>
          <w:noProof/>
        </w:rPr>
      </w:pPr>
      <w:r w:rsidRPr="005B4C91">
        <w:rPr>
          <w:noProof/>
        </w:rPr>
        <w:t>Neproběhly žádné konzultace se zúčastněnými stranami. Současný návrh vychází z žádosti podané Spojeným královstvím ve vztahu k Severnímu Irsku a týká se pouze Severního Irska.</w:t>
      </w:r>
    </w:p>
    <w:p w14:paraId="35C54BF5"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Sběr a využití výsledků odborných konzultací</w:t>
      </w:r>
    </w:p>
    <w:p w14:paraId="6CFFC400" w14:textId="77777777" w:rsidR="005F65B6" w:rsidRPr="005B4C91" w:rsidRDefault="00A7759C" w:rsidP="00550536">
      <w:pPr>
        <w:pBdr>
          <w:top w:val="nil"/>
          <w:left w:val="nil"/>
          <w:bottom w:val="nil"/>
          <w:right w:val="nil"/>
          <w:between w:val="nil"/>
          <w:bar w:val="nil"/>
        </w:pBdr>
        <w:spacing w:before="0" w:after="240"/>
        <w:rPr>
          <w:rFonts w:eastAsia="Arial Unicode MS"/>
          <w:noProof/>
        </w:rPr>
      </w:pPr>
      <w:r w:rsidRPr="005B4C91">
        <w:rPr>
          <w:noProof/>
        </w:rPr>
        <w:t>Nebylo třeba využít externích odborných konzultací.</w:t>
      </w:r>
    </w:p>
    <w:p w14:paraId="2B0F3793"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Posouzení dopadů</w:t>
      </w:r>
    </w:p>
    <w:p w14:paraId="01D3DABF" w14:textId="77777777" w:rsidR="001467A2" w:rsidRPr="005B4C91" w:rsidRDefault="001467A2" w:rsidP="001467A2">
      <w:pPr>
        <w:pBdr>
          <w:top w:val="nil"/>
          <w:left w:val="nil"/>
          <w:bottom w:val="nil"/>
          <w:right w:val="nil"/>
          <w:between w:val="nil"/>
          <w:bar w:val="nil"/>
        </w:pBdr>
        <w:spacing w:before="0" w:after="240"/>
        <w:rPr>
          <w:rFonts w:eastAsia="Arial Unicode MS"/>
          <w:noProof/>
        </w:rPr>
      </w:pPr>
      <w:r w:rsidRPr="005B4C91">
        <w:rPr>
          <w:noProof/>
        </w:rPr>
        <w:t>Cílem navrhovaného rozhodnutí je zjednodušit výběr DPH a povinnosti v oblasti DPH u nákladů na pohonné hmoty pro podniková vozidla částečně využívaná pro soukromé účely, a proto má potenciální kladný dopad.</w:t>
      </w:r>
    </w:p>
    <w:p w14:paraId="377B8AC8" w14:textId="77777777" w:rsidR="00280521" w:rsidRPr="005B4C91" w:rsidRDefault="001467A2" w:rsidP="001467A2">
      <w:pPr>
        <w:pBdr>
          <w:top w:val="nil"/>
          <w:left w:val="nil"/>
          <w:bottom w:val="nil"/>
          <w:right w:val="nil"/>
          <w:between w:val="nil"/>
          <w:bar w:val="nil"/>
        </w:pBdr>
        <w:spacing w:before="0" w:after="240"/>
        <w:rPr>
          <w:rFonts w:eastAsia="Arial Unicode MS"/>
          <w:noProof/>
        </w:rPr>
      </w:pPr>
      <w:r w:rsidRPr="005B4C91">
        <w:rPr>
          <w:noProof/>
        </w:rPr>
        <w:t xml:space="preserve">V případě osob povinných k dani, které by si zvolily tento režim, by se snížila administrativní zátěž i náklady na dodržování právních předpisů tím, že by každému takovému podniku odpadla povinnost vést pro účely DPH podrobné záznamy o vzdálenostech ujetých jednotlivými podnikovými vozidly. Taková povinnost vedení záznamů je často časově náročná a představuje značnou administrativní zátěž, zatímco vybraná částka daní je relativně nízká. Uvádí se, že díky zjednodušení, které tato možnost nabízí, se lze vyhnout úskalím souvisejícím se situací, že by se podniky rozhodly od svého nároku na vrácení DPH z pohonných hmot používaných pro obchodní účely upustit. Bylo rovněž uvedeno, že zvláštní opatření poskytuje osobám povinným k dani právní jistotu. </w:t>
      </w:r>
    </w:p>
    <w:p w14:paraId="1987F9BF" w14:textId="77777777" w:rsidR="001467A2" w:rsidRPr="005B4C91" w:rsidRDefault="001467A2" w:rsidP="001467A2">
      <w:pPr>
        <w:pBdr>
          <w:top w:val="nil"/>
          <w:left w:val="nil"/>
          <w:bottom w:val="nil"/>
          <w:right w:val="nil"/>
          <w:between w:val="nil"/>
          <w:bar w:val="nil"/>
        </w:pBdr>
        <w:spacing w:before="0" w:after="240"/>
        <w:rPr>
          <w:rFonts w:eastAsia="Arial Unicode MS"/>
          <w:noProof/>
        </w:rPr>
      </w:pPr>
      <w:r w:rsidRPr="005B4C91">
        <w:rPr>
          <w:noProof/>
        </w:rPr>
        <w:t>Metoda použitá pro zjednodušení také snižuje zátěž daňových správ, které by jinak musely kontrolovat množství individuálních případů.</w:t>
      </w:r>
    </w:p>
    <w:p w14:paraId="1084CBC3" w14:textId="77777777" w:rsidR="001467A2" w:rsidRPr="005B4C91" w:rsidRDefault="00C142F2" w:rsidP="00380E6C">
      <w:pPr>
        <w:pBdr>
          <w:top w:val="nil"/>
          <w:left w:val="nil"/>
          <w:bottom w:val="nil"/>
          <w:right w:val="nil"/>
          <w:between w:val="nil"/>
          <w:bar w:val="nil"/>
        </w:pBdr>
        <w:spacing w:before="0" w:after="240"/>
        <w:rPr>
          <w:rFonts w:eastAsia="Arial Unicode MS"/>
          <w:noProof/>
        </w:rPr>
      </w:pPr>
      <w:r w:rsidRPr="005B4C91">
        <w:rPr>
          <w:noProof/>
        </w:rPr>
        <w:t>Vzhledem k úzké oblasti působnosti dané odchylky a její omezené časové působnosti bude však její dopad v každém případě omezený.</w:t>
      </w:r>
    </w:p>
    <w:p w14:paraId="5189B43B" w14:textId="77777777" w:rsidR="005F65B6" w:rsidRPr="005B4C91" w:rsidRDefault="005F65B6" w:rsidP="00550536">
      <w:pPr>
        <w:pStyle w:val="ManualHeading1"/>
        <w:rPr>
          <w:noProof/>
        </w:rPr>
      </w:pPr>
      <w:r w:rsidRPr="005B4C91">
        <w:rPr>
          <w:noProof/>
        </w:rPr>
        <w:t>4.</w:t>
      </w:r>
      <w:r w:rsidRPr="005B4C91">
        <w:rPr>
          <w:noProof/>
        </w:rPr>
        <w:tab/>
        <w:t>ROZPOČTOVÉ DŮSLEDKY</w:t>
      </w:r>
    </w:p>
    <w:p w14:paraId="2AD424B6" w14:textId="77777777" w:rsidR="004A30BB" w:rsidRPr="005B4C91" w:rsidRDefault="00380E6C" w:rsidP="004A30BB">
      <w:pPr>
        <w:pBdr>
          <w:top w:val="nil"/>
          <w:left w:val="nil"/>
          <w:bottom w:val="nil"/>
          <w:right w:val="nil"/>
          <w:between w:val="nil"/>
          <w:bar w:val="nil"/>
        </w:pBdr>
        <w:spacing w:before="0" w:after="240"/>
        <w:rPr>
          <w:rFonts w:eastAsia="Arial Unicode MS"/>
          <w:noProof/>
        </w:rPr>
      </w:pPr>
      <w:r w:rsidRPr="005B4C91">
        <w:rPr>
          <w:noProof/>
        </w:rPr>
        <w:t xml:space="preserve">Opatření nebude mít nepříznivý dopad na vlastní zdroje Unie pocházející z DPH. V této souvislosti se připomíná, že v souladu s čl. 8 druhým pododstavcem protokolu se příjmy plynoucí z plnění zdanitelných v Severním Irsku nepředávají EU. </w:t>
      </w:r>
    </w:p>
    <w:p w14:paraId="27911576" w14:textId="77777777" w:rsidR="005F65B6" w:rsidRPr="005B4C91" w:rsidRDefault="005F65B6" w:rsidP="00550536">
      <w:pPr>
        <w:pStyle w:val="ManualHeading1"/>
        <w:rPr>
          <w:noProof/>
        </w:rPr>
      </w:pPr>
      <w:r w:rsidRPr="005B4C91">
        <w:rPr>
          <w:noProof/>
        </w:rPr>
        <w:t>5.</w:t>
      </w:r>
      <w:r w:rsidRPr="005B4C91">
        <w:rPr>
          <w:noProof/>
        </w:rPr>
        <w:tab/>
        <w:t>OSTATNÍ PRVKY</w:t>
      </w:r>
    </w:p>
    <w:p w14:paraId="03F12451" w14:textId="77777777" w:rsidR="005F65B6" w:rsidRPr="005B4C91" w:rsidRDefault="005F65B6" w:rsidP="00A4693B">
      <w:pPr>
        <w:pStyle w:val="ManualHeading2"/>
        <w:rPr>
          <w:rFonts w:eastAsia="Arial Unicode MS"/>
          <w:noProof/>
          <w:u w:color="000000"/>
          <w:bdr w:val="nil"/>
        </w:rPr>
      </w:pPr>
      <w:r w:rsidRPr="005B4C91">
        <w:rPr>
          <w:noProof/>
          <w:u w:color="000000"/>
          <w:bdr w:val="nil"/>
        </w:rPr>
        <w:t>•</w:t>
      </w:r>
      <w:r w:rsidRPr="005B4C91">
        <w:rPr>
          <w:noProof/>
          <w:u w:color="000000"/>
          <w:bdr w:val="nil"/>
        </w:rPr>
        <w:tab/>
        <w:t>Plány provádění a způsoby monitorování, hodnocení a podávání zpráv</w:t>
      </w:r>
    </w:p>
    <w:p w14:paraId="550ADFBC" w14:textId="77777777" w:rsidR="00380E6C" w:rsidRPr="005B4C91" w:rsidRDefault="00380E6C" w:rsidP="00380E6C">
      <w:pPr>
        <w:pBdr>
          <w:top w:val="nil"/>
          <w:left w:val="nil"/>
          <w:bottom w:val="nil"/>
          <w:right w:val="nil"/>
          <w:between w:val="nil"/>
          <w:bar w:val="nil"/>
        </w:pBdr>
        <w:spacing w:before="0" w:after="240"/>
        <w:rPr>
          <w:rFonts w:eastAsia="Arial Unicode MS"/>
          <w:noProof/>
        </w:rPr>
      </w:pPr>
      <w:r w:rsidRPr="005B4C91">
        <w:rPr>
          <w:noProof/>
        </w:rPr>
        <w:t>Návrh obsahuje ustanovení o skončení platnosti: automatickou lhůtu, která je stanovena na 31. prosince 2026.</w:t>
      </w:r>
    </w:p>
    <w:p w14:paraId="1D3624DD" w14:textId="77777777" w:rsidR="005F65B6" w:rsidRPr="005B4C91" w:rsidRDefault="005F65B6" w:rsidP="00D8676A">
      <w:pPr>
        <w:rPr>
          <w:noProof/>
        </w:rPr>
        <w:sectPr w:rsidR="005F65B6" w:rsidRPr="005B4C91" w:rsidSect="001C715E">
          <w:footerReference w:type="default" r:id="rId13"/>
          <w:footerReference w:type="first" r:id="rId14"/>
          <w:pgSz w:w="11907" w:h="16839"/>
          <w:pgMar w:top="1134" w:right="1417" w:bottom="1134" w:left="1417" w:header="709" w:footer="709" w:gutter="0"/>
          <w:cols w:space="708"/>
          <w:docGrid w:linePitch="360"/>
        </w:sectPr>
      </w:pPr>
    </w:p>
    <w:p w14:paraId="483732BB" w14:textId="75FD4E0A" w:rsidR="006C6FA4" w:rsidRDefault="006C6FA4" w:rsidP="006C6FA4">
      <w:pPr>
        <w:pStyle w:val="Rfrenceinterinstitutionnelle"/>
        <w:rPr>
          <w:noProof/>
        </w:rPr>
      </w:pPr>
      <w:r w:rsidRPr="006C6FA4">
        <w:t>2023/0402 (NLE)</w:t>
      </w:r>
    </w:p>
    <w:p w14:paraId="4130E589" w14:textId="7BB41FDC" w:rsidR="005F65B6" w:rsidRPr="005B4C91" w:rsidRDefault="005B4C91" w:rsidP="005B4C91">
      <w:pPr>
        <w:pStyle w:val="Statut"/>
        <w:rPr>
          <w:noProof/>
        </w:rPr>
      </w:pPr>
      <w:r w:rsidRPr="005B4C91">
        <w:rPr>
          <w:noProof/>
        </w:rPr>
        <w:t>Návrh</w:t>
      </w:r>
    </w:p>
    <w:p w14:paraId="0BE29BE7" w14:textId="1D2C2E5C" w:rsidR="005F65B6" w:rsidRPr="005B4C91" w:rsidRDefault="005B4C91" w:rsidP="005B4C91">
      <w:pPr>
        <w:pStyle w:val="Typedudocument"/>
        <w:rPr>
          <w:noProof/>
        </w:rPr>
      </w:pPr>
      <w:r w:rsidRPr="005B4C91">
        <w:rPr>
          <w:noProof/>
        </w:rPr>
        <w:t>PROVÁDĚCÍ ROZHODNUTÍ RADY</w:t>
      </w:r>
    </w:p>
    <w:p w14:paraId="0F83AC50" w14:textId="78855E3A" w:rsidR="005F65B6" w:rsidRPr="005B4C91" w:rsidRDefault="005B4C91" w:rsidP="005B4C91">
      <w:pPr>
        <w:pStyle w:val="Titreobjet"/>
        <w:rPr>
          <w:noProof/>
        </w:rPr>
      </w:pPr>
      <w:r w:rsidRPr="005B4C91">
        <w:rPr>
          <w:noProof/>
        </w:rPr>
        <w:t>kterým se mění prováděcí rozhodnutí (EU) 2021/512, kterým se Spojenému království povoluje používat ve vztahu k Severnímu Irsku zvláštní opatření odchylující se od článků 16 a 168 směrnice 2006/112/ES o společném systému daně z přidané hodnoty, pokud jde o prodloužení povolení</w:t>
      </w:r>
    </w:p>
    <w:p w14:paraId="49761FCD" w14:textId="77777777" w:rsidR="005F65B6" w:rsidRPr="005B4C91" w:rsidRDefault="005F65B6" w:rsidP="00CE1658">
      <w:pPr>
        <w:pStyle w:val="Institutionquiagit"/>
        <w:rPr>
          <w:noProof/>
        </w:rPr>
      </w:pPr>
      <w:r w:rsidRPr="005B4C91">
        <w:rPr>
          <w:noProof/>
        </w:rPr>
        <w:t>RADA EVROPSKÉ UNIE,</w:t>
      </w:r>
    </w:p>
    <w:p w14:paraId="53AED1CA" w14:textId="77777777" w:rsidR="005F65B6" w:rsidRPr="005B4C91" w:rsidRDefault="005F65B6" w:rsidP="00CE1658">
      <w:pPr>
        <w:rPr>
          <w:noProof/>
        </w:rPr>
      </w:pPr>
      <w:r w:rsidRPr="005B4C91">
        <w:rPr>
          <w:noProof/>
        </w:rPr>
        <w:t xml:space="preserve">s ohledem na Smlouvu o fungování Evropské unie, </w:t>
      </w:r>
    </w:p>
    <w:p w14:paraId="74B315CF" w14:textId="62334B64" w:rsidR="005F65B6" w:rsidRPr="005B4C91" w:rsidRDefault="005F65B6" w:rsidP="00CE1658">
      <w:pPr>
        <w:rPr>
          <w:noProof/>
        </w:rPr>
      </w:pPr>
      <w:r w:rsidRPr="005B4C91">
        <w:rPr>
          <w:noProof/>
        </w:rPr>
        <w:t>s ohledem na směrnici Rady 2006/112/ES ze dne 28. listopadu 2006 o společném systému daně z přidané hodnoty</w:t>
      </w:r>
      <w:r w:rsidR="00380E6C" w:rsidRPr="005B4C91">
        <w:rPr>
          <w:rStyle w:val="FootnoteReference"/>
          <w:noProof/>
        </w:rPr>
        <w:footnoteReference w:id="7"/>
      </w:r>
      <w:r w:rsidRPr="005B4C91">
        <w:rPr>
          <w:noProof/>
        </w:rPr>
        <w:t>, a zejména na čl. 395 odst. 1 první pododstavec uvedené směrnice,</w:t>
      </w:r>
    </w:p>
    <w:p w14:paraId="1558A7D4" w14:textId="77777777" w:rsidR="005F65B6" w:rsidRPr="005B4C91" w:rsidRDefault="005F65B6" w:rsidP="00CE1658">
      <w:pPr>
        <w:rPr>
          <w:noProof/>
        </w:rPr>
      </w:pPr>
      <w:r w:rsidRPr="005B4C91">
        <w:rPr>
          <w:noProof/>
        </w:rPr>
        <w:t>s ohledem na návrh Evropské komise,</w:t>
      </w:r>
    </w:p>
    <w:p w14:paraId="052B2CC9" w14:textId="77777777" w:rsidR="005F65B6" w:rsidRPr="005B4C91" w:rsidRDefault="005F65B6" w:rsidP="00CE1658">
      <w:pPr>
        <w:rPr>
          <w:noProof/>
        </w:rPr>
      </w:pPr>
      <w:r w:rsidRPr="005B4C91">
        <w:rPr>
          <w:noProof/>
        </w:rPr>
        <w:t>vzhledem k těmto důvodům:</w:t>
      </w:r>
    </w:p>
    <w:p w14:paraId="3CE0C5FF" w14:textId="71C6EDC2" w:rsidR="002F1893" w:rsidRPr="005B4C91" w:rsidRDefault="00C556C2" w:rsidP="00C556C2">
      <w:pPr>
        <w:pStyle w:val="ManualConsidrant"/>
        <w:rPr>
          <w:noProof/>
        </w:rPr>
      </w:pPr>
      <w:r w:rsidRPr="00C556C2">
        <w:t>(1)</w:t>
      </w:r>
      <w:r w:rsidRPr="00C556C2">
        <w:tab/>
      </w:r>
      <w:r w:rsidR="002F1893" w:rsidRPr="005B4C91">
        <w:rPr>
          <w:noProof/>
        </w:rPr>
        <w:t>V souladu s článkem 1 prováděcího rozhodnutí Rady (EU) 2021/512</w:t>
      </w:r>
      <w:r w:rsidR="002F1893" w:rsidRPr="005B4C91">
        <w:rPr>
          <w:rStyle w:val="FootnoteReference"/>
          <w:noProof/>
        </w:rPr>
        <w:footnoteReference w:id="8"/>
      </w:r>
      <w:r w:rsidR="002F1893" w:rsidRPr="005B4C91">
        <w:rPr>
          <w:noProof/>
        </w:rPr>
        <w:t xml:space="preserve"> bylo Spojenému království povoleno používat ve vztahu k Severnímu Irsku do 31. prosince 2023 zvláštní opatření odchylující se od článků 16 a 168 směrnice 2006/112/ES s cílem určovat na paušálním základě podíl DPH, který připadá na náklady na pohonné hmoty použité v podnikových vozidlech pro soukromé účely (dále jen „zvláštní opatření“). </w:t>
      </w:r>
    </w:p>
    <w:p w14:paraId="687C4C51" w14:textId="7CDE288F" w:rsidR="00D6699D" w:rsidRPr="005B4C91" w:rsidRDefault="00C556C2" w:rsidP="00C556C2">
      <w:pPr>
        <w:pStyle w:val="ManualConsidrant"/>
        <w:rPr>
          <w:noProof/>
        </w:rPr>
      </w:pPr>
      <w:r w:rsidRPr="00C556C2">
        <w:t>(2)</w:t>
      </w:r>
      <w:r w:rsidRPr="00C556C2">
        <w:tab/>
      </w:r>
      <w:r w:rsidR="00D6699D" w:rsidRPr="005B4C91">
        <w:rPr>
          <w:noProof/>
        </w:rPr>
        <w:t>Článek 168 směrnice 2006/112/ES stanoví, že osoba povinná k dani má nárok na odpočet DPH zaplacené při nákupech pro účely zdaněných plnění této osoby. Článek 16 uvedené směrnice však stanoví, že použijí-li osoby povinné k dani zboží, které tvoří součást jejich obchodního majetku, pro svou soukromou potřebu nebo pro potřebu svých zaměstnanců, považuje se takové použití za dodání zboží za úplatu, pokud byla daň z dotyčného zboží nebo jeho části plně nebo zčásti odpočitatelná. Tento mechanismus umožňuje získat zpět původně odpočtenou DPH, pokud jde o soukromé užívání.</w:t>
      </w:r>
    </w:p>
    <w:p w14:paraId="3062F2B4" w14:textId="10613941" w:rsidR="00380E6C" w:rsidRPr="005B4C91" w:rsidRDefault="00C556C2" w:rsidP="00C556C2">
      <w:pPr>
        <w:pStyle w:val="ManualConsidrant"/>
        <w:rPr>
          <w:noProof/>
        </w:rPr>
      </w:pPr>
      <w:r w:rsidRPr="00C556C2">
        <w:t>(3)</w:t>
      </w:r>
      <w:r w:rsidRPr="00C556C2">
        <w:tab/>
      </w:r>
      <w:r w:rsidR="00380E6C" w:rsidRPr="005B4C91">
        <w:rPr>
          <w:noProof/>
        </w:rPr>
        <w:t>Spojené království požádalo dopisem, který Komise zaevidovala dne 13. července 2023, o povolení nadále uplatňovat toto zvláštní opatření ve vztahu k Severnímu Irsku i po 31. prosinci 2023.</w:t>
      </w:r>
    </w:p>
    <w:p w14:paraId="5F05BB34" w14:textId="07A9990D" w:rsidR="000B5C78" w:rsidRPr="005B4C91" w:rsidRDefault="00C556C2" w:rsidP="00C556C2">
      <w:pPr>
        <w:pStyle w:val="ManualConsidrant"/>
        <w:rPr>
          <w:noProof/>
        </w:rPr>
      </w:pPr>
      <w:r w:rsidRPr="00C556C2">
        <w:t>(4)</w:t>
      </w:r>
      <w:r w:rsidRPr="00C556C2">
        <w:tab/>
      </w:r>
      <w:r w:rsidR="005866D5" w:rsidRPr="005B4C91">
        <w:rPr>
          <w:noProof/>
        </w:rPr>
        <w:t>V souladu s čl. 395 odst. 2 druhým pododstavcem směrnice 2006/112/ES předala Komise prostřednictvím dopisů ze dne 7. srpna 2023 žádost Spojeného království členským státům s výjimkou Kypru, který byl informován dopisem ze dne 8. srpna 2023. Dopisem ze dne 8. srpna 2023 oznámila Komise Spojenému království, že již má k dispozici veškeré informace nezbytné k posouzení žádosti.</w:t>
      </w:r>
    </w:p>
    <w:p w14:paraId="37F0EDD7" w14:textId="6641DC34" w:rsidR="00AC7529" w:rsidRPr="005B4C91" w:rsidRDefault="00C556C2" w:rsidP="00C556C2">
      <w:pPr>
        <w:pStyle w:val="ManualConsidrant"/>
        <w:rPr>
          <w:noProof/>
        </w:rPr>
      </w:pPr>
      <w:r w:rsidRPr="00C556C2">
        <w:t>(5)</w:t>
      </w:r>
      <w:r w:rsidRPr="00C556C2">
        <w:tab/>
      </w:r>
      <w:r w:rsidR="009E248B" w:rsidRPr="005B4C91">
        <w:rPr>
          <w:noProof/>
        </w:rPr>
        <w:t>Podle informací poskytnutých Spojeným královstvím v jeho žádosti se skutková situace odůvodňující použití zvláštního opatření nezměnila. Kromě toho z vysvětlení fungování zvláštního opatření uvedeného v jeho žádosti vyplývá, že se ukázalo, že zvláštní opatření účinně zjednodušuje jak pro osoby povinné k dani, tak pro správce daně postup výběru DPH ve vztahu k nákladům na pohonné hmoty pro podniková vozidla částečně používaná pro soukromé účely.</w:t>
      </w:r>
    </w:p>
    <w:p w14:paraId="62A28426" w14:textId="2F8D9961" w:rsidR="00780A01" w:rsidRPr="005B4C91" w:rsidRDefault="00C556C2" w:rsidP="00C556C2">
      <w:pPr>
        <w:pStyle w:val="ManualConsidrant"/>
        <w:rPr>
          <w:noProof/>
        </w:rPr>
      </w:pPr>
      <w:r w:rsidRPr="00C556C2">
        <w:t>(6)</w:t>
      </w:r>
      <w:r w:rsidRPr="00C556C2">
        <w:tab/>
      </w:r>
      <w:r w:rsidR="00780A01" w:rsidRPr="005B4C91">
        <w:rPr>
          <w:noProof/>
        </w:rPr>
        <w:t>Je proto vhodné prodloužit dobu platnosti povolení stanovenou v prováděcím rozhodnutí (EU) 2021/512. Prodloužení platnosti povolení by mělo být časově omezeno, aby Spojené království mohlo řádně sledovat, zda podíl DPH určený na paušálním základě stále správně odráží náklady na pohonné hmoty pro podniková vozidla používaná pro soukromé účely. Platnost povolení zvláštního opatření by proto měla skončit dne 31. prosince 2026.</w:t>
      </w:r>
    </w:p>
    <w:p w14:paraId="0FB4906E" w14:textId="3AC4EB8F" w:rsidR="00091B13" w:rsidRPr="005B4C91" w:rsidRDefault="00C556C2" w:rsidP="00C556C2">
      <w:pPr>
        <w:pStyle w:val="ManualConsidrant"/>
        <w:rPr>
          <w:noProof/>
        </w:rPr>
      </w:pPr>
      <w:r w:rsidRPr="00C556C2">
        <w:t>(7)</w:t>
      </w:r>
      <w:r w:rsidRPr="00C556C2">
        <w:tab/>
      </w:r>
      <w:r w:rsidR="00527B95" w:rsidRPr="005B4C91">
        <w:rPr>
          <w:noProof/>
        </w:rPr>
        <w:t>V případě, že Spojené království požádá o další prodloužení zvláštního opatření na období po 31. prosinci 2026, mělo by Komisi k této žádostí o prodloužení přiložit zprávu a učinit tak do 31. března 2026.</w:t>
      </w:r>
    </w:p>
    <w:p w14:paraId="1D1591A6" w14:textId="5FB4EBBF" w:rsidR="00780A01" w:rsidRPr="005B4C91" w:rsidRDefault="00C556C2" w:rsidP="00C556C2">
      <w:pPr>
        <w:pStyle w:val="ManualConsidrant"/>
        <w:rPr>
          <w:noProof/>
        </w:rPr>
      </w:pPr>
      <w:r w:rsidRPr="00C556C2">
        <w:t>(8)</w:t>
      </w:r>
      <w:r w:rsidRPr="00C556C2">
        <w:tab/>
      </w:r>
      <w:r w:rsidR="005E495C" w:rsidRPr="005B4C91">
        <w:rPr>
          <w:noProof/>
        </w:rPr>
        <w:t>V souladu s čl. 8 druhým pododstavcem protokolu se příjmy plynoucí z plnění zdanitelných v Severním Irsku nepředávají Unii. Odchylující se opatření nebude mít nepříznivý dopad na vlastní zdroje Unie pocházející z DPH.</w:t>
      </w:r>
    </w:p>
    <w:p w14:paraId="5F813DEE" w14:textId="2A56D1A2" w:rsidR="005E495C" w:rsidRPr="005B4C91" w:rsidRDefault="00C556C2" w:rsidP="00C556C2">
      <w:pPr>
        <w:pStyle w:val="ManualConsidrant"/>
        <w:rPr>
          <w:noProof/>
        </w:rPr>
      </w:pPr>
      <w:r w:rsidRPr="00C556C2">
        <w:t>(9)</w:t>
      </w:r>
      <w:r w:rsidRPr="00C556C2">
        <w:tab/>
      </w:r>
      <w:r w:rsidR="00780A01" w:rsidRPr="005B4C91">
        <w:rPr>
          <w:noProof/>
        </w:rPr>
        <w:t>Prováděcí rozhodnutí (EU) 2021/512 by proto mělo být odpovídajícím způsobem změněno,</w:t>
      </w:r>
    </w:p>
    <w:p w14:paraId="7C31CF3D" w14:textId="77777777" w:rsidR="005F65B6" w:rsidRPr="005B4C91" w:rsidRDefault="005F65B6" w:rsidP="00EC43D6">
      <w:pPr>
        <w:rPr>
          <w:noProof/>
        </w:rPr>
      </w:pPr>
    </w:p>
    <w:p w14:paraId="1DE85A10" w14:textId="77777777" w:rsidR="005F65B6" w:rsidRPr="005B4C91" w:rsidRDefault="005F65B6" w:rsidP="00CE1658">
      <w:pPr>
        <w:pStyle w:val="Formuledadoption"/>
        <w:rPr>
          <w:noProof/>
        </w:rPr>
      </w:pPr>
      <w:r w:rsidRPr="005B4C91">
        <w:rPr>
          <w:noProof/>
        </w:rPr>
        <w:t xml:space="preserve">PŘIJALA TOTO ROZHODNUTÍ: </w:t>
      </w:r>
    </w:p>
    <w:p w14:paraId="75D3D7E0" w14:textId="77777777" w:rsidR="005F65B6" w:rsidRPr="005B4C91" w:rsidRDefault="005F65B6" w:rsidP="00CE1658">
      <w:pPr>
        <w:pStyle w:val="Titrearticle"/>
        <w:rPr>
          <w:noProof/>
        </w:rPr>
      </w:pPr>
      <w:r w:rsidRPr="005B4C91">
        <w:rPr>
          <w:noProof/>
        </w:rPr>
        <w:t>Článek 1</w:t>
      </w:r>
    </w:p>
    <w:p w14:paraId="5B0D91D4" w14:textId="60CD02D3" w:rsidR="00A23D6A" w:rsidRPr="005B4C91" w:rsidRDefault="00A23D6A" w:rsidP="00A23D6A">
      <w:pPr>
        <w:rPr>
          <w:noProof/>
        </w:rPr>
      </w:pPr>
      <w:r w:rsidRPr="005B4C91">
        <w:rPr>
          <w:noProof/>
        </w:rPr>
        <w:t>Článek 1 prováděcího rozhodnutí (EU) 2021/512 se nahrazuje tímto:</w:t>
      </w:r>
    </w:p>
    <w:p w14:paraId="4374BAB9" w14:textId="1F69FFD4" w:rsidR="00624A00" w:rsidRPr="005B4C91" w:rsidRDefault="00A23D6A" w:rsidP="00B379F7">
      <w:pPr>
        <w:jc w:val="center"/>
        <w:rPr>
          <w:noProof/>
        </w:rPr>
      </w:pPr>
      <w:r w:rsidRPr="005B4C91">
        <w:rPr>
          <w:noProof/>
        </w:rPr>
        <w:t>„</w:t>
      </w:r>
      <w:r w:rsidRPr="005B4C91">
        <w:rPr>
          <w:i/>
          <w:noProof/>
        </w:rPr>
        <w:t>Článek 1</w:t>
      </w:r>
    </w:p>
    <w:p w14:paraId="32A049C2" w14:textId="5D17744D" w:rsidR="00091B13" w:rsidRPr="005B4C91" w:rsidRDefault="00E049A9" w:rsidP="00E049A9">
      <w:pPr>
        <w:rPr>
          <w:noProof/>
        </w:rPr>
      </w:pPr>
      <w:r w:rsidRPr="005B4C91">
        <w:rPr>
          <w:noProof/>
        </w:rPr>
        <w:t>Odchylně od článku 16 a 168 směrnice 2006/112/ES se Spojenému království povoluje od 1. ledna 2021 do 31. prosince 2026 určovat ve vztahu k Severnímu Irsku na paušálním základě podíl DPH, který připadá na náklady na pohonné hmoty použité v podnikových vozidlech pro soukromé účely.</w:t>
      </w:r>
    </w:p>
    <w:p w14:paraId="4A3A65DA" w14:textId="29B31BFD" w:rsidR="00E049A9" w:rsidRPr="005B4C91" w:rsidRDefault="00527B95" w:rsidP="00E049A9">
      <w:pPr>
        <w:rPr>
          <w:noProof/>
        </w:rPr>
      </w:pPr>
      <w:bookmarkStart w:id="4" w:name="_Hlk147152577"/>
      <w:r w:rsidRPr="005B4C91">
        <w:rPr>
          <w:noProof/>
        </w:rPr>
        <w:t>Případná žádost o prodloužení platnosti opatření stanoveného tímto rozhodnutím se předloží Komisi do 31. března 2026 a připojí se k ní zpráva, která ověří účinnost zvláštního opatření, jakož i dosažení cílů. Zpráva obsahuje přezkum</w:t>
      </w:r>
      <w:bookmarkEnd w:id="4"/>
      <w:r w:rsidRPr="005B4C91">
        <w:rPr>
          <w:noProof/>
        </w:rPr>
        <w:t xml:space="preserve"> podílu DPH z hlediska toho, zda stále správně odráží náklady na pohonné hmoty pro podniková vozidla používaná pro soukromé účely. </w:t>
      </w:r>
    </w:p>
    <w:p w14:paraId="3D6235E3" w14:textId="730EA5D3" w:rsidR="005F65B6" w:rsidRPr="005B4C91" w:rsidRDefault="00CB767D" w:rsidP="008F3B91">
      <w:pPr>
        <w:pStyle w:val="Titrearticle"/>
        <w:rPr>
          <w:noProof/>
        </w:rPr>
      </w:pPr>
      <w:r w:rsidRPr="005B4C91">
        <w:rPr>
          <w:noProof/>
        </w:rPr>
        <w:t>Článek 2</w:t>
      </w:r>
    </w:p>
    <w:p w14:paraId="2AFFCB29" w14:textId="5B515DFB" w:rsidR="00633257" w:rsidRPr="005B4C91" w:rsidRDefault="00633257" w:rsidP="00412CF9">
      <w:pPr>
        <w:rPr>
          <w:noProof/>
        </w:rPr>
      </w:pPr>
      <w:r w:rsidRPr="005B4C91">
        <w:rPr>
          <w:noProof/>
        </w:rPr>
        <w:t>Toto rozhodnutí je určeno Spojenému království Velké Británie a Severního Irska ve vztahu k Severnímu Irsku.</w:t>
      </w:r>
    </w:p>
    <w:p w14:paraId="3221B172" w14:textId="2774DD0B" w:rsidR="005F65B6" w:rsidRPr="005B4C91" w:rsidRDefault="000512A0" w:rsidP="008F3B91">
      <w:pPr>
        <w:pStyle w:val="Fait"/>
        <w:rPr>
          <w:noProof/>
        </w:rPr>
      </w:pPr>
      <w:r w:rsidRPr="000512A0">
        <w:t>V Bruselu dne</w:t>
      </w:r>
    </w:p>
    <w:p w14:paraId="51A13C2D" w14:textId="77777777" w:rsidR="005F65B6" w:rsidRPr="005B4C91" w:rsidRDefault="005F65B6" w:rsidP="008F3B91">
      <w:pPr>
        <w:pStyle w:val="Institutionquisigne"/>
        <w:rPr>
          <w:noProof/>
        </w:rPr>
      </w:pPr>
      <w:r w:rsidRPr="005B4C91">
        <w:rPr>
          <w:noProof/>
        </w:rPr>
        <w:tab/>
        <w:t>Za Radu</w:t>
      </w:r>
    </w:p>
    <w:p w14:paraId="318E7B6A" w14:textId="77777777" w:rsidR="005F65B6" w:rsidRPr="005B4C91" w:rsidRDefault="005F65B6" w:rsidP="005F65B6">
      <w:pPr>
        <w:pStyle w:val="Personnequisigne"/>
        <w:rPr>
          <w:noProof/>
        </w:rPr>
      </w:pPr>
      <w:r w:rsidRPr="005B4C91">
        <w:rPr>
          <w:noProof/>
        </w:rPr>
        <w:tab/>
        <w:t>předseda</w:t>
      </w:r>
    </w:p>
    <w:sectPr w:rsidR="005F65B6" w:rsidRPr="005B4C91" w:rsidSect="001C715E">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ADFF" w14:textId="77777777" w:rsidR="009404AE" w:rsidRDefault="009404AE" w:rsidP="005F65B6">
      <w:pPr>
        <w:spacing w:before="0" w:after="0"/>
      </w:pPr>
      <w:r>
        <w:separator/>
      </w:r>
    </w:p>
  </w:endnote>
  <w:endnote w:type="continuationSeparator" w:id="0">
    <w:p w14:paraId="52D8EFCE" w14:textId="77777777" w:rsidR="009404AE" w:rsidRDefault="009404AE" w:rsidP="005F65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BD9F" w14:textId="48D3A7DB" w:rsidR="00893D57" w:rsidRPr="001C715E" w:rsidRDefault="001C715E" w:rsidP="001C715E">
    <w:pPr>
      <w:pStyle w:val="Footer"/>
      <w:rPr>
        <w:rFonts w:ascii="Arial" w:hAnsi="Arial" w:cs="Arial"/>
        <w:b/>
        <w:sz w:val="48"/>
      </w:rPr>
    </w:pPr>
    <w:r w:rsidRPr="001C715E">
      <w:rPr>
        <w:rFonts w:ascii="Arial" w:hAnsi="Arial" w:cs="Arial"/>
        <w:b/>
        <w:sz w:val="48"/>
      </w:rPr>
      <w:t>CS</w:t>
    </w:r>
    <w:r w:rsidRPr="001C715E">
      <w:rPr>
        <w:rFonts w:ascii="Arial" w:hAnsi="Arial" w:cs="Arial"/>
        <w:b/>
        <w:sz w:val="48"/>
      </w:rPr>
      <w:tab/>
    </w:r>
    <w:r w:rsidRPr="001C715E">
      <w:rPr>
        <w:rFonts w:ascii="Arial" w:hAnsi="Arial" w:cs="Arial"/>
        <w:b/>
        <w:sz w:val="48"/>
      </w:rPr>
      <w:tab/>
    </w:r>
    <w:r w:rsidRPr="001C715E">
      <w:tab/>
    </w:r>
    <w:r w:rsidRPr="001C715E">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F625" w14:textId="3AF2171E" w:rsidR="001C715E" w:rsidRPr="001C715E" w:rsidRDefault="001C715E" w:rsidP="001C715E">
    <w:pPr>
      <w:pStyle w:val="Footer"/>
      <w:rPr>
        <w:rFonts w:ascii="Arial" w:hAnsi="Arial" w:cs="Arial"/>
        <w:b/>
        <w:sz w:val="48"/>
      </w:rPr>
    </w:pPr>
    <w:r w:rsidRPr="001C715E">
      <w:rPr>
        <w:rFonts w:ascii="Arial" w:hAnsi="Arial" w:cs="Arial"/>
        <w:b/>
        <w:sz w:val="48"/>
      </w:rPr>
      <w:t>CS</w:t>
    </w:r>
    <w:r w:rsidRPr="001C715E">
      <w:rPr>
        <w:rFonts w:ascii="Arial" w:hAnsi="Arial" w:cs="Arial"/>
        <w:b/>
        <w:sz w:val="48"/>
      </w:rPr>
      <w:tab/>
    </w:r>
    <w:r>
      <w:fldChar w:fldCharType="begin"/>
    </w:r>
    <w:r>
      <w:instrText xml:space="preserve"> PAGE  \* MERGEFORMAT </w:instrText>
    </w:r>
    <w:r>
      <w:fldChar w:fldCharType="separate"/>
    </w:r>
    <w:r w:rsidR="008F3B91">
      <w:rPr>
        <w:noProof/>
      </w:rPr>
      <w:t>6</w:t>
    </w:r>
    <w:r>
      <w:fldChar w:fldCharType="end"/>
    </w:r>
    <w:r>
      <w:tab/>
    </w:r>
    <w:r w:rsidRPr="001C715E">
      <w:tab/>
    </w:r>
    <w:r w:rsidRPr="001C715E">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6D6F" w14:textId="77777777" w:rsidR="001C715E" w:rsidRPr="001C715E" w:rsidRDefault="001C715E" w:rsidP="001C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3E70" w14:textId="77777777" w:rsidR="009404AE" w:rsidRDefault="009404AE" w:rsidP="005F65B6">
      <w:pPr>
        <w:spacing w:before="0" w:after="0"/>
      </w:pPr>
      <w:r>
        <w:separator/>
      </w:r>
    </w:p>
  </w:footnote>
  <w:footnote w:type="continuationSeparator" w:id="0">
    <w:p w14:paraId="2E398947" w14:textId="77777777" w:rsidR="009404AE" w:rsidRDefault="009404AE" w:rsidP="005F65B6">
      <w:pPr>
        <w:spacing w:before="0" w:after="0"/>
      </w:pPr>
      <w:r>
        <w:continuationSeparator/>
      </w:r>
    </w:p>
  </w:footnote>
  <w:footnote w:id="1">
    <w:p w14:paraId="056478A1" w14:textId="77777777" w:rsidR="00DE0AE6" w:rsidRPr="00656F6D" w:rsidRDefault="00DE0AE6" w:rsidP="00DE0AE6">
      <w:pPr>
        <w:pStyle w:val="FootnoteText"/>
      </w:pPr>
      <w:r>
        <w:rPr>
          <w:rStyle w:val="FootnoteReference"/>
        </w:rPr>
        <w:footnoteRef/>
      </w:r>
      <w:r>
        <w:tab/>
        <w:t>Úř. věst. L 347, 11.12.2006, s. 1.</w:t>
      </w:r>
    </w:p>
  </w:footnote>
  <w:footnote w:id="2">
    <w:p w14:paraId="7A745D93" w14:textId="77777777" w:rsidR="00DE0AE6" w:rsidRPr="003100E0" w:rsidRDefault="00DE0AE6" w:rsidP="00DE0AE6">
      <w:pPr>
        <w:pStyle w:val="FootnoteText"/>
      </w:pPr>
      <w:r>
        <w:rPr>
          <w:rStyle w:val="FootnoteReference"/>
        </w:rPr>
        <w:footnoteRef/>
      </w:r>
      <w:r>
        <w:tab/>
        <w:t>Dohoda o vystoupení Spojeného království Velké Británie a Severního Irska z Evropské unie a Evropského společenství pro atomovou energii (Úř. věst. C 384 I, 12.11.2019, s. 1).</w:t>
      </w:r>
    </w:p>
  </w:footnote>
  <w:footnote w:id="3">
    <w:p w14:paraId="1A6C41F4" w14:textId="77777777" w:rsidR="00DE0AE6" w:rsidRPr="008C26B1" w:rsidRDefault="00DE0AE6" w:rsidP="00DE0AE6">
      <w:pPr>
        <w:pStyle w:val="FootnoteText"/>
      </w:pPr>
      <w:r>
        <w:rPr>
          <w:rStyle w:val="FootnoteReference"/>
        </w:rPr>
        <w:footnoteRef/>
      </w:r>
      <w:r>
        <w:tab/>
        <w:t>Úř. věst. C 384 I, 12.11.2019, s. 92.</w:t>
      </w:r>
    </w:p>
  </w:footnote>
  <w:footnote w:id="4">
    <w:p w14:paraId="462AE83C" w14:textId="77777777" w:rsidR="0099098A" w:rsidRPr="00656F6D" w:rsidRDefault="0099098A" w:rsidP="0099098A">
      <w:pPr>
        <w:pStyle w:val="FootnoteText"/>
      </w:pPr>
      <w:r>
        <w:rPr>
          <w:rStyle w:val="FootnoteReference"/>
        </w:rPr>
        <w:footnoteRef/>
      </w:r>
      <w:r>
        <w:tab/>
        <w:t>Úř. věst. L 212, 2.8.1986, s. 35.</w:t>
      </w:r>
    </w:p>
  </w:footnote>
  <w:footnote w:id="5">
    <w:p w14:paraId="771C2148" w14:textId="57A309C7" w:rsidR="0036249B" w:rsidRPr="000800DF" w:rsidRDefault="0036249B">
      <w:pPr>
        <w:pStyle w:val="FootnoteText"/>
      </w:pPr>
      <w:r>
        <w:rPr>
          <w:rStyle w:val="FootnoteReference"/>
        </w:rPr>
        <w:footnoteRef/>
      </w:r>
      <w:r>
        <w:tab/>
        <w:t>Úř. věst. L 103, 24.3.2021, s. 4.</w:t>
      </w:r>
    </w:p>
  </w:footnote>
  <w:footnote w:id="6">
    <w:p w14:paraId="0D35BF0C" w14:textId="77777777" w:rsidR="003C15B6" w:rsidRPr="00656F6D" w:rsidRDefault="003C15B6" w:rsidP="003C15B6">
      <w:pPr>
        <w:pStyle w:val="FootnoteText"/>
        <w:ind w:left="142" w:hanging="142"/>
      </w:pPr>
      <w:r>
        <w:rPr>
          <w:rStyle w:val="FootnoteReference"/>
        </w:rPr>
        <w:footnoteRef/>
      </w:r>
      <w:r>
        <w:tab/>
        <w:t>COM(2004) 728 final – návrh směrnice Rady, kterou se mění směrnice 77/388/EHS s cílem zjednodušit povinnosti týkající se daně z přidané hodnoty (Úř. věst. C 24, 29.1.2005, s. 10), stažen dne 21. května 2014</w:t>
      </w:r>
      <w:r>
        <w:rPr>
          <w:color w:val="0000FF" w:themeColor="hyperlink"/>
          <w:u w:val="single"/>
        </w:rPr>
        <w:t>_</w:t>
      </w:r>
      <w:r>
        <w:t xml:space="preserve">(Úř. věst. C 153, 21. 05. 2014, s. 3) </w:t>
      </w:r>
    </w:p>
    <w:p w14:paraId="61EED472" w14:textId="77777777" w:rsidR="003C15B6" w:rsidRPr="00656F6D" w:rsidRDefault="003C15B6">
      <w:pPr>
        <w:pStyle w:val="FootnoteText"/>
        <w:rPr>
          <w:lang w:val="pl-PL"/>
        </w:rPr>
      </w:pPr>
    </w:p>
  </w:footnote>
  <w:footnote w:id="7">
    <w:p w14:paraId="2259163F" w14:textId="77777777" w:rsidR="00380E6C" w:rsidRPr="00B379F7" w:rsidRDefault="00380E6C">
      <w:pPr>
        <w:pStyle w:val="FootnoteText"/>
      </w:pPr>
      <w:r>
        <w:rPr>
          <w:rStyle w:val="FootnoteReference"/>
        </w:rPr>
        <w:footnoteRef/>
      </w:r>
      <w:r>
        <w:tab/>
        <w:t>Úř. věst. L 347, 11.12.2006, s. 1.</w:t>
      </w:r>
    </w:p>
  </w:footnote>
  <w:footnote w:id="8">
    <w:p w14:paraId="5A4C05F7" w14:textId="77777777" w:rsidR="002F1893" w:rsidRPr="00656F6D" w:rsidRDefault="002F1893" w:rsidP="002F1893">
      <w:pPr>
        <w:pStyle w:val="FootnoteText"/>
      </w:pPr>
      <w:r>
        <w:rPr>
          <w:rStyle w:val="FootnoteReference"/>
        </w:rPr>
        <w:footnoteRef/>
      </w:r>
      <w:r>
        <w:tab/>
        <w:t>Úř. věst. L 103, 24.3.2021,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96D03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F5697B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CB65C2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17 19:18:2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F9A13E2-4C47-43ED-B42A-BEFF8C4A91CF"/>
    <w:docVar w:name="LW_COVERPAGE_TYPE" w:val="1"/>
    <w:docVar w:name="LW_CROSSREFERENCE" w:val="&lt;UNUSED&gt;"/>
    <w:docVar w:name="LW_DocType" w:val="COM"/>
    <w:docVar w:name="LW_EMISSION" w:val="20.11.2023"/>
    <w:docVar w:name="LW_EMISSION_ISODATE" w:val="2023-11-20"/>
    <w:docVar w:name="LW_EMISSION_LOCATION" w:val="BRX"/>
    <w:docVar w:name="LW_EMISSION_PREFIX" w:val="V Bruselu dne "/>
    <w:docVar w:name="LW_EMISSION_SUFFIX" w:val=" "/>
    <w:docVar w:name="LW_ID_DOCMODEL" w:val="SJ-020"/>
    <w:docVar w:name="LW_ID_DOCSIGNATURE" w:val="SJ-020"/>
    <w:docVar w:name="LW_ID_DOCSTRUCTURE" w:val="COM/PL/ORG"/>
    <w:docVar w:name="LW_ID_DOCTYPE" w:val="SJ-020"/>
    <w:docVar w:name="LW_ID_STATUT" w:val="SJ-020"/>
    <w:docVar w:name="LW_INSERT_EXP.MOTIFS.NEW" w:val="1"/>
    <w:docVar w:name="LW_INTERETEEE.CP" w:val="&lt;UNUSED&gt;"/>
    <w:docVar w:name="LW_LANGUE" w:val="CS"/>
    <w:docVar w:name="LW_LEVEL_OF_SENSITIVITY" w:val="Standard treatment"/>
    <w:docVar w:name="LW_NOM.INST" w:val="EVROPSKÁ KOMISE"/>
    <w:docVar w:name="LW_NOM.INST_JOINTDOC" w:val="&lt;EMPTY&gt;"/>
    <w:docVar w:name="LW_PART_NBR" w:val="1"/>
    <w:docVar w:name="LW_PART_NBR_TOTAL" w:val="1"/>
    <w:docVar w:name="LW_REF.II.NEW.CP" w:val="NLE"/>
    <w:docVar w:name="LW_REF.II.NEW.CP_NUMBER" w:val="0402"/>
    <w:docVar w:name="LW_REF.II.NEW.CP_YEAR" w:val="2023"/>
    <w:docVar w:name="LW_REF.INST.NEW" w:val="COM"/>
    <w:docVar w:name="LW_REF.INST.NEW_ADOPTED" w:val="final"/>
    <w:docVar w:name="LW_REF.INST.NEW_TEXT" w:val="(2023) 70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erým se mění prováděcí rozhodnutí (EU) 2021/512, kterým se Spojenému království povoluje používat ve vztahu k Severnímu Irsku zvláštní opatření odchylující se od článků 16 a 168 směrnice 2006/112/ES o společném systému daně z přidané hodnoty, pokud jde o prodloužení povolení"/>
    <w:docVar w:name="LW_TYPE.DOC.CP" w:val="PROVÁDĚCÍ ROZHODNUTÍ RADY"/>
    <w:docVar w:name="LwApiVersions" w:val="LW4CoDe 1.23.2.0; LW 8.0, Build 20211117"/>
  </w:docVars>
  <w:rsids>
    <w:rsidRoot w:val="005F65B6"/>
    <w:rsid w:val="00001067"/>
    <w:rsid w:val="0002565D"/>
    <w:rsid w:val="000430E1"/>
    <w:rsid w:val="00050923"/>
    <w:rsid w:val="000512A0"/>
    <w:rsid w:val="00052D70"/>
    <w:rsid w:val="00067F60"/>
    <w:rsid w:val="00071064"/>
    <w:rsid w:val="00075DDF"/>
    <w:rsid w:val="000800DF"/>
    <w:rsid w:val="00091B13"/>
    <w:rsid w:val="00096097"/>
    <w:rsid w:val="000979BF"/>
    <w:rsid w:val="000A4C4B"/>
    <w:rsid w:val="000B5C78"/>
    <w:rsid w:val="000D545D"/>
    <w:rsid w:val="000E1E0E"/>
    <w:rsid w:val="000E4123"/>
    <w:rsid w:val="000F09E7"/>
    <w:rsid w:val="00104E89"/>
    <w:rsid w:val="001065F5"/>
    <w:rsid w:val="001238EF"/>
    <w:rsid w:val="00132E92"/>
    <w:rsid w:val="001467A2"/>
    <w:rsid w:val="00180A2E"/>
    <w:rsid w:val="00192718"/>
    <w:rsid w:val="00197613"/>
    <w:rsid w:val="00197EAD"/>
    <w:rsid w:val="001A3FF3"/>
    <w:rsid w:val="001B397B"/>
    <w:rsid w:val="001C0123"/>
    <w:rsid w:val="001C715E"/>
    <w:rsid w:val="001C7995"/>
    <w:rsid w:val="001D2C00"/>
    <w:rsid w:val="001D4C12"/>
    <w:rsid w:val="001D5B39"/>
    <w:rsid w:val="001D7B78"/>
    <w:rsid w:val="002102C0"/>
    <w:rsid w:val="002120C2"/>
    <w:rsid w:val="00220B88"/>
    <w:rsid w:val="002243D8"/>
    <w:rsid w:val="00225CB2"/>
    <w:rsid w:val="00233DC7"/>
    <w:rsid w:val="002360FE"/>
    <w:rsid w:val="00245609"/>
    <w:rsid w:val="00247779"/>
    <w:rsid w:val="00251529"/>
    <w:rsid w:val="00255677"/>
    <w:rsid w:val="00263196"/>
    <w:rsid w:val="00280521"/>
    <w:rsid w:val="00285BEE"/>
    <w:rsid w:val="00293EC4"/>
    <w:rsid w:val="0029533F"/>
    <w:rsid w:val="002A2197"/>
    <w:rsid w:val="002B02B4"/>
    <w:rsid w:val="002B30AF"/>
    <w:rsid w:val="002B3C3A"/>
    <w:rsid w:val="002B4932"/>
    <w:rsid w:val="002B5AA1"/>
    <w:rsid w:val="002D1590"/>
    <w:rsid w:val="002D1E97"/>
    <w:rsid w:val="002F1893"/>
    <w:rsid w:val="002F343D"/>
    <w:rsid w:val="002F4405"/>
    <w:rsid w:val="002F7E2B"/>
    <w:rsid w:val="00300800"/>
    <w:rsid w:val="0031445B"/>
    <w:rsid w:val="00322CD3"/>
    <w:rsid w:val="0033344A"/>
    <w:rsid w:val="00346773"/>
    <w:rsid w:val="00360E75"/>
    <w:rsid w:val="0036139B"/>
    <w:rsid w:val="0036249B"/>
    <w:rsid w:val="00371C12"/>
    <w:rsid w:val="00373C90"/>
    <w:rsid w:val="00377A36"/>
    <w:rsid w:val="00380E6C"/>
    <w:rsid w:val="00381929"/>
    <w:rsid w:val="003872BA"/>
    <w:rsid w:val="003A4994"/>
    <w:rsid w:val="003B4533"/>
    <w:rsid w:val="003C15B6"/>
    <w:rsid w:val="003C2119"/>
    <w:rsid w:val="003D4188"/>
    <w:rsid w:val="003E475D"/>
    <w:rsid w:val="003F2CCF"/>
    <w:rsid w:val="00404ECD"/>
    <w:rsid w:val="00412CF9"/>
    <w:rsid w:val="0042648E"/>
    <w:rsid w:val="00434F26"/>
    <w:rsid w:val="00437E11"/>
    <w:rsid w:val="00463CBE"/>
    <w:rsid w:val="004936D2"/>
    <w:rsid w:val="004A30BB"/>
    <w:rsid w:val="004B0B6B"/>
    <w:rsid w:val="004B3B15"/>
    <w:rsid w:val="004B5643"/>
    <w:rsid w:val="004D1D43"/>
    <w:rsid w:val="005057E3"/>
    <w:rsid w:val="00512880"/>
    <w:rsid w:val="00527B6E"/>
    <w:rsid w:val="00527B95"/>
    <w:rsid w:val="00533CB2"/>
    <w:rsid w:val="005420D3"/>
    <w:rsid w:val="0055274D"/>
    <w:rsid w:val="00572F77"/>
    <w:rsid w:val="00576C9D"/>
    <w:rsid w:val="005866D5"/>
    <w:rsid w:val="00591232"/>
    <w:rsid w:val="00597A38"/>
    <w:rsid w:val="005A2D64"/>
    <w:rsid w:val="005B08B9"/>
    <w:rsid w:val="005B1EB6"/>
    <w:rsid w:val="005B4C91"/>
    <w:rsid w:val="005D4848"/>
    <w:rsid w:val="005E495C"/>
    <w:rsid w:val="005F65B6"/>
    <w:rsid w:val="006073EF"/>
    <w:rsid w:val="00617FA4"/>
    <w:rsid w:val="00624A00"/>
    <w:rsid w:val="00633257"/>
    <w:rsid w:val="00651E49"/>
    <w:rsid w:val="00656F6D"/>
    <w:rsid w:val="00657CEB"/>
    <w:rsid w:val="006810DA"/>
    <w:rsid w:val="006811F9"/>
    <w:rsid w:val="0068598B"/>
    <w:rsid w:val="0069606D"/>
    <w:rsid w:val="006A75E1"/>
    <w:rsid w:val="006B5106"/>
    <w:rsid w:val="006B7C19"/>
    <w:rsid w:val="006C6FA4"/>
    <w:rsid w:val="00702978"/>
    <w:rsid w:val="007054EC"/>
    <w:rsid w:val="00707A13"/>
    <w:rsid w:val="00712D51"/>
    <w:rsid w:val="007239FE"/>
    <w:rsid w:val="00730C90"/>
    <w:rsid w:val="00750F98"/>
    <w:rsid w:val="0076644C"/>
    <w:rsid w:val="00773331"/>
    <w:rsid w:val="00776ED0"/>
    <w:rsid w:val="00780A01"/>
    <w:rsid w:val="00784190"/>
    <w:rsid w:val="007932EF"/>
    <w:rsid w:val="007A39AD"/>
    <w:rsid w:val="007B2750"/>
    <w:rsid w:val="007C697E"/>
    <w:rsid w:val="007E05B0"/>
    <w:rsid w:val="007F1012"/>
    <w:rsid w:val="007F74FF"/>
    <w:rsid w:val="00800065"/>
    <w:rsid w:val="00801767"/>
    <w:rsid w:val="00801E8D"/>
    <w:rsid w:val="00805C53"/>
    <w:rsid w:val="00811F05"/>
    <w:rsid w:val="00827FA7"/>
    <w:rsid w:val="00830360"/>
    <w:rsid w:val="0083731C"/>
    <w:rsid w:val="00850D10"/>
    <w:rsid w:val="00856257"/>
    <w:rsid w:val="00874D22"/>
    <w:rsid w:val="008770B1"/>
    <w:rsid w:val="00877D31"/>
    <w:rsid w:val="00893D57"/>
    <w:rsid w:val="008A2914"/>
    <w:rsid w:val="008A3FE8"/>
    <w:rsid w:val="008A4A83"/>
    <w:rsid w:val="008B1309"/>
    <w:rsid w:val="008D7376"/>
    <w:rsid w:val="008E4D8E"/>
    <w:rsid w:val="008F3B91"/>
    <w:rsid w:val="00912268"/>
    <w:rsid w:val="009404AE"/>
    <w:rsid w:val="00950A33"/>
    <w:rsid w:val="00971298"/>
    <w:rsid w:val="00971CAB"/>
    <w:rsid w:val="009828BA"/>
    <w:rsid w:val="0099098A"/>
    <w:rsid w:val="009915EB"/>
    <w:rsid w:val="0099464B"/>
    <w:rsid w:val="009D6CC0"/>
    <w:rsid w:val="009E248B"/>
    <w:rsid w:val="009E3CA5"/>
    <w:rsid w:val="009E766D"/>
    <w:rsid w:val="009F2923"/>
    <w:rsid w:val="009F3AF8"/>
    <w:rsid w:val="009F46AA"/>
    <w:rsid w:val="009F58B1"/>
    <w:rsid w:val="00A04D2D"/>
    <w:rsid w:val="00A0700D"/>
    <w:rsid w:val="00A07FC9"/>
    <w:rsid w:val="00A158B0"/>
    <w:rsid w:val="00A22024"/>
    <w:rsid w:val="00A23D6A"/>
    <w:rsid w:val="00A43F7D"/>
    <w:rsid w:val="00A46ECE"/>
    <w:rsid w:val="00A530A6"/>
    <w:rsid w:val="00A55242"/>
    <w:rsid w:val="00A6732D"/>
    <w:rsid w:val="00A741DC"/>
    <w:rsid w:val="00A75584"/>
    <w:rsid w:val="00A7759C"/>
    <w:rsid w:val="00A87F39"/>
    <w:rsid w:val="00AA4392"/>
    <w:rsid w:val="00AC5EB7"/>
    <w:rsid w:val="00AC7529"/>
    <w:rsid w:val="00AE15D7"/>
    <w:rsid w:val="00AE6A75"/>
    <w:rsid w:val="00B10D2E"/>
    <w:rsid w:val="00B10F30"/>
    <w:rsid w:val="00B1262A"/>
    <w:rsid w:val="00B231A5"/>
    <w:rsid w:val="00B26D93"/>
    <w:rsid w:val="00B30CD1"/>
    <w:rsid w:val="00B36D35"/>
    <w:rsid w:val="00B379F7"/>
    <w:rsid w:val="00B37D5C"/>
    <w:rsid w:val="00B40CD3"/>
    <w:rsid w:val="00B429F4"/>
    <w:rsid w:val="00B454C4"/>
    <w:rsid w:val="00B6676D"/>
    <w:rsid w:val="00B83DF4"/>
    <w:rsid w:val="00B87561"/>
    <w:rsid w:val="00B87C1B"/>
    <w:rsid w:val="00B96C53"/>
    <w:rsid w:val="00BA0F04"/>
    <w:rsid w:val="00BC2033"/>
    <w:rsid w:val="00BF4D5A"/>
    <w:rsid w:val="00C12301"/>
    <w:rsid w:val="00C1331E"/>
    <w:rsid w:val="00C142F2"/>
    <w:rsid w:val="00C445D8"/>
    <w:rsid w:val="00C44632"/>
    <w:rsid w:val="00C556C2"/>
    <w:rsid w:val="00C6144C"/>
    <w:rsid w:val="00C6179C"/>
    <w:rsid w:val="00C66ADD"/>
    <w:rsid w:val="00CA5AA2"/>
    <w:rsid w:val="00CB767D"/>
    <w:rsid w:val="00CC4194"/>
    <w:rsid w:val="00CD762D"/>
    <w:rsid w:val="00CF2791"/>
    <w:rsid w:val="00CF5E64"/>
    <w:rsid w:val="00D00B74"/>
    <w:rsid w:val="00D0123C"/>
    <w:rsid w:val="00D027AC"/>
    <w:rsid w:val="00D030DC"/>
    <w:rsid w:val="00D0640F"/>
    <w:rsid w:val="00D12162"/>
    <w:rsid w:val="00D20381"/>
    <w:rsid w:val="00D5033D"/>
    <w:rsid w:val="00D65FBA"/>
    <w:rsid w:val="00D6699D"/>
    <w:rsid w:val="00D7738B"/>
    <w:rsid w:val="00D85334"/>
    <w:rsid w:val="00DA378B"/>
    <w:rsid w:val="00DA69AA"/>
    <w:rsid w:val="00DC7E58"/>
    <w:rsid w:val="00DE0AE6"/>
    <w:rsid w:val="00DE2197"/>
    <w:rsid w:val="00DF0C2B"/>
    <w:rsid w:val="00E0039A"/>
    <w:rsid w:val="00E0298D"/>
    <w:rsid w:val="00E049A9"/>
    <w:rsid w:val="00E123A8"/>
    <w:rsid w:val="00E45440"/>
    <w:rsid w:val="00E645D6"/>
    <w:rsid w:val="00E67E80"/>
    <w:rsid w:val="00E91350"/>
    <w:rsid w:val="00EA6BF6"/>
    <w:rsid w:val="00EC2020"/>
    <w:rsid w:val="00EC43D6"/>
    <w:rsid w:val="00ED0770"/>
    <w:rsid w:val="00F16129"/>
    <w:rsid w:val="00F21D15"/>
    <w:rsid w:val="00F222C5"/>
    <w:rsid w:val="00F26074"/>
    <w:rsid w:val="00F367F3"/>
    <w:rsid w:val="00F43AE3"/>
    <w:rsid w:val="00F44410"/>
    <w:rsid w:val="00F52653"/>
    <w:rsid w:val="00F55C76"/>
    <w:rsid w:val="00F779FD"/>
    <w:rsid w:val="00F80CE8"/>
    <w:rsid w:val="00FC38F8"/>
    <w:rsid w:val="00FC489F"/>
    <w:rsid w:val="00FC72E7"/>
    <w:rsid w:val="00FD25B5"/>
    <w:rsid w:val="00FD2A73"/>
    <w:rsid w:val="00FD2C8F"/>
    <w:rsid w:val="00FE53C4"/>
    <w:rsid w:val="00FE57F9"/>
    <w:rsid w:val="00FF1DD8"/>
    <w:rsid w:val="00FF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4ACBF6"/>
  <w15:docId w15:val="{268C74C5-960A-4618-80CC-6C0695A1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F65B6"/>
    <w:pPr>
      <w:numPr>
        <w:numId w:val="1"/>
      </w:numPr>
    </w:pPr>
    <w:rPr>
      <w:rFonts w:eastAsia="Times New Roman"/>
      <w:lang w:eastAsia="en-GB"/>
    </w:rPr>
  </w:style>
  <w:style w:type="character" w:styleId="CommentReference">
    <w:name w:val="annotation reference"/>
    <w:basedOn w:val="DefaultParagraphFont"/>
    <w:uiPriority w:val="99"/>
    <w:semiHidden/>
    <w:unhideWhenUsed/>
    <w:rsid w:val="000B5C78"/>
    <w:rPr>
      <w:sz w:val="16"/>
      <w:szCs w:val="16"/>
    </w:rPr>
  </w:style>
  <w:style w:type="paragraph" w:styleId="CommentText">
    <w:name w:val="annotation text"/>
    <w:basedOn w:val="Normal"/>
    <w:link w:val="CommentTextChar"/>
    <w:uiPriority w:val="99"/>
    <w:unhideWhenUsed/>
    <w:rsid w:val="000B5C78"/>
    <w:rPr>
      <w:sz w:val="20"/>
      <w:szCs w:val="20"/>
    </w:rPr>
  </w:style>
  <w:style w:type="character" w:customStyle="1" w:styleId="CommentTextChar">
    <w:name w:val="Comment Text Char"/>
    <w:basedOn w:val="DefaultParagraphFont"/>
    <w:link w:val="CommentText"/>
    <w:uiPriority w:val="99"/>
    <w:rsid w:val="000B5C78"/>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0B5C78"/>
    <w:rPr>
      <w:b/>
      <w:bCs/>
    </w:rPr>
  </w:style>
  <w:style w:type="character" w:customStyle="1" w:styleId="CommentSubjectChar">
    <w:name w:val="Comment Subject Char"/>
    <w:basedOn w:val="CommentTextChar"/>
    <w:link w:val="CommentSubject"/>
    <w:uiPriority w:val="99"/>
    <w:semiHidden/>
    <w:rsid w:val="000B5C78"/>
    <w:rPr>
      <w:rFonts w:ascii="Times New Roman" w:hAnsi="Times New Roman" w:cs="Times New Roman"/>
      <w:b/>
      <w:bCs/>
      <w:sz w:val="20"/>
      <w:szCs w:val="20"/>
      <w:lang w:val="cs-CZ"/>
    </w:rPr>
  </w:style>
  <w:style w:type="paragraph" w:styleId="ListBullet2">
    <w:name w:val="List Bullet 2"/>
    <w:basedOn w:val="Normal"/>
    <w:uiPriority w:val="99"/>
    <w:semiHidden/>
    <w:unhideWhenUsed/>
    <w:rsid w:val="00C445D8"/>
    <w:pPr>
      <w:numPr>
        <w:numId w:val="2"/>
      </w:numPr>
      <w:contextualSpacing/>
    </w:pPr>
  </w:style>
  <w:style w:type="paragraph" w:styleId="ListBullet3">
    <w:name w:val="List Bullet 3"/>
    <w:basedOn w:val="Normal"/>
    <w:uiPriority w:val="99"/>
    <w:semiHidden/>
    <w:unhideWhenUsed/>
    <w:rsid w:val="00C445D8"/>
    <w:pPr>
      <w:numPr>
        <w:numId w:val="3"/>
      </w:numPr>
      <w:contextualSpacing/>
    </w:pPr>
  </w:style>
  <w:style w:type="paragraph" w:styleId="ListBullet4">
    <w:name w:val="List Bullet 4"/>
    <w:basedOn w:val="Normal"/>
    <w:uiPriority w:val="99"/>
    <w:semiHidden/>
    <w:unhideWhenUsed/>
    <w:rsid w:val="00C445D8"/>
    <w:pPr>
      <w:numPr>
        <w:numId w:val="4"/>
      </w:numPr>
      <w:contextualSpacing/>
    </w:pPr>
  </w:style>
  <w:style w:type="paragraph" w:styleId="Revision">
    <w:name w:val="Revision"/>
    <w:hidden/>
    <w:uiPriority w:val="99"/>
    <w:semiHidden/>
    <w:rsid w:val="00251529"/>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F222C5"/>
    <w:rPr>
      <w:color w:val="0000FF" w:themeColor="hyperlink"/>
      <w:u w:val="single"/>
    </w:rPr>
  </w:style>
  <w:style w:type="character" w:customStyle="1" w:styleId="UnresolvedMention">
    <w:name w:val="Unresolved Mention"/>
    <w:basedOn w:val="DefaultParagraphFont"/>
    <w:uiPriority w:val="99"/>
    <w:semiHidden/>
    <w:unhideWhenUsed/>
    <w:rsid w:val="002D1E97"/>
    <w:rPr>
      <w:color w:val="605E5C"/>
      <w:shd w:val="clear" w:color="auto" w:fill="E1DFDD"/>
    </w:rPr>
  </w:style>
  <w:style w:type="paragraph" w:styleId="ListParagraph">
    <w:name w:val="List Paragraph"/>
    <w:basedOn w:val="Normal"/>
    <w:uiPriority w:val="34"/>
    <w:qFormat/>
    <w:rsid w:val="005D4848"/>
    <w:pPr>
      <w:ind w:left="720"/>
      <w:contextualSpacing/>
    </w:pPr>
  </w:style>
  <w:style w:type="paragraph" w:styleId="Header">
    <w:name w:val="header"/>
    <w:basedOn w:val="Normal"/>
    <w:link w:val="HeaderChar"/>
    <w:uiPriority w:val="99"/>
    <w:unhideWhenUsed/>
    <w:rsid w:val="001C715E"/>
    <w:pPr>
      <w:tabs>
        <w:tab w:val="center" w:pos="4535"/>
        <w:tab w:val="right" w:pos="9071"/>
      </w:tabs>
      <w:spacing w:before="0"/>
    </w:pPr>
  </w:style>
  <w:style w:type="character" w:customStyle="1" w:styleId="HeaderChar">
    <w:name w:val="Header Char"/>
    <w:basedOn w:val="DefaultParagraphFont"/>
    <w:link w:val="Header"/>
    <w:uiPriority w:val="99"/>
    <w:rsid w:val="001C715E"/>
    <w:rPr>
      <w:rFonts w:ascii="Times New Roman" w:hAnsi="Times New Roman" w:cs="Times New Roman"/>
      <w:sz w:val="24"/>
      <w:lang w:val="cs-CZ"/>
    </w:rPr>
  </w:style>
  <w:style w:type="paragraph" w:styleId="Footer">
    <w:name w:val="footer"/>
    <w:basedOn w:val="Normal"/>
    <w:link w:val="FooterChar"/>
    <w:uiPriority w:val="99"/>
    <w:unhideWhenUsed/>
    <w:rsid w:val="001C715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C715E"/>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C715E"/>
    <w:pPr>
      <w:tabs>
        <w:tab w:val="center" w:pos="7285"/>
        <w:tab w:val="right" w:pos="14003"/>
      </w:tabs>
      <w:spacing w:before="0"/>
    </w:pPr>
  </w:style>
  <w:style w:type="paragraph" w:customStyle="1" w:styleId="FooterLandscape">
    <w:name w:val="FooterLandscape"/>
    <w:basedOn w:val="Normal"/>
    <w:rsid w:val="001C715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C715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C715E"/>
    <w:pPr>
      <w:spacing w:before="0"/>
      <w:jc w:val="right"/>
    </w:pPr>
    <w:rPr>
      <w:sz w:val="28"/>
    </w:rPr>
  </w:style>
  <w:style w:type="paragraph" w:customStyle="1" w:styleId="FooterSensitivity">
    <w:name w:val="Footer Sensitivity"/>
    <w:basedOn w:val="Normal"/>
    <w:rsid w:val="001C715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2691-2298-4CBD-BF47-215375330369}">
  <ds:schemaRefs>
    <ds:schemaRef ds:uri="http://schemas.microsoft.com/sharepoint/v3/contenttype/forms"/>
  </ds:schemaRefs>
</ds:datastoreItem>
</file>

<file path=customXml/itemProps2.xml><?xml version="1.0" encoding="utf-8"?>
<ds:datastoreItem xmlns:ds="http://schemas.openxmlformats.org/officeDocument/2006/customXml" ds:itemID="{618D1845-6253-42DE-AC90-A0D613A44225}">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063C6761-2233-48D2-83B1-31E9E8A5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C4DAD-BD2C-4EE7-8C6D-FD1B9A59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2020</Words>
  <Characters>11377</Characters>
  <Application>Microsoft Office Word</Application>
  <DocSecurity>0</DocSecurity>
  <Lines>203</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43</cp:revision>
  <dcterms:created xsi:type="dcterms:W3CDTF">2023-10-31T08:21:00Z</dcterms:created>
  <dcterms:modified xsi:type="dcterms:W3CDTF">2023-11-17T18:18:00Z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2023-04-18T10:13:49Z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e14c2c3b-98d8-482d-b782-a614f80a02c0</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SJ-020</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