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86A6" w14:textId="79DB3E8A" w:rsidR="00A260E8" w:rsidRDefault="00615CBF" w:rsidP="00615CBF">
      <w:pPr>
        <w:pStyle w:val="Pagedecouverture"/>
        <w:rPr>
          <w:noProof/>
        </w:rPr>
      </w:pPr>
      <w:bookmarkStart w:id="0" w:name="LW_BM_COVERPAGE"/>
      <w:r>
        <w:rPr>
          <w:noProof/>
        </w:rPr>
        <w:pict w14:anchorId="0F960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17855D4B-FA39-4C8F-8FA3-2DD358DB4F6B" style="width:455.25pt;height:378.75pt">
            <v:imagedata r:id="rId14" o:title=""/>
          </v:shape>
        </w:pict>
      </w:r>
    </w:p>
    <w:bookmarkEnd w:id="0"/>
    <w:p w14:paraId="13524951" w14:textId="77777777" w:rsidR="00A260E8" w:rsidRDefault="00A260E8" w:rsidP="00A260E8">
      <w:pPr>
        <w:rPr>
          <w:noProof/>
        </w:rPr>
        <w:sectPr w:rsidR="00A260E8" w:rsidSect="00615CBF">
          <w:headerReference w:type="even" r:id="rId15"/>
          <w:headerReference w:type="default" r:id="rId16"/>
          <w:footerReference w:type="even" r:id="rId17"/>
          <w:footerReference w:type="default" r:id="rId18"/>
          <w:headerReference w:type="first" r:id="rId19"/>
          <w:footerReference w:type="first" r:id="rId20"/>
          <w:pgSz w:w="11906" w:h="16838" w:code="9"/>
          <w:pgMar w:top="1134" w:right="1417" w:bottom="1134" w:left="1417" w:header="709" w:footer="709" w:gutter="0"/>
          <w:pgNumType w:start="0"/>
          <w:cols w:space="720"/>
          <w:docGrid w:linePitch="326"/>
        </w:sectPr>
      </w:pPr>
    </w:p>
    <w:p w14:paraId="4D34E7E1" w14:textId="77777777" w:rsidR="00B16EB3" w:rsidRPr="00627EAB" w:rsidRDefault="00067BA2" w:rsidP="00C10249">
      <w:pPr>
        <w:pStyle w:val="Heading1"/>
        <w:tabs>
          <w:tab w:val="clear" w:pos="2467"/>
        </w:tabs>
        <w:ind w:left="567" w:hanging="567"/>
        <w:rPr>
          <w:noProof/>
        </w:rPr>
      </w:pPr>
      <w:bookmarkStart w:id="1" w:name="_GoBack"/>
      <w:bookmarkEnd w:id="1"/>
      <w:r w:rsidRPr="00627EAB">
        <w:rPr>
          <w:noProof/>
        </w:rPr>
        <w:lastRenderedPageBreak/>
        <w:t>Introduction</w:t>
      </w:r>
    </w:p>
    <w:p w14:paraId="01B082BA" w14:textId="33ABAF84" w:rsidR="008333EC" w:rsidRDefault="008333EC" w:rsidP="008333EC">
      <w:pPr>
        <w:pStyle w:val="Text1"/>
        <w:ind w:left="0"/>
        <w:rPr>
          <w:noProof/>
        </w:rPr>
      </w:pPr>
      <w:r>
        <w:rPr>
          <w:noProof/>
        </w:rPr>
        <w:t>The EU’s Generalised Scheme of Preferences (GSP) unilaterally provides preferential access to the Union market through reduced or removed EU import tariffs</w:t>
      </w:r>
      <w:r w:rsidR="008E1393">
        <w:rPr>
          <w:noProof/>
        </w:rPr>
        <w:t>,</w:t>
      </w:r>
      <w:r>
        <w:rPr>
          <w:noProof/>
        </w:rPr>
        <w:t xml:space="preserve"> to </w:t>
      </w:r>
      <w:r w:rsidR="008E1393">
        <w:rPr>
          <w:noProof/>
        </w:rPr>
        <w:t xml:space="preserve">foster the sustainable development of </w:t>
      </w:r>
      <w:r w:rsidR="002C3C0E">
        <w:rPr>
          <w:noProof/>
        </w:rPr>
        <w:t>lower income</w:t>
      </w:r>
      <w:r>
        <w:rPr>
          <w:noProof/>
        </w:rPr>
        <w:t xml:space="preserve"> countries and </w:t>
      </w:r>
      <w:r w:rsidR="008E1393">
        <w:rPr>
          <w:noProof/>
        </w:rPr>
        <w:t xml:space="preserve">to </w:t>
      </w:r>
      <w:r>
        <w:rPr>
          <w:noProof/>
        </w:rPr>
        <w:t>reduc</w:t>
      </w:r>
      <w:r w:rsidR="008E1393">
        <w:rPr>
          <w:noProof/>
        </w:rPr>
        <w:t xml:space="preserve">e </w:t>
      </w:r>
      <w:r>
        <w:rPr>
          <w:noProof/>
        </w:rPr>
        <w:t xml:space="preserve">poverty through international trade. GSP benefits are linked to </w:t>
      </w:r>
      <w:r w:rsidR="002C3C0E">
        <w:rPr>
          <w:noProof/>
        </w:rPr>
        <w:t>beneficiary</w:t>
      </w:r>
      <w:r>
        <w:rPr>
          <w:noProof/>
        </w:rPr>
        <w:t xml:space="preserve"> countries’ respect of international standards on human rights, labour rights, environment and climate, and good governance.</w:t>
      </w:r>
      <w:r w:rsidR="00902ADC">
        <w:rPr>
          <w:noProof/>
        </w:rPr>
        <w:t xml:space="preserve"> </w:t>
      </w:r>
    </w:p>
    <w:p w14:paraId="6B93C0D5" w14:textId="3539325A" w:rsidR="008333EC" w:rsidRDefault="008333EC" w:rsidP="008333EC">
      <w:pPr>
        <w:pStyle w:val="Text1"/>
        <w:ind w:left="0"/>
        <w:rPr>
          <w:noProof/>
        </w:rPr>
      </w:pPr>
      <w:r>
        <w:rPr>
          <w:noProof/>
        </w:rPr>
        <w:t xml:space="preserve">This report is a key part of the regular monitoring and reporting </w:t>
      </w:r>
      <w:r w:rsidR="00BB6325">
        <w:rPr>
          <w:noProof/>
        </w:rPr>
        <w:t xml:space="preserve">activities </w:t>
      </w:r>
      <w:r>
        <w:rPr>
          <w:noProof/>
        </w:rPr>
        <w:t xml:space="preserve">on the implementation of the GSP to the European Parliament and the Council, as provided for in the </w:t>
      </w:r>
      <w:r w:rsidR="002C3C0E">
        <w:rPr>
          <w:noProof/>
        </w:rPr>
        <w:t>GSP Regulation </w:t>
      </w:r>
      <w:r w:rsidR="009C7A94" w:rsidRPr="009C7A94">
        <w:rPr>
          <w:rStyle w:val="FootnoteReference"/>
          <w:noProof/>
          <w:vertAlign w:val="baseline"/>
        </w:rPr>
        <w:t>(</w:t>
      </w:r>
      <w:r w:rsidR="00EC6C46" w:rsidRPr="730E3F16">
        <w:rPr>
          <w:rStyle w:val="FootnoteReference"/>
          <w:noProof/>
        </w:rPr>
        <w:footnoteReference w:id="2"/>
      </w:r>
      <w:r w:rsidR="009C7A94" w:rsidRPr="009C7A94">
        <w:rPr>
          <w:rStyle w:val="FootnoteReference"/>
          <w:noProof/>
          <w:vertAlign w:val="baseline"/>
        </w:rPr>
        <w:t>)</w:t>
      </w:r>
      <w:r>
        <w:rPr>
          <w:noProof/>
        </w:rPr>
        <w:t xml:space="preserve">. It covers the implementation and impact of </w:t>
      </w:r>
      <w:r w:rsidR="009F41F2">
        <w:rPr>
          <w:noProof/>
        </w:rPr>
        <w:t xml:space="preserve">the </w:t>
      </w:r>
      <w:r>
        <w:rPr>
          <w:noProof/>
        </w:rPr>
        <w:t xml:space="preserve">GSP </w:t>
      </w:r>
      <w:r w:rsidRPr="00B22282">
        <w:rPr>
          <w:noProof/>
        </w:rPr>
        <w:t>over the 2020 to 2022</w:t>
      </w:r>
      <w:r>
        <w:rPr>
          <w:noProof/>
        </w:rPr>
        <w:t xml:space="preserve"> period </w:t>
      </w:r>
      <w:r w:rsidR="00F52255">
        <w:rPr>
          <w:noProof/>
        </w:rPr>
        <w:t xml:space="preserve">(the “reporting period”) </w:t>
      </w:r>
      <w:r>
        <w:rPr>
          <w:noProof/>
        </w:rPr>
        <w:t>across its three arrangements</w:t>
      </w:r>
      <w:r w:rsidR="00B14F3F">
        <w:rPr>
          <w:noProof/>
        </w:rPr>
        <w:t xml:space="preserve">: </w:t>
      </w:r>
      <w:r>
        <w:rPr>
          <w:noProof/>
        </w:rPr>
        <w:t>Everything But Arms (EBA) applying to least developed countries</w:t>
      </w:r>
      <w:r w:rsidR="00105C35">
        <w:rPr>
          <w:noProof/>
        </w:rPr>
        <w:t xml:space="preserve"> (LDCs)</w:t>
      </w:r>
      <w:r>
        <w:rPr>
          <w:noProof/>
        </w:rPr>
        <w:t xml:space="preserve">, standard GSP, and the special incentive arrangement for sustainable development </w:t>
      </w:r>
      <w:r w:rsidR="002C3C0E">
        <w:rPr>
          <w:noProof/>
        </w:rPr>
        <w:t>(</w:t>
      </w:r>
      <w:r>
        <w:rPr>
          <w:noProof/>
        </w:rPr>
        <w:t>GSP+</w:t>
      </w:r>
      <w:r w:rsidR="002C3C0E">
        <w:rPr>
          <w:noProof/>
        </w:rPr>
        <w:t>)</w:t>
      </w:r>
      <w:r>
        <w:rPr>
          <w:noProof/>
        </w:rPr>
        <w:t xml:space="preserve">. As </w:t>
      </w:r>
      <w:r w:rsidR="0059323B">
        <w:rPr>
          <w:noProof/>
        </w:rPr>
        <w:t xml:space="preserve">was the case for </w:t>
      </w:r>
      <w:r w:rsidR="00387CF6">
        <w:rPr>
          <w:noProof/>
        </w:rPr>
        <w:t xml:space="preserve">the </w:t>
      </w:r>
      <w:r w:rsidR="00F52255">
        <w:rPr>
          <w:noProof/>
        </w:rPr>
        <w:t>la</w:t>
      </w:r>
      <w:r w:rsidR="0054277E">
        <w:rPr>
          <w:noProof/>
        </w:rPr>
        <w:t>te</w:t>
      </w:r>
      <w:r w:rsidR="00F52255">
        <w:rPr>
          <w:noProof/>
        </w:rPr>
        <w:t xml:space="preserve">st such </w:t>
      </w:r>
      <w:r>
        <w:rPr>
          <w:noProof/>
        </w:rPr>
        <w:t>GSP report</w:t>
      </w:r>
      <w:r w:rsidR="00F52255">
        <w:rPr>
          <w:noProof/>
        </w:rPr>
        <w:t xml:space="preserve"> </w:t>
      </w:r>
      <w:r w:rsidR="00462FBD">
        <w:rPr>
          <w:noProof/>
        </w:rPr>
        <w:t>from</w:t>
      </w:r>
      <w:r w:rsidR="00F52255">
        <w:rPr>
          <w:noProof/>
        </w:rPr>
        <w:t xml:space="preserve"> 2020</w:t>
      </w:r>
      <w:r w:rsidR="001D2E64" w:rsidRPr="001D2E64">
        <w:rPr>
          <w:noProof/>
        </w:rPr>
        <w:t> </w:t>
      </w:r>
      <w:r w:rsidR="009C7A94" w:rsidRPr="009C7A94">
        <w:rPr>
          <w:rStyle w:val="FootnoteReference"/>
          <w:noProof/>
          <w:vertAlign w:val="baseline"/>
        </w:rPr>
        <w:t>(</w:t>
      </w:r>
      <w:r w:rsidR="00EC6C46">
        <w:rPr>
          <w:rStyle w:val="FootnoteReference"/>
          <w:noProof/>
        </w:rPr>
        <w:footnoteReference w:id="3"/>
      </w:r>
      <w:r w:rsidR="009C7A94" w:rsidRPr="009C7A94">
        <w:rPr>
          <w:rStyle w:val="FootnoteReference"/>
          <w:noProof/>
          <w:vertAlign w:val="baseline"/>
        </w:rPr>
        <w:t>)</w:t>
      </w:r>
      <w:r>
        <w:rPr>
          <w:noProof/>
        </w:rPr>
        <w:t>,</w:t>
      </w:r>
      <w:r w:rsidR="00387CF6">
        <w:rPr>
          <w:noProof/>
        </w:rPr>
        <w:t xml:space="preserve"> </w:t>
      </w:r>
      <w:r w:rsidR="00462FBD">
        <w:rPr>
          <w:noProof/>
        </w:rPr>
        <w:t>the current report</w:t>
      </w:r>
      <w:r>
        <w:rPr>
          <w:noProof/>
        </w:rPr>
        <w:t xml:space="preserve"> is accompanied by</w:t>
      </w:r>
      <w:r w:rsidR="00B14F3F">
        <w:rPr>
          <w:noProof/>
        </w:rPr>
        <w:t xml:space="preserve"> ten</w:t>
      </w:r>
      <w:r>
        <w:rPr>
          <w:noProof/>
        </w:rPr>
        <w:t xml:space="preserve"> Staff Working Documents</w:t>
      </w:r>
      <w:r w:rsidR="00E711C4">
        <w:rPr>
          <w:noProof/>
        </w:rPr>
        <w:t xml:space="preserve"> (SWDs)</w:t>
      </w:r>
      <w:r w:rsidR="00B14F3F">
        <w:rPr>
          <w:noProof/>
        </w:rPr>
        <w:t>: one</w:t>
      </w:r>
      <w:r>
        <w:rPr>
          <w:noProof/>
        </w:rPr>
        <w:t xml:space="preserve"> for each of the nine GSP+ beneficiaries during the reporting period</w:t>
      </w:r>
      <w:r w:rsidR="00B14F3F">
        <w:rPr>
          <w:noProof/>
        </w:rPr>
        <w:t>,</w:t>
      </w:r>
      <w:r>
        <w:rPr>
          <w:noProof/>
        </w:rPr>
        <w:t xml:space="preserve"> and one for the three EBA beneficiaries under enhanced engagement. </w:t>
      </w:r>
    </w:p>
    <w:p w14:paraId="1E598C1E" w14:textId="5256203A" w:rsidR="00BB6325" w:rsidRDefault="008333EC" w:rsidP="008333EC">
      <w:pPr>
        <w:pStyle w:val="Text1"/>
        <w:ind w:left="0"/>
        <w:rPr>
          <w:noProof/>
        </w:rPr>
      </w:pPr>
      <w:r>
        <w:rPr>
          <w:noProof/>
        </w:rPr>
        <w:t>Th</w:t>
      </w:r>
      <w:r w:rsidR="003C7315">
        <w:rPr>
          <w:noProof/>
        </w:rPr>
        <w:t xml:space="preserve">e present </w:t>
      </w:r>
      <w:r>
        <w:rPr>
          <w:noProof/>
        </w:rPr>
        <w:t xml:space="preserve">report covers a longer period than the usual two-year reporting cycle, due to the challenges to implementation and monitoring resulting from </w:t>
      </w:r>
      <w:r w:rsidR="0059323B">
        <w:rPr>
          <w:noProof/>
        </w:rPr>
        <w:t xml:space="preserve">the impact of </w:t>
      </w:r>
      <w:r>
        <w:rPr>
          <w:noProof/>
        </w:rPr>
        <w:t>COVID-19</w:t>
      </w:r>
      <w:r w:rsidR="00BB6325">
        <w:rPr>
          <w:noProof/>
        </w:rPr>
        <w:t xml:space="preserve"> and</w:t>
      </w:r>
      <w:r w:rsidR="00870715">
        <w:rPr>
          <w:noProof/>
        </w:rPr>
        <w:t xml:space="preserve"> </w:t>
      </w:r>
      <w:r w:rsidR="0059323B">
        <w:rPr>
          <w:noProof/>
        </w:rPr>
        <w:t xml:space="preserve">the </w:t>
      </w:r>
      <w:r>
        <w:rPr>
          <w:noProof/>
        </w:rPr>
        <w:t xml:space="preserve">related restrictions in 2020 and 2021. </w:t>
      </w:r>
      <w:r w:rsidR="00BB6325">
        <w:rPr>
          <w:noProof/>
        </w:rPr>
        <w:t xml:space="preserve">GSP engagement and monitoring continued remotely in written and virtual forms despite </w:t>
      </w:r>
      <w:r w:rsidR="0059323B">
        <w:rPr>
          <w:noProof/>
        </w:rPr>
        <w:t>these challenges</w:t>
      </w:r>
      <w:r w:rsidR="00BB6325">
        <w:rPr>
          <w:noProof/>
        </w:rPr>
        <w:t xml:space="preserve">. The </w:t>
      </w:r>
      <w:r w:rsidR="009F41F2">
        <w:rPr>
          <w:noProof/>
        </w:rPr>
        <w:t xml:space="preserve">report </w:t>
      </w:r>
      <w:r w:rsidR="00BB6325">
        <w:rPr>
          <w:noProof/>
        </w:rPr>
        <w:t xml:space="preserve">also reflects the monitoring missions to beneficiary countries which were possible again as of late 2021 </w:t>
      </w:r>
      <w:r w:rsidR="0054277E">
        <w:rPr>
          <w:noProof/>
        </w:rPr>
        <w:t xml:space="preserve">and </w:t>
      </w:r>
      <w:r w:rsidR="00BB6325">
        <w:rPr>
          <w:noProof/>
        </w:rPr>
        <w:t xml:space="preserve">developments in the beneficiary countries enabled by loosening restrictions and freed up resources after the height of the pandemic. </w:t>
      </w:r>
    </w:p>
    <w:p w14:paraId="6C61121E" w14:textId="77777777" w:rsidR="008333EC" w:rsidRDefault="008333EC" w:rsidP="008333EC">
      <w:pPr>
        <w:pStyle w:val="Text1"/>
        <w:ind w:left="0"/>
        <w:rPr>
          <w:noProof/>
        </w:rPr>
      </w:pPr>
      <w:r>
        <w:rPr>
          <w:noProof/>
        </w:rPr>
        <w:t>The report is based on th</w:t>
      </w:r>
      <w:r w:rsidR="00462FBD">
        <w:rPr>
          <w:noProof/>
        </w:rPr>
        <w:t>e</w:t>
      </w:r>
      <w:r>
        <w:rPr>
          <w:noProof/>
        </w:rPr>
        <w:t xml:space="preserve"> engagement with beneficiary countries, civil society, business communities, and UN monitoring bodies and other international organisations through the work of </w:t>
      </w:r>
      <w:r w:rsidR="003C7315">
        <w:rPr>
          <w:noProof/>
        </w:rPr>
        <w:t xml:space="preserve">the European </w:t>
      </w:r>
      <w:r>
        <w:rPr>
          <w:noProof/>
        </w:rPr>
        <w:t>Commission Services and the European External Action Service (EEAS)</w:t>
      </w:r>
      <w:r w:rsidR="00361056">
        <w:rPr>
          <w:noProof/>
        </w:rPr>
        <w:t>,</w:t>
      </w:r>
      <w:r>
        <w:rPr>
          <w:noProof/>
        </w:rPr>
        <w:t xml:space="preserve"> including in EU Delegations. Moreover, a dedicated civil society dialogue took place on 6 September 2022 to further support </w:t>
      </w:r>
      <w:r w:rsidR="00E711C4">
        <w:rPr>
          <w:noProof/>
        </w:rPr>
        <w:t>the report’s</w:t>
      </w:r>
      <w:r>
        <w:rPr>
          <w:noProof/>
        </w:rPr>
        <w:t xml:space="preserve"> preparation. </w:t>
      </w:r>
    </w:p>
    <w:p w14:paraId="63010414" w14:textId="082D1B00" w:rsidR="008333EC" w:rsidRDefault="008333EC" w:rsidP="008333EC">
      <w:pPr>
        <w:pStyle w:val="Text1"/>
        <w:ind w:left="0"/>
        <w:rPr>
          <w:noProof/>
        </w:rPr>
      </w:pPr>
      <w:r>
        <w:rPr>
          <w:noProof/>
        </w:rPr>
        <w:t xml:space="preserve">This report is also significant in view of the </w:t>
      </w:r>
      <w:r w:rsidR="00367753">
        <w:rPr>
          <w:noProof/>
        </w:rPr>
        <w:t>expiry</w:t>
      </w:r>
      <w:r>
        <w:rPr>
          <w:noProof/>
        </w:rPr>
        <w:t xml:space="preserve"> of the current GSP Regulation at the end of 2023. </w:t>
      </w:r>
      <w:r w:rsidR="0013146F">
        <w:rPr>
          <w:noProof/>
        </w:rPr>
        <w:t>It</w:t>
      </w:r>
      <w:r>
        <w:rPr>
          <w:noProof/>
        </w:rPr>
        <w:t xml:space="preserve"> assesses the </w:t>
      </w:r>
      <w:r w:rsidR="00DE5E3C">
        <w:rPr>
          <w:noProof/>
        </w:rPr>
        <w:t>longer-term</w:t>
      </w:r>
      <w:r>
        <w:rPr>
          <w:noProof/>
        </w:rPr>
        <w:t xml:space="preserve"> impact of </w:t>
      </w:r>
      <w:r w:rsidR="0059323B">
        <w:rPr>
          <w:noProof/>
        </w:rPr>
        <w:t xml:space="preserve">the </w:t>
      </w:r>
      <w:r>
        <w:rPr>
          <w:noProof/>
        </w:rPr>
        <w:t xml:space="preserve">GSP, with respect to </w:t>
      </w:r>
      <w:r w:rsidR="0013146F">
        <w:rPr>
          <w:noProof/>
        </w:rPr>
        <w:t xml:space="preserve">both </w:t>
      </w:r>
      <w:r>
        <w:rPr>
          <w:noProof/>
        </w:rPr>
        <w:t xml:space="preserve">economic effects and sustainable development, and how to ensure continued engagement </w:t>
      </w:r>
      <w:r w:rsidR="00462FBD">
        <w:rPr>
          <w:noProof/>
        </w:rPr>
        <w:t xml:space="preserve">in </w:t>
      </w:r>
      <w:r>
        <w:rPr>
          <w:noProof/>
        </w:rPr>
        <w:t xml:space="preserve">the scheme among GSP beneficiaries. The legislative procedure to adopt </w:t>
      </w:r>
      <w:r w:rsidR="002B61DF">
        <w:rPr>
          <w:noProof/>
        </w:rPr>
        <w:t>a</w:t>
      </w:r>
      <w:r>
        <w:rPr>
          <w:noProof/>
        </w:rPr>
        <w:t xml:space="preserve"> new </w:t>
      </w:r>
      <w:r w:rsidR="002B61DF">
        <w:rPr>
          <w:noProof/>
        </w:rPr>
        <w:t xml:space="preserve">revised </w:t>
      </w:r>
      <w:r>
        <w:rPr>
          <w:noProof/>
        </w:rPr>
        <w:t>GSP Regulation is still ongoing</w:t>
      </w:r>
      <w:r w:rsidR="002B61DF">
        <w:rPr>
          <w:noProof/>
        </w:rPr>
        <w:t xml:space="preserve">; in the meantime, a </w:t>
      </w:r>
      <w:r w:rsidR="00C8734C">
        <w:rPr>
          <w:noProof/>
        </w:rPr>
        <w:t xml:space="preserve">proposal for a </w:t>
      </w:r>
      <w:r w:rsidR="002B61DF">
        <w:rPr>
          <w:noProof/>
        </w:rPr>
        <w:t>prolongation of the current rules</w:t>
      </w:r>
      <w:r w:rsidR="00774263">
        <w:rPr>
          <w:noProof/>
        </w:rPr>
        <w:t xml:space="preserve"> until the end of 2027</w:t>
      </w:r>
      <w:r w:rsidR="002B61DF">
        <w:rPr>
          <w:noProof/>
        </w:rPr>
        <w:t xml:space="preserve"> has been </w:t>
      </w:r>
      <w:r w:rsidR="00C8734C">
        <w:rPr>
          <w:noProof/>
        </w:rPr>
        <w:t>adopted</w:t>
      </w:r>
      <w:r w:rsidR="002B61DF">
        <w:rPr>
          <w:noProof/>
        </w:rPr>
        <w:t xml:space="preserve"> </w:t>
      </w:r>
      <w:r w:rsidR="009F41F2">
        <w:rPr>
          <w:noProof/>
        </w:rPr>
        <w:t xml:space="preserve">by the European Commission </w:t>
      </w:r>
      <w:r w:rsidR="002B61DF">
        <w:rPr>
          <w:noProof/>
        </w:rPr>
        <w:t>to ensure continuity</w:t>
      </w:r>
      <w:r w:rsidR="00C26244">
        <w:rPr>
          <w:noProof/>
        </w:rPr>
        <w:t xml:space="preserve"> and legal certainty</w:t>
      </w:r>
      <w:r w:rsidR="003D6FD7">
        <w:rPr>
          <w:noProof/>
        </w:rPr>
        <w:t xml:space="preserve"> </w:t>
      </w:r>
      <w:r w:rsidR="003D6FD7" w:rsidRPr="00E241B2">
        <w:rPr>
          <w:noProof/>
        </w:rPr>
        <w:t>(</w:t>
      </w:r>
      <w:r w:rsidR="003D6FD7">
        <w:rPr>
          <w:rStyle w:val="FootnoteReference"/>
          <w:noProof/>
        </w:rPr>
        <w:footnoteReference w:id="4"/>
      </w:r>
      <w:r w:rsidR="003D6FD7">
        <w:rPr>
          <w:noProof/>
        </w:rPr>
        <w:t>)</w:t>
      </w:r>
      <w:r w:rsidR="006944BC">
        <w:rPr>
          <w:noProof/>
        </w:rPr>
        <w:t>.</w:t>
      </w:r>
      <w:r>
        <w:rPr>
          <w:noProof/>
        </w:rPr>
        <w:t xml:space="preserve"> </w:t>
      </w:r>
      <w:r w:rsidR="006944BC">
        <w:rPr>
          <w:noProof/>
        </w:rPr>
        <w:t>T</w:t>
      </w:r>
      <w:r>
        <w:rPr>
          <w:noProof/>
        </w:rPr>
        <w:t>h</w:t>
      </w:r>
      <w:r w:rsidR="0013146F">
        <w:rPr>
          <w:noProof/>
        </w:rPr>
        <w:t>e</w:t>
      </w:r>
      <w:r>
        <w:rPr>
          <w:noProof/>
        </w:rPr>
        <w:t xml:space="preserve"> report</w:t>
      </w:r>
      <w:r w:rsidR="00E711C4">
        <w:rPr>
          <w:noProof/>
        </w:rPr>
        <w:t xml:space="preserve"> and its accompanying SWDs</w:t>
      </w:r>
      <w:r>
        <w:rPr>
          <w:noProof/>
        </w:rPr>
        <w:t xml:space="preserve"> also provide valuable </w:t>
      </w:r>
      <w:r w:rsidR="0059323B">
        <w:rPr>
          <w:noProof/>
        </w:rPr>
        <w:t>information</w:t>
      </w:r>
      <w:r>
        <w:rPr>
          <w:noProof/>
        </w:rPr>
        <w:t xml:space="preserve"> and recommendations for current GSP+ beneficiaries </w:t>
      </w:r>
      <w:r w:rsidR="006371B4">
        <w:rPr>
          <w:noProof/>
        </w:rPr>
        <w:t xml:space="preserve">– in light of a potential requirement </w:t>
      </w:r>
      <w:r>
        <w:rPr>
          <w:noProof/>
        </w:rPr>
        <w:t xml:space="preserve">to reapply to benefit from </w:t>
      </w:r>
      <w:r w:rsidR="006371B4">
        <w:rPr>
          <w:noProof/>
        </w:rPr>
        <w:t xml:space="preserve">the GSP+ </w:t>
      </w:r>
      <w:r>
        <w:rPr>
          <w:noProof/>
        </w:rPr>
        <w:t xml:space="preserve">arrangement under the new GSP Regulation. </w:t>
      </w:r>
    </w:p>
    <w:p w14:paraId="390664C8" w14:textId="77777777" w:rsidR="00067BA2" w:rsidRDefault="00067BA2" w:rsidP="00C10249">
      <w:pPr>
        <w:pStyle w:val="Heading1"/>
        <w:tabs>
          <w:tab w:val="clear" w:pos="2467"/>
        </w:tabs>
        <w:ind w:left="567" w:hanging="567"/>
        <w:rPr>
          <w:noProof/>
        </w:rPr>
      </w:pPr>
      <w:r>
        <w:rPr>
          <w:noProof/>
        </w:rPr>
        <w:t>Highlights</w:t>
      </w:r>
    </w:p>
    <w:p w14:paraId="45552D9D" w14:textId="6C4431EA" w:rsidR="006F20EA" w:rsidRDefault="0059323B" w:rsidP="00E7475B">
      <w:pPr>
        <w:pStyle w:val="Text1"/>
        <w:ind w:left="0"/>
        <w:rPr>
          <w:noProof/>
        </w:rPr>
      </w:pPr>
      <w:r>
        <w:rPr>
          <w:noProof/>
        </w:rPr>
        <w:t xml:space="preserve">The </w:t>
      </w:r>
      <w:r w:rsidR="7EFBE59F">
        <w:rPr>
          <w:noProof/>
        </w:rPr>
        <w:t xml:space="preserve">GSP is an important </w:t>
      </w:r>
      <w:r w:rsidR="00DE5E3C">
        <w:rPr>
          <w:noProof/>
        </w:rPr>
        <w:t xml:space="preserve">trade </w:t>
      </w:r>
      <w:r w:rsidR="00FB78C1">
        <w:rPr>
          <w:noProof/>
        </w:rPr>
        <w:t xml:space="preserve">tool for the EU to support sustainable </w:t>
      </w:r>
      <w:r w:rsidR="7EFBE59F">
        <w:rPr>
          <w:noProof/>
        </w:rPr>
        <w:t xml:space="preserve">development </w:t>
      </w:r>
      <w:r w:rsidR="00855FEF">
        <w:rPr>
          <w:noProof/>
        </w:rPr>
        <w:t>in lower income countries</w:t>
      </w:r>
      <w:r w:rsidR="2CA821DB">
        <w:rPr>
          <w:noProof/>
        </w:rPr>
        <w:t xml:space="preserve">. </w:t>
      </w:r>
      <w:r w:rsidR="7418E365">
        <w:rPr>
          <w:noProof/>
        </w:rPr>
        <w:t>Its structure</w:t>
      </w:r>
      <w:r w:rsidR="0013146F">
        <w:rPr>
          <w:noProof/>
        </w:rPr>
        <w:t xml:space="preserve"> with t</w:t>
      </w:r>
      <w:r w:rsidR="00DE5E3C">
        <w:rPr>
          <w:noProof/>
        </w:rPr>
        <w:t>h</w:t>
      </w:r>
      <w:r w:rsidR="0013146F">
        <w:rPr>
          <w:noProof/>
        </w:rPr>
        <w:t>ree</w:t>
      </w:r>
      <w:r w:rsidR="00462FBD">
        <w:rPr>
          <w:noProof/>
        </w:rPr>
        <w:t xml:space="preserve"> distinct</w:t>
      </w:r>
      <w:r w:rsidR="0013146F">
        <w:rPr>
          <w:noProof/>
        </w:rPr>
        <w:t xml:space="preserve"> arrangements</w:t>
      </w:r>
      <w:r w:rsidR="00BB6325" w:rsidRPr="00BB6325">
        <w:rPr>
          <w:noProof/>
        </w:rPr>
        <w:t> </w:t>
      </w:r>
      <w:r w:rsidR="009C7A94" w:rsidRPr="009C7A94">
        <w:rPr>
          <w:rStyle w:val="FootnoteReference"/>
          <w:noProof/>
          <w:vertAlign w:val="baseline"/>
        </w:rPr>
        <w:t>(</w:t>
      </w:r>
      <w:r w:rsidR="00EC6C46">
        <w:rPr>
          <w:rStyle w:val="FootnoteReference"/>
          <w:noProof/>
        </w:rPr>
        <w:footnoteReference w:id="5"/>
      </w:r>
      <w:r w:rsidR="009C7A94" w:rsidRPr="009C7A94">
        <w:rPr>
          <w:rStyle w:val="FootnoteReference"/>
          <w:noProof/>
          <w:vertAlign w:val="baseline"/>
        </w:rPr>
        <w:t>)</w:t>
      </w:r>
      <w:r w:rsidR="7418E365">
        <w:rPr>
          <w:noProof/>
        </w:rPr>
        <w:t xml:space="preserve"> </w:t>
      </w:r>
      <w:r w:rsidR="00DE5E3C">
        <w:rPr>
          <w:noProof/>
        </w:rPr>
        <w:t xml:space="preserve">constitutes </w:t>
      </w:r>
      <w:r w:rsidR="20BBAAFB">
        <w:rPr>
          <w:noProof/>
        </w:rPr>
        <w:t xml:space="preserve">an objective and transparent framework </w:t>
      </w:r>
      <w:r w:rsidR="7418E365">
        <w:rPr>
          <w:noProof/>
        </w:rPr>
        <w:t xml:space="preserve">to address the specific development needs and </w:t>
      </w:r>
      <w:r w:rsidR="75131754">
        <w:rPr>
          <w:noProof/>
        </w:rPr>
        <w:t xml:space="preserve">ambitions of different beneficiary countries. </w:t>
      </w:r>
    </w:p>
    <w:p w14:paraId="6FC3BB85" w14:textId="02524CBD" w:rsidR="00B22282" w:rsidRDefault="0059323B" w:rsidP="00E7475B">
      <w:pPr>
        <w:pStyle w:val="Text1"/>
        <w:ind w:left="0"/>
        <w:rPr>
          <w:noProof/>
        </w:rPr>
      </w:pPr>
      <w:r>
        <w:rPr>
          <w:noProof/>
        </w:rPr>
        <w:t xml:space="preserve">The </w:t>
      </w:r>
      <w:r w:rsidR="009A4835" w:rsidRPr="00D148D9">
        <w:rPr>
          <w:noProof/>
        </w:rPr>
        <w:t>GSP</w:t>
      </w:r>
      <w:r w:rsidR="00A6255F" w:rsidRPr="00D148D9">
        <w:rPr>
          <w:noProof/>
        </w:rPr>
        <w:t xml:space="preserve"> is economically valuable for beneficiaries</w:t>
      </w:r>
      <w:r w:rsidR="00774263">
        <w:rPr>
          <w:noProof/>
        </w:rPr>
        <w:t xml:space="preserve"> </w:t>
      </w:r>
      <w:r w:rsidR="009C7A94" w:rsidRPr="009C7A94">
        <w:rPr>
          <w:rStyle w:val="FootnoteReference"/>
          <w:noProof/>
          <w:vertAlign w:val="baseline"/>
        </w:rPr>
        <w:t>(</w:t>
      </w:r>
      <w:r w:rsidR="00EC6C46">
        <w:rPr>
          <w:rStyle w:val="FootnoteReference"/>
          <w:noProof/>
        </w:rPr>
        <w:footnoteReference w:id="6"/>
      </w:r>
      <w:r w:rsidR="009C7A94" w:rsidRPr="009C7A94">
        <w:rPr>
          <w:rStyle w:val="FootnoteReference"/>
          <w:noProof/>
          <w:vertAlign w:val="baseline"/>
        </w:rPr>
        <w:t>)</w:t>
      </w:r>
      <w:r w:rsidR="00870715">
        <w:rPr>
          <w:noProof/>
        </w:rPr>
        <w:t>,</w:t>
      </w:r>
      <w:r w:rsidR="00BB6325">
        <w:rPr>
          <w:noProof/>
        </w:rPr>
        <w:t xml:space="preserve"> as substantiated also in part 4.1 of this </w:t>
      </w:r>
      <w:r w:rsidR="009F41F2">
        <w:rPr>
          <w:noProof/>
        </w:rPr>
        <w:t>report</w:t>
      </w:r>
      <w:r w:rsidR="006A5A9A">
        <w:rPr>
          <w:noProof/>
        </w:rPr>
        <w:t>.</w:t>
      </w:r>
      <w:r w:rsidR="0090659D">
        <w:rPr>
          <w:noProof/>
        </w:rPr>
        <w:t xml:space="preserve"> </w:t>
      </w:r>
      <w:r w:rsidR="006A5A9A" w:rsidRPr="730E3F16">
        <w:rPr>
          <w:noProof/>
          <w:lang w:val="en-US"/>
        </w:rPr>
        <w:t xml:space="preserve">Between </w:t>
      </w:r>
      <w:r w:rsidR="0090659D" w:rsidRPr="730E3F16">
        <w:rPr>
          <w:noProof/>
          <w:lang w:val="en-US"/>
        </w:rPr>
        <w:t>2014 and 2019</w:t>
      </w:r>
      <w:r w:rsidR="0090659D">
        <w:rPr>
          <w:noProof/>
          <w:lang w:val="en-US"/>
        </w:rPr>
        <w:t>, i.e.</w:t>
      </w:r>
      <w:r w:rsidR="0054277E">
        <w:rPr>
          <w:noProof/>
          <w:lang w:val="en-US"/>
        </w:rPr>
        <w:t>,</w:t>
      </w:r>
      <w:r w:rsidR="0090659D">
        <w:rPr>
          <w:noProof/>
          <w:lang w:val="en-US"/>
        </w:rPr>
        <w:t xml:space="preserve"> before the COVID-19 pandemic</w:t>
      </w:r>
      <w:r w:rsidR="0090659D" w:rsidRPr="730E3F16">
        <w:rPr>
          <w:noProof/>
          <w:lang w:val="en-US"/>
        </w:rPr>
        <w:t xml:space="preserve">, EU27 </w:t>
      </w:r>
      <w:r w:rsidR="0090659D" w:rsidRPr="00DF542A">
        <w:rPr>
          <w:noProof/>
          <w:lang w:val="en-US"/>
        </w:rPr>
        <w:t xml:space="preserve">total </w:t>
      </w:r>
      <w:r w:rsidR="0090659D">
        <w:rPr>
          <w:noProof/>
          <w:lang w:val="en-US"/>
        </w:rPr>
        <w:t xml:space="preserve">preferential </w:t>
      </w:r>
      <w:r w:rsidR="0090659D" w:rsidRPr="00DF542A">
        <w:rPr>
          <w:noProof/>
          <w:lang w:val="en-US"/>
        </w:rPr>
        <w:t>imports</w:t>
      </w:r>
      <w:r w:rsidR="0090659D" w:rsidRPr="0010661B">
        <w:rPr>
          <w:noProof/>
          <w:lang w:val="en-US"/>
        </w:rPr>
        <w:t xml:space="preserve"> from current GSP beneficiaries increased by </w:t>
      </w:r>
      <w:r w:rsidR="0090659D">
        <w:rPr>
          <w:noProof/>
          <w:lang w:val="en-US"/>
        </w:rPr>
        <w:t>56</w:t>
      </w:r>
      <w:r w:rsidR="0090659D" w:rsidRPr="0010661B">
        <w:rPr>
          <w:noProof/>
          <w:lang w:val="en-US"/>
        </w:rPr>
        <w:t xml:space="preserve">%, </w:t>
      </w:r>
      <w:r w:rsidR="0090659D">
        <w:rPr>
          <w:noProof/>
          <w:lang w:val="en-US"/>
        </w:rPr>
        <w:t xml:space="preserve">at three times the pace of its </w:t>
      </w:r>
      <w:r w:rsidR="0090659D" w:rsidRPr="0010661B">
        <w:rPr>
          <w:noProof/>
          <w:lang w:val="en-US"/>
        </w:rPr>
        <w:t>overall imports from third countries</w:t>
      </w:r>
      <w:r w:rsidR="0090659D">
        <w:rPr>
          <w:noProof/>
          <w:lang w:val="en-US"/>
        </w:rPr>
        <w:t>; this contributes also to faster growth in the GSP countries than would have been the case without the preferences offered by the GSP</w:t>
      </w:r>
      <w:r w:rsidR="00A6255F" w:rsidRPr="00D148D9">
        <w:rPr>
          <w:noProof/>
        </w:rPr>
        <w:t>.</w:t>
      </w:r>
      <w:r w:rsidR="00A6255F">
        <w:rPr>
          <w:noProof/>
        </w:rPr>
        <w:t xml:space="preserve"> </w:t>
      </w:r>
      <w:r w:rsidR="0090659D">
        <w:rPr>
          <w:noProof/>
        </w:rPr>
        <w:t>Moreover, despite less dynamic exports during and after the pandemic, b</w:t>
      </w:r>
      <w:r w:rsidR="00E222FB">
        <w:rPr>
          <w:noProof/>
        </w:rPr>
        <w:t xml:space="preserve">eneficiary countries’ continued exports to the EU </w:t>
      </w:r>
      <w:r w:rsidR="00361056">
        <w:rPr>
          <w:noProof/>
        </w:rPr>
        <w:t>benefitting from</w:t>
      </w:r>
      <w:r w:rsidR="00E222FB">
        <w:rPr>
          <w:noProof/>
        </w:rPr>
        <w:t xml:space="preserve"> GSP play a crucial role for </w:t>
      </w:r>
      <w:r w:rsidR="000C0058">
        <w:rPr>
          <w:noProof/>
        </w:rPr>
        <w:t xml:space="preserve">economic </w:t>
      </w:r>
      <w:r w:rsidR="00E222FB">
        <w:rPr>
          <w:noProof/>
        </w:rPr>
        <w:t xml:space="preserve">stability, particularly at times of crisis. Overall, increased </w:t>
      </w:r>
      <w:r w:rsidR="009D2606">
        <w:rPr>
          <w:noProof/>
        </w:rPr>
        <w:t xml:space="preserve">international trade and </w:t>
      </w:r>
      <w:r w:rsidR="00E222FB">
        <w:rPr>
          <w:noProof/>
        </w:rPr>
        <w:t>participation in global value chains ha</w:t>
      </w:r>
      <w:r w:rsidR="009D2606">
        <w:rPr>
          <w:noProof/>
        </w:rPr>
        <w:t>ve</w:t>
      </w:r>
      <w:r w:rsidR="00E222FB">
        <w:rPr>
          <w:noProof/>
        </w:rPr>
        <w:t xml:space="preserve"> </w:t>
      </w:r>
      <w:r w:rsidR="007F345C">
        <w:rPr>
          <w:noProof/>
        </w:rPr>
        <w:t>supported</w:t>
      </w:r>
      <w:r w:rsidR="00E222FB">
        <w:rPr>
          <w:noProof/>
        </w:rPr>
        <w:t xml:space="preserve"> the </w:t>
      </w:r>
      <w:r w:rsidR="00BC51A5">
        <w:rPr>
          <w:noProof/>
        </w:rPr>
        <w:t>socio-</w:t>
      </w:r>
      <w:r w:rsidR="00E222FB">
        <w:rPr>
          <w:noProof/>
        </w:rPr>
        <w:t xml:space="preserve">economic development of </w:t>
      </w:r>
      <w:r w:rsidR="53A08F0A" w:rsidRPr="00B22282">
        <w:rPr>
          <w:noProof/>
        </w:rPr>
        <w:t>GSP beneficiaries</w:t>
      </w:r>
      <w:r w:rsidR="63851BA8" w:rsidRPr="003D6FD7">
        <w:rPr>
          <w:noProof/>
        </w:rPr>
        <w:t>.</w:t>
      </w:r>
      <w:r w:rsidR="7932CFDF">
        <w:rPr>
          <w:noProof/>
        </w:rPr>
        <w:t xml:space="preserve"> </w:t>
      </w:r>
      <w:r w:rsidR="00C9206A">
        <w:rPr>
          <w:noProof/>
        </w:rPr>
        <w:t xml:space="preserve">Testimonies to that </w:t>
      </w:r>
      <w:r w:rsidR="00660409">
        <w:rPr>
          <w:noProof/>
        </w:rPr>
        <w:t xml:space="preserve">are several </w:t>
      </w:r>
      <w:r w:rsidR="00E22389">
        <w:rPr>
          <w:noProof/>
        </w:rPr>
        <w:t xml:space="preserve">countries’ </w:t>
      </w:r>
      <w:r w:rsidR="00BB6325">
        <w:rPr>
          <w:noProof/>
        </w:rPr>
        <w:t>improvements in the</w:t>
      </w:r>
      <w:r w:rsidR="7932CFDF">
        <w:rPr>
          <w:noProof/>
        </w:rPr>
        <w:t xml:space="preserve"> W</w:t>
      </w:r>
      <w:r w:rsidR="386E933F">
        <w:rPr>
          <w:noProof/>
        </w:rPr>
        <w:t>orld Bank</w:t>
      </w:r>
      <w:r w:rsidR="7932CFDF">
        <w:rPr>
          <w:noProof/>
        </w:rPr>
        <w:t xml:space="preserve"> income classification</w:t>
      </w:r>
      <w:r w:rsidR="5935D65F">
        <w:rPr>
          <w:noProof/>
        </w:rPr>
        <w:t xml:space="preserve">, as well as graduations </w:t>
      </w:r>
      <w:r w:rsidR="00105C35">
        <w:rPr>
          <w:noProof/>
        </w:rPr>
        <w:t>from</w:t>
      </w:r>
      <w:r w:rsidR="00423FCD">
        <w:rPr>
          <w:noProof/>
        </w:rPr>
        <w:t xml:space="preserve"> LDC</w:t>
      </w:r>
      <w:r w:rsidR="00105C35">
        <w:rPr>
          <w:noProof/>
        </w:rPr>
        <w:t xml:space="preserve"> </w:t>
      </w:r>
      <w:r w:rsidR="008F4FEE">
        <w:rPr>
          <w:noProof/>
        </w:rPr>
        <w:t>status</w:t>
      </w:r>
      <w:r w:rsidR="00423FCD">
        <w:rPr>
          <w:noProof/>
        </w:rPr>
        <w:t xml:space="preserve"> </w:t>
      </w:r>
      <w:r w:rsidR="00BC51A5">
        <w:rPr>
          <w:noProof/>
        </w:rPr>
        <w:t>based on U</w:t>
      </w:r>
      <w:r w:rsidR="00CC54AE">
        <w:rPr>
          <w:noProof/>
        </w:rPr>
        <w:t xml:space="preserve">nited </w:t>
      </w:r>
      <w:r w:rsidR="00BC51A5">
        <w:rPr>
          <w:noProof/>
        </w:rPr>
        <w:t>N</w:t>
      </w:r>
      <w:r w:rsidR="00CC54AE">
        <w:rPr>
          <w:noProof/>
        </w:rPr>
        <w:t>ations’ (UN)</w:t>
      </w:r>
      <w:r w:rsidR="00BC51A5">
        <w:rPr>
          <w:noProof/>
        </w:rPr>
        <w:t xml:space="preserve"> </w:t>
      </w:r>
      <w:r w:rsidR="00CC54AE">
        <w:rPr>
          <w:noProof/>
        </w:rPr>
        <w:t>decisions</w:t>
      </w:r>
      <w:r w:rsidR="00BC51A5">
        <w:rPr>
          <w:noProof/>
        </w:rPr>
        <w:t xml:space="preserve"> </w:t>
      </w:r>
      <w:r w:rsidR="00281471">
        <w:rPr>
          <w:noProof/>
        </w:rPr>
        <w:t>(with the corresponding changes to the preferences under the GSP)</w:t>
      </w:r>
      <w:r w:rsidR="5935D65F">
        <w:rPr>
          <w:noProof/>
        </w:rPr>
        <w:t>.</w:t>
      </w:r>
      <w:r w:rsidR="510CB4A0">
        <w:rPr>
          <w:noProof/>
        </w:rPr>
        <w:t xml:space="preserve"> </w:t>
      </w:r>
    </w:p>
    <w:p w14:paraId="42FDD534" w14:textId="3A15D980" w:rsidR="00FD4D4E" w:rsidRDefault="006371B4" w:rsidP="00E7475B">
      <w:pPr>
        <w:pStyle w:val="Text1"/>
        <w:ind w:left="0"/>
        <w:rPr>
          <w:noProof/>
        </w:rPr>
      </w:pPr>
      <w:r>
        <w:rPr>
          <w:noProof/>
        </w:rPr>
        <w:t>A</w:t>
      </w:r>
      <w:r w:rsidR="00E222FB">
        <w:rPr>
          <w:noProof/>
        </w:rPr>
        <w:t xml:space="preserve"> series of crises </w:t>
      </w:r>
      <w:r w:rsidR="00EA7ED3">
        <w:rPr>
          <w:noProof/>
        </w:rPr>
        <w:t>have been</w:t>
      </w:r>
      <w:r w:rsidR="00E222FB">
        <w:rPr>
          <w:noProof/>
        </w:rPr>
        <w:t xml:space="preserve"> threatening the </w:t>
      </w:r>
      <w:r w:rsidR="00FE0722">
        <w:rPr>
          <w:noProof/>
        </w:rPr>
        <w:t>g</w:t>
      </w:r>
      <w:r w:rsidR="00E222FB">
        <w:rPr>
          <w:noProof/>
        </w:rPr>
        <w:t>lobal economy</w:t>
      </w:r>
      <w:r w:rsidR="00EA7ED3">
        <w:rPr>
          <w:noProof/>
        </w:rPr>
        <w:t xml:space="preserve"> in recent years</w:t>
      </w:r>
      <w:r w:rsidR="00474CDD">
        <w:rPr>
          <w:noProof/>
        </w:rPr>
        <w:t> </w:t>
      </w:r>
      <w:r w:rsidR="009C7A94" w:rsidRPr="009C7A94">
        <w:rPr>
          <w:rStyle w:val="FootnoteReference"/>
          <w:noProof/>
          <w:vertAlign w:val="baseline"/>
        </w:rPr>
        <w:t>(</w:t>
      </w:r>
      <w:r w:rsidR="00EC6C46">
        <w:rPr>
          <w:rStyle w:val="FootnoteReference"/>
          <w:noProof/>
        </w:rPr>
        <w:footnoteReference w:id="7"/>
      </w:r>
      <w:r w:rsidR="009C7A94" w:rsidRPr="009C7A94">
        <w:rPr>
          <w:rStyle w:val="FootnoteReference"/>
          <w:noProof/>
          <w:vertAlign w:val="baseline"/>
        </w:rPr>
        <w:t>)</w:t>
      </w:r>
      <w:r w:rsidR="00E222FB">
        <w:rPr>
          <w:noProof/>
        </w:rPr>
        <w:t xml:space="preserve"> </w:t>
      </w:r>
      <w:r w:rsidR="79399F45">
        <w:rPr>
          <w:noProof/>
        </w:rPr>
        <w:t>from the</w:t>
      </w:r>
      <w:r w:rsidR="1E2893D9">
        <w:rPr>
          <w:noProof/>
        </w:rPr>
        <w:t xml:space="preserve"> </w:t>
      </w:r>
      <w:r w:rsidR="79399F45">
        <w:rPr>
          <w:noProof/>
        </w:rPr>
        <w:t xml:space="preserve">COVID-19 </w:t>
      </w:r>
      <w:r w:rsidR="00B70FA0">
        <w:rPr>
          <w:noProof/>
        </w:rPr>
        <w:t xml:space="preserve">pandemic </w:t>
      </w:r>
      <w:r>
        <w:rPr>
          <w:noProof/>
        </w:rPr>
        <w:t xml:space="preserve">– </w:t>
      </w:r>
      <w:r w:rsidR="00B70FA0">
        <w:rPr>
          <w:noProof/>
        </w:rPr>
        <w:t xml:space="preserve">and its negative impacts not only </w:t>
      </w:r>
      <w:r w:rsidR="79399F45">
        <w:rPr>
          <w:noProof/>
        </w:rPr>
        <w:t xml:space="preserve">on health, </w:t>
      </w:r>
      <w:r w:rsidR="00B70FA0">
        <w:rPr>
          <w:noProof/>
        </w:rPr>
        <w:t>but also on</w:t>
      </w:r>
      <w:r w:rsidR="79399F45">
        <w:rPr>
          <w:noProof/>
        </w:rPr>
        <w:t xml:space="preserve"> </w:t>
      </w:r>
      <w:r w:rsidR="76B872DD">
        <w:rPr>
          <w:noProof/>
        </w:rPr>
        <w:t>sustainability</w:t>
      </w:r>
      <w:r w:rsidR="006C1676">
        <w:rPr>
          <w:noProof/>
        </w:rPr>
        <w:t xml:space="preserve">, </w:t>
      </w:r>
      <w:r w:rsidR="00B70FA0">
        <w:rPr>
          <w:noProof/>
        </w:rPr>
        <w:t xml:space="preserve">economic activity, </w:t>
      </w:r>
      <w:r w:rsidR="0068259D">
        <w:rPr>
          <w:noProof/>
        </w:rPr>
        <w:t xml:space="preserve">and </w:t>
      </w:r>
      <w:r w:rsidR="76B872DD">
        <w:rPr>
          <w:noProof/>
        </w:rPr>
        <w:t>trade</w:t>
      </w:r>
      <w:r>
        <w:rPr>
          <w:noProof/>
        </w:rPr>
        <w:t xml:space="preserve"> – </w:t>
      </w:r>
      <w:r w:rsidR="53AB3E6E">
        <w:rPr>
          <w:noProof/>
        </w:rPr>
        <w:t xml:space="preserve">to the </w:t>
      </w:r>
      <w:r w:rsidR="00B70FA0">
        <w:rPr>
          <w:noProof/>
        </w:rPr>
        <w:t xml:space="preserve">broader </w:t>
      </w:r>
      <w:r w:rsidR="17D51855">
        <w:rPr>
          <w:noProof/>
        </w:rPr>
        <w:t>impact</w:t>
      </w:r>
      <w:r w:rsidR="00B70FA0">
        <w:rPr>
          <w:noProof/>
        </w:rPr>
        <w:t>s</w:t>
      </w:r>
      <w:r w:rsidR="17D51855">
        <w:rPr>
          <w:noProof/>
        </w:rPr>
        <w:t xml:space="preserve"> of Russia</w:t>
      </w:r>
      <w:r w:rsidR="00B70FA0">
        <w:rPr>
          <w:noProof/>
        </w:rPr>
        <w:t>’s</w:t>
      </w:r>
      <w:r w:rsidR="17D51855">
        <w:rPr>
          <w:noProof/>
        </w:rPr>
        <w:t xml:space="preserve"> </w:t>
      </w:r>
      <w:r w:rsidR="009E3B32">
        <w:rPr>
          <w:noProof/>
        </w:rPr>
        <w:t xml:space="preserve">unprovoked </w:t>
      </w:r>
      <w:r w:rsidR="00B70FA0">
        <w:rPr>
          <w:noProof/>
        </w:rPr>
        <w:t>military aggression against</w:t>
      </w:r>
      <w:r w:rsidR="17D51855">
        <w:rPr>
          <w:noProof/>
        </w:rPr>
        <w:t xml:space="preserve"> Ukraine and the </w:t>
      </w:r>
      <w:r>
        <w:rPr>
          <w:noProof/>
        </w:rPr>
        <w:t xml:space="preserve">related </w:t>
      </w:r>
      <w:r w:rsidR="17D51855">
        <w:rPr>
          <w:noProof/>
        </w:rPr>
        <w:t>energy</w:t>
      </w:r>
      <w:r w:rsidR="00B70FA0">
        <w:rPr>
          <w:noProof/>
        </w:rPr>
        <w:t>, debt</w:t>
      </w:r>
      <w:r w:rsidR="00361056">
        <w:rPr>
          <w:noProof/>
        </w:rPr>
        <w:t>,</w:t>
      </w:r>
      <w:r w:rsidR="17D51855">
        <w:rPr>
          <w:noProof/>
        </w:rPr>
        <w:t xml:space="preserve"> </w:t>
      </w:r>
      <w:r w:rsidR="009F41F2">
        <w:rPr>
          <w:noProof/>
        </w:rPr>
        <w:t>food</w:t>
      </w:r>
      <w:r w:rsidR="00805B0C">
        <w:rPr>
          <w:noProof/>
        </w:rPr>
        <w:t>,</w:t>
      </w:r>
      <w:r w:rsidR="009F41F2">
        <w:rPr>
          <w:noProof/>
        </w:rPr>
        <w:t xml:space="preserve"> </w:t>
      </w:r>
      <w:r w:rsidR="17D51855">
        <w:rPr>
          <w:noProof/>
        </w:rPr>
        <w:t xml:space="preserve">and cost of living crises </w:t>
      </w:r>
      <w:r w:rsidR="009D2606">
        <w:rPr>
          <w:noProof/>
        </w:rPr>
        <w:t xml:space="preserve">that accelerated </w:t>
      </w:r>
      <w:r w:rsidR="17D51855">
        <w:rPr>
          <w:noProof/>
        </w:rPr>
        <w:t>in 2022.</w:t>
      </w:r>
      <w:r w:rsidR="5E5A25DD">
        <w:rPr>
          <w:noProof/>
        </w:rPr>
        <w:t xml:space="preserve"> </w:t>
      </w:r>
      <w:r w:rsidR="00E222FB">
        <w:rPr>
          <w:noProof/>
        </w:rPr>
        <w:t xml:space="preserve">In this </w:t>
      </w:r>
      <w:r w:rsidR="00C77114">
        <w:rPr>
          <w:noProof/>
        </w:rPr>
        <w:t xml:space="preserve">difficult </w:t>
      </w:r>
      <w:r w:rsidR="00E222FB">
        <w:rPr>
          <w:noProof/>
        </w:rPr>
        <w:t>context, the continued availability of tariff-free exports to the EU</w:t>
      </w:r>
      <w:r w:rsidR="005F37D9">
        <w:rPr>
          <w:noProof/>
        </w:rPr>
        <w:t>,</w:t>
      </w:r>
      <w:r w:rsidR="00C77114">
        <w:rPr>
          <w:noProof/>
        </w:rPr>
        <w:t xml:space="preserve"> </w:t>
      </w:r>
      <w:r w:rsidR="00E222FB">
        <w:rPr>
          <w:noProof/>
        </w:rPr>
        <w:t>the world’s largest trading bloc</w:t>
      </w:r>
      <w:r w:rsidR="00FE7410">
        <w:rPr>
          <w:noProof/>
        </w:rPr>
        <w:t> </w:t>
      </w:r>
      <w:r w:rsidR="009C7A94" w:rsidRPr="009C7A94">
        <w:rPr>
          <w:rStyle w:val="FootnoteReference"/>
          <w:noProof/>
          <w:vertAlign w:val="baseline"/>
        </w:rPr>
        <w:t>(</w:t>
      </w:r>
      <w:r w:rsidR="00EC6C46">
        <w:rPr>
          <w:rStyle w:val="FootnoteReference"/>
          <w:noProof/>
        </w:rPr>
        <w:footnoteReference w:id="8"/>
      </w:r>
      <w:r w:rsidR="009C7A94" w:rsidRPr="009C7A94">
        <w:rPr>
          <w:rStyle w:val="FootnoteReference"/>
          <w:noProof/>
          <w:vertAlign w:val="baseline"/>
        </w:rPr>
        <w:t>)</w:t>
      </w:r>
      <w:r w:rsidR="005F37D9">
        <w:rPr>
          <w:noProof/>
        </w:rPr>
        <w:t xml:space="preserve">, </w:t>
      </w:r>
      <w:r w:rsidR="00C77114">
        <w:rPr>
          <w:noProof/>
        </w:rPr>
        <w:t>provides</w:t>
      </w:r>
      <w:r w:rsidR="00E222FB">
        <w:rPr>
          <w:noProof/>
        </w:rPr>
        <w:t xml:space="preserve"> a </w:t>
      </w:r>
      <w:r w:rsidR="00E222FB" w:rsidRPr="00D148D9">
        <w:rPr>
          <w:noProof/>
        </w:rPr>
        <w:t>fundamental element of stability for fragile economies</w:t>
      </w:r>
      <w:r w:rsidR="00E222FB" w:rsidRPr="005544AB">
        <w:rPr>
          <w:noProof/>
        </w:rPr>
        <w:t>.</w:t>
      </w:r>
      <w:r w:rsidR="00E222FB">
        <w:rPr>
          <w:noProof/>
        </w:rPr>
        <w:t xml:space="preserve"> </w:t>
      </w:r>
      <w:r w:rsidR="7863D12D">
        <w:rPr>
          <w:noProof/>
        </w:rPr>
        <w:t xml:space="preserve">While some beneficiaries’ economies have shown </w:t>
      </w:r>
      <w:r w:rsidR="00C77114">
        <w:rPr>
          <w:noProof/>
        </w:rPr>
        <w:t xml:space="preserve">strong </w:t>
      </w:r>
      <w:r w:rsidR="7863D12D">
        <w:rPr>
          <w:noProof/>
        </w:rPr>
        <w:t>resilienc</w:t>
      </w:r>
      <w:r w:rsidR="42305801">
        <w:rPr>
          <w:noProof/>
        </w:rPr>
        <w:t>e</w:t>
      </w:r>
      <w:r w:rsidR="0021087A">
        <w:rPr>
          <w:noProof/>
        </w:rPr>
        <w:t>,</w:t>
      </w:r>
      <w:r w:rsidR="3601ED9C">
        <w:rPr>
          <w:noProof/>
        </w:rPr>
        <w:t xml:space="preserve"> the </w:t>
      </w:r>
      <w:r w:rsidR="3743D60F">
        <w:rPr>
          <w:noProof/>
        </w:rPr>
        <w:t>United Nations Development Programme</w:t>
      </w:r>
      <w:r w:rsidR="0077740E">
        <w:rPr>
          <w:noProof/>
        </w:rPr>
        <w:t xml:space="preserve"> (UNDP</w:t>
      </w:r>
      <w:r w:rsidR="3743D60F">
        <w:rPr>
          <w:noProof/>
        </w:rPr>
        <w:t xml:space="preserve">) </w:t>
      </w:r>
      <w:r w:rsidR="3601ED9C">
        <w:rPr>
          <w:noProof/>
        </w:rPr>
        <w:t xml:space="preserve">has warned that </w:t>
      </w:r>
      <w:r w:rsidR="0077740E">
        <w:rPr>
          <w:noProof/>
        </w:rPr>
        <w:t>at</w:t>
      </w:r>
      <w:r w:rsidR="0077740E" w:rsidRPr="0077740E">
        <w:rPr>
          <w:noProof/>
        </w:rPr>
        <w:t xml:space="preserve"> least 54 developing economies </w:t>
      </w:r>
      <w:r w:rsidR="00CC54AE">
        <w:rPr>
          <w:noProof/>
        </w:rPr>
        <w:t>have been</w:t>
      </w:r>
      <w:r w:rsidR="0077740E" w:rsidRPr="0077740E">
        <w:rPr>
          <w:noProof/>
        </w:rPr>
        <w:t xml:space="preserve"> suffering from severe debt problems</w:t>
      </w:r>
      <w:r w:rsidR="0077740E">
        <w:rPr>
          <w:noProof/>
        </w:rPr>
        <w:t> </w:t>
      </w:r>
      <w:r w:rsidR="009C7A94" w:rsidRPr="009C7A94">
        <w:rPr>
          <w:rStyle w:val="FootnoteReference"/>
          <w:noProof/>
          <w:vertAlign w:val="baseline"/>
        </w:rPr>
        <w:t>(</w:t>
      </w:r>
      <w:r w:rsidR="00EC6C46">
        <w:rPr>
          <w:rStyle w:val="FootnoteReference"/>
          <w:noProof/>
        </w:rPr>
        <w:footnoteReference w:id="9"/>
      </w:r>
      <w:r w:rsidR="009C7A94" w:rsidRPr="009C7A94">
        <w:rPr>
          <w:rStyle w:val="FootnoteReference"/>
          <w:noProof/>
          <w:vertAlign w:val="baseline"/>
        </w:rPr>
        <w:t>)</w:t>
      </w:r>
      <w:r w:rsidR="51BB2453">
        <w:rPr>
          <w:noProof/>
        </w:rPr>
        <w:t xml:space="preserve">. </w:t>
      </w:r>
      <w:r w:rsidR="00B70FA0">
        <w:rPr>
          <w:noProof/>
        </w:rPr>
        <w:t xml:space="preserve">In the </w:t>
      </w:r>
      <w:r w:rsidR="0021087A">
        <w:rPr>
          <w:noProof/>
        </w:rPr>
        <w:t>UN</w:t>
      </w:r>
      <w:r w:rsidR="00B70FA0">
        <w:rPr>
          <w:noProof/>
        </w:rPr>
        <w:t>, d</w:t>
      </w:r>
      <w:r w:rsidR="006C1676">
        <w:rPr>
          <w:noProof/>
        </w:rPr>
        <w:t>ecisions about previously planned LDC graduations have been postponed</w:t>
      </w:r>
      <w:r w:rsidR="00AC0B2C">
        <w:rPr>
          <w:noProof/>
        </w:rPr>
        <w:t>,</w:t>
      </w:r>
      <w:r w:rsidR="006C1676">
        <w:rPr>
          <w:noProof/>
        </w:rPr>
        <w:t xml:space="preserve"> </w:t>
      </w:r>
      <w:r w:rsidR="00A348FA">
        <w:rPr>
          <w:noProof/>
        </w:rPr>
        <w:t>reflecting</w:t>
      </w:r>
      <w:r w:rsidR="006C1676">
        <w:rPr>
          <w:noProof/>
        </w:rPr>
        <w:t xml:space="preserve"> these challenges</w:t>
      </w:r>
      <w:r w:rsidR="00BB6325" w:rsidRPr="00BB6325">
        <w:rPr>
          <w:noProof/>
        </w:rPr>
        <w:t> </w:t>
      </w:r>
      <w:r w:rsidR="009C7A94" w:rsidRPr="009C7A94">
        <w:rPr>
          <w:rStyle w:val="FootnoteReference"/>
          <w:noProof/>
          <w:vertAlign w:val="baseline"/>
        </w:rPr>
        <w:t>(</w:t>
      </w:r>
      <w:r w:rsidR="00EC6C46">
        <w:rPr>
          <w:rStyle w:val="FootnoteReference"/>
          <w:noProof/>
        </w:rPr>
        <w:footnoteReference w:id="10"/>
      </w:r>
      <w:r w:rsidR="009C7A94" w:rsidRPr="009C7A94">
        <w:rPr>
          <w:rStyle w:val="FootnoteReference"/>
          <w:noProof/>
          <w:vertAlign w:val="baseline"/>
        </w:rPr>
        <w:t>)</w:t>
      </w:r>
      <w:r w:rsidR="006C1676">
        <w:rPr>
          <w:noProof/>
        </w:rPr>
        <w:t>.</w:t>
      </w:r>
      <w:r w:rsidR="52FF88BC">
        <w:rPr>
          <w:noProof/>
        </w:rPr>
        <w:t xml:space="preserve"> </w:t>
      </w:r>
      <w:r w:rsidR="00164CC2">
        <w:rPr>
          <w:noProof/>
        </w:rPr>
        <w:t xml:space="preserve">The same </w:t>
      </w:r>
      <w:r w:rsidR="00361056">
        <w:rPr>
          <w:noProof/>
        </w:rPr>
        <w:t>applied</w:t>
      </w:r>
      <w:r w:rsidR="00164CC2">
        <w:rPr>
          <w:noProof/>
        </w:rPr>
        <w:t xml:space="preserve"> to the </w:t>
      </w:r>
      <w:r w:rsidR="005544AB">
        <w:rPr>
          <w:noProof/>
        </w:rPr>
        <w:t xml:space="preserve">World Bank </w:t>
      </w:r>
      <w:r w:rsidR="00361056">
        <w:rPr>
          <w:noProof/>
        </w:rPr>
        <w:t>income</w:t>
      </w:r>
      <w:r w:rsidR="00931DD8" w:rsidRPr="00931DD8">
        <w:rPr>
          <w:noProof/>
        </w:rPr>
        <w:t xml:space="preserve"> status of other GSP beneficiaries</w:t>
      </w:r>
      <w:r w:rsidR="00361056">
        <w:rPr>
          <w:noProof/>
        </w:rPr>
        <w:t>, which stalled or downgraded</w:t>
      </w:r>
      <w:r w:rsidR="00931DD8" w:rsidRPr="00931DD8">
        <w:rPr>
          <w:noProof/>
        </w:rPr>
        <w:t xml:space="preserve"> </w:t>
      </w:r>
      <w:r w:rsidR="0053487F">
        <w:rPr>
          <w:noProof/>
        </w:rPr>
        <w:t>because of</w:t>
      </w:r>
      <w:r w:rsidR="001D2E64">
        <w:rPr>
          <w:noProof/>
        </w:rPr>
        <w:t xml:space="preserve"> their </w:t>
      </w:r>
      <w:r w:rsidR="00164CC2">
        <w:rPr>
          <w:noProof/>
        </w:rPr>
        <w:t>affected econom</w:t>
      </w:r>
      <w:r w:rsidR="001D2E64">
        <w:rPr>
          <w:noProof/>
        </w:rPr>
        <w:t>ies</w:t>
      </w:r>
      <w:r w:rsidR="00164CC2">
        <w:rPr>
          <w:noProof/>
        </w:rPr>
        <w:t>, including trade, as well as some foreign</w:t>
      </w:r>
      <w:r w:rsidR="001D2E64">
        <w:rPr>
          <w:noProof/>
        </w:rPr>
        <w:t xml:space="preserve"> </w:t>
      </w:r>
      <w:r w:rsidR="0053487F">
        <w:rPr>
          <w:noProof/>
        </w:rPr>
        <w:t xml:space="preserve">investments and </w:t>
      </w:r>
      <w:r w:rsidR="00164CC2">
        <w:rPr>
          <w:noProof/>
        </w:rPr>
        <w:t xml:space="preserve">remittances. </w:t>
      </w:r>
    </w:p>
    <w:p w14:paraId="1EE8F759" w14:textId="31A1B438" w:rsidR="00FD4D4E" w:rsidRDefault="006371B4" w:rsidP="00E7475B">
      <w:pPr>
        <w:pStyle w:val="Text1"/>
        <w:ind w:left="0"/>
        <w:rPr>
          <w:noProof/>
        </w:rPr>
      </w:pPr>
      <w:r>
        <w:rPr>
          <w:noProof/>
        </w:rPr>
        <w:t xml:space="preserve">The </w:t>
      </w:r>
      <w:r w:rsidR="57A4E4B8" w:rsidRPr="00D148D9">
        <w:rPr>
          <w:noProof/>
        </w:rPr>
        <w:t>GSP+</w:t>
      </w:r>
      <w:r w:rsidR="00D37568" w:rsidRPr="00D148D9">
        <w:rPr>
          <w:noProof/>
        </w:rPr>
        <w:t xml:space="preserve">, with its additional benefits and </w:t>
      </w:r>
      <w:r w:rsidR="00EA5A33" w:rsidRPr="00D148D9">
        <w:rPr>
          <w:noProof/>
        </w:rPr>
        <w:t>obligations</w:t>
      </w:r>
      <w:r w:rsidR="00D37568" w:rsidRPr="00D148D9">
        <w:rPr>
          <w:noProof/>
        </w:rPr>
        <w:t xml:space="preserve">, </w:t>
      </w:r>
      <w:r w:rsidR="00815AC4" w:rsidRPr="00D148D9">
        <w:rPr>
          <w:noProof/>
        </w:rPr>
        <w:t xml:space="preserve">has </w:t>
      </w:r>
      <w:r w:rsidR="00DB5FDE" w:rsidRPr="00D148D9">
        <w:rPr>
          <w:noProof/>
        </w:rPr>
        <w:t>remain</w:t>
      </w:r>
      <w:r w:rsidR="00815AC4" w:rsidRPr="00D148D9">
        <w:rPr>
          <w:noProof/>
        </w:rPr>
        <w:t>ed</w:t>
      </w:r>
      <w:r w:rsidR="00DB5FDE" w:rsidRPr="00D148D9">
        <w:rPr>
          <w:noProof/>
        </w:rPr>
        <w:t xml:space="preserve"> </w:t>
      </w:r>
      <w:r w:rsidR="57A4E4B8" w:rsidRPr="00D148D9">
        <w:rPr>
          <w:noProof/>
        </w:rPr>
        <w:t>attractive</w:t>
      </w:r>
      <w:r w:rsidR="00312FAB" w:rsidRPr="00D148D9">
        <w:rPr>
          <w:noProof/>
        </w:rPr>
        <w:t xml:space="preserve"> to beneficiaries</w:t>
      </w:r>
      <w:r w:rsidR="00843D35" w:rsidRPr="00D148D9">
        <w:rPr>
          <w:noProof/>
        </w:rPr>
        <w:t> </w:t>
      </w:r>
      <w:r w:rsidR="009C7A94" w:rsidRPr="009C7A94">
        <w:rPr>
          <w:rStyle w:val="FootnoteReference"/>
          <w:noProof/>
          <w:vertAlign w:val="baseline"/>
        </w:rPr>
        <w:t>(</w:t>
      </w:r>
      <w:r w:rsidR="00EC6C46" w:rsidRPr="00D148D9">
        <w:rPr>
          <w:rStyle w:val="FootnoteReference"/>
          <w:noProof/>
        </w:rPr>
        <w:footnoteReference w:id="11"/>
      </w:r>
      <w:r w:rsidR="009C7A94" w:rsidRPr="009C7A94">
        <w:rPr>
          <w:rStyle w:val="FootnoteReference"/>
          <w:noProof/>
          <w:vertAlign w:val="baseline"/>
        </w:rPr>
        <w:t>)</w:t>
      </w:r>
      <w:r w:rsidR="57A4E4B8" w:rsidRPr="00EC4BCE">
        <w:rPr>
          <w:noProof/>
        </w:rPr>
        <w:t>.</w:t>
      </w:r>
      <w:r w:rsidR="57A4E4B8">
        <w:rPr>
          <w:noProof/>
        </w:rPr>
        <w:t xml:space="preserve"> </w:t>
      </w:r>
      <w:r w:rsidR="00957274">
        <w:rPr>
          <w:noProof/>
        </w:rPr>
        <w:t xml:space="preserve">As the analysis of the implementation of </w:t>
      </w:r>
      <w:r>
        <w:rPr>
          <w:noProof/>
        </w:rPr>
        <w:t xml:space="preserve">the </w:t>
      </w:r>
      <w:r w:rsidR="00BB6E91">
        <w:rPr>
          <w:noProof/>
        </w:rPr>
        <w:t xml:space="preserve">GSP+ </w:t>
      </w:r>
      <w:r w:rsidR="00E02F54">
        <w:rPr>
          <w:noProof/>
        </w:rPr>
        <w:t>in the accompanying SWDs</w:t>
      </w:r>
      <w:r w:rsidR="00957274">
        <w:rPr>
          <w:noProof/>
        </w:rPr>
        <w:t xml:space="preserve"> shows, this </w:t>
      </w:r>
      <w:r w:rsidR="00CC28A9">
        <w:rPr>
          <w:noProof/>
        </w:rPr>
        <w:t>arrangement</w:t>
      </w:r>
      <w:r w:rsidR="00957274">
        <w:rPr>
          <w:noProof/>
        </w:rPr>
        <w:t xml:space="preserve"> </w:t>
      </w:r>
      <w:r w:rsidR="00BB6E91">
        <w:rPr>
          <w:noProof/>
        </w:rPr>
        <w:t xml:space="preserve">has proven a successful incentive for the </w:t>
      </w:r>
      <w:r w:rsidR="00843D35">
        <w:rPr>
          <w:noProof/>
        </w:rPr>
        <w:t xml:space="preserve">effective </w:t>
      </w:r>
      <w:r w:rsidR="00BB6E91">
        <w:rPr>
          <w:noProof/>
        </w:rPr>
        <w:t>implementation of international standards</w:t>
      </w:r>
      <w:r w:rsidR="00FA230D">
        <w:rPr>
          <w:noProof/>
        </w:rPr>
        <w:t xml:space="preserve"> in the areas of human and labour rights, </w:t>
      </w:r>
      <w:r w:rsidR="00B9151F">
        <w:rPr>
          <w:noProof/>
        </w:rPr>
        <w:t xml:space="preserve">climate and </w:t>
      </w:r>
      <w:r w:rsidR="00FA230D">
        <w:rPr>
          <w:noProof/>
        </w:rPr>
        <w:t>environmental protection</w:t>
      </w:r>
      <w:r w:rsidR="008F7A18">
        <w:rPr>
          <w:noProof/>
        </w:rPr>
        <w:t>,</w:t>
      </w:r>
      <w:r w:rsidR="00FA230D">
        <w:rPr>
          <w:noProof/>
        </w:rPr>
        <w:t xml:space="preserve"> and good governance</w:t>
      </w:r>
      <w:r w:rsidR="00BB6E91">
        <w:rPr>
          <w:noProof/>
        </w:rPr>
        <w:t xml:space="preserve"> by offering additional access to </w:t>
      </w:r>
      <w:r w:rsidR="00E929BF">
        <w:rPr>
          <w:noProof/>
        </w:rPr>
        <w:t xml:space="preserve">the </w:t>
      </w:r>
      <w:r w:rsidR="00BB6E91">
        <w:rPr>
          <w:noProof/>
        </w:rPr>
        <w:t>EU market</w:t>
      </w:r>
      <w:r w:rsidR="00815AC4">
        <w:rPr>
          <w:noProof/>
        </w:rPr>
        <w:t xml:space="preserve"> comp</w:t>
      </w:r>
      <w:r w:rsidR="00E02F54">
        <w:rPr>
          <w:noProof/>
        </w:rPr>
        <w:t>a</w:t>
      </w:r>
      <w:r w:rsidR="00815AC4">
        <w:rPr>
          <w:noProof/>
        </w:rPr>
        <w:t>r</w:t>
      </w:r>
      <w:r w:rsidR="00843D35">
        <w:rPr>
          <w:noProof/>
        </w:rPr>
        <w:t>ed</w:t>
      </w:r>
      <w:r w:rsidR="00815AC4">
        <w:rPr>
          <w:noProof/>
        </w:rPr>
        <w:t xml:space="preserve"> to the standard GSP arrangement</w:t>
      </w:r>
      <w:r w:rsidR="00BB6E91">
        <w:rPr>
          <w:noProof/>
        </w:rPr>
        <w:t xml:space="preserve">. </w:t>
      </w:r>
      <w:r w:rsidR="00FA230D">
        <w:rPr>
          <w:noProof/>
        </w:rPr>
        <w:t xml:space="preserve">The </w:t>
      </w:r>
      <w:r>
        <w:rPr>
          <w:noProof/>
        </w:rPr>
        <w:t xml:space="preserve">attractiveness </w:t>
      </w:r>
      <w:r w:rsidR="00FA230D">
        <w:rPr>
          <w:noProof/>
        </w:rPr>
        <w:t xml:space="preserve">of </w:t>
      </w:r>
      <w:r>
        <w:rPr>
          <w:noProof/>
        </w:rPr>
        <w:t xml:space="preserve">the </w:t>
      </w:r>
      <w:r w:rsidR="00FA230D">
        <w:rPr>
          <w:noProof/>
        </w:rPr>
        <w:t xml:space="preserve">GSP+ is </w:t>
      </w:r>
      <w:r w:rsidR="00B9151F">
        <w:rPr>
          <w:noProof/>
        </w:rPr>
        <w:t xml:space="preserve">further </w:t>
      </w:r>
      <w:r w:rsidR="00FA230D">
        <w:rPr>
          <w:noProof/>
        </w:rPr>
        <w:t xml:space="preserve">testified by the fact that </w:t>
      </w:r>
      <w:r w:rsidR="00E929BF">
        <w:rPr>
          <w:noProof/>
        </w:rPr>
        <w:t xml:space="preserve">a </w:t>
      </w:r>
      <w:r w:rsidR="00FA230D">
        <w:rPr>
          <w:noProof/>
        </w:rPr>
        <w:t>n</w:t>
      </w:r>
      <w:r w:rsidR="57A4E4B8">
        <w:rPr>
          <w:noProof/>
        </w:rPr>
        <w:t xml:space="preserve">ew </w:t>
      </w:r>
      <w:r w:rsidR="00E929BF">
        <w:rPr>
          <w:noProof/>
        </w:rPr>
        <w:t>GSP</w:t>
      </w:r>
      <w:r w:rsidR="00323131">
        <w:rPr>
          <w:noProof/>
        </w:rPr>
        <w:t>+</w:t>
      </w:r>
      <w:r w:rsidR="00E929BF">
        <w:rPr>
          <w:noProof/>
        </w:rPr>
        <w:t xml:space="preserve"> beneficiary (Uzbekistan) </w:t>
      </w:r>
      <w:r w:rsidR="57A4E4B8">
        <w:rPr>
          <w:noProof/>
        </w:rPr>
        <w:t>joined</w:t>
      </w:r>
      <w:r w:rsidR="003975E0">
        <w:rPr>
          <w:noProof/>
        </w:rPr>
        <w:t xml:space="preserve"> the arrangement</w:t>
      </w:r>
      <w:r w:rsidR="00E929BF">
        <w:rPr>
          <w:noProof/>
        </w:rPr>
        <w:t xml:space="preserve"> during the reporting period,</w:t>
      </w:r>
      <w:r w:rsidR="57A4E4B8">
        <w:rPr>
          <w:noProof/>
        </w:rPr>
        <w:t xml:space="preserve"> </w:t>
      </w:r>
      <w:bookmarkStart w:id="2" w:name="_Hlk147307623"/>
      <w:r w:rsidR="002445B1" w:rsidRPr="002445B1">
        <w:rPr>
          <w:noProof/>
        </w:rPr>
        <w:t xml:space="preserve">Tajikistan </w:t>
      </w:r>
      <w:r w:rsidR="002445B1">
        <w:rPr>
          <w:noProof/>
        </w:rPr>
        <w:t xml:space="preserve">formally </w:t>
      </w:r>
      <w:r w:rsidR="0054277E">
        <w:rPr>
          <w:noProof/>
        </w:rPr>
        <w:t xml:space="preserve">applied </w:t>
      </w:r>
      <w:r w:rsidR="002445B1">
        <w:rPr>
          <w:noProof/>
        </w:rPr>
        <w:t>to join the GSP+ in April 2023</w:t>
      </w:r>
      <w:bookmarkEnd w:id="2"/>
      <w:r w:rsidR="002445B1">
        <w:rPr>
          <w:noProof/>
        </w:rPr>
        <w:t xml:space="preserve"> </w:t>
      </w:r>
      <w:r w:rsidR="57A4E4B8">
        <w:rPr>
          <w:noProof/>
        </w:rPr>
        <w:t>and other countries continue to show interest</w:t>
      </w:r>
      <w:r w:rsidR="00EF7D65">
        <w:rPr>
          <w:noProof/>
        </w:rPr>
        <w:t xml:space="preserve"> to do so</w:t>
      </w:r>
      <w:r w:rsidR="57A4E4B8">
        <w:rPr>
          <w:noProof/>
        </w:rPr>
        <w:t xml:space="preserve">. Current GSP+ beneficiaries </w:t>
      </w:r>
      <w:r w:rsidR="00BB6E91">
        <w:rPr>
          <w:noProof/>
        </w:rPr>
        <w:t xml:space="preserve">have expressed their commitment </w:t>
      </w:r>
      <w:r w:rsidR="57A4E4B8">
        <w:rPr>
          <w:noProof/>
        </w:rPr>
        <w:t xml:space="preserve">to maintain the preferences under the </w:t>
      </w:r>
      <w:r w:rsidR="00EF7D65">
        <w:rPr>
          <w:noProof/>
        </w:rPr>
        <w:t>EU’s</w:t>
      </w:r>
      <w:r w:rsidR="57A4E4B8">
        <w:rPr>
          <w:noProof/>
        </w:rPr>
        <w:t xml:space="preserve"> new </w:t>
      </w:r>
      <w:r w:rsidR="00EF7D65">
        <w:rPr>
          <w:noProof/>
        </w:rPr>
        <w:t xml:space="preserve">GSP </w:t>
      </w:r>
      <w:r w:rsidR="0013051F">
        <w:rPr>
          <w:noProof/>
        </w:rPr>
        <w:t>framework</w:t>
      </w:r>
      <w:r w:rsidR="57A4E4B8">
        <w:rPr>
          <w:noProof/>
        </w:rPr>
        <w:t xml:space="preserve">. </w:t>
      </w:r>
      <w:r w:rsidR="00660409">
        <w:rPr>
          <w:noProof/>
        </w:rPr>
        <w:t xml:space="preserve">Several current </w:t>
      </w:r>
      <w:r w:rsidR="00EF7D65">
        <w:rPr>
          <w:noProof/>
        </w:rPr>
        <w:t>EBA beneficiaries which are expected to g</w:t>
      </w:r>
      <w:r w:rsidR="57A4E4B8">
        <w:rPr>
          <w:noProof/>
        </w:rPr>
        <w:t>raduat</w:t>
      </w:r>
      <w:r w:rsidR="00EF7D65">
        <w:rPr>
          <w:noProof/>
        </w:rPr>
        <w:t>e from</w:t>
      </w:r>
      <w:r w:rsidR="57A4E4B8">
        <w:rPr>
          <w:noProof/>
        </w:rPr>
        <w:t xml:space="preserve"> LDC</w:t>
      </w:r>
      <w:r w:rsidR="00EF7D65">
        <w:rPr>
          <w:noProof/>
        </w:rPr>
        <w:t xml:space="preserve"> </w:t>
      </w:r>
      <w:r w:rsidR="57A4E4B8">
        <w:rPr>
          <w:noProof/>
        </w:rPr>
        <w:t>s</w:t>
      </w:r>
      <w:r w:rsidR="00EF7D65">
        <w:rPr>
          <w:noProof/>
        </w:rPr>
        <w:t xml:space="preserve">tatus </w:t>
      </w:r>
      <w:r w:rsidR="002A4BC2">
        <w:rPr>
          <w:noProof/>
        </w:rPr>
        <w:t xml:space="preserve">are </w:t>
      </w:r>
      <w:r w:rsidR="57A4E4B8">
        <w:rPr>
          <w:noProof/>
        </w:rPr>
        <w:t>actively consider</w:t>
      </w:r>
      <w:r w:rsidR="002A4BC2">
        <w:rPr>
          <w:noProof/>
        </w:rPr>
        <w:t>ing</w:t>
      </w:r>
      <w:r w:rsidR="57A4E4B8">
        <w:rPr>
          <w:noProof/>
        </w:rPr>
        <w:t xml:space="preserve"> paths towards joining th</w:t>
      </w:r>
      <w:r w:rsidR="00EF7D65">
        <w:rPr>
          <w:noProof/>
        </w:rPr>
        <w:t xml:space="preserve">e GSP+ </w:t>
      </w:r>
      <w:r w:rsidR="172E46CE">
        <w:rPr>
          <w:noProof/>
        </w:rPr>
        <w:t>arrangement</w:t>
      </w:r>
      <w:r w:rsidR="57A4E4B8">
        <w:rPr>
          <w:noProof/>
        </w:rPr>
        <w:t xml:space="preserve">, in order to </w:t>
      </w:r>
      <w:r w:rsidR="009E3B32">
        <w:rPr>
          <w:noProof/>
        </w:rPr>
        <w:t>benefit from the more preferential</w:t>
      </w:r>
      <w:r w:rsidR="57A4E4B8">
        <w:rPr>
          <w:noProof/>
        </w:rPr>
        <w:t xml:space="preserve"> </w:t>
      </w:r>
      <w:r w:rsidR="0013051F">
        <w:rPr>
          <w:noProof/>
        </w:rPr>
        <w:t>tariff</w:t>
      </w:r>
      <w:r w:rsidR="009E3B32">
        <w:rPr>
          <w:noProof/>
        </w:rPr>
        <w:t>s</w:t>
      </w:r>
      <w:r w:rsidR="0013051F">
        <w:rPr>
          <w:noProof/>
        </w:rPr>
        <w:t xml:space="preserve"> </w:t>
      </w:r>
      <w:r w:rsidR="009E3B32">
        <w:rPr>
          <w:noProof/>
        </w:rPr>
        <w:t>than the standard GSP</w:t>
      </w:r>
      <w:r w:rsidR="00EA5A33">
        <w:rPr>
          <w:noProof/>
        </w:rPr>
        <w:t xml:space="preserve"> once they leave the EBA arrangement</w:t>
      </w:r>
      <w:r w:rsidR="57A4E4B8">
        <w:rPr>
          <w:noProof/>
        </w:rPr>
        <w:t xml:space="preserve">. </w:t>
      </w:r>
    </w:p>
    <w:p w14:paraId="418BB0A3" w14:textId="5FBEC661" w:rsidR="00E91148" w:rsidRDefault="00952928" w:rsidP="00E7475B">
      <w:pPr>
        <w:pStyle w:val="Text1"/>
        <w:ind w:left="0"/>
        <w:rPr>
          <w:noProof/>
        </w:rPr>
      </w:pPr>
      <w:r>
        <w:rPr>
          <w:noProof/>
        </w:rPr>
        <w:t>T</w:t>
      </w:r>
      <w:r w:rsidR="006F0F96">
        <w:rPr>
          <w:noProof/>
        </w:rPr>
        <w:t xml:space="preserve">he GSP </w:t>
      </w:r>
      <w:r w:rsidR="00E7509B" w:rsidRPr="00E7509B">
        <w:rPr>
          <w:noProof/>
        </w:rPr>
        <w:t xml:space="preserve">encourages </w:t>
      </w:r>
      <w:r>
        <w:rPr>
          <w:noProof/>
        </w:rPr>
        <w:t xml:space="preserve">GSP </w:t>
      </w:r>
      <w:r w:rsidR="002334E1">
        <w:rPr>
          <w:noProof/>
        </w:rPr>
        <w:t xml:space="preserve">beneficiary </w:t>
      </w:r>
      <w:r>
        <w:rPr>
          <w:noProof/>
        </w:rPr>
        <w:t>countries</w:t>
      </w:r>
      <w:r w:rsidRPr="00E7509B">
        <w:rPr>
          <w:noProof/>
        </w:rPr>
        <w:t xml:space="preserve"> </w:t>
      </w:r>
      <w:r w:rsidR="00E7509B" w:rsidRPr="00E7509B">
        <w:rPr>
          <w:noProof/>
        </w:rPr>
        <w:t xml:space="preserve">to integrate into multilateral governance structures through </w:t>
      </w:r>
      <w:r w:rsidR="003975E0">
        <w:rPr>
          <w:noProof/>
        </w:rPr>
        <w:t xml:space="preserve">the </w:t>
      </w:r>
      <w:r w:rsidR="0054277E">
        <w:rPr>
          <w:noProof/>
        </w:rPr>
        <w:t xml:space="preserve">need </w:t>
      </w:r>
      <w:r w:rsidR="00693652">
        <w:rPr>
          <w:noProof/>
        </w:rPr>
        <w:t xml:space="preserve">to abide by the principles </w:t>
      </w:r>
      <w:r w:rsidR="00693652" w:rsidRPr="001F1161">
        <w:rPr>
          <w:noProof/>
        </w:rPr>
        <w:t xml:space="preserve">of international conventions, and for GSP+, </w:t>
      </w:r>
      <w:r w:rsidR="00932BD4" w:rsidRPr="001F1161">
        <w:rPr>
          <w:noProof/>
        </w:rPr>
        <w:t xml:space="preserve">the </w:t>
      </w:r>
      <w:r w:rsidR="00693652" w:rsidRPr="001F1161">
        <w:rPr>
          <w:noProof/>
        </w:rPr>
        <w:t>conditionality</w:t>
      </w:r>
      <w:r w:rsidR="00E7509B" w:rsidRPr="001F1161">
        <w:rPr>
          <w:noProof/>
        </w:rPr>
        <w:t xml:space="preserve"> to ratify and </w:t>
      </w:r>
      <w:r w:rsidR="00693652" w:rsidRPr="001F1161">
        <w:rPr>
          <w:noProof/>
        </w:rPr>
        <w:t xml:space="preserve">effectively </w:t>
      </w:r>
      <w:r w:rsidR="00E7509B" w:rsidRPr="001F1161">
        <w:rPr>
          <w:noProof/>
        </w:rPr>
        <w:t xml:space="preserve">implement </w:t>
      </w:r>
      <w:r w:rsidRPr="001F1161">
        <w:rPr>
          <w:noProof/>
        </w:rPr>
        <w:t>such conventions</w:t>
      </w:r>
      <w:r w:rsidR="00E7509B" w:rsidRPr="001F1161">
        <w:rPr>
          <w:noProof/>
        </w:rPr>
        <w:t>.</w:t>
      </w:r>
      <w:r w:rsidR="006F0F96" w:rsidRPr="001F1161">
        <w:rPr>
          <w:noProof/>
        </w:rPr>
        <w:t xml:space="preserve"> </w:t>
      </w:r>
      <w:r w:rsidR="58CD5A08" w:rsidRPr="001F1161">
        <w:rPr>
          <w:noProof/>
        </w:rPr>
        <w:t xml:space="preserve">Ratification efforts </w:t>
      </w:r>
      <w:r w:rsidR="00AC0B2C" w:rsidRPr="001F1161">
        <w:rPr>
          <w:noProof/>
        </w:rPr>
        <w:t xml:space="preserve">of GSP beneficiaries </w:t>
      </w:r>
      <w:r w:rsidR="00640306" w:rsidRPr="001F1161">
        <w:rPr>
          <w:noProof/>
        </w:rPr>
        <w:t>go beyond</w:t>
      </w:r>
      <w:r w:rsidR="58CD5A08" w:rsidRPr="001F1161">
        <w:rPr>
          <w:noProof/>
        </w:rPr>
        <w:t xml:space="preserve"> the relevant conventions</w:t>
      </w:r>
      <w:r w:rsidR="004479D0" w:rsidRPr="001F1161">
        <w:rPr>
          <w:noProof/>
        </w:rPr>
        <w:t xml:space="preserve"> listed in the </w:t>
      </w:r>
      <w:r w:rsidR="006F0F96" w:rsidRPr="001F1161">
        <w:rPr>
          <w:noProof/>
        </w:rPr>
        <w:t xml:space="preserve">current </w:t>
      </w:r>
      <w:r w:rsidR="004479D0" w:rsidRPr="001F1161">
        <w:rPr>
          <w:noProof/>
        </w:rPr>
        <w:t>GSP Regulation</w:t>
      </w:r>
      <w:r w:rsidR="467AB9B6" w:rsidRPr="001F1161">
        <w:rPr>
          <w:noProof/>
        </w:rPr>
        <w:t xml:space="preserve"> – </w:t>
      </w:r>
      <w:r w:rsidR="000118FB" w:rsidRPr="001F1161">
        <w:rPr>
          <w:noProof/>
        </w:rPr>
        <w:t xml:space="preserve">for example, </w:t>
      </w:r>
      <w:r w:rsidR="467AB9B6" w:rsidRPr="001F1161">
        <w:rPr>
          <w:noProof/>
        </w:rPr>
        <w:t xml:space="preserve">all </w:t>
      </w:r>
      <w:r w:rsidR="004479D0" w:rsidRPr="001F1161">
        <w:rPr>
          <w:noProof/>
        </w:rPr>
        <w:t xml:space="preserve">nine </w:t>
      </w:r>
      <w:r w:rsidR="003B4651" w:rsidRPr="001F1161">
        <w:rPr>
          <w:noProof/>
        </w:rPr>
        <w:t>GSP+</w:t>
      </w:r>
      <w:r w:rsidR="467AB9B6" w:rsidRPr="001F1161">
        <w:rPr>
          <w:noProof/>
        </w:rPr>
        <w:t xml:space="preserve"> beneficiaries under review in this report have ratified the Convention on the Rights of People with Disabilities</w:t>
      </w:r>
      <w:r w:rsidR="006C6138" w:rsidRPr="001F1161">
        <w:rPr>
          <w:noProof/>
        </w:rPr>
        <w:t xml:space="preserve"> </w:t>
      </w:r>
      <w:r w:rsidR="08420B12" w:rsidRPr="001F1161">
        <w:rPr>
          <w:noProof/>
        </w:rPr>
        <w:t>and</w:t>
      </w:r>
      <w:r w:rsidR="467AB9B6" w:rsidRPr="001F1161">
        <w:rPr>
          <w:noProof/>
        </w:rPr>
        <w:t xml:space="preserve"> the Paris Agreement</w:t>
      </w:r>
      <w:r w:rsidR="2EDBBF36" w:rsidRPr="001F1161">
        <w:rPr>
          <w:noProof/>
        </w:rPr>
        <w:t>.</w:t>
      </w:r>
      <w:r w:rsidR="1CF8A7B5" w:rsidRPr="001F1161">
        <w:rPr>
          <w:noProof/>
        </w:rPr>
        <w:t xml:space="preserve"> </w:t>
      </w:r>
      <w:r w:rsidR="00E42C76" w:rsidRPr="001F1161">
        <w:rPr>
          <w:noProof/>
        </w:rPr>
        <w:t xml:space="preserve">GSP beneficiaries </w:t>
      </w:r>
      <w:r w:rsidR="1CF8A7B5" w:rsidRPr="001F1161">
        <w:rPr>
          <w:noProof/>
        </w:rPr>
        <w:t xml:space="preserve">are </w:t>
      </w:r>
      <w:r w:rsidR="00640306" w:rsidRPr="001F1161">
        <w:rPr>
          <w:noProof/>
        </w:rPr>
        <w:t xml:space="preserve">also </w:t>
      </w:r>
      <w:r w:rsidR="1CF8A7B5" w:rsidRPr="001F1161">
        <w:rPr>
          <w:noProof/>
        </w:rPr>
        <w:t xml:space="preserve">advancing in </w:t>
      </w:r>
      <w:r w:rsidR="002B4914" w:rsidRPr="001F1161">
        <w:rPr>
          <w:noProof/>
        </w:rPr>
        <w:t xml:space="preserve">the </w:t>
      </w:r>
      <w:r w:rsidR="1CF8A7B5" w:rsidRPr="001F1161">
        <w:rPr>
          <w:noProof/>
        </w:rPr>
        <w:t xml:space="preserve">ratification of the newly established fundamental </w:t>
      </w:r>
      <w:r w:rsidR="1D2ACFF5" w:rsidRPr="001F1161">
        <w:rPr>
          <w:noProof/>
        </w:rPr>
        <w:t>International Labour Organi</w:t>
      </w:r>
      <w:r w:rsidR="002A4BC2">
        <w:rPr>
          <w:noProof/>
        </w:rPr>
        <w:t>z</w:t>
      </w:r>
      <w:r w:rsidR="1D2ACFF5" w:rsidRPr="001F1161">
        <w:rPr>
          <w:noProof/>
        </w:rPr>
        <w:t>ation</w:t>
      </w:r>
      <w:r w:rsidR="004479D0" w:rsidRPr="001F1161">
        <w:rPr>
          <w:noProof/>
        </w:rPr>
        <w:t xml:space="preserve"> (ILO</w:t>
      </w:r>
      <w:r w:rsidR="1D2ACFF5" w:rsidRPr="001F1161">
        <w:rPr>
          <w:noProof/>
        </w:rPr>
        <w:t>)</w:t>
      </w:r>
      <w:r w:rsidR="1CF8A7B5" w:rsidRPr="001F1161">
        <w:rPr>
          <w:noProof/>
        </w:rPr>
        <w:t xml:space="preserve"> conventions relating to occupational safety and health, as well as </w:t>
      </w:r>
      <w:r w:rsidR="00AE62A2" w:rsidRPr="001F1161">
        <w:rPr>
          <w:noProof/>
        </w:rPr>
        <w:t xml:space="preserve">other ILO </w:t>
      </w:r>
      <w:r w:rsidR="1CF8A7B5" w:rsidRPr="001F1161">
        <w:rPr>
          <w:noProof/>
        </w:rPr>
        <w:t>conventions, for example on labour inspections and tripartite consultation.</w:t>
      </w:r>
    </w:p>
    <w:p w14:paraId="1BAE6A92" w14:textId="6667866C" w:rsidR="00694AD5" w:rsidRPr="00611F35" w:rsidRDefault="00510280" w:rsidP="00E7475B">
      <w:pPr>
        <w:pStyle w:val="Text1"/>
        <w:ind w:left="0"/>
        <w:rPr>
          <w:noProof/>
        </w:rPr>
      </w:pPr>
      <w:r>
        <w:rPr>
          <w:noProof/>
        </w:rPr>
        <w:t>During</w:t>
      </w:r>
      <w:r w:rsidR="00302B92">
        <w:rPr>
          <w:noProof/>
        </w:rPr>
        <w:t xml:space="preserve"> the reporting period, </w:t>
      </w:r>
      <w:r w:rsidR="0054277E" w:rsidRPr="00611F35">
        <w:rPr>
          <w:noProof/>
        </w:rPr>
        <w:t xml:space="preserve">many </w:t>
      </w:r>
      <w:r w:rsidR="00E91148" w:rsidRPr="00611F35">
        <w:rPr>
          <w:noProof/>
        </w:rPr>
        <w:t>GSP beneficiaries</w:t>
      </w:r>
      <w:r w:rsidR="0054277E" w:rsidRPr="00611F35">
        <w:rPr>
          <w:noProof/>
        </w:rPr>
        <w:t xml:space="preserve"> have </w:t>
      </w:r>
      <w:r w:rsidR="00302B92">
        <w:rPr>
          <w:noProof/>
        </w:rPr>
        <w:t>shown</w:t>
      </w:r>
      <w:r w:rsidR="0054277E" w:rsidRPr="00611F35">
        <w:rPr>
          <w:noProof/>
        </w:rPr>
        <w:t xml:space="preserve"> important progress</w:t>
      </w:r>
      <w:r w:rsidR="00302B92">
        <w:rPr>
          <w:noProof/>
        </w:rPr>
        <w:t xml:space="preserve"> related to the implementation and respect of international standards</w:t>
      </w:r>
      <w:r w:rsidR="00C10249">
        <w:rPr>
          <w:noProof/>
        </w:rPr>
        <w:t> </w:t>
      </w:r>
      <w:r w:rsidR="00302B92" w:rsidRPr="00302B92">
        <w:rPr>
          <w:noProof/>
        </w:rPr>
        <w:t>(</w:t>
      </w:r>
      <w:r w:rsidR="00302B92">
        <w:rPr>
          <w:rStyle w:val="FootnoteReference"/>
          <w:noProof/>
        </w:rPr>
        <w:footnoteReference w:id="12"/>
      </w:r>
      <w:r w:rsidR="00302B92">
        <w:rPr>
          <w:noProof/>
        </w:rPr>
        <w:t>)</w:t>
      </w:r>
      <w:r w:rsidR="0054277E" w:rsidRPr="00611F35">
        <w:rPr>
          <w:noProof/>
        </w:rPr>
        <w:t xml:space="preserve">, </w:t>
      </w:r>
      <w:r w:rsidR="00302B92">
        <w:rPr>
          <w:noProof/>
        </w:rPr>
        <w:t xml:space="preserve">even if on some fronts they </w:t>
      </w:r>
      <w:r w:rsidR="00E91148" w:rsidRPr="00694AD5">
        <w:rPr>
          <w:noProof/>
        </w:rPr>
        <w:t xml:space="preserve">continue to face </w:t>
      </w:r>
      <w:r w:rsidR="00AE62A2" w:rsidRPr="00694AD5">
        <w:rPr>
          <w:noProof/>
        </w:rPr>
        <w:t>c</w:t>
      </w:r>
      <w:r w:rsidR="00FD4D4E" w:rsidRPr="00694AD5">
        <w:rPr>
          <w:noProof/>
        </w:rPr>
        <w:t xml:space="preserve">hallenges in </w:t>
      </w:r>
      <w:r w:rsidR="00302B92" w:rsidRPr="00694AD5">
        <w:rPr>
          <w:noProof/>
        </w:rPr>
        <w:t>compl</w:t>
      </w:r>
      <w:r w:rsidR="00BC2D03" w:rsidRPr="00694AD5">
        <w:rPr>
          <w:noProof/>
        </w:rPr>
        <w:t>ying</w:t>
      </w:r>
      <w:r w:rsidR="00302B92" w:rsidRPr="00694AD5">
        <w:rPr>
          <w:noProof/>
        </w:rPr>
        <w:t xml:space="preserve"> with the</w:t>
      </w:r>
      <w:r w:rsidR="009F41F2">
        <w:rPr>
          <w:noProof/>
        </w:rPr>
        <w:t>m</w:t>
      </w:r>
      <w:r w:rsidR="00FD4D4E" w:rsidRPr="00611F35">
        <w:rPr>
          <w:noProof/>
        </w:rPr>
        <w:t>.</w:t>
      </w:r>
      <w:r w:rsidR="53DDF092" w:rsidRPr="00611F35">
        <w:rPr>
          <w:noProof/>
        </w:rPr>
        <w:t xml:space="preserve"> </w:t>
      </w:r>
      <w:r w:rsidR="00EA54C2" w:rsidRPr="00611F35">
        <w:rPr>
          <w:noProof/>
        </w:rPr>
        <w:t xml:space="preserve">Typical </w:t>
      </w:r>
      <w:r w:rsidR="00E22389">
        <w:rPr>
          <w:noProof/>
        </w:rPr>
        <w:t>areas of backtracking or insufficient progress</w:t>
      </w:r>
      <w:r w:rsidR="00EA54C2" w:rsidRPr="00611F35">
        <w:rPr>
          <w:noProof/>
        </w:rPr>
        <w:t xml:space="preserve"> </w:t>
      </w:r>
      <w:r w:rsidR="003D6FD7" w:rsidRPr="003D6FD7">
        <w:rPr>
          <w:noProof/>
        </w:rPr>
        <w:t xml:space="preserve">in certain beneficiary countries </w:t>
      </w:r>
      <w:r w:rsidR="00EA54C2" w:rsidRPr="00611F35">
        <w:rPr>
          <w:noProof/>
        </w:rPr>
        <w:t>include i</w:t>
      </w:r>
      <w:r w:rsidR="44A945CB" w:rsidRPr="00611F35">
        <w:rPr>
          <w:noProof/>
        </w:rPr>
        <w:t xml:space="preserve">ncreasing pressure on </w:t>
      </w:r>
      <w:r w:rsidR="008C1B39" w:rsidRPr="00611F35">
        <w:rPr>
          <w:noProof/>
        </w:rPr>
        <w:t xml:space="preserve">the </w:t>
      </w:r>
      <w:r w:rsidR="44A945CB" w:rsidRPr="00611F35">
        <w:rPr>
          <w:noProof/>
        </w:rPr>
        <w:t>freedom of expression</w:t>
      </w:r>
      <w:r w:rsidR="718068FA" w:rsidRPr="00611F35">
        <w:rPr>
          <w:noProof/>
        </w:rPr>
        <w:t xml:space="preserve"> and civil society space</w:t>
      </w:r>
      <w:r w:rsidR="58C7653F" w:rsidRPr="00611F35">
        <w:rPr>
          <w:noProof/>
        </w:rPr>
        <w:t>, th</w:t>
      </w:r>
      <w:r w:rsidR="5A00D358" w:rsidRPr="00611F35">
        <w:rPr>
          <w:noProof/>
        </w:rPr>
        <w:t>e rights of women and</w:t>
      </w:r>
      <w:r w:rsidR="58C7653F" w:rsidRPr="00611F35">
        <w:rPr>
          <w:noProof/>
        </w:rPr>
        <w:t xml:space="preserve"> </w:t>
      </w:r>
      <w:r w:rsidR="00C9206A">
        <w:rPr>
          <w:noProof/>
        </w:rPr>
        <w:t xml:space="preserve">children and </w:t>
      </w:r>
      <w:r w:rsidR="7B7A47DD" w:rsidRPr="00611F35">
        <w:rPr>
          <w:noProof/>
        </w:rPr>
        <w:t>protection against domestic violence</w:t>
      </w:r>
      <w:r w:rsidR="00EA54C2" w:rsidRPr="00611F35">
        <w:rPr>
          <w:noProof/>
        </w:rPr>
        <w:t xml:space="preserve"> during the COVID</w:t>
      </w:r>
      <w:r w:rsidR="00FB53AA" w:rsidRPr="00611F35">
        <w:rPr>
          <w:noProof/>
        </w:rPr>
        <w:t>-19</w:t>
      </w:r>
      <w:r w:rsidR="00EA54C2" w:rsidRPr="00611F35">
        <w:rPr>
          <w:noProof/>
        </w:rPr>
        <w:t xml:space="preserve"> pandemic</w:t>
      </w:r>
      <w:r w:rsidR="7B7A47DD" w:rsidRPr="00611F35">
        <w:rPr>
          <w:noProof/>
        </w:rPr>
        <w:t xml:space="preserve">, as well as </w:t>
      </w:r>
      <w:r w:rsidR="00622BD5" w:rsidRPr="00611F35">
        <w:rPr>
          <w:noProof/>
        </w:rPr>
        <w:t>t</w:t>
      </w:r>
      <w:r w:rsidR="53DDF092" w:rsidRPr="00611F35">
        <w:rPr>
          <w:noProof/>
        </w:rPr>
        <w:t>he fight against corruption</w:t>
      </w:r>
      <w:r w:rsidR="7AC66907" w:rsidRPr="00611F35">
        <w:rPr>
          <w:noProof/>
        </w:rPr>
        <w:t xml:space="preserve"> and ensuring</w:t>
      </w:r>
      <w:r w:rsidR="00640306" w:rsidRPr="00611F35">
        <w:rPr>
          <w:noProof/>
        </w:rPr>
        <w:t xml:space="preserve"> the</w:t>
      </w:r>
      <w:r w:rsidR="7AC66907" w:rsidRPr="00611F35">
        <w:rPr>
          <w:noProof/>
        </w:rPr>
        <w:t xml:space="preserve"> independence of the judiciary</w:t>
      </w:r>
      <w:r w:rsidR="189757CE" w:rsidRPr="00611F35">
        <w:rPr>
          <w:noProof/>
        </w:rPr>
        <w:t>.</w:t>
      </w:r>
      <w:r w:rsidR="00EA54C2" w:rsidRPr="00611F35">
        <w:rPr>
          <w:noProof/>
        </w:rPr>
        <w:t xml:space="preserve"> </w:t>
      </w:r>
      <w:r w:rsidR="003A04C9" w:rsidRPr="00611F35">
        <w:rPr>
          <w:noProof/>
        </w:rPr>
        <w:t xml:space="preserve">The global crises mentioned above occurring during this reporting period </w:t>
      </w:r>
      <w:r w:rsidR="009E3B32">
        <w:rPr>
          <w:noProof/>
        </w:rPr>
        <w:t>have put</w:t>
      </w:r>
      <w:r w:rsidR="00A771AD">
        <w:rPr>
          <w:noProof/>
        </w:rPr>
        <w:t xml:space="preserve"> </w:t>
      </w:r>
      <w:r w:rsidR="00622BD5" w:rsidRPr="00611F35">
        <w:rPr>
          <w:noProof/>
        </w:rPr>
        <w:t>a strain on labour markets</w:t>
      </w:r>
      <w:r w:rsidR="003A04C9" w:rsidRPr="00611F35">
        <w:rPr>
          <w:noProof/>
        </w:rPr>
        <w:t xml:space="preserve"> and on workers</w:t>
      </w:r>
      <w:r w:rsidR="00D8384E" w:rsidRPr="00611F35">
        <w:rPr>
          <w:noProof/>
        </w:rPr>
        <w:t xml:space="preserve">. In this context, </w:t>
      </w:r>
      <w:r w:rsidR="00952928" w:rsidRPr="00611F35">
        <w:rPr>
          <w:noProof/>
        </w:rPr>
        <w:t xml:space="preserve">the </w:t>
      </w:r>
      <w:r w:rsidR="001E4001" w:rsidRPr="00611F35">
        <w:rPr>
          <w:noProof/>
        </w:rPr>
        <w:t xml:space="preserve">EU </w:t>
      </w:r>
      <w:r w:rsidR="00952928" w:rsidRPr="00611F35">
        <w:rPr>
          <w:noProof/>
        </w:rPr>
        <w:t>GSP</w:t>
      </w:r>
      <w:r w:rsidR="00A771AD">
        <w:rPr>
          <w:noProof/>
        </w:rPr>
        <w:t xml:space="preserve"> </w:t>
      </w:r>
      <w:r w:rsidR="00AC0B2C" w:rsidRPr="00611F35">
        <w:rPr>
          <w:noProof/>
        </w:rPr>
        <w:t xml:space="preserve">monitoring and </w:t>
      </w:r>
      <w:r w:rsidR="00952928" w:rsidRPr="00611F35">
        <w:rPr>
          <w:noProof/>
        </w:rPr>
        <w:t xml:space="preserve">implementation work </w:t>
      </w:r>
      <w:r w:rsidR="0054277E" w:rsidRPr="00611F35">
        <w:rPr>
          <w:noProof/>
        </w:rPr>
        <w:t xml:space="preserve">help to </w:t>
      </w:r>
      <w:r w:rsidR="00952928" w:rsidRPr="00611F35">
        <w:rPr>
          <w:noProof/>
        </w:rPr>
        <w:t xml:space="preserve">ensure that </w:t>
      </w:r>
      <w:r w:rsidR="001E4001" w:rsidRPr="00611F35">
        <w:rPr>
          <w:noProof/>
        </w:rPr>
        <w:t xml:space="preserve">core international </w:t>
      </w:r>
      <w:r w:rsidR="00622BD5" w:rsidRPr="00611F35">
        <w:rPr>
          <w:noProof/>
        </w:rPr>
        <w:t>ILO standards</w:t>
      </w:r>
      <w:r w:rsidR="00D8384E" w:rsidRPr="00611F35">
        <w:rPr>
          <w:noProof/>
        </w:rPr>
        <w:t xml:space="preserve"> </w:t>
      </w:r>
      <w:r w:rsidR="001E4001" w:rsidRPr="00611F35">
        <w:rPr>
          <w:noProof/>
        </w:rPr>
        <w:t>on workers’ rights are respected.</w:t>
      </w:r>
      <w:r w:rsidR="00080D07">
        <w:rPr>
          <w:noProof/>
        </w:rPr>
        <w:t xml:space="preserve"> </w:t>
      </w:r>
    </w:p>
    <w:p w14:paraId="6A65C16F" w14:textId="6C7CDF5C" w:rsidR="00FD4D4E" w:rsidRPr="001F1161" w:rsidRDefault="007F0349" w:rsidP="00E7475B">
      <w:pPr>
        <w:pStyle w:val="Text1"/>
        <w:ind w:left="0"/>
        <w:rPr>
          <w:noProof/>
        </w:rPr>
      </w:pPr>
      <w:r w:rsidRPr="00611F35">
        <w:rPr>
          <w:noProof/>
        </w:rPr>
        <w:t>Further</w:t>
      </w:r>
      <w:r w:rsidR="00A771AD">
        <w:rPr>
          <w:noProof/>
        </w:rPr>
        <w:t>more</w:t>
      </w:r>
      <w:r w:rsidRPr="00611F35">
        <w:rPr>
          <w:noProof/>
        </w:rPr>
        <w:t xml:space="preserve">, </w:t>
      </w:r>
      <w:r w:rsidR="00155BE9">
        <w:rPr>
          <w:noProof/>
        </w:rPr>
        <w:t xml:space="preserve">and notably in relation to the international environmental standards, </w:t>
      </w:r>
      <w:r w:rsidR="00AE62A2" w:rsidRPr="00611F35">
        <w:rPr>
          <w:noProof/>
        </w:rPr>
        <w:t>many lower income</w:t>
      </w:r>
      <w:r w:rsidRPr="00611F35">
        <w:rPr>
          <w:noProof/>
        </w:rPr>
        <w:t xml:space="preserve"> c</w:t>
      </w:r>
      <w:r w:rsidR="189757CE" w:rsidRPr="00611F35">
        <w:rPr>
          <w:noProof/>
        </w:rPr>
        <w:t xml:space="preserve">ountries are facing </w:t>
      </w:r>
      <w:r w:rsidR="0015067F" w:rsidRPr="00611F35">
        <w:rPr>
          <w:noProof/>
        </w:rPr>
        <w:t xml:space="preserve">very </w:t>
      </w:r>
      <w:r w:rsidR="00AE62A2" w:rsidRPr="00611F35">
        <w:rPr>
          <w:noProof/>
        </w:rPr>
        <w:t xml:space="preserve">significant </w:t>
      </w:r>
      <w:r w:rsidR="189757CE" w:rsidRPr="00611F35">
        <w:rPr>
          <w:noProof/>
        </w:rPr>
        <w:t>negative consequences of climate change</w:t>
      </w:r>
      <w:r w:rsidR="003D6FD7">
        <w:rPr>
          <w:noProof/>
        </w:rPr>
        <w:t>,</w:t>
      </w:r>
      <w:r w:rsidR="52B57B42" w:rsidRPr="00611F35">
        <w:rPr>
          <w:noProof/>
        </w:rPr>
        <w:t xml:space="preserve"> </w:t>
      </w:r>
      <w:r w:rsidR="00AE62A2" w:rsidRPr="00611F35">
        <w:rPr>
          <w:noProof/>
        </w:rPr>
        <w:t xml:space="preserve">have undertaken </w:t>
      </w:r>
      <w:r w:rsidR="52B57B42" w:rsidRPr="00611F35">
        <w:rPr>
          <w:noProof/>
        </w:rPr>
        <w:t xml:space="preserve">ambitious commitments and </w:t>
      </w:r>
      <w:r w:rsidR="008C1B39" w:rsidRPr="00611F35">
        <w:rPr>
          <w:noProof/>
        </w:rPr>
        <w:t xml:space="preserve">have called </w:t>
      </w:r>
      <w:r w:rsidR="52B57B42" w:rsidRPr="00611F35">
        <w:rPr>
          <w:noProof/>
        </w:rPr>
        <w:t>for common action across the international community</w:t>
      </w:r>
      <w:r w:rsidR="00AE62A2" w:rsidRPr="00611F35">
        <w:rPr>
          <w:noProof/>
        </w:rPr>
        <w:t xml:space="preserve"> to address climate change and</w:t>
      </w:r>
      <w:r w:rsidR="001C726B" w:rsidRPr="00611F35">
        <w:rPr>
          <w:noProof/>
        </w:rPr>
        <w:t xml:space="preserve"> </w:t>
      </w:r>
      <w:r w:rsidR="00AE62A2" w:rsidRPr="00611F35">
        <w:rPr>
          <w:noProof/>
        </w:rPr>
        <w:t>its impac</w:t>
      </w:r>
      <w:r w:rsidR="001C726B" w:rsidRPr="00611F35">
        <w:rPr>
          <w:noProof/>
        </w:rPr>
        <w:t>t</w:t>
      </w:r>
      <w:r w:rsidR="00AE62A2" w:rsidRPr="00611F35">
        <w:rPr>
          <w:noProof/>
        </w:rPr>
        <w:t>s</w:t>
      </w:r>
      <w:r w:rsidR="52B57B42" w:rsidRPr="00611F35">
        <w:rPr>
          <w:noProof/>
        </w:rPr>
        <w:t xml:space="preserve">. However, capacity and resource constraints often </w:t>
      </w:r>
      <w:r w:rsidR="00AE62A2" w:rsidRPr="00611F35">
        <w:rPr>
          <w:noProof/>
        </w:rPr>
        <w:t xml:space="preserve">limit </w:t>
      </w:r>
      <w:r w:rsidR="008C1B39" w:rsidRPr="00611F35">
        <w:rPr>
          <w:noProof/>
        </w:rPr>
        <w:t xml:space="preserve">their ability to move from </w:t>
      </w:r>
      <w:r w:rsidR="52B57B42" w:rsidRPr="00611F35">
        <w:rPr>
          <w:noProof/>
        </w:rPr>
        <w:t>ambitio</w:t>
      </w:r>
      <w:r w:rsidR="051165CE" w:rsidRPr="00611F35">
        <w:rPr>
          <w:noProof/>
        </w:rPr>
        <w:t>n</w:t>
      </w:r>
      <w:r w:rsidR="008C1B39" w:rsidRPr="00611F35">
        <w:rPr>
          <w:noProof/>
        </w:rPr>
        <w:t xml:space="preserve"> to </w:t>
      </w:r>
      <w:r w:rsidR="00293E49" w:rsidRPr="00611F35">
        <w:rPr>
          <w:noProof/>
        </w:rPr>
        <w:t xml:space="preserve">domestic </w:t>
      </w:r>
      <w:r w:rsidR="008C1B39" w:rsidRPr="00611F35">
        <w:rPr>
          <w:noProof/>
        </w:rPr>
        <w:t>implementation</w:t>
      </w:r>
      <w:r w:rsidR="051165CE" w:rsidRPr="00611F35">
        <w:rPr>
          <w:noProof/>
        </w:rPr>
        <w:t>.</w:t>
      </w:r>
    </w:p>
    <w:p w14:paraId="5CBAB0B0" w14:textId="59E17B84" w:rsidR="00033CF6" w:rsidRPr="001F1161" w:rsidRDefault="00033CF6" w:rsidP="001D52A3">
      <w:pPr>
        <w:pStyle w:val="Text1"/>
        <w:ind w:left="0"/>
        <w:rPr>
          <w:noProof/>
        </w:rPr>
      </w:pPr>
      <w:r w:rsidRPr="001F1161">
        <w:rPr>
          <w:bCs/>
          <w:noProof/>
        </w:rPr>
        <w:t>The GSP brings important benefits to the EU</w:t>
      </w:r>
      <w:r w:rsidR="0054277E">
        <w:rPr>
          <w:bCs/>
          <w:noProof/>
        </w:rPr>
        <w:t>, in addition to the economic and sustainability benefits for beneficiaries</w:t>
      </w:r>
      <w:r w:rsidRPr="001F1161">
        <w:rPr>
          <w:bCs/>
          <w:noProof/>
        </w:rPr>
        <w:t>.</w:t>
      </w:r>
      <w:r w:rsidRPr="001F1161">
        <w:rPr>
          <w:noProof/>
        </w:rPr>
        <w:t xml:space="preserve"> </w:t>
      </w:r>
      <w:bookmarkStart w:id="3" w:name="_Hlk147308032"/>
      <w:r w:rsidRPr="001F1161">
        <w:rPr>
          <w:noProof/>
        </w:rPr>
        <w:t>First, it helps to strengthen economic and political partnerships with beneficiary countries, based on shared values and goals, and hence</w:t>
      </w:r>
      <w:r w:rsidR="00A771AD">
        <w:rPr>
          <w:noProof/>
        </w:rPr>
        <w:t xml:space="preserve"> it helps</w:t>
      </w:r>
      <w:r w:rsidRPr="001F1161">
        <w:rPr>
          <w:noProof/>
        </w:rPr>
        <w:t xml:space="preserve"> </w:t>
      </w:r>
      <w:r w:rsidR="005D5E99">
        <w:rPr>
          <w:noProof/>
        </w:rPr>
        <w:t xml:space="preserve">to </w:t>
      </w:r>
      <w:r w:rsidRPr="001F1161">
        <w:rPr>
          <w:noProof/>
        </w:rPr>
        <w:t>promote the international sustainability and development agenda. GSP monitoring fosters direct contacts between institutions and civil society in the EU and in beneficiary countries. The EU</w:t>
      </w:r>
      <w:r w:rsidR="008C1B39">
        <w:rPr>
          <w:noProof/>
        </w:rPr>
        <w:t>’s investors and</w:t>
      </w:r>
      <w:r w:rsidRPr="001F1161">
        <w:rPr>
          <w:noProof/>
        </w:rPr>
        <w:t xml:space="preserve"> importing companies can also promote sustainable practices and international standards in GSP countries with respect to human rights, labour rights, climate and environment, and good governance. In economic terms, the GSP helps to improve choice and affordability for EU companies and consumers of the goods traded under the GSP. In addition, EU companies gain more diversified and efficient access to supplies. For example, preferential tariffs granted under the GSP allowed companies in total around €</w:t>
      </w:r>
      <w:r w:rsidR="00755FB4">
        <w:rPr>
          <w:noProof/>
        </w:rPr>
        <w:t>6.2</w:t>
      </w:r>
      <w:r w:rsidRPr="001F1161">
        <w:rPr>
          <w:noProof/>
        </w:rPr>
        <w:t xml:space="preserve"> billion</w:t>
      </w:r>
      <w:r w:rsidR="008C1B39">
        <w:rPr>
          <w:noProof/>
        </w:rPr>
        <w:t xml:space="preserve"> of</w:t>
      </w:r>
      <w:r w:rsidRPr="001F1161">
        <w:rPr>
          <w:noProof/>
        </w:rPr>
        <w:t xml:space="preserve"> savings in import duties in 20</w:t>
      </w:r>
      <w:r w:rsidR="00755FB4">
        <w:rPr>
          <w:noProof/>
        </w:rPr>
        <w:t>22</w:t>
      </w:r>
      <w:r w:rsidRPr="001F1161">
        <w:rPr>
          <w:noProof/>
        </w:rPr>
        <w:t xml:space="preserve">. </w:t>
      </w:r>
      <w:bookmarkEnd w:id="3"/>
    </w:p>
    <w:p w14:paraId="01194953" w14:textId="462DAF9C" w:rsidR="001D52A3" w:rsidRPr="001D52A3" w:rsidRDefault="002973E7" w:rsidP="001D52A3">
      <w:pPr>
        <w:pStyle w:val="Text1"/>
        <w:ind w:left="0"/>
        <w:rPr>
          <w:noProof/>
        </w:rPr>
      </w:pPr>
      <w:r w:rsidRPr="001F1161">
        <w:rPr>
          <w:noProof/>
        </w:rPr>
        <w:t>Reaping t</w:t>
      </w:r>
      <w:r w:rsidR="001D52A3" w:rsidRPr="001F1161">
        <w:rPr>
          <w:noProof/>
        </w:rPr>
        <w:t xml:space="preserve">he </w:t>
      </w:r>
      <w:r w:rsidRPr="001F1161">
        <w:rPr>
          <w:noProof/>
        </w:rPr>
        <w:t xml:space="preserve">full </w:t>
      </w:r>
      <w:r w:rsidR="001D52A3" w:rsidRPr="001F1161">
        <w:rPr>
          <w:noProof/>
        </w:rPr>
        <w:t xml:space="preserve">benefits from </w:t>
      </w:r>
      <w:r w:rsidR="00FB53AA" w:rsidRPr="001F1161">
        <w:rPr>
          <w:noProof/>
        </w:rPr>
        <w:t xml:space="preserve">the </w:t>
      </w:r>
      <w:r w:rsidR="001D52A3" w:rsidRPr="001F1161">
        <w:rPr>
          <w:noProof/>
        </w:rPr>
        <w:t>GSP</w:t>
      </w:r>
      <w:r w:rsidR="008C1B39">
        <w:rPr>
          <w:noProof/>
        </w:rPr>
        <w:t xml:space="preserve"> – in terms of </w:t>
      </w:r>
      <w:r w:rsidR="001D52A3" w:rsidRPr="001F1161">
        <w:rPr>
          <w:noProof/>
        </w:rPr>
        <w:t>poverty reduction, economic diversification</w:t>
      </w:r>
      <w:r w:rsidR="00B9151F" w:rsidRPr="001F1161">
        <w:rPr>
          <w:noProof/>
        </w:rPr>
        <w:t>,</w:t>
      </w:r>
      <w:r w:rsidR="001D52A3" w:rsidRPr="001F1161">
        <w:rPr>
          <w:noProof/>
        </w:rPr>
        <w:t xml:space="preserve"> and sustainable development</w:t>
      </w:r>
      <w:r w:rsidR="008C1B39">
        <w:rPr>
          <w:noProof/>
        </w:rPr>
        <w:t xml:space="preserve"> – </w:t>
      </w:r>
      <w:r w:rsidR="001D52A3" w:rsidRPr="001F1161">
        <w:rPr>
          <w:noProof/>
        </w:rPr>
        <w:t>require</w:t>
      </w:r>
      <w:r w:rsidRPr="001F1161">
        <w:rPr>
          <w:noProof/>
        </w:rPr>
        <w:t>s</w:t>
      </w:r>
      <w:r w:rsidR="001D52A3" w:rsidRPr="001F1161">
        <w:rPr>
          <w:noProof/>
        </w:rPr>
        <w:t xml:space="preserve"> strong and continuous reform efforts </w:t>
      </w:r>
      <w:r w:rsidRPr="001F1161">
        <w:rPr>
          <w:noProof/>
        </w:rPr>
        <w:t xml:space="preserve">by </w:t>
      </w:r>
      <w:r w:rsidR="001D52A3" w:rsidRPr="001F1161">
        <w:rPr>
          <w:noProof/>
        </w:rPr>
        <w:t>authorities and stakeholders in all GSP countries</w:t>
      </w:r>
      <w:r w:rsidRPr="001F1161">
        <w:rPr>
          <w:noProof/>
        </w:rPr>
        <w:t>, as</w:t>
      </w:r>
      <w:r w:rsidR="001D52A3" w:rsidRPr="001F1161">
        <w:rPr>
          <w:noProof/>
        </w:rPr>
        <w:t xml:space="preserve"> the benefits on the ground </w:t>
      </w:r>
      <w:r w:rsidRPr="001F1161">
        <w:rPr>
          <w:noProof/>
        </w:rPr>
        <w:t>cannot be</w:t>
      </w:r>
      <w:r>
        <w:rPr>
          <w:noProof/>
        </w:rPr>
        <w:t xml:space="preserve"> achieved and </w:t>
      </w:r>
      <w:r w:rsidR="001D52A3" w:rsidRPr="001D52A3">
        <w:rPr>
          <w:noProof/>
        </w:rPr>
        <w:t xml:space="preserve">do not occur </w:t>
      </w:r>
      <w:r>
        <w:rPr>
          <w:noProof/>
        </w:rPr>
        <w:t xml:space="preserve">immediately or </w:t>
      </w:r>
      <w:r w:rsidR="001D52A3" w:rsidRPr="001D52A3">
        <w:rPr>
          <w:noProof/>
        </w:rPr>
        <w:t xml:space="preserve">automatically. The EU </w:t>
      </w:r>
      <w:r>
        <w:rPr>
          <w:noProof/>
        </w:rPr>
        <w:t>remains committed</w:t>
      </w:r>
      <w:r w:rsidR="001D52A3" w:rsidRPr="001D52A3">
        <w:rPr>
          <w:noProof/>
        </w:rPr>
        <w:t xml:space="preserve"> to continue support</w:t>
      </w:r>
      <w:r>
        <w:rPr>
          <w:noProof/>
        </w:rPr>
        <w:t>ing</w:t>
      </w:r>
      <w:r w:rsidR="001D52A3" w:rsidRPr="001D52A3">
        <w:rPr>
          <w:noProof/>
        </w:rPr>
        <w:t xml:space="preserve"> such efforts via capacity building and other measures.</w:t>
      </w:r>
    </w:p>
    <w:p w14:paraId="421EB285" w14:textId="77777777" w:rsidR="00067BA2" w:rsidRPr="00067BA2" w:rsidRDefault="00236071" w:rsidP="00C10249">
      <w:pPr>
        <w:pStyle w:val="Heading1"/>
        <w:tabs>
          <w:tab w:val="clear" w:pos="2467"/>
        </w:tabs>
        <w:ind w:left="567" w:hanging="567"/>
        <w:rPr>
          <w:noProof/>
        </w:rPr>
      </w:pPr>
      <w:r>
        <w:rPr>
          <w:noProof/>
        </w:rPr>
        <w:t xml:space="preserve">Legislative </w:t>
      </w:r>
      <w:r w:rsidR="006462C1">
        <w:rPr>
          <w:noProof/>
        </w:rPr>
        <w:t>d</w:t>
      </w:r>
      <w:r w:rsidR="00067BA2">
        <w:rPr>
          <w:noProof/>
        </w:rPr>
        <w:t>evelopments</w:t>
      </w:r>
      <w:r w:rsidR="006462C1">
        <w:rPr>
          <w:noProof/>
        </w:rPr>
        <w:t xml:space="preserve"> during the reporting period</w:t>
      </w:r>
    </w:p>
    <w:p w14:paraId="2EB36917" w14:textId="77777777" w:rsidR="00B16EB3" w:rsidRPr="00627EAB" w:rsidRDefault="00236071" w:rsidP="00656571">
      <w:pPr>
        <w:pStyle w:val="Heading2"/>
        <w:shd w:val="clear" w:color="auto" w:fill="DBE5F1" w:themeFill="accent1" w:themeFillTint="33"/>
        <w:rPr>
          <w:noProof/>
        </w:rPr>
      </w:pPr>
      <w:r w:rsidRPr="00627EAB">
        <w:rPr>
          <w:noProof/>
        </w:rPr>
        <w:t>D</w:t>
      </w:r>
      <w:r w:rsidR="009C1C34" w:rsidRPr="00627EAB">
        <w:rPr>
          <w:noProof/>
        </w:rPr>
        <w:t>evelopments</w:t>
      </w:r>
      <w:r w:rsidRPr="00627EAB">
        <w:rPr>
          <w:noProof/>
        </w:rPr>
        <w:t xml:space="preserve"> in </w:t>
      </w:r>
      <w:r w:rsidR="00310618" w:rsidRPr="00627EAB">
        <w:rPr>
          <w:noProof/>
        </w:rPr>
        <w:t>i</w:t>
      </w:r>
      <w:r w:rsidRPr="00627EAB">
        <w:rPr>
          <w:noProof/>
        </w:rPr>
        <w:t>mplementation</w:t>
      </w:r>
    </w:p>
    <w:p w14:paraId="33D37551" w14:textId="77777777" w:rsidR="00D01B9D" w:rsidRDefault="00823A9E" w:rsidP="00627EAB">
      <w:pPr>
        <w:pStyle w:val="Text2"/>
        <w:ind w:left="0"/>
        <w:rPr>
          <w:noProof/>
        </w:rPr>
      </w:pPr>
      <w:bookmarkStart w:id="4" w:name="_Hlk147303082"/>
      <w:r>
        <w:rPr>
          <w:noProof/>
        </w:rPr>
        <w:t>The Commission adopted</w:t>
      </w:r>
      <w:r w:rsidR="00D01B9D">
        <w:rPr>
          <w:noProof/>
        </w:rPr>
        <w:t xml:space="preserve"> several legal acts relat</w:t>
      </w:r>
      <w:r w:rsidR="006462C1">
        <w:rPr>
          <w:noProof/>
        </w:rPr>
        <w:t>ing</w:t>
      </w:r>
      <w:r w:rsidR="00D01B9D">
        <w:rPr>
          <w:noProof/>
        </w:rPr>
        <w:t xml:space="preserve"> to the implementation of the GSP Regulation</w:t>
      </w:r>
      <w:r w:rsidR="001E0D35">
        <w:rPr>
          <w:noProof/>
        </w:rPr>
        <w:t xml:space="preserve"> during the reporting period</w:t>
      </w:r>
      <w:r w:rsidR="00D01B9D">
        <w:rPr>
          <w:noProof/>
        </w:rPr>
        <w:t xml:space="preserve">: </w:t>
      </w:r>
    </w:p>
    <w:p w14:paraId="524875B9" w14:textId="0E6AC0DF" w:rsidR="00A941A8" w:rsidRDefault="003E3452" w:rsidP="003E3452">
      <w:pPr>
        <w:pStyle w:val="Text2"/>
        <w:numPr>
          <w:ilvl w:val="0"/>
          <w:numId w:val="26"/>
        </w:numPr>
        <w:rPr>
          <w:noProof/>
        </w:rPr>
      </w:pPr>
      <w:r w:rsidRPr="00C86677">
        <w:rPr>
          <w:noProof/>
          <w:u w:val="single"/>
        </w:rPr>
        <w:t>Country graduation</w:t>
      </w:r>
      <w:r w:rsidR="001E0D35">
        <w:rPr>
          <w:noProof/>
          <w:u w:val="single"/>
        </w:rPr>
        <w:t xml:space="preserve"> from GSP</w:t>
      </w:r>
      <w:r>
        <w:rPr>
          <w:noProof/>
        </w:rPr>
        <w:t xml:space="preserve">: </w:t>
      </w:r>
      <w:r w:rsidR="009A661A" w:rsidRPr="00D148D9">
        <w:rPr>
          <w:noProof/>
        </w:rPr>
        <w:t>Nauru, Samoa</w:t>
      </w:r>
      <w:r w:rsidR="406AB57E" w:rsidRPr="00D148D9">
        <w:rPr>
          <w:noProof/>
        </w:rPr>
        <w:t>,</w:t>
      </w:r>
      <w:r w:rsidR="009A661A" w:rsidRPr="00D148D9">
        <w:rPr>
          <w:noProof/>
        </w:rPr>
        <w:t xml:space="preserve"> and Tonga</w:t>
      </w:r>
      <w:r w:rsidR="009A661A" w:rsidRPr="00361255">
        <w:rPr>
          <w:noProof/>
        </w:rPr>
        <w:t xml:space="preserve"> </w:t>
      </w:r>
      <w:r w:rsidR="008C40C0" w:rsidRPr="00361255">
        <w:rPr>
          <w:noProof/>
        </w:rPr>
        <w:t xml:space="preserve">reached Upper </w:t>
      </w:r>
      <w:r w:rsidR="0094733F" w:rsidRPr="00361255">
        <w:rPr>
          <w:noProof/>
        </w:rPr>
        <w:t>Middle-Income</w:t>
      </w:r>
      <w:r w:rsidR="008C40C0" w:rsidRPr="00361255">
        <w:rPr>
          <w:noProof/>
        </w:rPr>
        <w:t xml:space="preserve"> status</w:t>
      </w:r>
      <w:r w:rsidR="00F95DFE" w:rsidRPr="00361255">
        <w:rPr>
          <w:noProof/>
        </w:rPr>
        <w:t xml:space="preserve"> as classified by the W</w:t>
      </w:r>
      <w:r w:rsidR="7B7EC668" w:rsidRPr="00361255">
        <w:rPr>
          <w:noProof/>
        </w:rPr>
        <w:t>orld Bank</w:t>
      </w:r>
      <w:r w:rsidR="008C40C0" w:rsidRPr="00361255">
        <w:rPr>
          <w:noProof/>
        </w:rPr>
        <w:t xml:space="preserve"> for three consecutive years and</w:t>
      </w:r>
      <w:r w:rsidR="00F95DFE" w:rsidRPr="00361255">
        <w:rPr>
          <w:noProof/>
        </w:rPr>
        <w:t>,</w:t>
      </w:r>
      <w:r w:rsidR="008C40C0" w:rsidRPr="00361255">
        <w:rPr>
          <w:noProof/>
        </w:rPr>
        <w:t xml:space="preserve"> therefore</w:t>
      </w:r>
      <w:r w:rsidR="00F95DFE" w:rsidRPr="00361255">
        <w:rPr>
          <w:noProof/>
        </w:rPr>
        <w:t>,</w:t>
      </w:r>
      <w:r w:rsidR="008C40C0" w:rsidRPr="00361255">
        <w:rPr>
          <w:noProof/>
        </w:rPr>
        <w:t xml:space="preserve"> </w:t>
      </w:r>
      <w:r w:rsidR="001E0D35" w:rsidRPr="00361255">
        <w:rPr>
          <w:noProof/>
        </w:rPr>
        <w:t>do not</w:t>
      </w:r>
      <w:r w:rsidR="00CC22D2" w:rsidRPr="00361255">
        <w:rPr>
          <w:noProof/>
        </w:rPr>
        <w:t xml:space="preserve"> benefit</w:t>
      </w:r>
      <w:r w:rsidR="008C40C0" w:rsidRPr="00361255">
        <w:rPr>
          <w:noProof/>
        </w:rPr>
        <w:t xml:space="preserve"> </w:t>
      </w:r>
      <w:r w:rsidR="00B518EF" w:rsidRPr="00361255">
        <w:rPr>
          <w:noProof/>
        </w:rPr>
        <w:t xml:space="preserve">from standard GSP </w:t>
      </w:r>
      <w:r w:rsidR="001E0D35" w:rsidRPr="00361255">
        <w:rPr>
          <w:noProof/>
        </w:rPr>
        <w:t>since</w:t>
      </w:r>
      <w:r w:rsidR="009A661A" w:rsidRPr="00361255">
        <w:rPr>
          <w:noProof/>
        </w:rPr>
        <w:t xml:space="preserve"> 1 January 2021</w:t>
      </w:r>
      <w:r w:rsidR="00BB6325" w:rsidRPr="00BB6325">
        <w:rPr>
          <w:noProof/>
        </w:rPr>
        <w:t> </w:t>
      </w:r>
      <w:r w:rsidR="009C7A94" w:rsidRPr="009C7A94">
        <w:rPr>
          <w:rStyle w:val="FootnoteReference"/>
          <w:noProof/>
          <w:vertAlign w:val="baseline"/>
        </w:rPr>
        <w:t>(</w:t>
      </w:r>
      <w:r w:rsidR="00EC6C46" w:rsidRPr="00361255">
        <w:rPr>
          <w:rStyle w:val="FootnoteReference"/>
          <w:noProof/>
        </w:rPr>
        <w:footnoteReference w:id="13"/>
      </w:r>
      <w:r w:rsidR="009C7A94" w:rsidRPr="009C7A94">
        <w:rPr>
          <w:rStyle w:val="FootnoteReference"/>
          <w:noProof/>
          <w:vertAlign w:val="baseline"/>
        </w:rPr>
        <w:t>)</w:t>
      </w:r>
      <w:r w:rsidR="009A661A" w:rsidRPr="00361255">
        <w:rPr>
          <w:noProof/>
        </w:rPr>
        <w:t>.</w:t>
      </w:r>
      <w:r w:rsidR="008C40C0" w:rsidRPr="00361255">
        <w:rPr>
          <w:noProof/>
        </w:rPr>
        <w:t xml:space="preserve"> For the same reason, </w:t>
      </w:r>
      <w:r w:rsidR="009C6BA6" w:rsidRPr="00D148D9">
        <w:rPr>
          <w:noProof/>
        </w:rPr>
        <w:t>Armenia</w:t>
      </w:r>
      <w:r w:rsidR="009C6BA6" w:rsidRPr="00361255">
        <w:rPr>
          <w:noProof/>
        </w:rPr>
        <w:t xml:space="preserve"> </w:t>
      </w:r>
      <w:r w:rsidR="00CC22D2" w:rsidRPr="00361255">
        <w:rPr>
          <w:noProof/>
        </w:rPr>
        <w:t>no longer benefits</w:t>
      </w:r>
      <w:r w:rsidR="009C6BA6" w:rsidRPr="00361255">
        <w:rPr>
          <w:noProof/>
        </w:rPr>
        <w:t xml:space="preserve"> from GSP+ </w:t>
      </w:r>
      <w:r w:rsidR="0015067F" w:rsidRPr="00361255">
        <w:rPr>
          <w:noProof/>
        </w:rPr>
        <w:t>(</w:t>
      </w:r>
      <w:r w:rsidR="00386E46">
        <w:rPr>
          <w:noProof/>
        </w:rPr>
        <w:t>n</w:t>
      </w:r>
      <w:r w:rsidR="0015067F" w:rsidRPr="00361255">
        <w:rPr>
          <w:noProof/>
        </w:rPr>
        <w:t xml:space="preserve">or </w:t>
      </w:r>
      <w:r w:rsidR="009C6BA6" w:rsidRPr="00361255">
        <w:rPr>
          <w:noProof/>
        </w:rPr>
        <w:t>standard GSP</w:t>
      </w:r>
      <w:r w:rsidR="0015067F" w:rsidRPr="00361255">
        <w:rPr>
          <w:noProof/>
        </w:rPr>
        <w:t>)</w:t>
      </w:r>
      <w:r w:rsidR="009C6BA6" w:rsidRPr="00361255">
        <w:rPr>
          <w:noProof/>
        </w:rPr>
        <w:t xml:space="preserve"> </w:t>
      </w:r>
      <w:r w:rsidR="001E0D35" w:rsidRPr="00361255">
        <w:rPr>
          <w:noProof/>
        </w:rPr>
        <w:t>since</w:t>
      </w:r>
      <w:r w:rsidR="009C6BA6" w:rsidRPr="00361255">
        <w:rPr>
          <w:noProof/>
        </w:rPr>
        <w:t xml:space="preserve"> 1</w:t>
      </w:r>
      <w:r w:rsidR="00A373BF" w:rsidRPr="00361255">
        <w:rPr>
          <w:noProof/>
        </w:rPr>
        <w:t xml:space="preserve"> January 2022</w:t>
      </w:r>
      <w:r w:rsidR="006462C1" w:rsidRPr="00361255">
        <w:rPr>
          <w:noProof/>
        </w:rPr>
        <w:t>.</w:t>
      </w:r>
      <w:r w:rsidR="00A373BF" w:rsidRPr="00361255">
        <w:rPr>
          <w:noProof/>
        </w:rPr>
        <w:t xml:space="preserve"> </w:t>
      </w:r>
      <w:r w:rsidR="006462C1" w:rsidRPr="00361255">
        <w:rPr>
          <w:noProof/>
        </w:rPr>
        <w:t>T</w:t>
      </w:r>
      <w:r w:rsidR="001E0D35" w:rsidRPr="00361255">
        <w:rPr>
          <w:noProof/>
        </w:rPr>
        <w:t>he EU-</w:t>
      </w:r>
      <w:r w:rsidR="00A373BF" w:rsidRPr="00D148D9">
        <w:rPr>
          <w:noProof/>
        </w:rPr>
        <w:t>Vietnam</w:t>
      </w:r>
      <w:r w:rsidR="00A373BF">
        <w:rPr>
          <w:noProof/>
        </w:rPr>
        <w:t xml:space="preserve"> </w:t>
      </w:r>
      <w:r w:rsidR="00067EAE">
        <w:rPr>
          <w:noProof/>
        </w:rPr>
        <w:t>preferential F</w:t>
      </w:r>
      <w:r w:rsidR="00953D92">
        <w:rPr>
          <w:noProof/>
        </w:rPr>
        <w:t>ree Trade Agreement (F</w:t>
      </w:r>
      <w:r w:rsidR="00067EAE">
        <w:rPr>
          <w:noProof/>
        </w:rPr>
        <w:t>TA</w:t>
      </w:r>
      <w:r w:rsidR="00953D92">
        <w:rPr>
          <w:noProof/>
        </w:rPr>
        <w:t>)</w:t>
      </w:r>
      <w:r w:rsidR="00067EAE">
        <w:rPr>
          <w:noProof/>
        </w:rPr>
        <w:t xml:space="preserve"> </w:t>
      </w:r>
      <w:r w:rsidR="001E0D35">
        <w:rPr>
          <w:noProof/>
        </w:rPr>
        <w:t>applies</w:t>
      </w:r>
      <w:r w:rsidR="005B358E">
        <w:rPr>
          <w:noProof/>
        </w:rPr>
        <w:t xml:space="preserve"> since </w:t>
      </w:r>
      <w:r w:rsidR="00F94383">
        <w:rPr>
          <w:noProof/>
        </w:rPr>
        <w:t>1 August 2020 and</w:t>
      </w:r>
      <w:r w:rsidR="002C5784">
        <w:rPr>
          <w:noProof/>
        </w:rPr>
        <w:t>,</w:t>
      </w:r>
      <w:r w:rsidR="00F94383">
        <w:rPr>
          <w:noProof/>
        </w:rPr>
        <w:t xml:space="preserve"> therefore</w:t>
      </w:r>
      <w:r w:rsidR="002C5784">
        <w:rPr>
          <w:noProof/>
        </w:rPr>
        <w:t>,</w:t>
      </w:r>
      <w:r w:rsidR="00F94383">
        <w:rPr>
          <w:noProof/>
        </w:rPr>
        <w:t xml:space="preserve"> </w:t>
      </w:r>
      <w:r w:rsidR="001E0D35">
        <w:rPr>
          <w:noProof/>
        </w:rPr>
        <w:t xml:space="preserve">Vietnam </w:t>
      </w:r>
      <w:r w:rsidR="00F94383">
        <w:rPr>
          <w:noProof/>
        </w:rPr>
        <w:t>graduated from standard GSP as of 1 January 2023</w:t>
      </w:r>
      <w:r w:rsidR="00BB6325" w:rsidRPr="00BB6325">
        <w:rPr>
          <w:noProof/>
        </w:rPr>
        <w:t> </w:t>
      </w:r>
      <w:r w:rsidR="009C7A94" w:rsidRPr="009C7A94">
        <w:rPr>
          <w:rStyle w:val="FootnoteReference"/>
          <w:noProof/>
          <w:vertAlign w:val="baseline"/>
        </w:rPr>
        <w:t>(</w:t>
      </w:r>
      <w:r w:rsidR="00EC6C46">
        <w:rPr>
          <w:rStyle w:val="FootnoteReference"/>
          <w:noProof/>
        </w:rPr>
        <w:footnoteReference w:id="14"/>
      </w:r>
      <w:r w:rsidR="009C7A94" w:rsidRPr="009C7A94">
        <w:rPr>
          <w:rStyle w:val="FootnoteReference"/>
          <w:noProof/>
          <w:vertAlign w:val="baseline"/>
        </w:rPr>
        <w:t>)</w:t>
      </w:r>
      <w:r w:rsidR="00F94383">
        <w:rPr>
          <w:noProof/>
        </w:rPr>
        <w:t>.</w:t>
      </w:r>
    </w:p>
    <w:p w14:paraId="40D9171E" w14:textId="168909E5" w:rsidR="00ED2E06" w:rsidRDefault="75B86451" w:rsidP="003E3452">
      <w:pPr>
        <w:pStyle w:val="Text2"/>
        <w:numPr>
          <w:ilvl w:val="0"/>
          <w:numId w:val="26"/>
        </w:numPr>
        <w:rPr>
          <w:noProof/>
        </w:rPr>
      </w:pPr>
      <w:r w:rsidRPr="00C86677">
        <w:rPr>
          <w:noProof/>
          <w:u w:val="single"/>
        </w:rPr>
        <w:t xml:space="preserve">Transition </w:t>
      </w:r>
      <w:r w:rsidR="006462C1">
        <w:rPr>
          <w:noProof/>
          <w:u w:val="single"/>
        </w:rPr>
        <w:t xml:space="preserve">from EBA </w:t>
      </w:r>
      <w:r w:rsidRPr="00C86677">
        <w:rPr>
          <w:noProof/>
          <w:u w:val="single"/>
        </w:rPr>
        <w:t>to standard GSP</w:t>
      </w:r>
      <w:r>
        <w:rPr>
          <w:noProof/>
        </w:rPr>
        <w:t xml:space="preserve">: </w:t>
      </w:r>
      <w:r w:rsidRPr="00D148D9">
        <w:rPr>
          <w:noProof/>
        </w:rPr>
        <w:t>Vanuatu</w:t>
      </w:r>
      <w:r>
        <w:rPr>
          <w:noProof/>
        </w:rPr>
        <w:t xml:space="preserve"> </w:t>
      </w:r>
      <w:r w:rsidR="24801A85">
        <w:rPr>
          <w:noProof/>
        </w:rPr>
        <w:t>gra</w:t>
      </w:r>
      <w:r w:rsidR="651CE3BE">
        <w:rPr>
          <w:noProof/>
        </w:rPr>
        <w:t xml:space="preserve">duated </w:t>
      </w:r>
      <w:r w:rsidR="00386E46">
        <w:rPr>
          <w:noProof/>
        </w:rPr>
        <w:t xml:space="preserve">from LDC status </w:t>
      </w:r>
      <w:r w:rsidR="75C00AF3">
        <w:rPr>
          <w:noProof/>
        </w:rPr>
        <w:t>on 4 December 2020</w:t>
      </w:r>
      <w:r w:rsidR="00386E46" w:rsidRPr="00386E46">
        <w:rPr>
          <w:noProof/>
        </w:rPr>
        <w:t xml:space="preserve"> </w:t>
      </w:r>
      <w:r w:rsidR="00386E46">
        <w:rPr>
          <w:noProof/>
        </w:rPr>
        <w:t xml:space="preserve">based on </w:t>
      </w:r>
      <w:r w:rsidR="00FB53AA">
        <w:rPr>
          <w:noProof/>
        </w:rPr>
        <w:t xml:space="preserve">a </w:t>
      </w:r>
      <w:r w:rsidR="00386E46">
        <w:rPr>
          <w:noProof/>
        </w:rPr>
        <w:t>UN decision</w:t>
      </w:r>
      <w:r w:rsidR="75C00AF3">
        <w:rPr>
          <w:noProof/>
        </w:rPr>
        <w:t>.</w:t>
      </w:r>
      <w:r w:rsidR="7E82A750">
        <w:rPr>
          <w:noProof/>
        </w:rPr>
        <w:t xml:space="preserve"> Following a three</w:t>
      </w:r>
      <w:r w:rsidR="7625BC87">
        <w:rPr>
          <w:noProof/>
        </w:rPr>
        <w:t>-</w:t>
      </w:r>
      <w:r w:rsidR="7E82A750">
        <w:rPr>
          <w:noProof/>
        </w:rPr>
        <w:t xml:space="preserve">year transition period and </w:t>
      </w:r>
      <w:r w:rsidR="5CE5A432">
        <w:rPr>
          <w:noProof/>
        </w:rPr>
        <w:t xml:space="preserve">taking into account procedural and statistical considerations, Vanuatu will </w:t>
      </w:r>
      <w:r w:rsidR="5BBE791A">
        <w:rPr>
          <w:noProof/>
        </w:rPr>
        <w:t>cease to benefit from EBA and transition to standard GSP as of 1 January 2025</w:t>
      </w:r>
      <w:r w:rsidR="00BB6325" w:rsidRPr="00BB6325">
        <w:rPr>
          <w:noProof/>
        </w:rPr>
        <w:t> </w:t>
      </w:r>
      <w:r w:rsidR="009C7A94" w:rsidRPr="009C7A94">
        <w:rPr>
          <w:rStyle w:val="FootnoteReference"/>
          <w:noProof/>
          <w:vertAlign w:val="baseline"/>
        </w:rPr>
        <w:t>(</w:t>
      </w:r>
      <w:r w:rsidR="00EC6C46">
        <w:rPr>
          <w:rStyle w:val="FootnoteReference"/>
          <w:noProof/>
        </w:rPr>
        <w:footnoteReference w:id="15"/>
      </w:r>
      <w:r w:rsidR="009C7A94" w:rsidRPr="009C7A94">
        <w:rPr>
          <w:rStyle w:val="FootnoteReference"/>
          <w:noProof/>
          <w:vertAlign w:val="baseline"/>
        </w:rPr>
        <w:t>)</w:t>
      </w:r>
      <w:r w:rsidR="5BBE791A">
        <w:rPr>
          <w:noProof/>
        </w:rPr>
        <w:t>.</w:t>
      </w:r>
      <w:r w:rsidR="3CB7A9F8">
        <w:rPr>
          <w:noProof/>
        </w:rPr>
        <w:t xml:space="preserve"> </w:t>
      </w:r>
    </w:p>
    <w:p w14:paraId="51A600B7" w14:textId="56462BCD" w:rsidR="001B3714" w:rsidRDefault="001B3714" w:rsidP="003E3452">
      <w:pPr>
        <w:pStyle w:val="Text2"/>
        <w:numPr>
          <w:ilvl w:val="0"/>
          <w:numId w:val="26"/>
        </w:numPr>
        <w:rPr>
          <w:noProof/>
        </w:rPr>
      </w:pPr>
      <w:r>
        <w:rPr>
          <w:noProof/>
          <w:u w:val="single"/>
        </w:rPr>
        <w:t>Transition from standard GSP to GSP+</w:t>
      </w:r>
      <w:r w:rsidRPr="005F31B2">
        <w:rPr>
          <w:noProof/>
        </w:rPr>
        <w:t>:</w:t>
      </w:r>
      <w:r>
        <w:rPr>
          <w:noProof/>
        </w:rPr>
        <w:t xml:space="preserve"> Uzbekistan </w:t>
      </w:r>
      <w:r w:rsidRPr="00C96F9E">
        <w:rPr>
          <w:noProof/>
          <w:szCs w:val="24"/>
        </w:rPr>
        <w:t>joined GSP+ in April 2021 </w:t>
      </w:r>
      <w:r w:rsidRPr="00166735">
        <w:rPr>
          <w:noProof/>
          <w:szCs w:val="24"/>
        </w:rPr>
        <w:t>(</w:t>
      </w:r>
      <w:r w:rsidRPr="000433A4">
        <w:rPr>
          <w:noProof/>
          <w:szCs w:val="24"/>
          <w:vertAlign w:val="superscript"/>
        </w:rPr>
        <w:footnoteReference w:id="16"/>
      </w:r>
      <w:r w:rsidRPr="00166735">
        <w:rPr>
          <w:noProof/>
          <w:szCs w:val="24"/>
        </w:rPr>
        <w:t>)</w:t>
      </w:r>
      <w:r w:rsidRPr="00C96F9E">
        <w:rPr>
          <w:noProof/>
          <w:szCs w:val="24"/>
        </w:rPr>
        <w:t>, after formally applying for the scheme in June 2020</w:t>
      </w:r>
      <w:r>
        <w:rPr>
          <w:noProof/>
          <w:szCs w:val="24"/>
        </w:rPr>
        <w:t>.</w:t>
      </w:r>
    </w:p>
    <w:p w14:paraId="6358BCBA" w14:textId="08F3639A" w:rsidR="00B16EB3" w:rsidRDefault="00ED2E06" w:rsidP="003E3452">
      <w:pPr>
        <w:pStyle w:val="Text2"/>
        <w:numPr>
          <w:ilvl w:val="0"/>
          <w:numId w:val="26"/>
        </w:numPr>
        <w:rPr>
          <w:noProof/>
        </w:rPr>
      </w:pPr>
      <w:r w:rsidRPr="00C86677">
        <w:rPr>
          <w:noProof/>
          <w:u w:val="single"/>
        </w:rPr>
        <w:t>Product graduation</w:t>
      </w:r>
      <w:r>
        <w:rPr>
          <w:noProof/>
        </w:rPr>
        <w:t xml:space="preserve">: </w:t>
      </w:r>
      <w:r w:rsidR="001E0D35">
        <w:rPr>
          <w:noProof/>
        </w:rPr>
        <w:t xml:space="preserve">standard </w:t>
      </w:r>
      <w:r w:rsidR="00827260">
        <w:rPr>
          <w:noProof/>
        </w:rPr>
        <w:t>GSP tariff preferences were suspended</w:t>
      </w:r>
      <w:r w:rsidR="00E34E60">
        <w:rPr>
          <w:noProof/>
        </w:rPr>
        <w:t xml:space="preserve"> for the year 2023</w:t>
      </w:r>
      <w:r w:rsidR="00827260">
        <w:rPr>
          <w:noProof/>
        </w:rPr>
        <w:t xml:space="preserve"> for </w:t>
      </w:r>
      <w:r w:rsidR="00B237E3">
        <w:rPr>
          <w:noProof/>
        </w:rPr>
        <w:t>several</w:t>
      </w:r>
      <w:r w:rsidR="00827260">
        <w:rPr>
          <w:noProof/>
        </w:rPr>
        <w:t xml:space="preserve"> products </w:t>
      </w:r>
      <w:r w:rsidR="00B237E3">
        <w:rPr>
          <w:noProof/>
        </w:rPr>
        <w:t>imported from</w:t>
      </w:r>
      <w:r w:rsidR="001E0D35">
        <w:rPr>
          <w:noProof/>
        </w:rPr>
        <w:t xml:space="preserve"> </w:t>
      </w:r>
      <w:r w:rsidR="002F298D" w:rsidRPr="00D148D9">
        <w:rPr>
          <w:noProof/>
        </w:rPr>
        <w:t>India, Indonesia, and Kenya</w:t>
      </w:r>
      <w:r w:rsidR="002F298D">
        <w:rPr>
          <w:noProof/>
        </w:rPr>
        <w:t xml:space="preserve"> after </w:t>
      </w:r>
      <w:r w:rsidR="0015067F">
        <w:rPr>
          <w:noProof/>
        </w:rPr>
        <w:t xml:space="preserve">attaining </w:t>
      </w:r>
      <w:r w:rsidR="002F298D">
        <w:rPr>
          <w:noProof/>
        </w:rPr>
        <w:t>the relevant import thresholds</w:t>
      </w:r>
      <w:r w:rsidR="00BB6325" w:rsidRPr="00BB6325">
        <w:rPr>
          <w:noProof/>
        </w:rPr>
        <w:t> </w:t>
      </w:r>
      <w:r w:rsidR="009C7A94" w:rsidRPr="009C7A94">
        <w:rPr>
          <w:rStyle w:val="FootnoteReference"/>
          <w:noProof/>
          <w:vertAlign w:val="baseline"/>
        </w:rPr>
        <w:t>(</w:t>
      </w:r>
      <w:r w:rsidR="00EC6C46">
        <w:rPr>
          <w:rStyle w:val="FootnoteReference"/>
          <w:noProof/>
        </w:rPr>
        <w:footnoteReference w:id="17"/>
      </w:r>
      <w:r w:rsidR="009C7A94" w:rsidRPr="009C7A94">
        <w:rPr>
          <w:rStyle w:val="FootnoteReference"/>
          <w:noProof/>
          <w:vertAlign w:val="baseline"/>
        </w:rPr>
        <w:t>)</w:t>
      </w:r>
      <w:r w:rsidR="00E34E60">
        <w:rPr>
          <w:noProof/>
        </w:rPr>
        <w:t xml:space="preserve">. </w:t>
      </w:r>
    </w:p>
    <w:bookmarkEnd w:id="4"/>
    <w:p w14:paraId="5E4D1BD0" w14:textId="35D4C644" w:rsidR="001E7004" w:rsidRDefault="002343F3" w:rsidP="00E7475B">
      <w:pPr>
        <w:pStyle w:val="NumPar3"/>
        <w:numPr>
          <w:ilvl w:val="0"/>
          <w:numId w:val="0"/>
        </w:numPr>
        <w:rPr>
          <w:noProof/>
        </w:rPr>
      </w:pPr>
      <w:r>
        <w:rPr>
          <w:noProof/>
        </w:rPr>
        <w:t>S</w:t>
      </w:r>
      <w:r w:rsidR="000755CC">
        <w:rPr>
          <w:noProof/>
        </w:rPr>
        <w:t xml:space="preserve">everal </w:t>
      </w:r>
      <w:r w:rsidR="006462C1">
        <w:rPr>
          <w:noProof/>
        </w:rPr>
        <w:t xml:space="preserve">of the </w:t>
      </w:r>
      <w:r w:rsidR="00B0737D">
        <w:rPr>
          <w:noProof/>
        </w:rPr>
        <w:t xml:space="preserve">current </w:t>
      </w:r>
      <w:r w:rsidR="000755CC">
        <w:rPr>
          <w:noProof/>
        </w:rPr>
        <w:t>EBA beneficia</w:t>
      </w:r>
      <w:r w:rsidR="00D4228F">
        <w:rPr>
          <w:noProof/>
        </w:rPr>
        <w:t>ries</w:t>
      </w:r>
      <w:r>
        <w:rPr>
          <w:noProof/>
        </w:rPr>
        <w:t xml:space="preserve"> are scheduled </w:t>
      </w:r>
      <w:r w:rsidR="00B0737D">
        <w:rPr>
          <w:noProof/>
        </w:rPr>
        <w:t xml:space="preserve">to graduate from </w:t>
      </w:r>
      <w:r>
        <w:rPr>
          <w:noProof/>
        </w:rPr>
        <w:t xml:space="preserve">LDC </w:t>
      </w:r>
      <w:r w:rsidR="00B0737D">
        <w:rPr>
          <w:noProof/>
        </w:rPr>
        <w:t xml:space="preserve">status </w:t>
      </w:r>
      <w:r w:rsidR="009F6CDC">
        <w:rPr>
          <w:noProof/>
        </w:rPr>
        <w:t xml:space="preserve">in the </w:t>
      </w:r>
      <w:r w:rsidR="00B0737D">
        <w:rPr>
          <w:noProof/>
        </w:rPr>
        <w:t>coming years</w:t>
      </w:r>
      <w:r w:rsidR="009F6CDC">
        <w:rPr>
          <w:noProof/>
        </w:rPr>
        <w:t>, although the UN has revised this schedule</w:t>
      </w:r>
      <w:r w:rsidR="0085135C">
        <w:rPr>
          <w:noProof/>
        </w:rPr>
        <w:t xml:space="preserve"> to account for the impact of </w:t>
      </w:r>
      <w:r w:rsidR="006462C1">
        <w:rPr>
          <w:noProof/>
        </w:rPr>
        <w:t xml:space="preserve">the </w:t>
      </w:r>
      <w:r w:rsidR="0085135C">
        <w:rPr>
          <w:noProof/>
        </w:rPr>
        <w:t>COVID-19</w:t>
      </w:r>
      <w:r w:rsidR="006462C1">
        <w:rPr>
          <w:noProof/>
        </w:rPr>
        <w:t xml:space="preserve"> pandemic and its broad economic implications</w:t>
      </w:r>
      <w:r w:rsidR="0085135C">
        <w:rPr>
          <w:noProof/>
        </w:rPr>
        <w:t xml:space="preserve">. </w:t>
      </w:r>
      <w:r w:rsidR="001D04F7">
        <w:rPr>
          <w:noProof/>
        </w:rPr>
        <w:t>Nonetheless,</w:t>
      </w:r>
      <w:r w:rsidR="00A95455">
        <w:rPr>
          <w:noProof/>
        </w:rPr>
        <w:t xml:space="preserve"> </w:t>
      </w:r>
      <w:r w:rsidR="001111F7" w:rsidRPr="00D148D9">
        <w:rPr>
          <w:noProof/>
        </w:rPr>
        <w:t>Bhutan</w:t>
      </w:r>
      <w:r w:rsidR="001111F7" w:rsidRPr="00361255">
        <w:rPr>
          <w:noProof/>
        </w:rPr>
        <w:t xml:space="preserve"> is </w:t>
      </w:r>
      <w:r w:rsidR="00B0737D" w:rsidRPr="00361255">
        <w:rPr>
          <w:noProof/>
        </w:rPr>
        <w:t xml:space="preserve">preliminarily </w:t>
      </w:r>
      <w:r w:rsidR="001111F7" w:rsidRPr="00361255">
        <w:rPr>
          <w:noProof/>
        </w:rPr>
        <w:t xml:space="preserve">scheduled for LDC graduation in 2023 and </w:t>
      </w:r>
      <w:r w:rsidR="00517755" w:rsidRPr="00D148D9">
        <w:rPr>
          <w:noProof/>
        </w:rPr>
        <w:t xml:space="preserve">Angola, </w:t>
      </w:r>
      <w:r w:rsidR="009F41F2" w:rsidRPr="004F472A">
        <w:rPr>
          <w:noProof/>
        </w:rPr>
        <w:t>São Tomé and Príncipe</w:t>
      </w:r>
      <w:r w:rsidR="0055677B">
        <w:rPr>
          <w:noProof/>
        </w:rPr>
        <w:t>,</w:t>
      </w:r>
      <w:r w:rsidR="00517755" w:rsidRPr="00D148D9">
        <w:rPr>
          <w:noProof/>
        </w:rPr>
        <w:t xml:space="preserve"> </w:t>
      </w:r>
      <w:r w:rsidR="00517755" w:rsidRPr="00361255">
        <w:rPr>
          <w:noProof/>
        </w:rPr>
        <w:t>and</w:t>
      </w:r>
      <w:r w:rsidR="00517755" w:rsidRPr="00D148D9">
        <w:rPr>
          <w:noProof/>
        </w:rPr>
        <w:t xml:space="preserve"> the Solomon Islands</w:t>
      </w:r>
      <w:r w:rsidR="00517755" w:rsidRPr="00361255">
        <w:rPr>
          <w:noProof/>
        </w:rPr>
        <w:t xml:space="preserve"> </w:t>
      </w:r>
      <w:r w:rsidR="00C10249">
        <w:rPr>
          <w:noProof/>
        </w:rPr>
        <w:t>–</w:t>
      </w:r>
      <w:r w:rsidR="0055677B">
        <w:rPr>
          <w:noProof/>
        </w:rPr>
        <w:t xml:space="preserve"> </w:t>
      </w:r>
      <w:r w:rsidR="00517755" w:rsidRPr="00361255">
        <w:rPr>
          <w:noProof/>
        </w:rPr>
        <w:t xml:space="preserve">in 2024. </w:t>
      </w:r>
      <w:r w:rsidR="006E761B" w:rsidRPr="00361255">
        <w:rPr>
          <w:noProof/>
        </w:rPr>
        <w:t>The</w:t>
      </w:r>
      <w:r w:rsidR="00B0737D" w:rsidRPr="00361255">
        <w:rPr>
          <w:noProof/>
        </w:rPr>
        <w:t>se countries</w:t>
      </w:r>
      <w:r w:rsidR="006E761B" w:rsidRPr="00361255">
        <w:rPr>
          <w:noProof/>
        </w:rPr>
        <w:t xml:space="preserve"> would,</w:t>
      </w:r>
      <w:r w:rsidR="0084069A" w:rsidRPr="00361255">
        <w:rPr>
          <w:noProof/>
        </w:rPr>
        <w:t xml:space="preserve"> therefore</w:t>
      </w:r>
      <w:r w:rsidR="006E761B" w:rsidRPr="00361255">
        <w:rPr>
          <w:noProof/>
        </w:rPr>
        <w:t>,</w:t>
      </w:r>
      <w:r w:rsidR="0084069A" w:rsidRPr="00361255">
        <w:rPr>
          <w:noProof/>
        </w:rPr>
        <w:t xml:space="preserve"> graduate from EB</w:t>
      </w:r>
      <w:r w:rsidR="006E761B" w:rsidRPr="00361255">
        <w:rPr>
          <w:noProof/>
        </w:rPr>
        <w:t>A and</w:t>
      </w:r>
      <w:r w:rsidR="002B4914">
        <w:rPr>
          <w:noProof/>
        </w:rPr>
        <w:t>,</w:t>
      </w:r>
      <w:r w:rsidR="006E761B" w:rsidRPr="00361255">
        <w:rPr>
          <w:noProof/>
        </w:rPr>
        <w:t xml:space="preserve"> depending on their income classification</w:t>
      </w:r>
      <w:r w:rsidR="00B0737D" w:rsidRPr="00361255">
        <w:rPr>
          <w:noProof/>
        </w:rPr>
        <w:t>,</w:t>
      </w:r>
      <w:r w:rsidR="006E761B" w:rsidRPr="00361255">
        <w:rPr>
          <w:noProof/>
        </w:rPr>
        <w:t xml:space="preserve"> </w:t>
      </w:r>
      <w:r w:rsidR="009C3C28" w:rsidRPr="00361255">
        <w:rPr>
          <w:noProof/>
        </w:rPr>
        <w:t xml:space="preserve">could </w:t>
      </w:r>
      <w:r w:rsidR="00B237E3" w:rsidRPr="00361255">
        <w:rPr>
          <w:noProof/>
        </w:rPr>
        <w:t>move</w:t>
      </w:r>
      <w:r w:rsidR="006E761B" w:rsidRPr="00361255">
        <w:rPr>
          <w:noProof/>
        </w:rPr>
        <w:t xml:space="preserve"> to </w:t>
      </w:r>
      <w:r w:rsidR="00E22389">
        <w:rPr>
          <w:noProof/>
        </w:rPr>
        <w:t xml:space="preserve">the </w:t>
      </w:r>
      <w:r w:rsidR="006E761B" w:rsidRPr="00361255">
        <w:rPr>
          <w:noProof/>
        </w:rPr>
        <w:t>standard GSP</w:t>
      </w:r>
      <w:r w:rsidR="00B237E3" w:rsidRPr="00361255">
        <w:rPr>
          <w:noProof/>
        </w:rPr>
        <w:t xml:space="preserve"> arrangement</w:t>
      </w:r>
      <w:r w:rsidR="001E2421" w:rsidRPr="00361255">
        <w:rPr>
          <w:noProof/>
        </w:rPr>
        <w:t xml:space="preserve"> following a three-year transition period</w:t>
      </w:r>
      <w:r w:rsidR="00B0737D" w:rsidRPr="00361255">
        <w:rPr>
          <w:noProof/>
        </w:rPr>
        <w:t xml:space="preserve"> after their LDC graduation.</w:t>
      </w:r>
      <w:r w:rsidR="00B32A3D" w:rsidRPr="00361255">
        <w:rPr>
          <w:noProof/>
        </w:rPr>
        <w:t xml:space="preserve"> Five other </w:t>
      </w:r>
      <w:r w:rsidR="0015067F" w:rsidRPr="00361255">
        <w:rPr>
          <w:noProof/>
        </w:rPr>
        <w:t xml:space="preserve">EBA beneficiaries </w:t>
      </w:r>
      <w:r w:rsidR="00B32A3D" w:rsidRPr="00361255">
        <w:rPr>
          <w:noProof/>
        </w:rPr>
        <w:t xml:space="preserve">have been recommended for </w:t>
      </w:r>
      <w:r w:rsidR="00B0737D" w:rsidRPr="00361255">
        <w:rPr>
          <w:noProof/>
        </w:rPr>
        <w:t xml:space="preserve">LDC </w:t>
      </w:r>
      <w:r w:rsidR="00B32A3D" w:rsidRPr="00361255">
        <w:rPr>
          <w:noProof/>
        </w:rPr>
        <w:t>graduation</w:t>
      </w:r>
      <w:r w:rsidR="003F5290" w:rsidRPr="00361255">
        <w:rPr>
          <w:noProof/>
        </w:rPr>
        <w:t xml:space="preserve"> by the UN</w:t>
      </w:r>
      <w:r w:rsidR="002A310F" w:rsidRPr="00361255">
        <w:rPr>
          <w:noProof/>
        </w:rPr>
        <w:t xml:space="preserve">: </w:t>
      </w:r>
      <w:r w:rsidR="002A310F" w:rsidRPr="00D148D9">
        <w:rPr>
          <w:noProof/>
        </w:rPr>
        <w:t>Bangladesh, Lao PDR</w:t>
      </w:r>
      <w:r w:rsidR="003D6FD7">
        <w:rPr>
          <w:noProof/>
        </w:rPr>
        <w:t xml:space="preserve"> and</w:t>
      </w:r>
      <w:r w:rsidR="002A310F" w:rsidRPr="00D148D9">
        <w:rPr>
          <w:noProof/>
        </w:rPr>
        <w:t xml:space="preserve"> Nepal</w:t>
      </w:r>
      <w:r w:rsidR="005742EA" w:rsidRPr="00D148D9">
        <w:rPr>
          <w:noProof/>
        </w:rPr>
        <w:t xml:space="preserve"> </w:t>
      </w:r>
      <w:r w:rsidR="005742EA" w:rsidRPr="00361255">
        <w:rPr>
          <w:noProof/>
        </w:rPr>
        <w:t>(expected 2026)</w:t>
      </w:r>
      <w:r w:rsidR="002A310F" w:rsidRPr="00361255">
        <w:rPr>
          <w:noProof/>
        </w:rPr>
        <w:t>,</w:t>
      </w:r>
      <w:r w:rsidR="002A310F" w:rsidRPr="00D148D9">
        <w:rPr>
          <w:noProof/>
        </w:rPr>
        <w:t xml:space="preserve"> </w:t>
      </w:r>
      <w:r w:rsidR="003D6FD7">
        <w:rPr>
          <w:noProof/>
        </w:rPr>
        <w:t xml:space="preserve">as well as </w:t>
      </w:r>
      <w:r w:rsidR="002A310F" w:rsidRPr="00D148D9">
        <w:rPr>
          <w:noProof/>
        </w:rPr>
        <w:t>Tuvalu and Kiribati</w:t>
      </w:r>
      <w:r w:rsidR="005742EA">
        <w:rPr>
          <w:b/>
          <w:bCs/>
          <w:noProof/>
        </w:rPr>
        <w:t xml:space="preserve"> </w:t>
      </w:r>
      <w:r w:rsidR="005742EA" w:rsidRPr="005742EA">
        <w:rPr>
          <w:noProof/>
        </w:rPr>
        <w:t>(</w:t>
      </w:r>
      <w:r w:rsidR="005742EA">
        <w:rPr>
          <w:noProof/>
        </w:rPr>
        <w:t>no date</w:t>
      </w:r>
      <w:r w:rsidR="002D177B">
        <w:rPr>
          <w:noProof/>
        </w:rPr>
        <w:t xml:space="preserve"> indicated yet</w:t>
      </w:r>
      <w:r w:rsidR="005742EA">
        <w:rPr>
          <w:noProof/>
        </w:rPr>
        <w:t>).</w:t>
      </w:r>
    </w:p>
    <w:p w14:paraId="4F30D826" w14:textId="4576752A" w:rsidR="009C0F89" w:rsidRDefault="009C0F89" w:rsidP="00E7475B">
      <w:pPr>
        <w:pStyle w:val="NumPar3"/>
        <w:numPr>
          <w:ilvl w:val="0"/>
          <w:numId w:val="0"/>
        </w:numPr>
        <w:rPr>
          <w:noProof/>
        </w:rPr>
      </w:pPr>
      <w:r>
        <w:rPr>
          <w:noProof/>
        </w:rPr>
        <w:t xml:space="preserve">Some of the </w:t>
      </w:r>
      <w:r w:rsidR="009B6C3D">
        <w:rPr>
          <w:noProof/>
        </w:rPr>
        <w:t xml:space="preserve">countries </w:t>
      </w:r>
      <w:r>
        <w:rPr>
          <w:noProof/>
        </w:rPr>
        <w:t xml:space="preserve">graduating </w:t>
      </w:r>
      <w:r w:rsidR="009B6C3D">
        <w:rPr>
          <w:noProof/>
        </w:rPr>
        <w:t xml:space="preserve">from </w:t>
      </w:r>
      <w:r>
        <w:rPr>
          <w:noProof/>
        </w:rPr>
        <w:t>LDC</w:t>
      </w:r>
      <w:r w:rsidR="009B6C3D">
        <w:rPr>
          <w:noProof/>
        </w:rPr>
        <w:t xml:space="preserve"> status</w:t>
      </w:r>
      <w:r>
        <w:rPr>
          <w:noProof/>
        </w:rPr>
        <w:t xml:space="preserve"> </w:t>
      </w:r>
      <w:r w:rsidR="00315AA9">
        <w:rPr>
          <w:noProof/>
        </w:rPr>
        <w:t xml:space="preserve">have expressed interest in joining GSP+ to </w:t>
      </w:r>
      <w:r w:rsidR="009B6C3D">
        <w:rPr>
          <w:noProof/>
        </w:rPr>
        <w:t xml:space="preserve">preserve a </w:t>
      </w:r>
      <w:r w:rsidR="009B6C3D" w:rsidRPr="00611F35">
        <w:rPr>
          <w:noProof/>
        </w:rPr>
        <w:t xml:space="preserve">higher degree of preferential access to the EU market </w:t>
      </w:r>
      <w:r w:rsidR="00386E46" w:rsidRPr="00611F35">
        <w:rPr>
          <w:noProof/>
        </w:rPr>
        <w:t xml:space="preserve">than under </w:t>
      </w:r>
      <w:r w:rsidR="00FB53AA" w:rsidRPr="00611F35">
        <w:rPr>
          <w:noProof/>
        </w:rPr>
        <w:t xml:space="preserve">the </w:t>
      </w:r>
      <w:r w:rsidR="00386E46" w:rsidRPr="00611F35">
        <w:rPr>
          <w:noProof/>
        </w:rPr>
        <w:t xml:space="preserve">standard GSP arrangement </w:t>
      </w:r>
      <w:r w:rsidR="009B6C3D" w:rsidRPr="00611F35">
        <w:rPr>
          <w:noProof/>
        </w:rPr>
        <w:t>after</w:t>
      </w:r>
      <w:r w:rsidR="00DE1488" w:rsidRPr="00611F35">
        <w:rPr>
          <w:noProof/>
        </w:rPr>
        <w:t xml:space="preserve"> losing the generous EBA preferences. </w:t>
      </w:r>
      <w:r w:rsidR="00EC12E7" w:rsidRPr="00611F35">
        <w:rPr>
          <w:noProof/>
        </w:rPr>
        <w:t xml:space="preserve">During the reporting period </w:t>
      </w:r>
      <w:r w:rsidR="00C333EC" w:rsidRPr="00611F35">
        <w:rPr>
          <w:noProof/>
        </w:rPr>
        <w:t>Tajikistan</w:t>
      </w:r>
      <w:r w:rsidR="006C178D" w:rsidRPr="00611F35">
        <w:rPr>
          <w:noProof/>
        </w:rPr>
        <w:t>,</w:t>
      </w:r>
      <w:r w:rsidR="00762ADF" w:rsidRPr="00611F35">
        <w:rPr>
          <w:noProof/>
        </w:rPr>
        <w:t xml:space="preserve"> </w:t>
      </w:r>
      <w:r w:rsidR="006C178D" w:rsidRPr="00611F35">
        <w:rPr>
          <w:noProof/>
        </w:rPr>
        <w:t>wh</w:t>
      </w:r>
      <w:r w:rsidR="009B6C3D" w:rsidRPr="00611F35">
        <w:rPr>
          <w:noProof/>
        </w:rPr>
        <w:t>ich currently</w:t>
      </w:r>
      <w:r w:rsidR="006C178D" w:rsidRPr="00611F35">
        <w:rPr>
          <w:noProof/>
        </w:rPr>
        <w:t xml:space="preserve"> benefits from standard GSP, </w:t>
      </w:r>
      <w:r w:rsidR="00C333EC" w:rsidRPr="00611F35">
        <w:rPr>
          <w:noProof/>
        </w:rPr>
        <w:t>engaged in pre-application discussion</w:t>
      </w:r>
      <w:r w:rsidR="0094618E" w:rsidRPr="00611F35">
        <w:rPr>
          <w:noProof/>
        </w:rPr>
        <w:t>s</w:t>
      </w:r>
      <w:r w:rsidR="00C333EC" w:rsidRPr="00611F35">
        <w:rPr>
          <w:noProof/>
        </w:rPr>
        <w:t xml:space="preserve"> with the Commission and </w:t>
      </w:r>
      <w:r w:rsidR="008726BE" w:rsidRPr="00611F35">
        <w:rPr>
          <w:noProof/>
        </w:rPr>
        <w:t xml:space="preserve">the </w:t>
      </w:r>
      <w:r w:rsidR="009F41F2">
        <w:rPr>
          <w:noProof/>
        </w:rPr>
        <w:t>High Representative</w:t>
      </w:r>
      <w:r w:rsidR="009B6C3D" w:rsidRPr="00611F35">
        <w:rPr>
          <w:noProof/>
        </w:rPr>
        <w:t xml:space="preserve"> </w:t>
      </w:r>
      <w:r w:rsidR="000608E5" w:rsidRPr="00611F35">
        <w:rPr>
          <w:noProof/>
        </w:rPr>
        <w:t xml:space="preserve">and in April 2023 submitted a formal </w:t>
      </w:r>
      <w:r w:rsidR="0055677B" w:rsidRPr="00611F35">
        <w:rPr>
          <w:noProof/>
        </w:rPr>
        <w:t xml:space="preserve">application </w:t>
      </w:r>
      <w:r w:rsidR="000608E5" w:rsidRPr="00611F35">
        <w:rPr>
          <w:noProof/>
        </w:rPr>
        <w:t>to join the GSP+</w:t>
      </w:r>
      <w:r w:rsidR="00C333EC" w:rsidRPr="00611F35">
        <w:rPr>
          <w:noProof/>
        </w:rPr>
        <w:t>.</w:t>
      </w:r>
      <w:r w:rsidR="00C333EC">
        <w:rPr>
          <w:noProof/>
        </w:rPr>
        <w:t xml:space="preserve"> </w:t>
      </w:r>
    </w:p>
    <w:p w14:paraId="1FE0FEA0" w14:textId="77777777" w:rsidR="00067BA2" w:rsidRPr="001B66B4" w:rsidRDefault="00067BA2" w:rsidP="00656571">
      <w:pPr>
        <w:pStyle w:val="Heading2"/>
        <w:shd w:val="clear" w:color="auto" w:fill="DBE5F1" w:themeFill="accent1" w:themeFillTint="33"/>
        <w:rPr>
          <w:noProof/>
        </w:rPr>
      </w:pPr>
      <w:r w:rsidRPr="00E7475B">
        <w:rPr>
          <w:noProof/>
        </w:rPr>
        <w:t xml:space="preserve">GSP </w:t>
      </w:r>
      <w:r w:rsidR="00310618">
        <w:rPr>
          <w:noProof/>
        </w:rPr>
        <w:t>after</w:t>
      </w:r>
      <w:r w:rsidR="00310618" w:rsidRPr="00E7475B">
        <w:rPr>
          <w:noProof/>
        </w:rPr>
        <w:t xml:space="preserve"> </w:t>
      </w:r>
      <w:r w:rsidRPr="00E7475B">
        <w:rPr>
          <w:noProof/>
        </w:rPr>
        <w:t>2023</w:t>
      </w:r>
    </w:p>
    <w:p w14:paraId="15950B48" w14:textId="3A4CA510" w:rsidR="1A99E40C" w:rsidRPr="008726BE" w:rsidRDefault="1A99E40C" w:rsidP="00E7475B">
      <w:pPr>
        <w:pStyle w:val="Text2"/>
        <w:ind w:left="0"/>
        <w:rPr>
          <w:noProof/>
          <w:szCs w:val="24"/>
        </w:rPr>
      </w:pPr>
      <w:bookmarkStart w:id="5" w:name="_Hlk147303766"/>
      <w:r w:rsidRPr="008726BE">
        <w:rPr>
          <w:noProof/>
          <w:szCs w:val="24"/>
        </w:rPr>
        <w:t xml:space="preserve">The current </w:t>
      </w:r>
      <w:r w:rsidR="008D503D" w:rsidRPr="002D177B">
        <w:rPr>
          <w:noProof/>
          <w:szCs w:val="24"/>
        </w:rPr>
        <w:t>GSP Regulation</w:t>
      </w:r>
      <w:r w:rsidRPr="008726BE">
        <w:rPr>
          <w:noProof/>
          <w:szCs w:val="24"/>
        </w:rPr>
        <w:t xml:space="preserve"> </w:t>
      </w:r>
      <w:r w:rsidR="009B6C3D" w:rsidRPr="008726BE">
        <w:rPr>
          <w:noProof/>
          <w:szCs w:val="24"/>
        </w:rPr>
        <w:t>will</w:t>
      </w:r>
      <w:r w:rsidRPr="008726BE">
        <w:rPr>
          <w:noProof/>
          <w:szCs w:val="24"/>
        </w:rPr>
        <w:t xml:space="preserve"> expire </w:t>
      </w:r>
      <w:r w:rsidR="008726BE">
        <w:rPr>
          <w:noProof/>
          <w:szCs w:val="24"/>
        </w:rPr>
        <w:t>at</w:t>
      </w:r>
      <w:r w:rsidRPr="008726BE">
        <w:rPr>
          <w:noProof/>
          <w:szCs w:val="24"/>
        </w:rPr>
        <w:t xml:space="preserve"> the end of 2023. On 22 September 2021, the Commission adopted a </w:t>
      </w:r>
      <w:r w:rsidR="008F4FEE" w:rsidRPr="008726BE">
        <w:rPr>
          <w:noProof/>
        </w:rPr>
        <w:t>legislative proposal</w:t>
      </w:r>
      <w:r w:rsidR="001D2E64" w:rsidRPr="00FE7410">
        <w:rPr>
          <w:noProof/>
        </w:rPr>
        <w:t> </w:t>
      </w:r>
      <w:r w:rsidR="009C7A94" w:rsidRPr="009C7A94">
        <w:rPr>
          <w:rStyle w:val="FootnoteReference"/>
          <w:noProof/>
          <w:szCs w:val="24"/>
          <w:vertAlign w:val="baseline"/>
        </w:rPr>
        <w:t>(</w:t>
      </w:r>
      <w:r w:rsidR="00EC6C46" w:rsidRPr="00FE7410">
        <w:rPr>
          <w:rStyle w:val="FootnoteReference"/>
          <w:noProof/>
          <w:szCs w:val="24"/>
        </w:rPr>
        <w:footnoteReference w:id="18"/>
      </w:r>
      <w:r w:rsidR="009C7A94" w:rsidRPr="009C7A94">
        <w:rPr>
          <w:rStyle w:val="FootnoteReference"/>
          <w:noProof/>
          <w:szCs w:val="24"/>
          <w:vertAlign w:val="baseline"/>
        </w:rPr>
        <w:t>)</w:t>
      </w:r>
      <w:r w:rsidRPr="008726BE">
        <w:rPr>
          <w:noProof/>
          <w:szCs w:val="24"/>
        </w:rPr>
        <w:t xml:space="preserve"> for the EU’s Generalised Scheme of Preferences for the period 2024-2033. The Commission propos</w:t>
      </w:r>
      <w:r w:rsidR="00A066A6" w:rsidRPr="008726BE">
        <w:rPr>
          <w:noProof/>
          <w:szCs w:val="24"/>
        </w:rPr>
        <w:t>ed</w:t>
      </w:r>
      <w:r w:rsidRPr="008726BE">
        <w:rPr>
          <w:noProof/>
          <w:szCs w:val="24"/>
        </w:rPr>
        <w:t xml:space="preserve"> to continue the </w:t>
      </w:r>
      <w:r w:rsidR="009B6C3D" w:rsidRPr="008726BE">
        <w:rPr>
          <w:noProof/>
          <w:szCs w:val="24"/>
        </w:rPr>
        <w:t xml:space="preserve">GSP as a pillar of the EU’s trade and </w:t>
      </w:r>
      <w:r w:rsidR="00D46FE5">
        <w:rPr>
          <w:noProof/>
          <w:szCs w:val="24"/>
        </w:rPr>
        <w:t xml:space="preserve">sustainable </w:t>
      </w:r>
      <w:r w:rsidR="009B6C3D" w:rsidRPr="008726BE">
        <w:rPr>
          <w:noProof/>
          <w:szCs w:val="24"/>
        </w:rPr>
        <w:t xml:space="preserve">development agenda, </w:t>
      </w:r>
      <w:r w:rsidRPr="008726BE">
        <w:rPr>
          <w:noProof/>
          <w:szCs w:val="24"/>
        </w:rPr>
        <w:t xml:space="preserve">while improving some of </w:t>
      </w:r>
      <w:r w:rsidR="009B6C3D" w:rsidRPr="008726BE">
        <w:rPr>
          <w:noProof/>
          <w:szCs w:val="24"/>
        </w:rPr>
        <w:t xml:space="preserve">the </w:t>
      </w:r>
      <w:r w:rsidRPr="008726BE">
        <w:rPr>
          <w:noProof/>
          <w:szCs w:val="24"/>
        </w:rPr>
        <w:t>features</w:t>
      </w:r>
      <w:r w:rsidR="009B6C3D" w:rsidRPr="008726BE">
        <w:rPr>
          <w:noProof/>
          <w:szCs w:val="24"/>
        </w:rPr>
        <w:t xml:space="preserve"> of the current scheme</w:t>
      </w:r>
      <w:r w:rsidRPr="008726BE">
        <w:rPr>
          <w:noProof/>
          <w:szCs w:val="24"/>
        </w:rPr>
        <w:t xml:space="preserve">. The aim is </w:t>
      </w:r>
      <w:r w:rsidR="00335649" w:rsidRPr="008726BE">
        <w:rPr>
          <w:noProof/>
          <w:szCs w:val="24"/>
        </w:rPr>
        <w:t xml:space="preserve">notably </w:t>
      </w:r>
      <w:r w:rsidRPr="008726BE">
        <w:rPr>
          <w:noProof/>
          <w:szCs w:val="24"/>
        </w:rPr>
        <w:t>to</w:t>
      </w:r>
      <w:r w:rsidR="0055677B">
        <w:rPr>
          <w:noProof/>
          <w:szCs w:val="24"/>
        </w:rPr>
        <w:t xml:space="preserve"> ensure the continuity of GSP,</w:t>
      </w:r>
      <w:r w:rsidRPr="008726BE">
        <w:rPr>
          <w:noProof/>
          <w:szCs w:val="24"/>
        </w:rPr>
        <w:t xml:space="preserve"> respond to the evolving needs and challenges of GSP </w:t>
      </w:r>
      <w:r w:rsidR="0055677B">
        <w:rPr>
          <w:noProof/>
          <w:szCs w:val="24"/>
        </w:rPr>
        <w:t>beneficiaries,</w:t>
      </w:r>
      <w:r w:rsidR="0055677B" w:rsidRPr="008726BE">
        <w:rPr>
          <w:noProof/>
          <w:szCs w:val="24"/>
        </w:rPr>
        <w:t xml:space="preserve"> </w:t>
      </w:r>
      <w:r w:rsidRPr="008726BE">
        <w:rPr>
          <w:noProof/>
          <w:szCs w:val="24"/>
        </w:rPr>
        <w:t xml:space="preserve">and to strengthen the scheme’s social, environmental and climate </w:t>
      </w:r>
      <w:r w:rsidR="00386E46">
        <w:rPr>
          <w:noProof/>
          <w:szCs w:val="24"/>
        </w:rPr>
        <w:t>and</w:t>
      </w:r>
      <w:r w:rsidR="00D46FE5">
        <w:rPr>
          <w:noProof/>
          <w:szCs w:val="24"/>
        </w:rPr>
        <w:t xml:space="preserve"> good governance </w:t>
      </w:r>
      <w:r w:rsidRPr="008726BE">
        <w:rPr>
          <w:noProof/>
          <w:szCs w:val="24"/>
        </w:rPr>
        <w:t xml:space="preserve">aspects. </w:t>
      </w:r>
    </w:p>
    <w:p w14:paraId="11DE83C1" w14:textId="39980503" w:rsidR="1A99E40C" w:rsidRPr="002D177B" w:rsidRDefault="1A99E40C" w:rsidP="00E7475B">
      <w:pPr>
        <w:pStyle w:val="Text2"/>
        <w:ind w:left="0"/>
        <w:rPr>
          <w:noProof/>
          <w:szCs w:val="24"/>
          <w:lang w:val="en-US"/>
        </w:rPr>
      </w:pPr>
      <w:r w:rsidRPr="008726BE">
        <w:rPr>
          <w:noProof/>
          <w:szCs w:val="24"/>
        </w:rPr>
        <w:t xml:space="preserve">The Commission’s proposal is based on the </w:t>
      </w:r>
      <w:r w:rsidR="008F4FEE" w:rsidRPr="008726BE">
        <w:rPr>
          <w:noProof/>
        </w:rPr>
        <w:t>201</w:t>
      </w:r>
      <w:r w:rsidR="008F4FEE" w:rsidRPr="00FE7410">
        <w:rPr>
          <w:noProof/>
        </w:rPr>
        <w:t>8 Mid-Term Evaluation (MTE)</w:t>
      </w:r>
      <w:r w:rsidR="001D2E64" w:rsidRPr="00FE7410">
        <w:rPr>
          <w:noProof/>
        </w:rPr>
        <w:t> </w:t>
      </w:r>
      <w:r w:rsidR="009C7A94" w:rsidRPr="009C7A94">
        <w:rPr>
          <w:rStyle w:val="FootnoteReference"/>
          <w:noProof/>
          <w:szCs w:val="24"/>
          <w:vertAlign w:val="baseline"/>
        </w:rPr>
        <w:t>(</w:t>
      </w:r>
      <w:r w:rsidR="00EC6C46" w:rsidRPr="00FE7410">
        <w:rPr>
          <w:rStyle w:val="FootnoteReference"/>
          <w:noProof/>
          <w:szCs w:val="24"/>
        </w:rPr>
        <w:footnoteReference w:id="19"/>
      </w:r>
      <w:r w:rsidR="009C7A94" w:rsidRPr="009C7A94">
        <w:rPr>
          <w:rStyle w:val="FootnoteReference"/>
          <w:noProof/>
          <w:szCs w:val="24"/>
          <w:vertAlign w:val="baseline"/>
        </w:rPr>
        <w:t>)</w:t>
      </w:r>
      <w:r w:rsidRPr="00FE7410">
        <w:rPr>
          <w:noProof/>
          <w:szCs w:val="24"/>
        </w:rPr>
        <w:t xml:space="preserve"> of </w:t>
      </w:r>
      <w:r w:rsidR="00335649" w:rsidRPr="00FE7410">
        <w:rPr>
          <w:noProof/>
          <w:szCs w:val="24"/>
        </w:rPr>
        <w:t xml:space="preserve">the </w:t>
      </w:r>
      <w:r w:rsidRPr="00FE7410">
        <w:rPr>
          <w:noProof/>
          <w:szCs w:val="24"/>
        </w:rPr>
        <w:t xml:space="preserve">GSP Regulation, the </w:t>
      </w:r>
      <w:r w:rsidR="008F4FEE" w:rsidRPr="00FE7410">
        <w:rPr>
          <w:noProof/>
        </w:rPr>
        <w:t>Commission</w:t>
      </w:r>
      <w:r w:rsidR="00952E39" w:rsidRPr="00FE7410">
        <w:rPr>
          <w:noProof/>
        </w:rPr>
        <w:t>’s</w:t>
      </w:r>
      <w:r w:rsidR="008F4FEE" w:rsidRPr="00FE7410">
        <w:rPr>
          <w:noProof/>
        </w:rPr>
        <w:t xml:space="preserve"> Impact Assessment</w:t>
      </w:r>
      <w:r w:rsidR="001D2E64" w:rsidRPr="00FE7410">
        <w:rPr>
          <w:noProof/>
        </w:rPr>
        <w:t> </w:t>
      </w:r>
      <w:r w:rsidR="009C7A94" w:rsidRPr="009C7A94">
        <w:rPr>
          <w:rStyle w:val="FootnoteReference"/>
          <w:noProof/>
          <w:szCs w:val="24"/>
          <w:vertAlign w:val="baseline"/>
        </w:rPr>
        <w:t>(</w:t>
      </w:r>
      <w:r w:rsidR="00EC6C46" w:rsidRPr="00FE7410">
        <w:rPr>
          <w:rStyle w:val="FootnoteReference"/>
          <w:noProof/>
          <w:szCs w:val="24"/>
        </w:rPr>
        <w:footnoteReference w:id="20"/>
      </w:r>
      <w:r w:rsidR="009C7A94" w:rsidRPr="009C7A94">
        <w:rPr>
          <w:rStyle w:val="FootnoteReference"/>
          <w:noProof/>
          <w:szCs w:val="24"/>
          <w:vertAlign w:val="baseline"/>
        </w:rPr>
        <w:t>)</w:t>
      </w:r>
      <w:r w:rsidR="00335649" w:rsidRPr="00FE7410">
        <w:rPr>
          <w:noProof/>
          <w:szCs w:val="24"/>
        </w:rPr>
        <w:t xml:space="preserve"> supported by an </w:t>
      </w:r>
      <w:r w:rsidR="00952E39" w:rsidRPr="00FE7410">
        <w:rPr>
          <w:noProof/>
        </w:rPr>
        <w:t>e</w:t>
      </w:r>
      <w:r w:rsidR="008F4FEE" w:rsidRPr="00FE7410">
        <w:rPr>
          <w:noProof/>
        </w:rPr>
        <w:t xml:space="preserve">xternal </w:t>
      </w:r>
      <w:r w:rsidR="00952E39" w:rsidRPr="00FE7410">
        <w:rPr>
          <w:noProof/>
        </w:rPr>
        <w:t>s</w:t>
      </w:r>
      <w:r w:rsidR="008F4FEE" w:rsidRPr="00FE7410">
        <w:rPr>
          <w:noProof/>
        </w:rPr>
        <w:t>tudy</w:t>
      </w:r>
      <w:r w:rsidR="00335649" w:rsidRPr="00FE7410">
        <w:rPr>
          <w:noProof/>
          <w:szCs w:val="24"/>
        </w:rPr>
        <w:t>,</w:t>
      </w:r>
      <w:r w:rsidRPr="00FE7410">
        <w:rPr>
          <w:noProof/>
          <w:szCs w:val="24"/>
        </w:rPr>
        <w:t xml:space="preserve"> and the 2020 </w:t>
      </w:r>
      <w:r w:rsidR="00952E39" w:rsidRPr="00FE7410">
        <w:rPr>
          <w:noProof/>
        </w:rPr>
        <w:t>o</w:t>
      </w:r>
      <w:r w:rsidR="008F4FEE" w:rsidRPr="00FE7410">
        <w:rPr>
          <w:noProof/>
        </w:rPr>
        <w:t xml:space="preserve">pen </w:t>
      </w:r>
      <w:r w:rsidR="00952E39" w:rsidRPr="00FE7410">
        <w:rPr>
          <w:noProof/>
        </w:rPr>
        <w:t>p</w:t>
      </w:r>
      <w:r w:rsidR="008F4FEE" w:rsidRPr="00FE7410">
        <w:rPr>
          <w:noProof/>
        </w:rPr>
        <w:t xml:space="preserve">ublic </w:t>
      </w:r>
      <w:r w:rsidR="00952E39" w:rsidRPr="00FE7410">
        <w:rPr>
          <w:noProof/>
        </w:rPr>
        <w:t>c</w:t>
      </w:r>
      <w:r w:rsidR="008F4FEE" w:rsidRPr="00FE7410">
        <w:rPr>
          <w:noProof/>
        </w:rPr>
        <w:t>onsultation</w:t>
      </w:r>
      <w:r w:rsidR="001D2E64" w:rsidRPr="00FE7410">
        <w:rPr>
          <w:noProof/>
        </w:rPr>
        <w:t> </w:t>
      </w:r>
      <w:r w:rsidR="009C7A94" w:rsidRPr="009C7A94">
        <w:rPr>
          <w:rStyle w:val="FootnoteReference"/>
          <w:noProof/>
          <w:szCs w:val="24"/>
          <w:vertAlign w:val="baseline"/>
        </w:rPr>
        <w:t>(</w:t>
      </w:r>
      <w:r w:rsidR="00EC6C46" w:rsidRPr="00FE7410">
        <w:rPr>
          <w:rStyle w:val="FootnoteReference"/>
          <w:noProof/>
          <w:szCs w:val="24"/>
        </w:rPr>
        <w:footnoteReference w:id="21"/>
      </w:r>
      <w:r w:rsidR="009C7A94" w:rsidRPr="009C7A94">
        <w:rPr>
          <w:rStyle w:val="FootnoteReference"/>
          <w:noProof/>
          <w:szCs w:val="24"/>
          <w:vertAlign w:val="baseline"/>
        </w:rPr>
        <w:t>)</w:t>
      </w:r>
      <w:r w:rsidR="00952E39" w:rsidRPr="00FE7410">
        <w:rPr>
          <w:noProof/>
          <w:szCs w:val="24"/>
        </w:rPr>
        <w:t xml:space="preserve">; all of which </w:t>
      </w:r>
      <w:r w:rsidRPr="00FE7410">
        <w:rPr>
          <w:noProof/>
          <w:szCs w:val="24"/>
        </w:rPr>
        <w:t xml:space="preserve">confirmed the </w:t>
      </w:r>
      <w:r w:rsidR="00D46FE5" w:rsidRPr="00FE7410">
        <w:rPr>
          <w:noProof/>
          <w:szCs w:val="24"/>
        </w:rPr>
        <w:t xml:space="preserve">relevance and </w:t>
      </w:r>
      <w:r w:rsidRPr="00FE7410">
        <w:rPr>
          <w:noProof/>
          <w:szCs w:val="24"/>
        </w:rPr>
        <w:t>achievements of the GSP</w:t>
      </w:r>
      <w:r w:rsidR="005120D0" w:rsidRPr="00FE7410">
        <w:rPr>
          <w:noProof/>
          <w:szCs w:val="24"/>
        </w:rPr>
        <w:t xml:space="preserve"> so far, but also poin</w:t>
      </w:r>
      <w:r w:rsidR="005120D0">
        <w:rPr>
          <w:noProof/>
          <w:szCs w:val="24"/>
        </w:rPr>
        <w:t>ted to the need for targeted changes to improve it</w:t>
      </w:r>
      <w:r w:rsidRPr="002D177B">
        <w:rPr>
          <w:noProof/>
          <w:szCs w:val="24"/>
        </w:rPr>
        <w:t>. These</w:t>
      </w:r>
      <w:r w:rsidR="006204CE">
        <w:rPr>
          <w:noProof/>
          <w:szCs w:val="24"/>
        </w:rPr>
        <w:t xml:space="preserve"> studies</w:t>
      </w:r>
      <w:r w:rsidRPr="002D177B">
        <w:rPr>
          <w:noProof/>
          <w:szCs w:val="24"/>
        </w:rPr>
        <w:t xml:space="preserve"> show that the EU’s GSP is delivering on its main objectives of contributing to poverty eradication and sustainable development in GSP beneficiary countries</w:t>
      </w:r>
      <w:r w:rsidR="00335649" w:rsidRPr="002D177B">
        <w:rPr>
          <w:noProof/>
          <w:szCs w:val="24"/>
        </w:rPr>
        <w:t>, while ensuring adequate protection for EU producers</w:t>
      </w:r>
      <w:r w:rsidRPr="002D177B">
        <w:rPr>
          <w:noProof/>
          <w:szCs w:val="24"/>
        </w:rPr>
        <w:t>.</w:t>
      </w:r>
    </w:p>
    <w:p w14:paraId="69DF38AB" w14:textId="4E5ACB4A" w:rsidR="00240338" w:rsidRPr="00653EE9" w:rsidRDefault="005120D0" w:rsidP="00EC4BCE">
      <w:pPr>
        <w:pStyle w:val="Text2"/>
        <w:ind w:left="0"/>
        <w:rPr>
          <w:noProof/>
          <w:szCs w:val="24"/>
          <w:lang w:val="en-IE"/>
        </w:rPr>
      </w:pPr>
      <w:r>
        <w:rPr>
          <w:noProof/>
          <w:szCs w:val="24"/>
        </w:rPr>
        <w:t xml:space="preserve">Negotiations with </w:t>
      </w:r>
      <w:r w:rsidR="00EE0429">
        <w:rPr>
          <w:noProof/>
          <w:szCs w:val="24"/>
        </w:rPr>
        <w:t>the</w:t>
      </w:r>
      <w:r w:rsidR="00EC11B1">
        <w:rPr>
          <w:noProof/>
          <w:szCs w:val="24"/>
        </w:rPr>
        <w:t xml:space="preserve"> European Parliament and the</w:t>
      </w:r>
      <w:r w:rsidR="00EE0429">
        <w:rPr>
          <w:noProof/>
          <w:szCs w:val="24"/>
        </w:rPr>
        <w:t xml:space="preserve"> Council</w:t>
      </w:r>
      <w:r w:rsidR="3CD62402" w:rsidRPr="00E7475B">
        <w:rPr>
          <w:noProof/>
          <w:szCs w:val="24"/>
        </w:rPr>
        <w:t xml:space="preserve"> </w:t>
      </w:r>
      <w:r w:rsidR="00E033AC">
        <w:rPr>
          <w:noProof/>
          <w:szCs w:val="24"/>
        </w:rPr>
        <w:t xml:space="preserve">on the Commission’s proposal </w:t>
      </w:r>
      <w:r w:rsidR="00F3512F" w:rsidRPr="00E7475B">
        <w:rPr>
          <w:noProof/>
          <w:szCs w:val="24"/>
        </w:rPr>
        <w:t>are</w:t>
      </w:r>
      <w:r w:rsidR="63F1782B" w:rsidRPr="00E7475B">
        <w:rPr>
          <w:noProof/>
          <w:szCs w:val="24"/>
        </w:rPr>
        <w:t xml:space="preserve"> ongoing.</w:t>
      </w:r>
      <w:r w:rsidR="00653EE9">
        <w:rPr>
          <w:noProof/>
          <w:szCs w:val="24"/>
        </w:rPr>
        <w:t xml:space="preserve"> </w:t>
      </w:r>
      <w:r w:rsidR="00653EE9" w:rsidRPr="00240338">
        <w:rPr>
          <w:noProof/>
          <w:szCs w:val="24"/>
          <w:lang w:val="en-IE"/>
        </w:rPr>
        <w:t xml:space="preserve">Pending an agreement between the co-legislators, the Commission has </w:t>
      </w:r>
      <w:r w:rsidR="00E52701">
        <w:rPr>
          <w:noProof/>
          <w:szCs w:val="24"/>
          <w:lang w:val="en-IE"/>
        </w:rPr>
        <w:t xml:space="preserve">proposed </w:t>
      </w:r>
      <w:r w:rsidR="00653EE9" w:rsidRPr="00240338">
        <w:rPr>
          <w:noProof/>
          <w:szCs w:val="24"/>
          <w:lang w:val="en-IE"/>
        </w:rPr>
        <w:t xml:space="preserve">to amend the Regulation currently in force </w:t>
      </w:r>
      <w:r w:rsidR="00C16BF9">
        <w:rPr>
          <w:noProof/>
          <w:szCs w:val="24"/>
          <w:lang w:val="en-IE"/>
        </w:rPr>
        <w:t xml:space="preserve">by prolonging its </w:t>
      </w:r>
      <w:r w:rsidR="00653EE9" w:rsidRPr="00240338">
        <w:rPr>
          <w:noProof/>
          <w:szCs w:val="24"/>
          <w:lang w:val="en-IE"/>
        </w:rPr>
        <w:t>expiry date</w:t>
      </w:r>
      <w:r w:rsidR="00653EE9">
        <w:rPr>
          <w:noProof/>
          <w:szCs w:val="24"/>
          <w:lang w:val="en-IE"/>
        </w:rPr>
        <w:t xml:space="preserve"> </w:t>
      </w:r>
      <w:r w:rsidR="00E52701">
        <w:rPr>
          <w:noProof/>
          <w:szCs w:val="24"/>
          <w:lang w:val="en-IE"/>
        </w:rPr>
        <w:t>to ensure legal certainty and stability</w:t>
      </w:r>
      <w:r w:rsidR="00C10249">
        <w:rPr>
          <w:noProof/>
          <w:szCs w:val="24"/>
          <w:lang w:val="en-IE"/>
        </w:rPr>
        <w:t> </w:t>
      </w:r>
      <w:r w:rsidR="00653EE9" w:rsidRPr="00653EE9">
        <w:rPr>
          <w:noProof/>
          <w:szCs w:val="24"/>
          <w:lang w:val="en-IE"/>
        </w:rPr>
        <w:t>(</w:t>
      </w:r>
      <w:r w:rsidR="00653EE9">
        <w:rPr>
          <w:rStyle w:val="FootnoteReference"/>
          <w:noProof/>
          <w:szCs w:val="24"/>
          <w:lang w:val="en-IE"/>
        </w:rPr>
        <w:footnoteReference w:id="22"/>
      </w:r>
      <w:r w:rsidR="00653EE9">
        <w:rPr>
          <w:noProof/>
          <w:szCs w:val="24"/>
          <w:lang w:val="en-IE"/>
        </w:rPr>
        <w:t>)</w:t>
      </w:r>
      <w:r w:rsidR="00653EE9" w:rsidRPr="00240338">
        <w:rPr>
          <w:noProof/>
          <w:szCs w:val="24"/>
          <w:lang w:val="en-IE"/>
        </w:rPr>
        <w:t xml:space="preserve">. </w:t>
      </w:r>
      <w:r w:rsidR="00C16BF9">
        <w:rPr>
          <w:noProof/>
          <w:szCs w:val="24"/>
          <w:lang w:val="en-IE"/>
        </w:rPr>
        <w:t>Such prolongation require</w:t>
      </w:r>
      <w:r w:rsidR="009E3B32">
        <w:rPr>
          <w:noProof/>
          <w:szCs w:val="24"/>
          <w:lang w:val="en-IE"/>
        </w:rPr>
        <w:t>s</w:t>
      </w:r>
      <w:r w:rsidR="00C16BF9">
        <w:rPr>
          <w:noProof/>
          <w:szCs w:val="24"/>
          <w:lang w:val="en-IE"/>
        </w:rPr>
        <w:t xml:space="preserve"> </w:t>
      </w:r>
      <w:r w:rsidR="00653EE9" w:rsidRPr="00240338">
        <w:rPr>
          <w:noProof/>
          <w:szCs w:val="24"/>
          <w:lang w:val="en-IE"/>
        </w:rPr>
        <w:t xml:space="preserve">an ordinary legislative procedure </w:t>
      </w:r>
      <w:r w:rsidR="00C16BF9">
        <w:rPr>
          <w:noProof/>
          <w:szCs w:val="24"/>
          <w:lang w:val="en-IE"/>
        </w:rPr>
        <w:t>which</w:t>
      </w:r>
      <w:r w:rsidR="00653EE9">
        <w:rPr>
          <w:noProof/>
          <w:szCs w:val="24"/>
          <w:lang w:val="en-IE"/>
        </w:rPr>
        <w:t xml:space="preserve"> should</w:t>
      </w:r>
      <w:r w:rsidR="00653EE9" w:rsidRPr="00240338">
        <w:rPr>
          <w:noProof/>
          <w:szCs w:val="24"/>
          <w:lang w:val="en-IE"/>
        </w:rPr>
        <w:t xml:space="preserve"> be concluded before the end of </w:t>
      </w:r>
      <w:r w:rsidR="00250F5A">
        <w:rPr>
          <w:noProof/>
          <w:szCs w:val="24"/>
          <w:lang w:val="en-IE"/>
        </w:rPr>
        <w:t>2023</w:t>
      </w:r>
      <w:r w:rsidR="00653EE9">
        <w:rPr>
          <w:noProof/>
          <w:szCs w:val="24"/>
          <w:lang w:val="en-IE"/>
        </w:rPr>
        <w:t>.</w:t>
      </w:r>
      <w:r w:rsidR="00653EE9" w:rsidRPr="00240338">
        <w:rPr>
          <w:noProof/>
          <w:szCs w:val="24"/>
          <w:lang w:val="en-IE"/>
        </w:rPr>
        <w:t xml:space="preserve"> </w:t>
      </w:r>
    </w:p>
    <w:bookmarkEnd w:id="5"/>
    <w:p w14:paraId="32874DAF" w14:textId="77777777" w:rsidR="00067BA2" w:rsidRDefault="00067BA2" w:rsidP="00C10249">
      <w:pPr>
        <w:pStyle w:val="Heading1"/>
        <w:tabs>
          <w:tab w:val="clear" w:pos="2467"/>
        </w:tabs>
        <w:ind w:left="567" w:hanging="567"/>
        <w:rPr>
          <w:noProof/>
        </w:rPr>
      </w:pPr>
      <w:r>
        <w:rPr>
          <w:noProof/>
        </w:rPr>
        <w:t>Impact</w:t>
      </w:r>
      <w:r w:rsidR="008D7136">
        <w:rPr>
          <w:noProof/>
        </w:rPr>
        <w:t xml:space="preserve"> of </w:t>
      </w:r>
      <w:r w:rsidR="00627EAB">
        <w:rPr>
          <w:noProof/>
        </w:rPr>
        <w:t xml:space="preserve">the </w:t>
      </w:r>
      <w:r w:rsidR="008D7136">
        <w:rPr>
          <w:noProof/>
        </w:rPr>
        <w:t>GSP</w:t>
      </w:r>
    </w:p>
    <w:p w14:paraId="0BBBFE08" w14:textId="16BFFFC4" w:rsidR="0007460E" w:rsidRDefault="00872990" w:rsidP="00424BB9">
      <w:pPr>
        <w:pStyle w:val="Text1"/>
        <w:ind w:left="0"/>
        <w:rPr>
          <w:noProof/>
        </w:rPr>
      </w:pPr>
      <w:r>
        <w:rPr>
          <w:noProof/>
        </w:rPr>
        <w:t xml:space="preserve">The impact of </w:t>
      </w:r>
      <w:r w:rsidR="00FB53AA">
        <w:rPr>
          <w:noProof/>
        </w:rPr>
        <w:t xml:space="preserve">the </w:t>
      </w:r>
      <w:r>
        <w:rPr>
          <w:noProof/>
        </w:rPr>
        <w:t xml:space="preserve">GSP should be considered against its general objectives, namely, to foster sustainable development of lower income countries and to reduce poverty through international trade. </w:t>
      </w:r>
      <w:r w:rsidR="00424BB9">
        <w:rPr>
          <w:noProof/>
        </w:rPr>
        <w:t xml:space="preserve">This </w:t>
      </w:r>
      <w:r w:rsidR="00386E46">
        <w:rPr>
          <w:noProof/>
        </w:rPr>
        <w:t>r</w:t>
      </w:r>
      <w:r w:rsidR="00424BB9">
        <w:rPr>
          <w:noProof/>
        </w:rPr>
        <w:t>eport</w:t>
      </w:r>
      <w:r w:rsidR="00693652">
        <w:rPr>
          <w:noProof/>
        </w:rPr>
        <w:t>,</w:t>
      </w:r>
      <w:r w:rsidR="00424BB9">
        <w:rPr>
          <w:noProof/>
        </w:rPr>
        <w:t xml:space="preserve"> like its previous </w:t>
      </w:r>
      <w:r w:rsidR="00D148D9">
        <w:rPr>
          <w:noProof/>
        </w:rPr>
        <w:t xml:space="preserve">three </w:t>
      </w:r>
      <w:r w:rsidR="00424BB9">
        <w:rPr>
          <w:noProof/>
        </w:rPr>
        <w:t>editions</w:t>
      </w:r>
      <w:r w:rsidR="00693652">
        <w:rPr>
          <w:noProof/>
        </w:rPr>
        <w:t>,</w:t>
      </w:r>
      <w:r w:rsidR="00424BB9">
        <w:rPr>
          <w:noProof/>
        </w:rPr>
        <w:t xml:space="preserve"> focuses on objective measures such as the evolution of trade and the u</w:t>
      </w:r>
      <w:r w:rsidR="00CC2627">
        <w:rPr>
          <w:noProof/>
        </w:rPr>
        <w:t>tilisation</w:t>
      </w:r>
      <w:r w:rsidR="00424BB9">
        <w:rPr>
          <w:noProof/>
        </w:rPr>
        <w:t xml:space="preserve"> of GSP preferences during the reporting period</w:t>
      </w:r>
      <w:r>
        <w:rPr>
          <w:noProof/>
        </w:rPr>
        <w:t>.</w:t>
      </w:r>
      <w:r w:rsidR="00424BB9">
        <w:rPr>
          <w:noProof/>
        </w:rPr>
        <w:t xml:space="preserve"> </w:t>
      </w:r>
      <w:r w:rsidR="009E3B32">
        <w:rPr>
          <w:noProof/>
        </w:rPr>
        <w:t xml:space="preserve">Wider </w:t>
      </w:r>
      <w:r w:rsidR="0007460E">
        <w:rPr>
          <w:noProof/>
        </w:rPr>
        <w:t xml:space="preserve">impacts on poverty reduction and sustainability and causal linkages are difficult to </w:t>
      </w:r>
      <w:r w:rsidR="009E3B32">
        <w:rPr>
          <w:noProof/>
        </w:rPr>
        <w:t xml:space="preserve">establish and </w:t>
      </w:r>
      <w:r w:rsidR="0007460E">
        <w:rPr>
          <w:noProof/>
        </w:rPr>
        <w:t xml:space="preserve">assess, given the complex set of factors impacting not only international trade and the global economy, but also the evolution of sustainable development in specific countries. Confounding factors during the reporting period include the </w:t>
      </w:r>
      <w:r w:rsidR="00FB53AA">
        <w:rPr>
          <w:noProof/>
        </w:rPr>
        <w:t>COVID</w:t>
      </w:r>
      <w:r w:rsidR="0007460E">
        <w:rPr>
          <w:noProof/>
        </w:rPr>
        <w:t xml:space="preserve">-19 pandemic, </w:t>
      </w:r>
      <w:r w:rsidR="00FB53AA">
        <w:rPr>
          <w:noProof/>
        </w:rPr>
        <w:t xml:space="preserve">and </w:t>
      </w:r>
      <w:r w:rsidR="0007460E">
        <w:rPr>
          <w:noProof/>
        </w:rPr>
        <w:t>volatile economic and political developments both globally and in specific GSP beneficiary countries.</w:t>
      </w:r>
    </w:p>
    <w:p w14:paraId="460D2903" w14:textId="33791570" w:rsidR="00424BB9" w:rsidRDefault="00872990" w:rsidP="00424BB9">
      <w:pPr>
        <w:pStyle w:val="Text1"/>
        <w:ind w:left="0"/>
        <w:rPr>
          <w:noProof/>
        </w:rPr>
      </w:pPr>
      <w:r>
        <w:rPr>
          <w:noProof/>
        </w:rPr>
        <w:t>T</w:t>
      </w:r>
      <w:r w:rsidR="00424BB9">
        <w:rPr>
          <w:noProof/>
        </w:rPr>
        <w:t>his section</w:t>
      </w:r>
      <w:r w:rsidR="00386E46">
        <w:rPr>
          <w:noProof/>
        </w:rPr>
        <w:t xml:space="preserve"> (see 4.2)</w:t>
      </w:r>
      <w:r w:rsidR="00424BB9">
        <w:rPr>
          <w:noProof/>
        </w:rPr>
        <w:t xml:space="preserve"> also includes a medium-term perspective to better assess the evolution </w:t>
      </w:r>
      <w:r w:rsidR="009E3B32">
        <w:rPr>
          <w:noProof/>
        </w:rPr>
        <w:t xml:space="preserve">of the impact of the GSP </w:t>
      </w:r>
      <w:r w:rsidR="00424BB9">
        <w:rPr>
          <w:noProof/>
        </w:rPr>
        <w:t xml:space="preserve">over time, including </w:t>
      </w:r>
      <w:r>
        <w:rPr>
          <w:noProof/>
        </w:rPr>
        <w:t xml:space="preserve">qualitative assessments </w:t>
      </w:r>
      <w:r w:rsidR="00424BB9">
        <w:rPr>
          <w:noProof/>
        </w:rPr>
        <w:t>with respect to sustainable development in GSP beneficiary countries</w:t>
      </w:r>
      <w:r>
        <w:rPr>
          <w:noProof/>
        </w:rPr>
        <w:t>, based on UN and EU monitoring</w:t>
      </w:r>
      <w:r w:rsidR="00424BB9">
        <w:rPr>
          <w:noProof/>
        </w:rPr>
        <w:t>. The country</w:t>
      </w:r>
      <w:r w:rsidR="00AC0B2C">
        <w:rPr>
          <w:noProof/>
        </w:rPr>
        <w:t>-</w:t>
      </w:r>
      <w:r w:rsidR="00424BB9">
        <w:rPr>
          <w:noProof/>
        </w:rPr>
        <w:t>specific Staff Working Documents accompanying this report provide further information in this respect.</w:t>
      </w:r>
    </w:p>
    <w:p w14:paraId="01EB2319" w14:textId="18C9F495" w:rsidR="00067BA2" w:rsidRDefault="00705730" w:rsidP="00656571">
      <w:pPr>
        <w:pStyle w:val="Heading2"/>
        <w:shd w:val="clear" w:color="auto" w:fill="DBE5F1" w:themeFill="accent1" w:themeFillTint="33"/>
        <w:rPr>
          <w:noProof/>
        </w:rPr>
      </w:pPr>
      <w:r>
        <w:rPr>
          <w:noProof/>
        </w:rPr>
        <w:t>Trade</w:t>
      </w:r>
      <w:r w:rsidR="00067BA2">
        <w:rPr>
          <w:noProof/>
        </w:rPr>
        <w:t xml:space="preserve"> Impact</w:t>
      </w:r>
      <w:r w:rsidR="00424BB9">
        <w:rPr>
          <w:noProof/>
        </w:rPr>
        <w:t>s</w:t>
      </w:r>
      <w:r w:rsidR="00067BA2">
        <w:rPr>
          <w:noProof/>
        </w:rPr>
        <w:t xml:space="preserve"> 2020-2022</w:t>
      </w:r>
      <w:r w:rsidR="00BB6325" w:rsidRPr="00B537CB">
        <w:rPr>
          <w:noProof/>
        </w:rPr>
        <w:t> </w:t>
      </w:r>
      <w:r w:rsidR="009C7A94" w:rsidRPr="009C7A94">
        <w:rPr>
          <w:rStyle w:val="FootnoteReference"/>
          <w:b w:val="0"/>
          <w:bCs/>
          <w:noProof/>
          <w:vertAlign w:val="baseline"/>
        </w:rPr>
        <w:t>(</w:t>
      </w:r>
      <w:r w:rsidR="00EC6C46" w:rsidRPr="00D90ABE">
        <w:rPr>
          <w:rStyle w:val="FootnoteReference"/>
          <w:b w:val="0"/>
          <w:bCs/>
          <w:noProof/>
        </w:rPr>
        <w:footnoteReference w:id="23"/>
      </w:r>
      <w:r w:rsidR="009C7A94" w:rsidRPr="009C7A94">
        <w:rPr>
          <w:rStyle w:val="FootnoteReference"/>
          <w:b w:val="0"/>
          <w:bCs/>
          <w:noProof/>
          <w:vertAlign w:val="baseline"/>
        </w:rPr>
        <w:t>)</w:t>
      </w:r>
    </w:p>
    <w:tbl>
      <w:tblPr>
        <w:tblStyle w:val="TableGrid"/>
        <w:tblpPr w:leftFromText="180" w:rightFromText="180" w:vertAnchor="text" w:horzAnchor="margin" w:tblpXSpec="right"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tblGrid>
      <w:tr w:rsidR="002F1CAF" w14:paraId="539F0B9A" w14:textId="77777777" w:rsidTr="00C10249">
        <w:tc>
          <w:tcPr>
            <w:tcW w:w="4152" w:type="dxa"/>
            <w:tcBorders>
              <w:bottom w:val="single" w:sz="4" w:space="0" w:color="4F81BD" w:themeColor="accent1"/>
            </w:tcBorders>
          </w:tcPr>
          <w:p w14:paraId="5EE35E21" w14:textId="34D4B7CA" w:rsidR="002F1CAF" w:rsidRDefault="002F1CAF" w:rsidP="002F1CAF">
            <w:pPr>
              <w:pStyle w:val="Text1"/>
              <w:spacing w:after="0"/>
              <w:ind w:left="0"/>
              <w:rPr>
                <w:noProof/>
              </w:rPr>
            </w:pPr>
            <w:r w:rsidRPr="002F1CAF">
              <w:rPr>
                <w:i/>
                <w:iCs/>
                <w:noProof/>
                <w:color w:val="365F91" w:themeColor="accent1" w:themeShade="BF"/>
                <w:sz w:val="20"/>
                <w:szCs w:val="16"/>
                <w:lang w:eastAsia="en-US"/>
              </w:rPr>
              <w:t xml:space="preserve">Figure 1: </w:t>
            </w:r>
            <w:r w:rsidR="008F2904" w:rsidRPr="002F1CAF">
              <w:rPr>
                <w:i/>
                <w:iCs/>
                <w:noProof/>
                <w:color w:val="365F91" w:themeColor="accent1" w:themeShade="BF"/>
                <w:sz w:val="20"/>
                <w:szCs w:val="16"/>
                <w:lang w:eastAsia="en-US"/>
              </w:rPr>
              <w:t xml:space="preserve">EU27 imports </w:t>
            </w:r>
            <w:r w:rsidRPr="002F1CAF">
              <w:rPr>
                <w:i/>
                <w:iCs/>
                <w:noProof/>
                <w:color w:val="365F91" w:themeColor="accent1" w:themeShade="BF"/>
                <w:sz w:val="20"/>
                <w:szCs w:val="16"/>
                <w:lang w:eastAsia="en-US"/>
              </w:rPr>
              <w:t>from GSP countries (2019-202</w:t>
            </w:r>
            <w:r w:rsidR="00890E16">
              <w:rPr>
                <w:i/>
                <w:iCs/>
                <w:noProof/>
                <w:color w:val="365F91" w:themeColor="accent1" w:themeShade="BF"/>
                <w:sz w:val="20"/>
                <w:szCs w:val="16"/>
                <w:lang w:eastAsia="en-US"/>
              </w:rPr>
              <w:t>2</w:t>
            </w:r>
            <w:r w:rsidRPr="002F1CAF">
              <w:rPr>
                <w:i/>
                <w:iCs/>
                <w:noProof/>
                <w:color w:val="365F91" w:themeColor="accent1" w:themeShade="BF"/>
                <w:sz w:val="20"/>
                <w:szCs w:val="16"/>
                <w:lang w:eastAsia="en-US"/>
              </w:rPr>
              <w:t>, € billion)</w:t>
            </w:r>
          </w:p>
        </w:tc>
      </w:tr>
      <w:tr w:rsidR="002F1CAF" w14:paraId="15F43AB8" w14:textId="77777777" w:rsidTr="00C10249">
        <w:tc>
          <w:tcPr>
            <w:tcW w:w="41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78CF734" w14:textId="09BACED0" w:rsidR="002F1CAF" w:rsidRDefault="00890E16" w:rsidP="00C10249">
            <w:pPr>
              <w:pStyle w:val="Text1"/>
              <w:spacing w:before="20" w:after="20"/>
              <w:ind w:left="0"/>
              <w:rPr>
                <w:noProof/>
              </w:rPr>
            </w:pPr>
            <w:r>
              <w:rPr>
                <w:noProof/>
                <w:lang w:eastAsia="en-GB"/>
              </w:rPr>
              <w:drawing>
                <wp:inline distT="0" distB="0" distL="0" distR="0" wp14:anchorId="41E82561" wp14:editId="2B59F245">
                  <wp:extent cx="2638086" cy="2188762"/>
                  <wp:effectExtent l="0" t="0" r="0" b="2540"/>
                  <wp:docPr id="809400708" name="Diagramm 1">
                    <a:extLst xmlns:a="http://schemas.openxmlformats.org/drawingml/2006/main">
                      <a:ext uri="{FF2B5EF4-FFF2-40B4-BE49-F238E27FC236}">
                        <a16:creationId xmlns:a16="http://schemas.microsoft.com/office/drawing/2014/main" id="{08C8F8FC-0198-4961-9204-540EB72E9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2D88701B" w14:textId="640F4D0E" w:rsidR="002F1CAF" w:rsidRDefault="00320356" w:rsidP="00E7475B">
      <w:pPr>
        <w:pStyle w:val="Text1"/>
        <w:ind w:left="0"/>
        <w:rPr>
          <w:noProof/>
        </w:rPr>
      </w:pPr>
      <w:r w:rsidRPr="00D148D9">
        <w:rPr>
          <w:noProof/>
        </w:rPr>
        <w:t xml:space="preserve">EU imports from GSP </w:t>
      </w:r>
      <w:r w:rsidR="00772BE1" w:rsidRPr="00D148D9">
        <w:rPr>
          <w:noProof/>
        </w:rPr>
        <w:t xml:space="preserve">beneficiary </w:t>
      </w:r>
      <w:r w:rsidR="00D90ABE" w:rsidRPr="00D148D9">
        <w:rPr>
          <w:noProof/>
        </w:rPr>
        <w:t>countries</w:t>
      </w:r>
      <w:r w:rsidR="00335649" w:rsidRPr="00D148D9">
        <w:rPr>
          <w:noProof/>
        </w:rPr>
        <w:t xml:space="preserve"> were negatively impacted by the</w:t>
      </w:r>
      <w:r w:rsidRPr="00D148D9">
        <w:rPr>
          <w:noProof/>
        </w:rPr>
        <w:t xml:space="preserve"> COVID-19</w:t>
      </w:r>
      <w:r w:rsidR="00335649" w:rsidRPr="00D148D9">
        <w:rPr>
          <w:noProof/>
        </w:rPr>
        <w:t xml:space="preserve"> pandemic</w:t>
      </w:r>
      <w:r w:rsidRPr="00D148D9">
        <w:rPr>
          <w:noProof/>
        </w:rPr>
        <w:t xml:space="preserve"> but recovered </w:t>
      </w:r>
      <w:r w:rsidR="00890E16">
        <w:rPr>
          <w:noProof/>
        </w:rPr>
        <w:t>since</w:t>
      </w:r>
      <w:r w:rsidR="00890E16" w:rsidRPr="00D148D9">
        <w:rPr>
          <w:noProof/>
        </w:rPr>
        <w:t xml:space="preserve"> </w:t>
      </w:r>
      <w:r w:rsidRPr="00D148D9">
        <w:rPr>
          <w:noProof/>
        </w:rPr>
        <w:t>2021</w:t>
      </w:r>
      <w:r w:rsidR="00463167">
        <w:rPr>
          <w:b/>
          <w:bCs/>
          <w:noProof/>
        </w:rPr>
        <w:t xml:space="preserve"> </w:t>
      </w:r>
      <w:r w:rsidR="00463167" w:rsidRPr="00B22282">
        <w:rPr>
          <w:bCs/>
          <w:noProof/>
        </w:rPr>
        <w:t>(see Figure 1)</w:t>
      </w:r>
      <w:r w:rsidR="00F13E33" w:rsidRPr="00B22282">
        <w:rPr>
          <w:bCs/>
          <w:noProof/>
        </w:rPr>
        <w:t>.</w:t>
      </w:r>
      <w:r w:rsidR="00FF1951" w:rsidRPr="30DC8ACA">
        <w:rPr>
          <w:b/>
          <w:bCs/>
          <w:noProof/>
        </w:rPr>
        <w:t xml:space="preserve"> </w:t>
      </w:r>
      <w:r w:rsidR="00772BE1" w:rsidRPr="00772BE1">
        <w:rPr>
          <w:noProof/>
        </w:rPr>
        <w:t xml:space="preserve">They </w:t>
      </w:r>
      <w:r w:rsidR="00FF1951">
        <w:rPr>
          <w:noProof/>
        </w:rPr>
        <w:t>were hit substantially in 2020, decreasing by 13.4% from €157</w:t>
      </w:r>
      <w:r w:rsidR="006611BD">
        <w:rPr>
          <w:noProof/>
        </w:rPr>
        <w:t>.</w:t>
      </w:r>
      <w:r w:rsidR="00926AC7">
        <w:rPr>
          <w:noProof/>
        </w:rPr>
        <w:t>3</w:t>
      </w:r>
      <w:r w:rsidR="00FF1951">
        <w:rPr>
          <w:noProof/>
        </w:rPr>
        <w:t xml:space="preserve"> billion</w:t>
      </w:r>
      <w:r w:rsidR="000D0CF4">
        <w:rPr>
          <w:noProof/>
        </w:rPr>
        <w:t xml:space="preserve"> (8.8% of total imports from third countries)</w:t>
      </w:r>
      <w:r w:rsidR="00FF1951">
        <w:rPr>
          <w:noProof/>
        </w:rPr>
        <w:t xml:space="preserve"> to €136.</w:t>
      </w:r>
      <w:r w:rsidR="00926AC7">
        <w:rPr>
          <w:noProof/>
        </w:rPr>
        <w:t xml:space="preserve">2 </w:t>
      </w:r>
      <w:r w:rsidR="00FF1951">
        <w:rPr>
          <w:noProof/>
        </w:rPr>
        <w:t xml:space="preserve">billion </w:t>
      </w:r>
      <w:r w:rsidR="000D0CF4">
        <w:rPr>
          <w:noProof/>
        </w:rPr>
        <w:t xml:space="preserve">(8.5%) </w:t>
      </w:r>
      <w:r w:rsidR="00FF1951">
        <w:rPr>
          <w:noProof/>
        </w:rPr>
        <w:t xml:space="preserve">but rebounded strongly in 2021 </w:t>
      </w:r>
      <w:r w:rsidR="00890E16">
        <w:rPr>
          <w:noProof/>
        </w:rPr>
        <w:t xml:space="preserve">and 2022 </w:t>
      </w:r>
      <w:r w:rsidR="00FF1951">
        <w:rPr>
          <w:noProof/>
        </w:rPr>
        <w:t>to €</w:t>
      </w:r>
      <w:r w:rsidR="00890E16">
        <w:rPr>
          <w:noProof/>
        </w:rPr>
        <w:t>256.7</w:t>
      </w:r>
      <w:r w:rsidR="00FF1951">
        <w:rPr>
          <w:noProof/>
        </w:rPr>
        <w:t xml:space="preserve"> billion </w:t>
      </w:r>
      <w:r w:rsidR="000D0CF4">
        <w:rPr>
          <w:noProof/>
        </w:rPr>
        <w:t>(</w:t>
      </w:r>
      <w:r w:rsidR="00890E16">
        <w:rPr>
          <w:noProof/>
        </w:rPr>
        <w:t>9.2</w:t>
      </w:r>
      <w:r w:rsidR="000D0CF4">
        <w:rPr>
          <w:noProof/>
        </w:rPr>
        <w:t xml:space="preserve">%) </w:t>
      </w:r>
      <w:r w:rsidR="0007460E">
        <w:rPr>
          <w:noProof/>
        </w:rPr>
        <w:t xml:space="preserve">- </w:t>
      </w:r>
      <w:r w:rsidR="00FF1951">
        <w:rPr>
          <w:noProof/>
        </w:rPr>
        <w:t xml:space="preserve">an increase of </w:t>
      </w:r>
      <w:r w:rsidR="00890E16">
        <w:rPr>
          <w:noProof/>
        </w:rPr>
        <w:t>88</w:t>
      </w:r>
      <w:r w:rsidR="00FF1951">
        <w:rPr>
          <w:noProof/>
        </w:rPr>
        <w:t>% compared to 2020</w:t>
      </w:r>
      <w:r w:rsidR="00463167">
        <w:rPr>
          <w:noProof/>
        </w:rPr>
        <w:t xml:space="preserve">, and </w:t>
      </w:r>
      <w:r w:rsidR="00890E16">
        <w:rPr>
          <w:noProof/>
        </w:rPr>
        <w:t xml:space="preserve">63% </w:t>
      </w:r>
      <w:r w:rsidR="00463167">
        <w:rPr>
          <w:noProof/>
        </w:rPr>
        <w:t>higher than in 2019</w:t>
      </w:r>
      <w:r w:rsidR="00FF1951">
        <w:rPr>
          <w:noProof/>
        </w:rPr>
        <w:t>.</w:t>
      </w:r>
      <w:r w:rsidR="00985510">
        <w:rPr>
          <w:noProof/>
        </w:rPr>
        <w:t xml:space="preserve"> </w:t>
      </w:r>
      <w:r w:rsidR="0023448B">
        <w:rPr>
          <w:noProof/>
        </w:rPr>
        <w:t xml:space="preserve">EU </w:t>
      </w:r>
      <w:r w:rsidR="00463167">
        <w:rPr>
          <w:noProof/>
        </w:rPr>
        <w:t>i</w:t>
      </w:r>
      <w:r w:rsidR="00FF1951">
        <w:rPr>
          <w:noProof/>
        </w:rPr>
        <w:t xml:space="preserve">mports </w:t>
      </w:r>
      <w:r w:rsidR="009E3B32">
        <w:rPr>
          <w:noProof/>
        </w:rPr>
        <w:t xml:space="preserve">of goods </w:t>
      </w:r>
      <w:r w:rsidR="00FF1951">
        <w:rPr>
          <w:noProof/>
        </w:rPr>
        <w:t>us</w:t>
      </w:r>
      <w:r w:rsidR="009E3B32">
        <w:rPr>
          <w:noProof/>
        </w:rPr>
        <w:t>ing</w:t>
      </w:r>
      <w:r w:rsidR="00FF1951">
        <w:rPr>
          <w:noProof/>
        </w:rPr>
        <w:t xml:space="preserve"> the GSP preferences were affected even more</w:t>
      </w:r>
      <w:r w:rsidR="00890E16">
        <w:rPr>
          <w:noProof/>
        </w:rPr>
        <w:t xml:space="preserve"> by the pandemic</w:t>
      </w:r>
      <w:r w:rsidR="00FF1951">
        <w:rPr>
          <w:noProof/>
        </w:rPr>
        <w:t>, decreasing by 15.4% from €62.</w:t>
      </w:r>
      <w:r w:rsidR="00926AC7">
        <w:rPr>
          <w:noProof/>
        </w:rPr>
        <w:t xml:space="preserve">1 </w:t>
      </w:r>
      <w:r w:rsidR="00FF1951">
        <w:rPr>
          <w:noProof/>
        </w:rPr>
        <w:t>billion in 2019 to €52.</w:t>
      </w:r>
      <w:r w:rsidR="00926AC7">
        <w:rPr>
          <w:noProof/>
        </w:rPr>
        <w:t xml:space="preserve">6 </w:t>
      </w:r>
      <w:r w:rsidR="00FF1951">
        <w:rPr>
          <w:noProof/>
        </w:rPr>
        <w:t xml:space="preserve">billion in 2020. </w:t>
      </w:r>
      <w:r w:rsidR="000433A4">
        <w:rPr>
          <w:noProof/>
        </w:rPr>
        <w:t xml:space="preserve">Recovery </w:t>
      </w:r>
      <w:r w:rsidR="00890E16">
        <w:rPr>
          <w:noProof/>
        </w:rPr>
        <w:t xml:space="preserve">in 2021 and especially 2022 was strong, with GSP preferential imports reaching €80.6 billion in 2022, almost 30% above </w:t>
      </w:r>
      <w:r w:rsidR="00463167">
        <w:rPr>
          <w:noProof/>
        </w:rPr>
        <w:t>2019 levels</w:t>
      </w:r>
      <w:r w:rsidR="00FF1951">
        <w:rPr>
          <w:noProof/>
        </w:rPr>
        <w:t>.</w:t>
      </w:r>
      <w:r w:rsidR="005F151B">
        <w:rPr>
          <w:noProof/>
        </w:rPr>
        <w:t xml:space="preserve"> </w:t>
      </w:r>
    </w:p>
    <w:p w14:paraId="30C29D9E" w14:textId="77777777" w:rsidR="002F1CAF" w:rsidRDefault="002F1CAF" w:rsidP="00E7475B">
      <w:pPr>
        <w:pStyle w:val="Text1"/>
        <w:ind w:left="0"/>
        <w:rPr>
          <w:noProof/>
        </w:rPr>
      </w:pPr>
    </w:p>
    <w:tbl>
      <w:tblPr>
        <w:tblStyle w:val="TableGrid"/>
        <w:tblpPr w:leftFromText="180" w:rightFromText="180"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tblGrid>
      <w:tr w:rsidR="002F1CAF" w14:paraId="4057FB7F" w14:textId="77777777" w:rsidTr="00C10249">
        <w:tc>
          <w:tcPr>
            <w:tcW w:w="4176" w:type="dxa"/>
            <w:tcBorders>
              <w:bottom w:val="single" w:sz="4" w:space="0" w:color="4F81BD" w:themeColor="accent1"/>
            </w:tcBorders>
          </w:tcPr>
          <w:p w14:paraId="0FF18A6C" w14:textId="1BA0E0F0" w:rsidR="002F1CAF" w:rsidRDefault="002F1CAF" w:rsidP="002F1CAF">
            <w:pPr>
              <w:pStyle w:val="Text1"/>
              <w:keepNext/>
              <w:spacing w:after="0"/>
              <w:ind w:left="0"/>
              <w:rPr>
                <w:noProof/>
              </w:rPr>
            </w:pPr>
            <w:r w:rsidRPr="002F1CAF">
              <w:rPr>
                <w:i/>
                <w:iCs/>
                <w:noProof/>
                <w:color w:val="365F91" w:themeColor="accent1" w:themeShade="BF"/>
                <w:sz w:val="20"/>
                <w:szCs w:val="16"/>
                <w:lang w:eastAsia="en-US"/>
              </w:rPr>
              <w:t xml:space="preserve">Figure 2: </w:t>
            </w:r>
            <w:r w:rsidR="0023448B" w:rsidRPr="002F1CAF">
              <w:rPr>
                <w:i/>
                <w:iCs/>
                <w:noProof/>
                <w:color w:val="365F91" w:themeColor="accent1" w:themeShade="BF"/>
                <w:sz w:val="20"/>
                <w:szCs w:val="16"/>
                <w:lang w:eastAsia="en-US"/>
              </w:rPr>
              <w:t xml:space="preserve">Share </w:t>
            </w:r>
            <w:r w:rsidRPr="002F1CAF">
              <w:rPr>
                <w:i/>
                <w:iCs/>
                <w:noProof/>
                <w:color w:val="365F91" w:themeColor="accent1" w:themeShade="BF"/>
                <w:sz w:val="20"/>
                <w:szCs w:val="16"/>
                <w:lang w:eastAsia="en-US"/>
              </w:rPr>
              <w:t>of GSP preferential imports in total extra-EU imports</w:t>
            </w:r>
          </w:p>
        </w:tc>
      </w:tr>
      <w:tr w:rsidR="002F1CAF" w14:paraId="6C5FBD38" w14:textId="77777777" w:rsidTr="00C10249">
        <w:tc>
          <w:tcPr>
            <w:tcW w:w="41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57FBB3" w14:textId="07598CA8" w:rsidR="002F1CAF" w:rsidRDefault="00890E16" w:rsidP="00992D45">
            <w:pPr>
              <w:pStyle w:val="Text1"/>
              <w:spacing w:before="20" w:after="20"/>
              <w:ind w:left="0"/>
              <w:rPr>
                <w:noProof/>
              </w:rPr>
            </w:pPr>
            <w:r>
              <w:rPr>
                <w:noProof/>
                <w:lang w:eastAsia="en-GB"/>
              </w:rPr>
              <w:drawing>
                <wp:inline distT="0" distB="0" distL="0" distR="0" wp14:anchorId="5B16A12E" wp14:editId="34B00A46">
                  <wp:extent cx="2638086" cy="1981935"/>
                  <wp:effectExtent l="0" t="0" r="0" b="0"/>
                  <wp:docPr id="1415226192" name="Diagramm 1">
                    <a:extLst xmlns:a="http://schemas.openxmlformats.org/drawingml/2006/main">
                      <a:ext uri="{FF2B5EF4-FFF2-40B4-BE49-F238E27FC236}">
                        <a16:creationId xmlns:a16="http://schemas.microsoft.com/office/drawing/2014/main" id="{FF34507B-1C59-4DCB-85EE-35611902B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17779065" w14:textId="1E5B19D7" w:rsidR="00DB68A8" w:rsidRDefault="008534A8" w:rsidP="00E7475B">
      <w:pPr>
        <w:pStyle w:val="Text1"/>
        <w:ind w:left="0"/>
        <w:rPr>
          <w:noProof/>
        </w:rPr>
      </w:pPr>
      <w:r>
        <w:rPr>
          <w:noProof/>
        </w:rPr>
        <w:t xml:space="preserve">Figure </w:t>
      </w:r>
      <w:r w:rsidR="000A7705">
        <w:rPr>
          <w:noProof/>
        </w:rPr>
        <w:t>2</w:t>
      </w:r>
      <w:r>
        <w:rPr>
          <w:noProof/>
        </w:rPr>
        <w:t xml:space="preserve"> shows that o</w:t>
      </w:r>
      <w:r w:rsidR="00FA3AED">
        <w:rPr>
          <w:noProof/>
        </w:rPr>
        <w:t>nly imports from GSP+ countries maintained their share (0.5%)</w:t>
      </w:r>
      <w:r w:rsidR="00883D8F">
        <w:rPr>
          <w:noProof/>
        </w:rPr>
        <w:t xml:space="preserve"> in overall EU imports</w:t>
      </w:r>
      <w:r w:rsidR="00890E16">
        <w:rPr>
          <w:noProof/>
        </w:rPr>
        <w:t xml:space="preserve"> since 2019</w:t>
      </w:r>
      <w:r w:rsidR="00FA3AED">
        <w:rPr>
          <w:noProof/>
        </w:rPr>
        <w:t xml:space="preserve">, whereas </w:t>
      </w:r>
      <w:r w:rsidR="0074353B">
        <w:rPr>
          <w:noProof/>
        </w:rPr>
        <w:t>duty</w:t>
      </w:r>
      <w:r w:rsidR="00CB70AB">
        <w:rPr>
          <w:noProof/>
        </w:rPr>
        <w:t>-</w:t>
      </w:r>
      <w:r w:rsidR="0074353B">
        <w:rPr>
          <w:noProof/>
        </w:rPr>
        <w:t>free quota</w:t>
      </w:r>
      <w:r w:rsidR="00CB70AB">
        <w:rPr>
          <w:noProof/>
        </w:rPr>
        <w:t>-</w:t>
      </w:r>
      <w:r w:rsidR="0074353B">
        <w:rPr>
          <w:noProof/>
        </w:rPr>
        <w:t xml:space="preserve">free </w:t>
      </w:r>
      <w:r w:rsidR="00FA3AED">
        <w:rPr>
          <w:noProof/>
        </w:rPr>
        <w:t>imports from EBA countries decreased from 1.</w:t>
      </w:r>
      <w:r w:rsidR="00926AC7">
        <w:rPr>
          <w:noProof/>
        </w:rPr>
        <w:t>4</w:t>
      </w:r>
      <w:r w:rsidR="00FA3AED">
        <w:rPr>
          <w:noProof/>
        </w:rPr>
        <w:t xml:space="preserve">% to </w:t>
      </w:r>
      <w:r w:rsidR="00E315C6">
        <w:rPr>
          <w:noProof/>
        </w:rPr>
        <w:t xml:space="preserve">1.1% in 2021 and then recovered again to </w:t>
      </w:r>
      <w:r w:rsidR="00FA3AED">
        <w:rPr>
          <w:noProof/>
        </w:rPr>
        <w:t>1.</w:t>
      </w:r>
      <w:r w:rsidR="00890E16">
        <w:rPr>
          <w:noProof/>
        </w:rPr>
        <w:t>3</w:t>
      </w:r>
      <w:r w:rsidR="00FA3AED">
        <w:rPr>
          <w:noProof/>
        </w:rPr>
        <w:t xml:space="preserve">%, and preferential imports from standard GSP countries </w:t>
      </w:r>
      <w:r w:rsidR="009E3B32">
        <w:rPr>
          <w:noProof/>
        </w:rPr>
        <w:t>decreased</w:t>
      </w:r>
      <w:r w:rsidR="00FA3AED">
        <w:rPr>
          <w:noProof/>
        </w:rPr>
        <w:t xml:space="preserve"> </w:t>
      </w:r>
      <w:r w:rsidR="00621F61">
        <w:rPr>
          <w:noProof/>
        </w:rPr>
        <w:t xml:space="preserve">from </w:t>
      </w:r>
      <w:r w:rsidR="00FA3AED">
        <w:rPr>
          <w:noProof/>
        </w:rPr>
        <w:t>1.</w:t>
      </w:r>
      <w:r w:rsidR="00926AC7">
        <w:rPr>
          <w:noProof/>
        </w:rPr>
        <w:t>6</w:t>
      </w:r>
      <w:r w:rsidR="00FA3AED">
        <w:rPr>
          <w:noProof/>
        </w:rPr>
        <w:t>% to 1.</w:t>
      </w:r>
      <w:r w:rsidR="00890E16">
        <w:rPr>
          <w:noProof/>
        </w:rPr>
        <w:t>1</w:t>
      </w:r>
      <w:r w:rsidR="00FA3AED">
        <w:rPr>
          <w:noProof/>
        </w:rPr>
        <w:t>%</w:t>
      </w:r>
      <w:r w:rsidR="00883D8F">
        <w:rPr>
          <w:noProof/>
        </w:rPr>
        <w:t>.</w:t>
      </w:r>
      <w:r w:rsidR="00F62CAB">
        <w:rPr>
          <w:noProof/>
        </w:rPr>
        <w:t xml:space="preserve"> </w:t>
      </w:r>
      <w:r w:rsidR="0007460E">
        <w:rPr>
          <w:noProof/>
        </w:rPr>
        <w:t xml:space="preserve">Possible explanations are the higher vulnerability of EBA beneficiaries </w:t>
      </w:r>
      <w:r w:rsidR="0055677B">
        <w:rPr>
          <w:noProof/>
        </w:rPr>
        <w:t xml:space="preserve">to economic shocks </w:t>
      </w:r>
      <w:r w:rsidR="0007460E">
        <w:rPr>
          <w:noProof/>
        </w:rPr>
        <w:t>on one hand, and the higher integration of GSP+ tariff preferences in the export strategies of beneficiaries</w:t>
      </w:r>
      <w:r w:rsidR="000A7705">
        <w:rPr>
          <w:noProof/>
        </w:rPr>
        <w:t xml:space="preserve"> on the other</w:t>
      </w:r>
      <w:r w:rsidR="0007460E">
        <w:rPr>
          <w:noProof/>
        </w:rPr>
        <w:t xml:space="preserve">. </w:t>
      </w:r>
    </w:p>
    <w:tbl>
      <w:tblPr>
        <w:tblStyle w:val="TableGrid"/>
        <w:tblpPr w:leftFromText="180" w:rightFromText="180" w:vertAnchor="text" w:horzAnchor="margin" w:tblpXSpec="right" w:tblpY="1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0D0CF4" w14:paraId="0049892C" w14:textId="77777777" w:rsidTr="00992D45">
        <w:tc>
          <w:tcPr>
            <w:tcW w:w="4410" w:type="dxa"/>
            <w:tcBorders>
              <w:bottom w:val="single" w:sz="4" w:space="0" w:color="4F81BD" w:themeColor="accent1"/>
            </w:tcBorders>
          </w:tcPr>
          <w:p w14:paraId="20DE03EE" w14:textId="16D27C6A" w:rsidR="000D0CF4" w:rsidRPr="009A60D2" w:rsidRDefault="000D0CF4" w:rsidP="000D0CF4">
            <w:pPr>
              <w:pStyle w:val="Text1"/>
              <w:keepNext/>
              <w:spacing w:after="0"/>
              <w:ind w:left="0"/>
              <w:rPr>
                <w:noProof/>
              </w:rPr>
            </w:pPr>
            <w:r w:rsidRPr="009A60D2">
              <w:rPr>
                <w:i/>
                <w:iCs/>
                <w:noProof/>
                <w:color w:val="365F91" w:themeColor="accent1" w:themeShade="BF"/>
                <w:sz w:val="20"/>
                <w:szCs w:val="16"/>
                <w:lang w:eastAsia="en-US"/>
              </w:rPr>
              <w:t>Figure 3: Preferential and duty free imports from GSP countries in total extra-EU imports, 2019-202</w:t>
            </w:r>
            <w:r w:rsidR="00F80C73" w:rsidRPr="009A60D2">
              <w:rPr>
                <w:i/>
                <w:iCs/>
                <w:noProof/>
                <w:color w:val="365F91" w:themeColor="accent1" w:themeShade="BF"/>
                <w:sz w:val="20"/>
                <w:szCs w:val="16"/>
                <w:lang w:eastAsia="en-US"/>
              </w:rPr>
              <w:t>2</w:t>
            </w:r>
          </w:p>
        </w:tc>
      </w:tr>
      <w:tr w:rsidR="000D0CF4" w14:paraId="082A3BCC" w14:textId="77777777" w:rsidTr="00992D45">
        <w:tc>
          <w:tcPr>
            <w:tcW w:w="44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2009F2" w14:textId="23FBBE9C" w:rsidR="000D0CF4" w:rsidRPr="009A60D2" w:rsidRDefault="00F80C73" w:rsidP="00992D45">
            <w:pPr>
              <w:pStyle w:val="Text1"/>
              <w:spacing w:before="20" w:after="20"/>
              <w:ind w:left="0"/>
              <w:rPr>
                <w:noProof/>
              </w:rPr>
            </w:pPr>
            <w:r>
              <w:rPr>
                <w:noProof/>
                <w:lang w:eastAsia="en-GB"/>
              </w:rPr>
              <w:drawing>
                <wp:inline distT="0" distB="0" distL="0" distR="0" wp14:anchorId="049C7491" wp14:editId="01309C1F">
                  <wp:extent cx="2638085" cy="2234910"/>
                  <wp:effectExtent l="0" t="0" r="0" b="0"/>
                  <wp:docPr id="1300257525" name="Diagramm 1">
                    <a:extLst xmlns:a="http://schemas.openxmlformats.org/drawingml/2006/main">
                      <a:ext uri="{FF2B5EF4-FFF2-40B4-BE49-F238E27FC236}">
                        <a16:creationId xmlns:a16="http://schemas.microsoft.com/office/drawing/2014/main" id="{DDCEE5BA-BCF7-4403-87C5-3A1F478C5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4ECA213A" w14:textId="77777777" w:rsidR="00953D92" w:rsidRPr="009A60D2" w:rsidRDefault="00EC6C46" w:rsidP="00EC6C46">
      <w:pPr>
        <w:pStyle w:val="Text1"/>
        <w:ind w:left="0"/>
        <w:rPr>
          <w:noProof/>
        </w:rPr>
      </w:pPr>
      <w:r w:rsidRPr="009A60D2">
        <w:rPr>
          <w:noProof/>
        </w:rPr>
        <w:t>Whereas</w:t>
      </w:r>
      <w:r w:rsidR="009E3B32" w:rsidRPr="009A60D2">
        <w:rPr>
          <w:noProof/>
        </w:rPr>
        <w:t xml:space="preserve"> </w:t>
      </w:r>
      <w:r w:rsidRPr="009A60D2">
        <w:rPr>
          <w:noProof/>
        </w:rPr>
        <w:t xml:space="preserve">the EU has been a major export destination for several GSP beneficiaries, imports from </w:t>
      </w:r>
      <w:r w:rsidR="009E3B32" w:rsidRPr="009A60D2">
        <w:rPr>
          <w:noProof/>
        </w:rPr>
        <w:t xml:space="preserve">those GSP beneficiaries </w:t>
      </w:r>
      <w:r w:rsidRPr="009A60D2">
        <w:rPr>
          <w:noProof/>
        </w:rPr>
        <w:t>have represented a small portion of total EU</w:t>
      </w:r>
      <w:r w:rsidR="000D0CF4" w:rsidRPr="009A60D2">
        <w:rPr>
          <w:noProof/>
        </w:rPr>
        <w:t xml:space="preserve"> </w:t>
      </w:r>
      <w:r w:rsidRPr="009A60D2">
        <w:rPr>
          <w:noProof/>
        </w:rPr>
        <w:t>imports.</w:t>
      </w:r>
    </w:p>
    <w:p w14:paraId="60EB341A" w14:textId="3F82E56C" w:rsidR="00EC6C46" w:rsidRPr="009A60D2" w:rsidRDefault="00EC6C46" w:rsidP="00EC6C46">
      <w:pPr>
        <w:pStyle w:val="Text1"/>
        <w:ind w:left="0"/>
        <w:rPr>
          <w:noProof/>
        </w:rPr>
      </w:pPr>
      <w:r w:rsidRPr="009A60D2">
        <w:rPr>
          <w:noProof/>
        </w:rPr>
        <w:t>Furthermore, between 2019 and 202</w:t>
      </w:r>
      <w:r w:rsidR="00F80C73" w:rsidRPr="009A60D2">
        <w:rPr>
          <w:noProof/>
        </w:rPr>
        <w:t>2</w:t>
      </w:r>
      <w:r w:rsidRPr="009A60D2">
        <w:rPr>
          <w:noProof/>
        </w:rPr>
        <w:t xml:space="preserve"> </w:t>
      </w:r>
      <w:r w:rsidR="00953D92" w:rsidRPr="009A60D2">
        <w:rPr>
          <w:noProof/>
        </w:rPr>
        <w:t xml:space="preserve">the share of </w:t>
      </w:r>
      <w:r w:rsidRPr="009A60D2">
        <w:rPr>
          <w:noProof/>
        </w:rPr>
        <w:t xml:space="preserve">EU imports </w:t>
      </w:r>
      <w:r w:rsidR="0001122C" w:rsidRPr="009A60D2">
        <w:rPr>
          <w:noProof/>
        </w:rPr>
        <w:t xml:space="preserve">using </w:t>
      </w:r>
      <w:r w:rsidRPr="009A60D2">
        <w:rPr>
          <w:noProof/>
        </w:rPr>
        <w:t xml:space="preserve">GSP </w:t>
      </w:r>
      <w:r w:rsidR="0001122C" w:rsidRPr="009A60D2">
        <w:rPr>
          <w:noProof/>
        </w:rPr>
        <w:t xml:space="preserve">preferences </w:t>
      </w:r>
      <w:r w:rsidRPr="009A60D2">
        <w:rPr>
          <w:noProof/>
        </w:rPr>
        <w:t>ha</w:t>
      </w:r>
      <w:r w:rsidR="00953D92" w:rsidRPr="009A60D2">
        <w:rPr>
          <w:noProof/>
        </w:rPr>
        <w:t>s</w:t>
      </w:r>
      <w:r w:rsidRPr="009A60D2">
        <w:rPr>
          <w:noProof/>
        </w:rPr>
        <w:t xml:space="preserve"> decreased by 0.</w:t>
      </w:r>
      <w:r w:rsidR="00953D92" w:rsidRPr="009A60D2">
        <w:rPr>
          <w:noProof/>
        </w:rPr>
        <w:t>6</w:t>
      </w:r>
      <w:r w:rsidRPr="009A60D2">
        <w:rPr>
          <w:noProof/>
        </w:rPr>
        <w:t xml:space="preserve"> percentage points </w:t>
      </w:r>
      <w:r w:rsidR="00835208" w:rsidRPr="009A60D2">
        <w:rPr>
          <w:noProof/>
        </w:rPr>
        <w:t>while with</w:t>
      </w:r>
      <w:r w:rsidRPr="009A60D2">
        <w:rPr>
          <w:noProof/>
        </w:rPr>
        <w:t xml:space="preserve"> other preferential </w:t>
      </w:r>
      <w:r w:rsidR="008A0E8D" w:rsidRPr="009A60D2">
        <w:rPr>
          <w:noProof/>
        </w:rPr>
        <w:t>schemes</w:t>
      </w:r>
      <w:r w:rsidRPr="009A60D2">
        <w:rPr>
          <w:noProof/>
        </w:rPr>
        <w:t xml:space="preserve"> such as FTAs and zero </w:t>
      </w:r>
      <w:r w:rsidR="007E6748" w:rsidRPr="009A60D2">
        <w:rPr>
          <w:noProof/>
        </w:rPr>
        <w:t>most</w:t>
      </w:r>
      <w:r w:rsidR="00CD551A" w:rsidRPr="009A60D2">
        <w:rPr>
          <w:noProof/>
        </w:rPr>
        <w:t>-favoured nation (</w:t>
      </w:r>
      <w:r w:rsidRPr="009A60D2">
        <w:rPr>
          <w:noProof/>
        </w:rPr>
        <w:t>MFN</w:t>
      </w:r>
      <w:r w:rsidR="00CD551A" w:rsidRPr="009A60D2">
        <w:rPr>
          <w:noProof/>
        </w:rPr>
        <w:t>)</w:t>
      </w:r>
      <w:r w:rsidRPr="009A60D2">
        <w:rPr>
          <w:noProof/>
        </w:rPr>
        <w:t xml:space="preserve"> tariffs</w:t>
      </w:r>
      <w:r w:rsidR="000564A6" w:rsidRPr="009A60D2">
        <w:rPr>
          <w:noProof/>
        </w:rPr>
        <w:t>,</w:t>
      </w:r>
      <w:r w:rsidR="00835208" w:rsidRPr="009A60D2">
        <w:rPr>
          <w:noProof/>
        </w:rPr>
        <w:t xml:space="preserve"> </w:t>
      </w:r>
      <w:r w:rsidR="000564A6" w:rsidRPr="009A60D2">
        <w:rPr>
          <w:noProof/>
        </w:rPr>
        <w:t xml:space="preserve">there </w:t>
      </w:r>
      <w:r w:rsidR="00F80C73" w:rsidRPr="009A60D2">
        <w:rPr>
          <w:noProof/>
        </w:rPr>
        <w:t>was an increase</w:t>
      </w:r>
      <w:r w:rsidRPr="009A60D2">
        <w:rPr>
          <w:noProof/>
        </w:rPr>
        <w:t xml:space="preserve"> (see Figure </w:t>
      </w:r>
      <w:r w:rsidR="000564A6" w:rsidRPr="009A60D2">
        <w:rPr>
          <w:noProof/>
        </w:rPr>
        <w:t>3</w:t>
      </w:r>
      <w:r w:rsidRPr="009A60D2">
        <w:rPr>
          <w:noProof/>
        </w:rPr>
        <w:t>)</w:t>
      </w:r>
      <w:r w:rsidR="0001122C" w:rsidRPr="009A60D2">
        <w:rPr>
          <w:noProof/>
        </w:rPr>
        <w:t>.</w:t>
      </w:r>
      <w:r w:rsidR="00983F1E" w:rsidRPr="009A60D2">
        <w:rPr>
          <w:noProof/>
        </w:rPr>
        <w:t xml:space="preserve"> </w:t>
      </w:r>
      <w:r w:rsidR="0001122C" w:rsidRPr="009A60D2">
        <w:rPr>
          <w:noProof/>
        </w:rPr>
        <w:t xml:space="preserve">For standard GSP countries, this decline is primarily the result of a switch </w:t>
      </w:r>
      <w:r w:rsidR="008D6328" w:rsidRPr="009A60D2">
        <w:rPr>
          <w:noProof/>
        </w:rPr>
        <w:t xml:space="preserve">from using GSP preferences </w:t>
      </w:r>
      <w:r w:rsidR="0001122C" w:rsidRPr="009A60D2">
        <w:rPr>
          <w:noProof/>
        </w:rPr>
        <w:t xml:space="preserve">towards </w:t>
      </w:r>
      <w:r w:rsidR="00953D92" w:rsidRPr="009A60D2">
        <w:rPr>
          <w:noProof/>
        </w:rPr>
        <w:t xml:space="preserve">preferential </w:t>
      </w:r>
      <w:r w:rsidR="0001122C" w:rsidRPr="009A60D2">
        <w:rPr>
          <w:noProof/>
        </w:rPr>
        <w:t>trade under FTAs</w:t>
      </w:r>
      <w:r w:rsidR="008D6328" w:rsidRPr="009A60D2">
        <w:rPr>
          <w:noProof/>
        </w:rPr>
        <w:t xml:space="preserve"> with the EU (</w:t>
      </w:r>
      <w:r w:rsidR="000564A6" w:rsidRPr="009A60D2">
        <w:rPr>
          <w:noProof/>
        </w:rPr>
        <w:t>notably Vietnam, see</w:t>
      </w:r>
      <w:r w:rsidR="008D6328" w:rsidRPr="009A60D2">
        <w:rPr>
          <w:noProof/>
        </w:rPr>
        <w:t xml:space="preserve"> below), indicating a more mature and closer bilateral trade and economic relationship. For EBA beneficiaries, the decline indicates the higher vulnerability to external shocks, as noted above</w:t>
      </w:r>
      <w:r w:rsidRPr="009A60D2">
        <w:rPr>
          <w:noProof/>
        </w:rPr>
        <w:t>.</w:t>
      </w:r>
    </w:p>
    <w:p w14:paraId="667DD809" w14:textId="6D0A0FE5" w:rsidR="00073858" w:rsidRPr="00A75CE8" w:rsidRDefault="008D6328" w:rsidP="00857DB9">
      <w:pPr>
        <w:pStyle w:val="Text1"/>
        <w:ind w:left="0"/>
        <w:rPr>
          <w:noProof/>
          <w:lang w:eastAsia="en-US"/>
        </w:rPr>
      </w:pPr>
      <w:bookmarkStart w:id="6" w:name="_Hlk147301326"/>
      <w:r w:rsidRPr="009A60D2">
        <w:rPr>
          <w:noProof/>
        </w:rPr>
        <w:t>The key reason for lower preferential imports under the standard GSP is the increasing importance of EU FTAs with GSP countries</w:t>
      </w:r>
      <w:bookmarkEnd w:id="6"/>
      <w:r w:rsidRPr="009A60D2">
        <w:rPr>
          <w:noProof/>
        </w:rPr>
        <w:t xml:space="preserve">: </w:t>
      </w:r>
      <w:r w:rsidR="007F4F10" w:rsidRPr="009A60D2">
        <w:rPr>
          <w:noProof/>
        </w:rPr>
        <w:t>i</w:t>
      </w:r>
      <w:r w:rsidR="002F1CA7" w:rsidRPr="009A60D2">
        <w:rPr>
          <w:noProof/>
        </w:rPr>
        <w:t>n the period 2019-202</w:t>
      </w:r>
      <w:r w:rsidR="009A60D2" w:rsidRPr="009A60D2">
        <w:rPr>
          <w:noProof/>
        </w:rPr>
        <w:t>2</w:t>
      </w:r>
      <w:r w:rsidR="003737EF" w:rsidRPr="009A60D2">
        <w:rPr>
          <w:noProof/>
        </w:rPr>
        <w:t>,</w:t>
      </w:r>
      <w:r w:rsidR="002F1CA7" w:rsidRPr="009A60D2">
        <w:rPr>
          <w:noProof/>
        </w:rPr>
        <w:t xml:space="preserve"> t</w:t>
      </w:r>
      <w:r w:rsidR="00FB6E6A" w:rsidRPr="009A60D2">
        <w:rPr>
          <w:noProof/>
        </w:rPr>
        <w:t>he share of</w:t>
      </w:r>
      <w:r w:rsidR="002F1CA7" w:rsidRPr="009A60D2">
        <w:rPr>
          <w:noProof/>
        </w:rPr>
        <w:t xml:space="preserve"> preferential imports</w:t>
      </w:r>
      <w:r w:rsidR="00FB6E6A" w:rsidRPr="009A60D2">
        <w:rPr>
          <w:noProof/>
        </w:rPr>
        <w:t xml:space="preserve"> </w:t>
      </w:r>
      <w:r w:rsidR="00B174D5" w:rsidRPr="009A60D2">
        <w:rPr>
          <w:noProof/>
        </w:rPr>
        <w:t xml:space="preserve">from GSP countries </w:t>
      </w:r>
      <w:r w:rsidR="009A452D" w:rsidRPr="009A60D2">
        <w:rPr>
          <w:noProof/>
        </w:rPr>
        <w:t xml:space="preserve">under FTAs </w:t>
      </w:r>
      <w:r w:rsidR="00FB6E6A" w:rsidRPr="009A60D2">
        <w:rPr>
          <w:noProof/>
        </w:rPr>
        <w:t xml:space="preserve">in total EU imports </w:t>
      </w:r>
      <w:r w:rsidR="009A452D" w:rsidRPr="009A60D2">
        <w:rPr>
          <w:noProof/>
        </w:rPr>
        <w:t>has increased from 0.1% to 0.</w:t>
      </w:r>
      <w:r w:rsidR="009A60D2" w:rsidRPr="009A60D2">
        <w:rPr>
          <w:noProof/>
        </w:rPr>
        <w:t>4</w:t>
      </w:r>
      <w:r w:rsidR="009A452D" w:rsidRPr="009A60D2">
        <w:rPr>
          <w:noProof/>
        </w:rPr>
        <w:t>%</w:t>
      </w:r>
      <w:r w:rsidR="00610AB2" w:rsidRPr="009A60D2">
        <w:rPr>
          <w:noProof/>
        </w:rPr>
        <w:t xml:space="preserve"> (</w:t>
      </w:r>
      <w:r w:rsidR="00835208" w:rsidRPr="009A60D2">
        <w:rPr>
          <w:noProof/>
        </w:rPr>
        <w:t xml:space="preserve">see </w:t>
      </w:r>
      <w:r w:rsidR="00610AB2" w:rsidRPr="009A60D2">
        <w:rPr>
          <w:noProof/>
        </w:rPr>
        <w:t>Figure 3)</w:t>
      </w:r>
      <w:r w:rsidR="003737EF" w:rsidRPr="009A60D2">
        <w:rPr>
          <w:noProof/>
        </w:rPr>
        <w:t>.</w:t>
      </w:r>
      <w:r w:rsidR="009A452D" w:rsidRPr="009A60D2">
        <w:rPr>
          <w:noProof/>
        </w:rPr>
        <w:t xml:space="preserve"> In absolute terms, this </w:t>
      </w:r>
      <w:r w:rsidR="002F1CA7" w:rsidRPr="009A60D2">
        <w:rPr>
          <w:noProof/>
        </w:rPr>
        <w:t>wa</w:t>
      </w:r>
      <w:r w:rsidR="009A452D" w:rsidRPr="009A60D2">
        <w:rPr>
          <w:noProof/>
        </w:rPr>
        <w:t xml:space="preserve">s </w:t>
      </w:r>
      <w:r w:rsidR="00B174D5" w:rsidRPr="009A60D2">
        <w:rPr>
          <w:noProof/>
        </w:rPr>
        <w:t xml:space="preserve">a </w:t>
      </w:r>
      <w:r w:rsidR="002F1CA7" w:rsidRPr="009A60D2">
        <w:rPr>
          <w:noProof/>
        </w:rPr>
        <w:t xml:space="preserve">more than </w:t>
      </w:r>
      <w:r w:rsidR="009A60D2" w:rsidRPr="009A60D2">
        <w:rPr>
          <w:noProof/>
        </w:rPr>
        <w:t xml:space="preserve">sixfold </w:t>
      </w:r>
      <w:r w:rsidR="009A452D" w:rsidRPr="009A60D2">
        <w:rPr>
          <w:noProof/>
        </w:rPr>
        <w:t>increase from € 1.7 billion to € </w:t>
      </w:r>
      <w:r w:rsidR="009A60D2" w:rsidRPr="009A60D2">
        <w:rPr>
          <w:noProof/>
        </w:rPr>
        <w:t>11</w:t>
      </w:r>
      <w:r w:rsidR="009A452D" w:rsidRPr="009A60D2">
        <w:rPr>
          <w:noProof/>
        </w:rPr>
        <w:t>.</w:t>
      </w:r>
      <w:r w:rsidR="009A60D2" w:rsidRPr="009A60D2">
        <w:rPr>
          <w:noProof/>
        </w:rPr>
        <w:t>0</w:t>
      </w:r>
      <w:r w:rsidR="009A452D" w:rsidRPr="009A60D2">
        <w:rPr>
          <w:noProof/>
        </w:rPr>
        <w:t xml:space="preserve"> billion, </w:t>
      </w:r>
      <w:r w:rsidR="00233509">
        <w:rPr>
          <w:noProof/>
        </w:rPr>
        <w:t>largely</w:t>
      </w:r>
      <w:r w:rsidR="009A452D" w:rsidRPr="009A60D2">
        <w:rPr>
          <w:noProof/>
        </w:rPr>
        <w:t xml:space="preserve"> explaining the reduction of GSP </w:t>
      </w:r>
      <w:r w:rsidR="00B174D5" w:rsidRPr="009A60D2">
        <w:rPr>
          <w:noProof/>
        </w:rPr>
        <w:t xml:space="preserve">preference </w:t>
      </w:r>
      <w:r w:rsidR="009A452D" w:rsidRPr="009A60D2">
        <w:rPr>
          <w:noProof/>
        </w:rPr>
        <w:t>shares.</w:t>
      </w:r>
      <w:r w:rsidR="00F32975" w:rsidRPr="009A60D2">
        <w:rPr>
          <w:noProof/>
        </w:rPr>
        <w:t xml:space="preserve"> This is also an effect of the FTA with Vietnam</w:t>
      </w:r>
      <w:r w:rsidR="000564A6" w:rsidRPr="009A60D2">
        <w:rPr>
          <w:noProof/>
        </w:rPr>
        <w:t xml:space="preserve"> in particular</w:t>
      </w:r>
      <w:r w:rsidR="00F32975" w:rsidRPr="009A60D2">
        <w:rPr>
          <w:noProof/>
        </w:rPr>
        <w:t>.</w:t>
      </w:r>
      <w:r w:rsidR="00CC2627" w:rsidRPr="009A60D2">
        <w:rPr>
          <w:noProof/>
        </w:rPr>
        <w:t xml:space="preserve"> </w:t>
      </w:r>
      <w:r w:rsidR="009A452D" w:rsidRPr="009A60D2">
        <w:rPr>
          <w:noProof/>
        </w:rPr>
        <w:t xml:space="preserve">It is </w:t>
      </w:r>
      <w:r w:rsidR="007F4F10" w:rsidRPr="009A60D2">
        <w:rPr>
          <w:noProof/>
        </w:rPr>
        <w:t xml:space="preserve">moreover </w:t>
      </w:r>
      <w:r w:rsidR="009A452D" w:rsidRPr="009A60D2">
        <w:rPr>
          <w:noProof/>
        </w:rPr>
        <w:t xml:space="preserve">visible that </w:t>
      </w:r>
      <w:r w:rsidR="00321189" w:rsidRPr="009A60D2">
        <w:rPr>
          <w:noProof/>
        </w:rPr>
        <w:t xml:space="preserve">EU imports of goods </w:t>
      </w:r>
      <w:r w:rsidR="003737EF" w:rsidRPr="009A60D2">
        <w:rPr>
          <w:noProof/>
        </w:rPr>
        <w:t xml:space="preserve">from GSP beneficiaries </w:t>
      </w:r>
      <w:r w:rsidR="00321189" w:rsidRPr="009A60D2">
        <w:rPr>
          <w:noProof/>
        </w:rPr>
        <w:t xml:space="preserve">that have a </w:t>
      </w:r>
      <w:r w:rsidR="003737EF" w:rsidRPr="009A60D2">
        <w:rPr>
          <w:noProof/>
        </w:rPr>
        <w:t xml:space="preserve">zero </w:t>
      </w:r>
      <w:r w:rsidR="009A452D" w:rsidRPr="009A60D2">
        <w:rPr>
          <w:noProof/>
        </w:rPr>
        <w:t>MFN</w:t>
      </w:r>
      <w:r w:rsidR="00321189" w:rsidRPr="009A60D2">
        <w:rPr>
          <w:noProof/>
        </w:rPr>
        <w:t xml:space="preserve"> tariff </w:t>
      </w:r>
      <w:r w:rsidR="0019072E" w:rsidRPr="009A60D2">
        <w:rPr>
          <w:noProof/>
        </w:rPr>
        <w:t>have</w:t>
      </w:r>
      <w:r w:rsidR="009A452D" w:rsidRPr="009A60D2">
        <w:rPr>
          <w:noProof/>
        </w:rPr>
        <w:t xml:space="preserve"> </w:t>
      </w:r>
      <w:r w:rsidR="009A60D2" w:rsidRPr="009A60D2">
        <w:rPr>
          <w:noProof/>
        </w:rPr>
        <w:t xml:space="preserve">increased compared to </w:t>
      </w:r>
      <w:r w:rsidR="003737EF" w:rsidRPr="009A60D2">
        <w:rPr>
          <w:noProof/>
        </w:rPr>
        <w:t>their</w:t>
      </w:r>
      <w:r w:rsidR="009A452D" w:rsidRPr="009A60D2">
        <w:rPr>
          <w:noProof/>
        </w:rPr>
        <w:t xml:space="preserve"> pre-pandemic share in total </w:t>
      </w:r>
      <w:r w:rsidR="00CA6DB7" w:rsidRPr="009A60D2">
        <w:rPr>
          <w:noProof/>
        </w:rPr>
        <w:t xml:space="preserve">EU </w:t>
      </w:r>
      <w:r w:rsidR="009A452D" w:rsidRPr="009A60D2">
        <w:rPr>
          <w:noProof/>
        </w:rPr>
        <w:t>imports</w:t>
      </w:r>
      <w:r w:rsidR="00CA6DB7" w:rsidRPr="009A60D2">
        <w:rPr>
          <w:noProof/>
        </w:rPr>
        <w:t>,</w:t>
      </w:r>
      <w:r w:rsidR="009A452D" w:rsidRPr="009A60D2">
        <w:rPr>
          <w:noProof/>
        </w:rPr>
        <w:t xml:space="preserve"> </w:t>
      </w:r>
      <w:r w:rsidR="009A60D2" w:rsidRPr="009A60D2">
        <w:rPr>
          <w:noProof/>
        </w:rPr>
        <w:t xml:space="preserve">reaching </w:t>
      </w:r>
      <w:r w:rsidR="009A452D" w:rsidRPr="009A60D2">
        <w:rPr>
          <w:noProof/>
        </w:rPr>
        <w:t>4.</w:t>
      </w:r>
      <w:r w:rsidR="009A60D2" w:rsidRPr="009A60D2">
        <w:rPr>
          <w:noProof/>
        </w:rPr>
        <w:t>7</w:t>
      </w:r>
      <w:r w:rsidR="009A452D" w:rsidRPr="009A60D2">
        <w:rPr>
          <w:noProof/>
        </w:rPr>
        <w:t>% in 202</w:t>
      </w:r>
      <w:r w:rsidR="009A60D2" w:rsidRPr="009A60D2">
        <w:rPr>
          <w:noProof/>
        </w:rPr>
        <w:t>2</w:t>
      </w:r>
      <w:r w:rsidR="009A452D" w:rsidRPr="009A60D2">
        <w:rPr>
          <w:noProof/>
        </w:rPr>
        <w:t xml:space="preserve">. </w:t>
      </w:r>
      <w:r w:rsidR="009A60D2" w:rsidRPr="009A60D2">
        <w:rPr>
          <w:noProof/>
        </w:rPr>
        <w:t xml:space="preserve">The share </w:t>
      </w:r>
      <w:r w:rsidR="009A452D" w:rsidRPr="009A60D2">
        <w:rPr>
          <w:noProof/>
        </w:rPr>
        <w:t xml:space="preserve">of EU imports from GSP countries </w:t>
      </w:r>
      <w:r w:rsidR="009A60D2" w:rsidRPr="009A60D2">
        <w:rPr>
          <w:noProof/>
        </w:rPr>
        <w:t xml:space="preserve">that </w:t>
      </w:r>
      <w:r w:rsidR="009A452D" w:rsidRPr="009A60D2">
        <w:rPr>
          <w:noProof/>
        </w:rPr>
        <w:t xml:space="preserve">benefitted from </w:t>
      </w:r>
      <w:r w:rsidR="00FB6E6A" w:rsidRPr="009A60D2">
        <w:rPr>
          <w:noProof/>
        </w:rPr>
        <w:t xml:space="preserve">reduced </w:t>
      </w:r>
      <w:r w:rsidR="009A452D" w:rsidRPr="009A60D2">
        <w:rPr>
          <w:noProof/>
        </w:rPr>
        <w:t>or zero tariffs</w:t>
      </w:r>
      <w:r w:rsidR="009A60D2" w:rsidRPr="009A60D2">
        <w:rPr>
          <w:noProof/>
        </w:rPr>
        <w:t xml:space="preserve"> </w:t>
      </w:r>
      <w:r w:rsidR="008F5132" w:rsidRPr="009A60D2">
        <w:rPr>
          <w:noProof/>
        </w:rPr>
        <w:t>remained</w:t>
      </w:r>
      <w:r w:rsidR="00321189" w:rsidRPr="009A60D2">
        <w:rPr>
          <w:noProof/>
        </w:rPr>
        <w:t xml:space="preserve"> </w:t>
      </w:r>
      <w:r w:rsidR="009A60D2" w:rsidRPr="009A60D2">
        <w:rPr>
          <w:noProof/>
        </w:rPr>
        <w:t>almost constant over the reporting period and was 87% both in 2019 and 2022</w:t>
      </w:r>
      <w:r w:rsidR="009A452D" w:rsidRPr="009A60D2">
        <w:rPr>
          <w:noProof/>
        </w:rPr>
        <w:t>.</w:t>
      </w:r>
      <w:r w:rsidR="00F32975">
        <w:rPr>
          <w:noProof/>
        </w:rPr>
        <w:t xml:space="preserve"> </w:t>
      </w:r>
    </w:p>
    <w:p w14:paraId="32F16575" w14:textId="741E85DC" w:rsidR="006B5E57" w:rsidRPr="00835B2F" w:rsidRDefault="008173E0" w:rsidP="00656571">
      <w:pPr>
        <w:pStyle w:val="Text1"/>
        <w:spacing w:after="120"/>
        <w:ind w:left="0"/>
        <w:rPr>
          <w:bCs/>
          <w:i/>
          <w:noProof/>
        </w:rPr>
      </w:pPr>
      <w:r w:rsidRPr="00D148D9">
        <w:rPr>
          <w:bCs/>
          <w:noProof/>
        </w:rPr>
        <w:t xml:space="preserve">Preference utilisation </w:t>
      </w:r>
      <w:r w:rsidR="00463167" w:rsidRPr="00D148D9">
        <w:rPr>
          <w:bCs/>
          <w:noProof/>
        </w:rPr>
        <w:t>for imports from</w:t>
      </w:r>
      <w:r w:rsidRPr="00D148D9">
        <w:rPr>
          <w:bCs/>
          <w:noProof/>
        </w:rPr>
        <w:t xml:space="preserve"> standard GSP </w:t>
      </w:r>
      <w:r w:rsidR="00321189" w:rsidRPr="00D148D9">
        <w:rPr>
          <w:bCs/>
          <w:noProof/>
        </w:rPr>
        <w:t xml:space="preserve">beneficiaries </w:t>
      </w:r>
      <w:r w:rsidRPr="00D148D9">
        <w:rPr>
          <w:bCs/>
          <w:noProof/>
        </w:rPr>
        <w:t>declined</w:t>
      </w:r>
      <w:r w:rsidR="00463167" w:rsidRPr="00D148D9">
        <w:rPr>
          <w:bCs/>
          <w:noProof/>
        </w:rPr>
        <w:t xml:space="preserve"> between 2019 and 202</w:t>
      </w:r>
      <w:r w:rsidR="00E315C6">
        <w:rPr>
          <w:bCs/>
          <w:noProof/>
        </w:rPr>
        <w:t>2</w:t>
      </w:r>
      <w:r w:rsidR="00E96D0E" w:rsidRPr="00D148D9">
        <w:rPr>
          <w:bCs/>
          <w:noProof/>
        </w:rPr>
        <w:t xml:space="preserve"> (Figure </w:t>
      </w:r>
      <w:r w:rsidR="00232BEA">
        <w:rPr>
          <w:bCs/>
          <w:noProof/>
        </w:rPr>
        <w:t>4</w:t>
      </w:r>
      <w:r w:rsidR="00E96D0E" w:rsidRPr="00D148D9">
        <w:rPr>
          <w:bCs/>
          <w:noProof/>
        </w:rPr>
        <w:t>)</w:t>
      </w:r>
      <w:r w:rsidR="00463167" w:rsidRPr="00D148D9">
        <w:rPr>
          <w:bCs/>
          <w:noProof/>
        </w:rPr>
        <w:t>. This</w:t>
      </w:r>
      <w:r w:rsidRPr="00D148D9">
        <w:rPr>
          <w:bCs/>
          <w:noProof/>
        </w:rPr>
        <w:t xml:space="preserve"> led to a</w:t>
      </w:r>
      <w:r w:rsidR="00463167" w:rsidRPr="00D148D9">
        <w:rPr>
          <w:bCs/>
          <w:noProof/>
        </w:rPr>
        <w:t>n increase of the relative share</w:t>
      </w:r>
      <w:r w:rsidRPr="00D148D9">
        <w:rPr>
          <w:bCs/>
          <w:noProof/>
        </w:rPr>
        <w:t xml:space="preserve"> of </w:t>
      </w:r>
      <w:r w:rsidR="00E96D0E" w:rsidRPr="00D148D9">
        <w:rPr>
          <w:bCs/>
          <w:noProof/>
        </w:rPr>
        <w:t xml:space="preserve">preferential </w:t>
      </w:r>
      <w:r w:rsidRPr="00D148D9">
        <w:rPr>
          <w:bCs/>
          <w:noProof/>
        </w:rPr>
        <w:t xml:space="preserve">imports from </w:t>
      </w:r>
      <w:r w:rsidR="000E20FC">
        <w:rPr>
          <w:bCs/>
          <w:noProof/>
        </w:rPr>
        <w:t xml:space="preserve">GSP+ and </w:t>
      </w:r>
      <w:r w:rsidR="00E315C6">
        <w:rPr>
          <w:bCs/>
          <w:noProof/>
        </w:rPr>
        <w:t>EBA</w:t>
      </w:r>
      <w:r w:rsidRPr="00D148D9">
        <w:rPr>
          <w:bCs/>
          <w:noProof/>
        </w:rPr>
        <w:t xml:space="preserve"> countries</w:t>
      </w:r>
      <w:r w:rsidR="00E96D0E" w:rsidRPr="00D148D9">
        <w:rPr>
          <w:bCs/>
          <w:noProof/>
        </w:rPr>
        <w:t xml:space="preserve"> </w:t>
      </w:r>
      <w:r w:rsidR="006B5E57" w:rsidRPr="00D148D9">
        <w:rPr>
          <w:bCs/>
          <w:noProof/>
        </w:rPr>
        <w:t xml:space="preserve">among all GSP beneficiaries </w:t>
      </w:r>
      <w:r w:rsidR="00E96D0E" w:rsidRPr="00D148D9">
        <w:rPr>
          <w:bCs/>
          <w:noProof/>
        </w:rPr>
        <w:t xml:space="preserve">(Figure </w:t>
      </w:r>
      <w:r w:rsidR="00232BEA">
        <w:rPr>
          <w:bCs/>
          <w:noProof/>
        </w:rPr>
        <w:t>5</w:t>
      </w:r>
      <w:r w:rsidR="00E96D0E" w:rsidRPr="00D148D9">
        <w:rPr>
          <w:bCs/>
          <w:noProof/>
        </w:rPr>
        <w:t>)</w:t>
      </w:r>
      <w:r w:rsidRPr="00D148D9">
        <w:rPr>
          <w:bCs/>
          <w:noProof/>
        </w:rPr>
        <w:t>.</w:t>
      </w:r>
      <w:r w:rsidR="00530737">
        <w:rPr>
          <w:noProof/>
        </w:rPr>
        <w:t xml:space="preserve"> The decline in the utili</w:t>
      </w:r>
      <w:r w:rsidR="001B1371">
        <w:rPr>
          <w:noProof/>
        </w:rPr>
        <w:t>s</w:t>
      </w:r>
      <w:r w:rsidR="00530737">
        <w:rPr>
          <w:noProof/>
        </w:rPr>
        <w:t xml:space="preserve">ation of standard GSP preferences </w:t>
      </w:r>
      <w:r w:rsidR="001F6C2C">
        <w:rPr>
          <w:noProof/>
        </w:rPr>
        <w:t>is largely</w:t>
      </w:r>
      <w:r w:rsidR="00530737">
        <w:rPr>
          <w:noProof/>
        </w:rPr>
        <w:t xml:space="preserve"> explained by the availability of</w:t>
      </w:r>
      <w:r w:rsidR="0070781F">
        <w:rPr>
          <w:noProof/>
        </w:rPr>
        <w:t xml:space="preserve"> MFN zero duties or</w:t>
      </w:r>
      <w:r w:rsidR="00530737">
        <w:rPr>
          <w:noProof/>
        </w:rPr>
        <w:t xml:space="preserve"> </w:t>
      </w:r>
      <w:r w:rsidR="00530737" w:rsidRPr="00D54237">
        <w:rPr>
          <w:iCs/>
          <w:noProof/>
        </w:rPr>
        <w:t>other</w:t>
      </w:r>
      <w:r w:rsidR="00530737">
        <w:rPr>
          <w:noProof/>
        </w:rPr>
        <w:t xml:space="preserve"> preferences </w:t>
      </w:r>
      <w:r w:rsidR="001F6C2C">
        <w:rPr>
          <w:noProof/>
        </w:rPr>
        <w:t xml:space="preserve">than GSP </w:t>
      </w:r>
      <w:r w:rsidR="00530737">
        <w:rPr>
          <w:noProof/>
        </w:rPr>
        <w:t xml:space="preserve">for products which are </w:t>
      </w:r>
      <w:r w:rsidR="001F6C2C">
        <w:rPr>
          <w:noProof/>
        </w:rPr>
        <w:t xml:space="preserve">also </w:t>
      </w:r>
      <w:r w:rsidR="00530737">
        <w:rPr>
          <w:noProof/>
        </w:rPr>
        <w:t>eligible for standard GSP preferences</w:t>
      </w:r>
      <w:r w:rsidR="003737EF">
        <w:rPr>
          <w:noProof/>
        </w:rPr>
        <w:t xml:space="preserve">, such as </w:t>
      </w:r>
      <w:r w:rsidR="00A75CE8">
        <w:rPr>
          <w:noProof/>
        </w:rPr>
        <w:t xml:space="preserve">the transition to </w:t>
      </w:r>
      <w:r w:rsidR="003737EF">
        <w:rPr>
          <w:noProof/>
        </w:rPr>
        <w:t>FTAs</w:t>
      </w:r>
      <w:r w:rsidR="00A75CE8">
        <w:rPr>
          <w:noProof/>
        </w:rPr>
        <w:t>, by which the EU steps up it</w:t>
      </w:r>
      <w:r w:rsidR="00610AB2">
        <w:rPr>
          <w:noProof/>
        </w:rPr>
        <w:t>s</w:t>
      </w:r>
      <w:r w:rsidR="00A75CE8">
        <w:rPr>
          <w:noProof/>
        </w:rPr>
        <w:t xml:space="preserve"> engagement with the beneficiary country</w:t>
      </w:r>
      <w:r w:rsidR="00530737">
        <w:rPr>
          <w:noProof/>
        </w:rPr>
        <w:t>. The use of preferences</w:t>
      </w:r>
      <w:r w:rsidR="001F6C2C">
        <w:rPr>
          <w:noProof/>
        </w:rPr>
        <w:t xml:space="preserve"> by </w:t>
      </w:r>
      <w:r w:rsidR="00232BEA">
        <w:rPr>
          <w:noProof/>
        </w:rPr>
        <w:t xml:space="preserve">other </w:t>
      </w:r>
      <w:r w:rsidR="001F6C2C">
        <w:rPr>
          <w:noProof/>
        </w:rPr>
        <w:t>GSP beneficiaries</w:t>
      </w:r>
      <w:r w:rsidR="00530737">
        <w:rPr>
          <w:noProof/>
        </w:rPr>
        <w:t xml:space="preserve"> </w:t>
      </w:r>
      <w:r w:rsidR="00232BEA">
        <w:rPr>
          <w:noProof/>
        </w:rPr>
        <w:t>remained stable</w:t>
      </w:r>
      <w:r w:rsidR="00530737">
        <w:rPr>
          <w:noProof/>
        </w:rPr>
        <w:t xml:space="preserve"> over the same </w:t>
      </w:r>
      <w:r w:rsidR="001F6C2C">
        <w:rPr>
          <w:noProof/>
        </w:rPr>
        <w:t>period</w:t>
      </w:r>
      <w:r w:rsidR="00530737">
        <w:rPr>
          <w:noProof/>
        </w:rPr>
        <w:t xml:space="preserve">. </w:t>
      </w:r>
    </w:p>
    <w:tbl>
      <w:tblPr>
        <w:tblStyle w:val="CV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309"/>
      </w:tblGrid>
      <w:tr w:rsidR="007D6B33" w:rsidRPr="00AD549E" w14:paraId="79AAD10D" w14:textId="77777777" w:rsidTr="00992D45">
        <w:tc>
          <w:tcPr>
            <w:tcW w:w="4437" w:type="dxa"/>
            <w:tcBorders>
              <w:bottom w:val="single" w:sz="4" w:space="0" w:color="4F81BD" w:themeColor="accent1"/>
            </w:tcBorders>
          </w:tcPr>
          <w:p w14:paraId="71CE10A5" w14:textId="3A0BFFB5" w:rsidR="007D6B33" w:rsidRPr="00AD549E" w:rsidRDefault="007D6B33" w:rsidP="00AD549E">
            <w:pPr>
              <w:keepNext/>
              <w:spacing w:before="120" w:after="120"/>
              <w:jc w:val="left"/>
              <w:rPr>
                <w:i/>
                <w:iCs/>
                <w:noProof/>
                <w:color w:val="365F91" w:themeColor="accent1" w:themeShade="BF"/>
                <w:lang w:eastAsia="en-US"/>
              </w:rPr>
            </w:pPr>
            <w:bookmarkStart w:id="7" w:name="_Ref118968959"/>
            <w:bookmarkStart w:id="8" w:name="_Toc119052776"/>
            <w:r w:rsidRPr="00AD549E">
              <w:rPr>
                <w:i/>
                <w:iCs/>
                <w:noProof/>
                <w:color w:val="365F91" w:themeColor="accent1" w:themeShade="BF"/>
                <w:lang w:eastAsia="en-US"/>
              </w:rPr>
              <w:t xml:space="preserve">Figure </w:t>
            </w:r>
            <w:bookmarkEnd w:id="7"/>
            <w:r w:rsidR="0019072E" w:rsidRPr="00AD549E">
              <w:rPr>
                <w:i/>
                <w:iCs/>
                <w:noProof/>
                <w:color w:val="365F91" w:themeColor="accent1" w:themeShade="BF"/>
                <w:lang w:eastAsia="en-US"/>
              </w:rPr>
              <w:t>4</w:t>
            </w:r>
            <w:r w:rsidRPr="00AD549E">
              <w:rPr>
                <w:i/>
                <w:iCs/>
                <w:noProof/>
                <w:color w:val="365F91" w:themeColor="accent1" w:themeShade="BF"/>
                <w:lang w:eastAsia="en-US"/>
              </w:rPr>
              <w:t xml:space="preserve">: GSP </w:t>
            </w:r>
            <w:r w:rsidR="0019072E" w:rsidRPr="00AD549E">
              <w:rPr>
                <w:i/>
                <w:iCs/>
                <w:noProof/>
                <w:color w:val="365F91" w:themeColor="accent1" w:themeShade="BF"/>
                <w:lang w:eastAsia="en-US"/>
              </w:rPr>
              <w:t xml:space="preserve">preferences </w:t>
            </w:r>
            <w:r w:rsidR="0023448B">
              <w:rPr>
                <w:i/>
                <w:iCs/>
                <w:noProof/>
                <w:color w:val="365F91" w:themeColor="accent1" w:themeShade="BF"/>
                <w:lang w:eastAsia="en-US"/>
              </w:rPr>
              <w:t>utilisation by arrangement, 2019-2022</w:t>
            </w:r>
            <w:bookmarkEnd w:id="8"/>
            <w:r w:rsidR="00AD549E">
              <w:rPr>
                <w:i/>
                <w:iCs/>
                <w:noProof/>
                <w:color w:val="365F91" w:themeColor="accent1" w:themeShade="BF"/>
                <w:lang w:eastAsia="en-US"/>
              </w:rPr>
              <w:t xml:space="preserve"> (%)</w:t>
            </w:r>
          </w:p>
        </w:tc>
        <w:tc>
          <w:tcPr>
            <w:tcW w:w="4396" w:type="dxa"/>
            <w:tcBorders>
              <w:bottom w:val="single" w:sz="4" w:space="0" w:color="4F81BD" w:themeColor="accent1"/>
            </w:tcBorders>
          </w:tcPr>
          <w:p w14:paraId="09616D4D" w14:textId="621C52FA" w:rsidR="007D6B33" w:rsidRPr="00AD549E" w:rsidRDefault="007D6B33" w:rsidP="00AD549E">
            <w:pPr>
              <w:keepNext/>
              <w:spacing w:before="120" w:after="120"/>
              <w:jc w:val="left"/>
              <w:rPr>
                <w:i/>
                <w:iCs/>
                <w:noProof/>
                <w:color w:val="365F91" w:themeColor="accent1" w:themeShade="BF"/>
                <w:lang w:eastAsia="en-US"/>
              </w:rPr>
            </w:pPr>
            <w:bookmarkStart w:id="9" w:name="_Ref118969202"/>
            <w:bookmarkStart w:id="10" w:name="_Toc119052777"/>
            <w:r w:rsidRPr="00AD549E">
              <w:rPr>
                <w:i/>
                <w:iCs/>
                <w:noProof/>
                <w:color w:val="365F91" w:themeColor="accent1" w:themeShade="BF"/>
                <w:lang w:eastAsia="en-US"/>
              </w:rPr>
              <w:t xml:space="preserve">Figure </w:t>
            </w:r>
            <w:bookmarkEnd w:id="9"/>
            <w:r w:rsidR="0019072E" w:rsidRPr="00AD549E">
              <w:rPr>
                <w:i/>
                <w:iCs/>
                <w:noProof/>
                <w:color w:val="365F91" w:themeColor="accent1" w:themeShade="BF"/>
                <w:lang w:eastAsia="en-US"/>
              </w:rPr>
              <w:t>5</w:t>
            </w:r>
            <w:r w:rsidRPr="00AD549E">
              <w:rPr>
                <w:i/>
                <w:iCs/>
                <w:noProof/>
                <w:color w:val="365F91" w:themeColor="accent1" w:themeShade="BF"/>
                <w:lang w:eastAsia="en-US"/>
              </w:rPr>
              <w:t xml:space="preserve">: </w:t>
            </w:r>
            <w:bookmarkEnd w:id="10"/>
            <w:r w:rsidR="00AD549E">
              <w:rPr>
                <w:i/>
                <w:iCs/>
                <w:noProof/>
                <w:color w:val="365F91" w:themeColor="accent1" w:themeShade="BF"/>
                <w:lang w:eastAsia="en-US"/>
              </w:rPr>
              <w:t>GSP preferential imports</w:t>
            </w:r>
            <w:r w:rsidR="0023448B">
              <w:rPr>
                <w:i/>
                <w:iCs/>
                <w:noProof/>
                <w:color w:val="365F91" w:themeColor="accent1" w:themeShade="BF"/>
                <w:lang w:eastAsia="en-US"/>
              </w:rPr>
              <w:t xml:space="preserve"> by arrangement, 2019-2022 (</w:t>
            </w:r>
            <w:r w:rsidR="00AD549E">
              <w:rPr>
                <w:i/>
                <w:iCs/>
                <w:noProof/>
                <w:color w:val="365F91" w:themeColor="accent1" w:themeShade="BF"/>
                <w:lang w:eastAsia="en-US"/>
              </w:rPr>
              <w:t xml:space="preserve"> € billion</w:t>
            </w:r>
            <w:r w:rsidR="0023448B">
              <w:rPr>
                <w:i/>
                <w:iCs/>
                <w:noProof/>
                <w:color w:val="365F91" w:themeColor="accent1" w:themeShade="BF"/>
                <w:lang w:eastAsia="en-US"/>
              </w:rPr>
              <w:t xml:space="preserve"> and share in total GSP imports</w:t>
            </w:r>
            <w:r w:rsidR="00AD549E">
              <w:rPr>
                <w:i/>
                <w:iCs/>
                <w:noProof/>
                <w:color w:val="365F91" w:themeColor="accent1" w:themeShade="BF"/>
                <w:lang w:eastAsia="en-US"/>
              </w:rPr>
              <w:t>)</w:t>
            </w:r>
          </w:p>
        </w:tc>
      </w:tr>
      <w:tr w:rsidR="007D6B33" w:rsidRPr="007D6B33" w14:paraId="656574FD" w14:textId="77777777" w:rsidTr="00992D45">
        <w:tc>
          <w:tcPr>
            <w:tcW w:w="443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22D4C3" w14:textId="0B239AAA" w:rsidR="007D6B33" w:rsidRPr="007D6B33" w:rsidRDefault="00E315C6" w:rsidP="00992D45">
            <w:pPr>
              <w:spacing w:before="20" w:after="20"/>
              <w:jc w:val="left"/>
              <w:rPr>
                <w:noProof/>
              </w:rPr>
            </w:pPr>
            <w:r>
              <w:rPr>
                <w:noProof/>
              </w:rPr>
              <w:drawing>
                <wp:inline distT="0" distB="0" distL="0" distR="0" wp14:anchorId="44554CF7" wp14:editId="177682B7">
                  <wp:extent cx="2808000" cy="2520000"/>
                  <wp:effectExtent l="0" t="0" r="0" b="0"/>
                  <wp:docPr id="1311683843" name="Diagramm 1">
                    <a:extLst xmlns:a="http://schemas.openxmlformats.org/drawingml/2006/main">
                      <a:ext uri="{FF2B5EF4-FFF2-40B4-BE49-F238E27FC236}">
                        <a16:creationId xmlns:a16="http://schemas.microsoft.com/office/drawing/2014/main" id="{58F773C4-9966-4A1E-8FF0-438FEB502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3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8490C31" w14:textId="03F1701D" w:rsidR="007D6B33" w:rsidRPr="007D6B33" w:rsidRDefault="00E315C6" w:rsidP="00992D45">
            <w:pPr>
              <w:spacing w:before="20" w:after="20"/>
              <w:jc w:val="left"/>
              <w:rPr>
                <w:noProof/>
              </w:rPr>
            </w:pPr>
            <w:r>
              <w:rPr>
                <w:noProof/>
              </w:rPr>
              <w:drawing>
                <wp:inline distT="0" distB="0" distL="0" distR="0" wp14:anchorId="23C6D1CA" wp14:editId="1D6AEF14">
                  <wp:extent cx="2808000" cy="2520000"/>
                  <wp:effectExtent l="0" t="0" r="0" b="0"/>
                  <wp:docPr id="1213341778" name="Diagramm 1">
                    <a:extLst xmlns:a="http://schemas.openxmlformats.org/drawingml/2006/main">
                      <a:ext uri="{FF2B5EF4-FFF2-40B4-BE49-F238E27FC236}">
                        <a16:creationId xmlns:a16="http://schemas.microsoft.com/office/drawing/2014/main" id="{0F599B4F-125F-440B-A687-AD0E52DBD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045E8CD" w14:textId="6EBE6588" w:rsidR="008F5132" w:rsidRDefault="00AD549E" w:rsidP="00320356">
      <w:pPr>
        <w:pStyle w:val="Text1"/>
        <w:ind w:left="0"/>
        <w:rPr>
          <w:bCs/>
          <w:noProof/>
        </w:rPr>
      </w:pPr>
      <w:r>
        <w:rPr>
          <w:noProof/>
        </w:rPr>
        <w:br/>
      </w:r>
      <w:bookmarkStart w:id="11" w:name="_Hlk147301823"/>
      <w:r w:rsidR="00E25B68" w:rsidRPr="00D148D9">
        <w:rPr>
          <w:noProof/>
        </w:rPr>
        <w:t xml:space="preserve">Most </w:t>
      </w:r>
      <w:r w:rsidR="003F0BFA" w:rsidRPr="00D148D9">
        <w:rPr>
          <w:noProof/>
        </w:rPr>
        <w:t xml:space="preserve">EU </w:t>
      </w:r>
      <w:r w:rsidR="001F6C2C" w:rsidRPr="00D148D9">
        <w:rPr>
          <w:noProof/>
        </w:rPr>
        <w:t xml:space="preserve">imports from GSP beneficiaries </w:t>
      </w:r>
      <w:r w:rsidR="00E25B68" w:rsidRPr="00D148D9">
        <w:rPr>
          <w:noProof/>
        </w:rPr>
        <w:t xml:space="preserve">come from </w:t>
      </w:r>
      <w:r w:rsidR="00E96D0E" w:rsidRPr="00D148D9">
        <w:rPr>
          <w:noProof/>
        </w:rPr>
        <w:t xml:space="preserve">a limited number of </w:t>
      </w:r>
      <w:r w:rsidR="00E25B68" w:rsidRPr="00D148D9">
        <w:rPr>
          <w:noProof/>
        </w:rPr>
        <w:t xml:space="preserve">countries, and performance </w:t>
      </w:r>
      <w:r w:rsidR="00755FB4">
        <w:rPr>
          <w:noProof/>
        </w:rPr>
        <w:t>since 2019</w:t>
      </w:r>
      <w:r w:rsidR="00E25B68" w:rsidRPr="00D148D9">
        <w:rPr>
          <w:noProof/>
        </w:rPr>
        <w:t xml:space="preserve"> has been heterogeneous across beneficiary </w:t>
      </w:r>
      <w:r w:rsidR="00831CED" w:rsidRPr="00D148D9">
        <w:rPr>
          <w:noProof/>
        </w:rPr>
        <w:t>group</w:t>
      </w:r>
      <w:r w:rsidR="00E96D0E" w:rsidRPr="00D148D9">
        <w:rPr>
          <w:noProof/>
        </w:rPr>
        <w:t xml:space="preserve"> </w:t>
      </w:r>
      <w:r w:rsidR="00DF3C56">
        <w:rPr>
          <w:noProof/>
        </w:rPr>
        <w:t xml:space="preserve">and beneficiaries </w:t>
      </w:r>
      <w:r w:rsidR="00E96D0E" w:rsidRPr="00D148D9">
        <w:rPr>
          <w:noProof/>
        </w:rPr>
        <w:t xml:space="preserve">(Figure </w:t>
      </w:r>
      <w:r w:rsidR="00215A93" w:rsidRPr="00D148D9">
        <w:rPr>
          <w:noProof/>
        </w:rPr>
        <w:t>6</w:t>
      </w:r>
      <w:r w:rsidR="00E96D0E" w:rsidRPr="00D148D9">
        <w:rPr>
          <w:noProof/>
        </w:rPr>
        <w:t>)</w:t>
      </w:r>
      <w:r w:rsidR="009E4864" w:rsidRPr="00D148D9">
        <w:rPr>
          <w:noProof/>
        </w:rPr>
        <w:t>.</w:t>
      </w:r>
      <w:r w:rsidR="009E4864">
        <w:rPr>
          <w:b/>
          <w:bCs/>
          <w:noProof/>
        </w:rPr>
        <w:t xml:space="preserve"> </w:t>
      </w:r>
      <w:r w:rsidR="003737EF" w:rsidRPr="00EC4BCE">
        <w:rPr>
          <w:noProof/>
        </w:rPr>
        <w:t>There are large</w:t>
      </w:r>
      <w:r w:rsidR="003737EF">
        <w:rPr>
          <w:b/>
          <w:bCs/>
          <w:noProof/>
        </w:rPr>
        <w:t xml:space="preserve"> </w:t>
      </w:r>
      <w:r w:rsidR="003737EF">
        <w:rPr>
          <w:noProof/>
        </w:rPr>
        <w:t>d</w:t>
      </w:r>
      <w:r w:rsidR="001B33B2">
        <w:rPr>
          <w:noProof/>
        </w:rPr>
        <w:t>ifferences</w:t>
      </w:r>
      <w:r w:rsidR="003737EF">
        <w:rPr>
          <w:noProof/>
        </w:rPr>
        <w:t xml:space="preserve"> between beneficiary countries</w:t>
      </w:r>
      <w:r w:rsidR="001B33B2">
        <w:rPr>
          <w:noProof/>
        </w:rPr>
        <w:t xml:space="preserve"> </w:t>
      </w:r>
      <w:r w:rsidR="000564A6">
        <w:rPr>
          <w:noProof/>
        </w:rPr>
        <w:t xml:space="preserve">regarding </w:t>
      </w:r>
      <w:r w:rsidR="00E96D0E">
        <w:rPr>
          <w:noProof/>
        </w:rPr>
        <w:t xml:space="preserve">EU </w:t>
      </w:r>
      <w:r w:rsidR="001B33B2">
        <w:rPr>
          <w:noProof/>
        </w:rPr>
        <w:t xml:space="preserve">imports </w:t>
      </w:r>
      <w:r w:rsidR="00E96D0E">
        <w:rPr>
          <w:noProof/>
        </w:rPr>
        <w:t xml:space="preserve">for which GSP preferences were </w:t>
      </w:r>
      <w:r w:rsidR="00C04F4A">
        <w:rPr>
          <w:noProof/>
        </w:rPr>
        <w:t xml:space="preserve">effectively </w:t>
      </w:r>
      <w:r w:rsidR="00E96D0E">
        <w:rPr>
          <w:noProof/>
        </w:rPr>
        <w:t xml:space="preserve">used </w:t>
      </w:r>
      <w:r w:rsidR="00835B2F">
        <w:rPr>
          <w:noProof/>
        </w:rPr>
        <w:t xml:space="preserve">between </w:t>
      </w:r>
      <w:r w:rsidR="001B33B2">
        <w:rPr>
          <w:noProof/>
        </w:rPr>
        <w:t>2019</w:t>
      </w:r>
      <w:r w:rsidR="00835B2F">
        <w:rPr>
          <w:noProof/>
        </w:rPr>
        <w:t xml:space="preserve"> and 202</w:t>
      </w:r>
      <w:r w:rsidR="00E315C6">
        <w:rPr>
          <w:noProof/>
        </w:rPr>
        <w:t>2</w:t>
      </w:r>
      <w:r w:rsidR="00215A93">
        <w:rPr>
          <w:noProof/>
        </w:rPr>
        <w:t>.</w:t>
      </w:r>
      <w:r w:rsidR="001B33B2">
        <w:rPr>
          <w:noProof/>
        </w:rPr>
        <w:t xml:space="preserve"> </w:t>
      </w:r>
      <w:r w:rsidR="008F5132">
        <w:rPr>
          <w:noProof/>
        </w:rPr>
        <w:t>S</w:t>
      </w:r>
      <w:r w:rsidR="001B33B2">
        <w:rPr>
          <w:noProof/>
        </w:rPr>
        <w:t xml:space="preserve">ome saw substantial contractions in </w:t>
      </w:r>
      <w:r w:rsidR="00E96D0E">
        <w:rPr>
          <w:noProof/>
        </w:rPr>
        <w:t xml:space="preserve">EU </w:t>
      </w:r>
      <w:r w:rsidR="00C04F4A">
        <w:rPr>
          <w:noProof/>
        </w:rPr>
        <w:t xml:space="preserve">GSP </w:t>
      </w:r>
      <w:r w:rsidR="008D6328">
        <w:rPr>
          <w:noProof/>
        </w:rPr>
        <w:t>imports </w:t>
      </w:r>
      <w:r w:rsidR="009C7A94" w:rsidRPr="009C7A94">
        <w:rPr>
          <w:rStyle w:val="FootnoteReference"/>
          <w:noProof/>
          <w:vertAlign w:val="baseline"/>
        </w:rPr>
        <w:t>(</w:t>
      </w:r>
      <w:r w:rsidR="00EC6C46">
        <w:rPr>
          <w:rStyle w:val="FootnoteReference"/>
          <w:noProof/>
        </w:rPr>
        <w:footnoteReference w:id="24"/>
      </w:r>
      <w:r w:rsidR="009C7A94" w:rsidRPr="009C7A94">
        <w:rPr>
          <w:rStyle w:val="FootnoteReference"/>
          <w:noProof/>
          <w:vertAlign w:val="baseline"/>
        </w:rPr>
        <w:t>)</w:t>
      </w:r>
      <w:r w:rsidR="008D6328">
        <w:rPr>
          <w:noProof/>
        </w:rPr>
        <w:t xml:space="preserve">, </w:t>
      </w:r>
      <w:r w:rsidR="00F93508">
        <w:rPr>
          <w:noProof/>
        </w:rPr>
        <w:t xml:space="preserve">whereas </w:t>
      </w:r>
      <w:r w:rsidR="001B33B2">
        <w:rPr>
          <w:noProof/>
        </w:rPr>
        <w:t>others managed to increase yearly by double digits</w:t>
      </w:r>
      <w:r w:rsidR="00F93508">
        <w:rPr>
          <w:noProof/>
        </w:rPr>
        <w:t>. This was</w:t>
      </w:r>
      <w:r w:rsidR="00E837EC">
        <w:rPr>
          <w:noProof/>
        </w:rPr>
        <w:t xml:space="preserve"> in particular</w:t>
      </w:r>
      <w:r w:rsidR="00F93508">
        <w:rPr>
          <w:noProof/>
        </w:rPr>
        <w:t xml:space="preserve"> the case for</w:t>
      </w:r>
      <w:r w:rsidR="00E837EC">
        <w:rPr>
          <w:noProof/>
        </w:rPr>
        <w:t xml:space="preserve"> EBA countries such as </w:t>
      </w:r>
      <w:r w:rsidR="000B12DE">
        <w:rPr>
          <w:noProof/>
        </w:rPr>
        <w:t xml:space="preserve">Liberia (+183%), </w:t>
      </w:r>
      <w:r w:rsidR="00E837EC">
        <w:rPr>
          <w:noProof/>
        </w:rPr>
        <w:t>Madagasca</w:t>
      </w:r>
      <w:r w:rsidR="00572FF0">
        <w:rPr>
          <w:noProof/>
        </w:rPr>
        <w:t>r (+</w:t>
      </w:r>
      <w:r w:rsidR="000B12DE">
        <w:rPr>
          <w:noProof/>
        </w:rPr>
        <w:t>149</w:t>
      </w:r>
      <w:r w:rsidR="00572FF0">
        <w:rPr>
          <w:noProof/>
        </w:rPr>
        <w:t>%</w:t>
      </w:r>
      <w:r w:rsidR="00C57A70">
        <w:rPr>
          <w:noProof/>
        </w:rPr>
        <w:t xml:space="preserve">), </w:t>
      </w:r>
      <w:r w:rsidR="000B12DE">
        <w:rPr>
          <w:noProof/>
        </w:rPr>
        <w:t xml:space="preserve">and </w:t>
      </w:r>
      <w:r w:rsidR="00C57A70">
        <w:rPr>
          <w:noProof/>
        </w:rPr>
        <w:t>Zambia (+</w:t>
      </w:r>
      <w:r w:rsidR="000B12DE">
        <w:rPr>
          <w:noProof/>
        </w:rPr>
        <w:t>49</w:t>
      </w:r>
      <w:r w:rsidR="00C57A70">
        <w:rPr>
          <w:noProof/>
        </w:rPr>
        <w:t>%)</w:t>
      </w:r>
      <w:r w:rsidR="000B12DE">
        <w:rPr>
          <w:noProof/>
        </w:rPr>
        <w:t>,</w:t>
      </w:r>
      <w:r w:rsidR="00F42808">
        <w:rPr>
          <w:noProof/>
        </w:rPr>
        <w:t xml:space="preserve"> and </w:t>
      </w:r>
      <w:r w:rsidR="00232BEA">
        <w:rPr>
          <w:noProof/>
        </w:rPr>
        <w:t xml:space="preserve">the </w:t>
      </w:r>
      <w:r w:rsidR="00F42808">
        <w:rPr>
          <w:noProof/>
        </w:rPr>
        <w:t>new GSP+ beneficiary Uzbekistan (+6</w:t>
      </w:r>
      <w:r w:rsidR="000B12DE">
        <w:rPr>
          <w:noProof/>
        </w:rPr>
        <w:t>9</w:t>
      </w:r>
      <w:r w:rsidR="00F42808">
        <w:rPr>
          <w:noProof/>
        </w:rPr>
        <w:t>%)</w:t>
      </w:r>
      <w:r w:rsidR="009E4864">
        <w:rPr>
          <w:noProof/>
        </w:rPr>
        <w:t>, although starting from a low base</w:t>
      </w:r>
      <w:r w:rsidR="00E64416">
        <w:rPr>
          <w:noProof/>
        </w:rPr>
        <w:t xml:space="preserve"> in the case of Liberia and Madagascar</w:t>
      </w:r>
      <w:r w:rsidR="00F42808">
        <w:rPr>
          <w:noProof/>
        </w:rPr>
        <w:t>.</w:t>
      </w:r>
      <w:r w:rsidR="00E96D0E" w:rsidRPr="00E96D0E">
        <w:rPr>
          <w:bCs/>
          <w:noProof/>
        </w:rPr>
        <w:t xml:space="preserve"> </w:t>
      </w:r>
    </w:p>
    <w:p w14:paraId="1500C09D" w14:textId="7D4BD9F8" w:rsidR="00892C44" w:rsidRPr="00666B54" w:rsidRDefault="00892C44" w:rsidP="00C10249">
      <w:pPr>
        <w:keepNext/>
        <w:spacing w:before="120" w:after="120"/>
        <w:rPr>
          <w:iCs/>
          <w:noProof/>
          <w:color w:val="365F91" w:themeColor="accent1" w:themeShade="BF"/>
          <w:sz w:val="20"/>
          <w:lang w:eastAsia="en-US"/>
        </w:rPr>
      </w:pPr>
      <w:bookmarkStart w:id="12" w:name="_Toc119052782"/>
      <w:bookmarkEnd w:id="11"/>
      <w:r w:rsidRPr="00666B54">
        <w:rPr>
          <w:i/>
          <w:iCs/>
          <w:noProof/>
          <w:color w:val="365F91" w:themeColor="accent1" w:themeShade="BF"/>
          <w:sz w:val="20"/>
          <w:lang w:eastAsia="en-US"/>
        </w:rPr>
        <w:t xml:space="preserve">Figure </w:t>
      </w:r>
      <w:r w:rsidR="00215A93" w:rsidRPr="00666B54">
        <w:rPr>
          <w:i/>
          <w:iCs/>
          <w:noProof/>
          <w:color w:val="365F91" w:themeColor="accent1" w:themeShade="BF"/>
          <w:sz w:val="20"/>
          <w:lang w:eastAsia="en-US"/>
        </w:rPr>
        <w:t>6</w:t>
      </w:r>
      <w:r w:rsidRPr="00666B54">
        <w:rPr>
          <w:i/>
          <w:iCs/>
          <w:noProof/>
          <w:color w:val="365F91" w:themeColor="accent1" w:themeShade="BF"/>
          <w:sz w:val="20"/>
          <w:lang w:eastAsia="en-US"/>
        </w:rPr>
        <w:t>:</w:t>
      </w:r>
      <w:bookmarkEnd w:id="12"/>
      <w:r w:rsidR="00E64416" w:rsidRPr="00E64416">
        <w:rPr>
          <w:i/>
          <w:iCs/>
          <w:noProof/>
          <w:color w:val="365F91" w:themeColor="accent1" w:themeShade="BF"/>
          <w:sz w:val="20"/>
          <w:lang w:eastAsia="en-US"/>
        </w:rPr>
        <w:t xml:space="preserve"> </w:t>
      </w:r>
      <w:r w:rsidR="00E64416">
        <w:rPr>
          <w:i/>
          <w:iCs/>
          <w:noProof/>
          <w:color w:val="365F91" w:themeColor="accent1" w:themeShade="BF"/>
          <w:sz w:val="20"/>
          <w:lang w:eastAsia="en-US"/>
        </w:rPr>
        <w:t>GSP preferential imports by supplier, 2019 and 2022 (€ million and % of total GSP imports)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57" w:type="dxa"/>
        </w:tblCellMar>
        <w:tblLook w:val="04A0" w:firstRow="1" w:lastRow="0" w:firstColumn="1" w:lastColumn="0" w:noHBand="0" w:noVBand="1"/>
      </w:tblPr>
      <w:tblGrid>
        <w:gridCol w:w="8607"/>
      </w:tblGrid>
      <w:tr w:rsidR="00892C44" w14:paraId="2605338F" w14:textId="77777777" w:rsidTr="00992D45">
        <w:trPr>
          <w:trHeight w:val="2660"/>
        </w:trPr>
        <w:tc>
          <w:tcPr>
            <w:tcW w:w="8833" w:type="dxa"/>
          </w:tcPr>
          <w:p w14:paraId="58EA0D18" w14:textId="414ABDDC" w:rsidR="00892C44" w:rsidRDefault="00C90773" w:rsidP="00C10249">
            <w:pPr>
              <w:pStyle w:val="Body"/>
              <w:spacing w:before="40" w:after="40"/>
              <w:rPr>
                <w:noProof/>
                <w:sz w:val="20"/>
                <w:szCs w:val="20"/>
              </w:rPr>
            </w:pPr>
            <w:r>
              <w:rPr>
                <w:noProof/>
                <w:sz w:val="20"/>
                <w:szCs w:val="20"/>
                <w:lang w:eastAsia="en-GB"/>
              </w:rPr>
              <w:drawing>
                <wp:inline distT="0" distB="0" distL="0" distR="0" wp14:anchorId="5BDAFC77" wp14:editId="5B1F25A1">
                  <wp:extent cx="5530850" cy="24811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3265" cy="2486698"/>
                          </a:xfrm>
                          <a:prstGeom prst="rect">
                            <a:avLst/>
                          </a:prstGeom>
                          <a:noFill/>
                        </pic:spPr>
                      </pic:pic>
                    </a:graphicData>
                  </a:graphic>
                </wp:inline>
              </w:drawing>
            </w:r>
          </w:p>
        </w:tc>
      </w:tr>
    </w:tbl>
    <w:p w14:paraId="3097B8D6" w14:textId="1C5C6073" w:rsidR="00894833" w:rsidRDefault="00992D45" w:rsidP="00894833">
      <w:pPr>
        <w:pStyle w:val="Text1"/>
        <w:ind w:left="0"/>
        <w:rPr>
          <w:b/>
          <w:bCs/>
          <w:noProof/>
        </w:rPr>
      </w:pPr>
      <w:r>
        <w:rPr>
          <w:bCs/>
          <w:noProof/>
        </w:rPr>
        <w:br/>
      </w:r>
      <w:r w:rsidR="00894833">
        <w:rPr>
          <w:bCs/>
          <w:noProof/>
        </w:rPr>
        <w:t xml:space="preserve">Some of the largest exporters among GSP beneficiaries </w:t>
      </w:r>
      <w:r w:rsidR="00992B49">
        <w:rPr>
          <w:bCs/>
          <w:noProof/>
        </w:rPr>
        <w:t xml:space="preserve">have already left or </w:t>
      </w:r>
      <w:r w:rsidR="00894833">
        <w:rPr>
          <w:bCs/>
          <w:noProof/>
        </w:rPr>
        <w:t>are expected to leave the scheme as they have or will have negotiated preferential trade agreements with the EU</w:t>
      </w:r>
      <w:r w:rsidR="007F4F10">
        <w:rPr>
          <w:bCs/>
          <w:noProof/>
        </w:rPr>
        <w:t xml:space="preserve"> (Vietnam) or are in the process of negotiating such agreements (India and Indonesia)</w:t>
      </w:r>
      <w:r w:rsidR="00894833">
        <w:rPr>
          <w:bCs/>
          <w:noProof/>
        </w:rPr>
        <w:t>.</w:t>
      </w:r>
    </w:p>
    <w:p w14:paraId="479AB2F2" w14:textId="0F3BEAA4" w:rsidR="00892C44" w:rsidRDefault="008B3D35" w:rsidP="00320356">
      <w:pPr>
        <w:pStyle w:val="Text1"/>
        <w:ind w:left="0"/>
        <w:rPr>
          <w:noProof/>
        </w:rPr>
      </w:pPr>
      <w:bookmarkStart w:id="13" w:name="_Hlk147302106"/>
      <w:r w:rsidRPr="00DF542A">
        <w:rPr>
          <w:bCs/>
          <w:noProof/>
        </w:rPr>
        <w:t xml:space="preserve">Apparel and clothing </w:t>
      </w:r>
      <w:r w:rsidR="00C04F4A" w:rsidRPr="00DF542A">
        <w:rPr>
          <w:bCs/>
          <w:noProof/>
        </w:rPr>
        <w:t xml:space="preserve">products </w:t>
      </w:r>
      <w:r w:rsidRPr="00DF542A">
        <w:rPr>
          <w:bCs/>
          <w:noProof/>
        </w:rPr>
        <w:t xml:space="preserve">continue to be the most </w:t>
      </w:r>
      <w:r w:rsidR="00E96D0E" w:rsidRPr="00DF542A">
        <w:rPr>
          <w:bCs/>
          <w:noProof/>
        </w:rPr>
        <w:t xml:space="preserve">significant </w:t>
      </w:r>
      <w:r w:rsidR="00610AB2">
        <w:rPr>
          <w:bCs/>
          <w:noProof/>
        </w:rPr>
        <w:t xml:space="preserve">sector </w:t>
      </w:r>
      <w:r w:rsidR="00DE78B4" w:rsidRPr="00DF542A">
        <w:rPr>
          <w:bCs/>
          <w:noProof/>
        </w:rPr>
        <w:t xml:space="preserve">in </w:t>
      </w:r>
      <w:r w:rsidR="00E96D0E" w:rsidRPr="00DF542A">
        <w:rPr>
          <w:bCs/>
          <w:noProof/>
        </w:rPr>
        <w:t xml:space="preserve">EU </w:t>
      </w:r>
      <w:r w:rsidRPr="00DF542A">
        <w:rPr>
          <w:bCs/>
          <w:noProof/>
        </w:rPr>
        <w:t>import</w:t>
      </w:r>
      <w:r w:rsidR="006758D8" w:rsidRPr="00DF542A">
        <w:rPr>
          <w:bCs/>
          <w:noProof/>
        </w:rPr>
        <w:t>s</w:t>
      </w:r>
      <w:r w:rsidR="00F239FE" w:rsidRPr="00DF542A">
        <w:rPr>
          <w:bCs/>
          <w:noProof/>
        </w:rPr>
        <w:t xml:space="preserve"> fr</w:t>
      </w:r>
      <w:r w:rsidR="005D4F9B" w:rsidRPr="00DF542A">
        <w:rPr>
          <w:bCs/>
          <w:noProof/>
        </w:rPr>
        <w:t>o</w:t>
      </w:r>
      <w:r w:rsidR="00F239FE" w:rsidRPr="00DF542A">
        <w:rPr>
          <w:bCs/>
          <w:noProof/>
        </w:rPr>
        <w:t>m GSP beneficiaries</w:t>
      </w:r>
      <w:r w:rsidRPr="00DF542A">
        <w:rPr>
          <w:bCs/>
          <w:noProof/>
        </w:rPr>
        <w:t xml:space="preserve">, but </w:t>
      </w:r>
      <w:r w:rsidR="00835B2F" w:rsidRPr="00DF542A">
        <w:rPr>
          <w:bCs/>
          <w:noProof/>
        </w:rPr>
        <w:t xml:space="preserve">the relative importance of </w:t>
      </w:r>
      <w:r w:rsidR="00DF0555" w:rsidRPr="00DF542A">
        <w:rPr>
          <w:bCs/>
          <w:noProof/>
        </w:rPr>
        <w:t>other sectors</w:t>
      </w:r>
      <w:r w:rsidR="00733678" w:rsidRPr="00DF542A">
        <w:rPr>
          <w:bCs/>
          <w:noProof/>
        </w:rPr>
        <w:t xml:space="preserve"> </w:t>
      </w:r>
      <w:r w:rsidR="00831CED" w:rsidRPr="00DF542A">
        <w:rPr>
          <w:bCs/>
          <w:noProof/>
        </w:rPr>
        <w:t>is</w:t>
      </w:r>
      <w:r w:rsidR="00733678" w:rsidRPr="00DF542A">
        <w:rPr>
          <w:bCs/>
          <w:noProof/>
        </w:rPr>
        <w:t xml:space="preserve"> shifting</w:t>
      </w:r>
      <w:r w:rsidR="00F239FE">
        <w:rPr>
          <w:b/>
          <w:bCs/>
          <w:noProof/>
        </w:rPr>
        <w:t xml:space="preserve"> </w:t>
      </w:r>
      <w:r w:rsidR="00F239FE" w:rsidRPr="00DE78B4">
        <w:rPr>
          <w:noProof/>
        </w:rPr>
        <w:t xml:space="preserve">(Figure </w:t>
      </w:r>
      <w:r w:rsidR="00831CED" w:rsidRPr="00DE78B4">
        <w:rPr>
          <w:noProof/>
        </w:rPr>
        <w:t>7</w:t>
      </w:r>
      <w:r w:rsidR="00F239FE" w:rsidRPr="00DE78B4">
        <w:rPr>
          <w:noProof/>
        </w:rPr>
        <w:t>)</w:t>
      </w:r>
      <w:r w:rsidR="00DA7E10" w:rsidRPr="00DE78B4">
        <w:rPr>
          <w:noProof/>
        </w:rPr>
        <w:t>.</w:t>
      </w:r>
      <w:r w:rsidR="00DE0235">
        <w:rPr>
          <w:b/>
          <w:bCs/>
          <w:noProof/>
        </w:rPr>
        <w:t xml:space="preserve"> </w:t>
      </w:r>
      <w:r w:rsidR="00DE0235">
        <w:rPr>
          <w:noProof/>
        </w:rPr>
        <w:t>In 2021</w:t>
      </w:r>
      <w:r w:rsidR="00A63EE2">
        <w:rPr>
          <w:noProof/>
        </w:rPr>
        <w:t>,</w:t>
      </w:r>
      <w:r w:rsidR="00DE0235">
        <w:rPr>
          <w:noProof/>
        </w:rPr>
        <w:t xml:space="preserve"> machinery and equipment for the first time </w:t>
      </w:r>
      <w:r w:rsidR="009E1482">
        <w:rPr>
          <w:noProof/>
        </w:rPr>
        <w:t xml:space="preserve">became </w:t>
      </w:r>
      <w:r w:rsidR="00DE0235">
        <w:rPr>
          <w:noProof/>
        </w:rPr>
        <w:t xml:space="preserve">the second most </w:t>
      </w:r>
      <w:r w:rsidR="00F239FE">
        <w:rPr>
          <w:noProof/>
        </w:rPr>
        <w:t xml:space="preserve">significant </w:t>
      </w:r>
      <w:r w:rsidR="00DE0235">
        <w:rPr>
          <w:noProof/>
        </w:rPr>
        <w:t xml:space="preserve">sector, </w:t>
      </w:r>
      <w:r w:rsidR="000B12DE">
        <w:rPr>
          <w:noProof/>
        </w:rPr>
        <w:t xml:space="preserve">reaching </w:t>
      </w:r>
      <w:r w:rsidR="00DE0235">
        <w:rPr>
          <w:noProof/>
        </w:rPr>
        <w:t>a preferential import value of €</w:t>
      </w:r>
      <w:r w:rsidR="000B12DE">
        <w:rPr>
          <w:noProof/>
        </w:rPr>
        <w:t>6.4</w:t>
      </w:r>
      <w:r w:rsidR="00DE0235">
        <w:rPr>
          <w:noProof/>
        </w:rPr>
        <w:t xml:space="preserve"> billion </w:t>
      </w:r>
      <w:r w:rsidR="000B12DE">
        <w:rPr>
          <w:noProof/>
        </w:rPr>
        <w:t xml:space="preserve">in 2022 </w:t>
      </w:r>
      <w:r w:rsidR="00DE0235">
        <w:rPr>
          <w:noProof/>
        </w:rPr>
        <w:t>(8.</w:t>
      </w:r>
      <w:r w:rsidR="00882893">
        <w:rPr>
          <w:noProof/>
        </w:rPr>
        <w:t>0</w:t>
      </w:r>
      <w:r w:rsidR="00DE0235">
        <w:rPr>
          <w:noProof/>
        </w:rPr>
        <w:t>%</w:t>
      </w:r>
      <w:r w:rsidR="00F239FE">
        <w:rPr>
          <w:noProof/>
        </w:rPr>
        <w:t xml:space="preserve"> of the total</w:t>
      </w:r>
      <w:r w:rsidR="00DE0235">
        <w:rPr>
          <w:noProof/>
        </w:rPr>
        <w:t>)</w:t>
      </w:r>
      <w:r w:rsidR="009E1482">
        <w:rPr>
          <w:noProof/>
        </w:rPr>
        <w:t>. Machinery</w:t>
      </w:r>
      <w:r w:rsidR="00DE0235">
        <w:rPr>
          <w:noProof/>
        </w:rPr>
        <w:t xml:space="preserve"> overt</w:t>
      </w:r>
      <w:r w:rsidR="009E1482">
        <w:rPr>
          <w:noProof/>
        </w:rPr>
        <w:t xml:space="preserve">ook </w:t>
      </w:r>
      <w:r w:rsidR="00DE0235">
        <w:rPr>
          <w:noProof/>
        </w:rPr>
        <w:t xml:space="preserve">footwear, </w:t>
      </w:r>
      <w:r w:rsidR="00F239FE">
        <w:rPr>
          <w:noProof/>
        </w:rPr>
        <w:t>which</w:t>
      </w:r>
      <w:r w:rsidR="00DE0235">
        <w:rPr>
          <w:noProof/>
        </w:rPr>
        <w:t xml:space="preserve"> decreased from €7.4 billion in 2019 to €</w:t>
      </w:r>
      <w:r w:rsidR="00882893">
        <w:rPr>
          <w:noProof/>
        </w:rPr>
        <w:t>6</w:t>
      </w:r>
      <w:r w:rsidR="00DE0235">
        <w:rPr>
          <w:noProof/>
        </w:rPr>
        <w:t>.1 billion in 202</w:t>
      </w:r>
      <w:r w:rsidR="00882893">
        <w:rPr>
          <w:noProof/>
        </w:rPr>
        <w:t>2</w:t>
      </w:r>
      <w:r w:rsidR="00DE0235">
        <w:rPr>
          <w:noProof/>
        </w:rPr>
        <w:t xml:space="preserve"> (7.</w:t>
      </w:r>
      <w:r w:rsidR="00882893">
        <w:rPr>
          <w:noProof/>
        </w:rPr>
        <w:t>6</w:t>
      </w:r>
      <w:r w:rsidR="00DE0235">
        <w:rPr>
          <w:noProof/>
        </w:rPr>
        <w:t>%</w:t>
      </w:r>
      <w:r w:rsidR="00F239FE">
        <w:rPr>
          <w:noProof/>
        </w:rPr>
        <w:t xml:space="preserve"> of the total</w:t>
      </w:r>
      <w:r w:rsidR="00DE0235">
        <w:rPr>
          <w:noProof/>
        </w:rPr>
        <w:t xml:space="preserve">). This decrease is mostly the result of decreasing footwear imports from Vietnam under the </w:t>
      </w:r>
      <w:r w:rsidR="00C52B3E">
        <w:rPr>
          <w:noProof/>
        </w:rPr>
        <w:t xml:space="preserve">standard </w:t>
      </w:r>
      <w:r w:rsidR="00DE0235">
        <w:rPr>
          <w:noProof/>
        </w:rPr>
        <w:t>GSP</w:t>
      </w:r>
      <w:r w:rsidR="009E3B32">
        <w:rPr>
          <w:noProof/>
        </w:rPr>
        <w:t>, as Vietnam</w:t>
      </w:r>
      <w:r w:rsidR="006913E5">
        <w:rPr>
          <w:noProof/>
        </w:rPr>
        <w:t xml:space="preserve"> </w:t>
      </w:r>
      <w:r w:rsidR="00C52B3E">
        <w:rPr>
          <w:noProof/>
        </w:rPr>
        <w:t>has started</w:t>
      </w:r>
      <w:r w:rsidR="00DE0235">
        <w:rPr>
          <w:noProof/>
        </w:rPr>
        <w:t xml:space="preserve"> </w:t>
      </w:r>
      <w:r w:rsidR="00C52B3E">
        <w:rPr>
          <w:noProof/>
        </w:rPr>
        <w:t>to</w:t>
      </w:r>
      <w:r w:rsidR="00DE0235">
        <w:rPr>
          <w:noProof/>
        </w:rPr>
        <w:t xml:space="preserve"> increasingly use the FTA </w:t>
      </w:r>
      <w:r w:rsidR="00DE0235" w:rsidRPr="00EB40EC">
        <w:rPr>
          <w:noProof/>
        </w:rPr>
        <w:t xml:space="preserve">preferences </w:t>
      </w:r>
      <w:r w:rsidR="009E1482" w:rsidRPr="00EB40EC">
        <w:rPr>
          <w:noProof/>
        </w:rPr>
        <w:t>(</w:t>
      </w:r>
      <w:r w:rsidR="00835B2F" w:rsidRPr="00EB40EC">
        <w:rPr>
          <w:noProof/>
        </w:rPr>
        <w:t xml:space="preserve">meaning that </w:t>
      </w:r>
      <w:r w:rsidR="00DE0235" w:rsidRPr="00EB40EC">
        <w:rPr>
          <w:noProof/>
        </w:rPr>
        <w:t xml:space="preserve">the total </w:t>
      </w:r>
      <w:r w:rsidR="00835B2F" w:rsidRPr="00EB40EC">
        <w:rPr>
          <w:noProof/>
        </w:rPr>
        <w:t xml:space="preserve">EU </w:t>
      </w:r>
      <w:r w:rsidR="00DE0235" w:rsidRPr="00EB40EC">
        <w:rPr>
          <w:noProof/>
        </w:rPr>
        <w:t xml:space="preserve">import value of footwear from Vietnam decreased </w:t>
      </w:r>
      <w:r w:rsidR="009E1482" w:rsidRPr="00EB40EC">
        <w:rPr>
          <w:noProof/>
        </w:rPr>
        <w:t xml:space="preserve">much </w:t>
      </w:r>
      <w:r w:rsidR="008E353B" w:rsidRPr="00EB40EC">
        <w:rPr>
          <w:noProof/>
        </w:rPr>
        <w:t xml:space="preserve">less – </w:t>
      </w:r>
      <w:r w:rsidR="00DE0235" w:rsidRPr="00EB40EC">
        <w:rPr>
          <w:noProof/>
        </w:rPr>
        <w:t>from €3.9 billion in 2019 to €3.5 billion in 2021</w:t>
      </w:r>
      <w:r w:rsidR="009E1482" w:rsidRPr="00EB40EC">
        <w:rPr>
          <w:noProof/>
        </w:rPr>
        <w:t>)</w:t>
      </w:r>
      <w:r w:rsidR="00DE0235" w:rsidRPr="00EB40EC">
        <w:rPr>
          <w:noProof/>
        </w:rPr>
        <w:t>.</w:t>
      </w:r>
      <w:bookmarkEnd w:id="13"/>
    </w:p>
    <w:p w14:paraId="14CFD984" w14:textId="24E18914" w:rsidR="009E1482" w:rsidRPr="00656571" w:rsidRDefault="00866113" w:rsidP="00656571">
      <w:pPr>
        <w:keepNext/>
        <w:spacing w:before="120" w:after="120"/>
        <w:jc w:val="left"/>
        <w:rPr>
          <w:iCs/>
          <w:noProof/>
          <w:color w:val="365F91" w:themeColor="accent1" w:themeShade="BF"/>
          <w:sz w:val="20"/>
          <w:lang w:eastAsia="en-US"/>
        </w:rPr>
      </w:pPr>
      <w:bookmarkStart w:id="14" w:name="_Ref119046029"/>
      <w:bookmarkStart w:id="15" w:name="_Toc119052784"/>
      <w:r w:rsidRPr="00656571">
        <w:rPr>
          <w:i/>
          <w:iCs/>
          <w:noProof/>
          <w:color w:val="365F91" w:themeColor="accent1" w:themeShade="BF"/>
          <w:sz w:val="20"/>
          <w:lang w:eastAsia="en-US"/>
        </w:rPr>
        <w:t xml:space="preserve">Figure </w:t>
      </w:r>
      <w:bookmarkEnd w:id="14"/>
      <w:r w:rsidR="00831CED" w:rsidRPr="00656571">
        <w:rPr>
          <w:i/>
          <w:iCs/>
          <w:noProof/>
          <w:color w:val="365F91" w:themeColor="accent1" w:themeShade="BF"/>
          <w:sz w:val="20"/>
          <w:lang w:eastAsia="en-US"/>
        </w:rPr>
        <w:t>7</w:t>
      </w:r>
      <w:r w:rsidRPr="00656571">
        <w:rPr>
          <w:i/>
          <w:iCs/>
          <w:noProof/>
          <w:color w:val="365F91" w:themeColor="accent1" w:themeShade="BF"/>
          <w:sz w:val="20"/>
          <w:lang w:eastAsia="en-US"/>
        </w:rPr>
        <w:t xml:space="preserve">: </w:t>
      </w:r>
      <w:bookmarkEnd w:id="15"/>
      <w:r w:rsidR="00BB7C4C">
        <w:rPr>
          <w:i/>
          <w:iCs/>
          <w:noProof/>
          <w:color w:val="365F91" w:themeColor="accent1" w:themeShade="BF"/>
          <w:sz w:val="20"/>
          <w:lang w:eastAsia="en-US"/>
        </w:rPr>
        <w:t>Preferential GSP imports by section, 2019 and 2022 (€ million and % of total GSP imports</w:t>
      </w:r>
      <w:r w:rsidR="000564A6" w:rsidRPr="000564A6">
        <w:rPr>
          <w:i/>
          <w:iCs/>
          <w:noProof/>
          <w:color w:val="365F91" w:themeColor="accent1" w:themeShade="BF"/>
          <w:sz w:val="20"/>
          <w:lang w:eastAsia="en-US"/>
        </w:rPr>
        <w:t> (</w:t>
      </w:r>
      <w:r w:rsidR="000564A6">
        <w:rPr>
          <w:rStyle w:val="FootnoteReference"/>
          <w:i/>
          <w:iCs/>
          <w:noProof/>
          <w:color w:val="365F91" w:themeColor="accent1" w:themeShade="BF"/>
          <w:sz w:val="20"/>
          <w:lang w:eastAsia="en-US"/>
        </w:rPr>
        <w:footnoteReference w:id="25"/>
      </w:r>
      <w:r w:rsidR="000564A6">
        <w:rPr>
          <w:i/>
          <w:iCs/>
          <w:noProof/>
          <w:color w:val="365F91" w:themeColor="accent1" w:themeShade="BF"/>
          <w:sz w:val="20"/>
          <w:lang w:eastAsia="en-US"/>
        </w:rPr>
        <w: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07"/>
      </w:tblGrid>
      <w:tr w:rsidR="00866113" w14:paraId="78A0E87E" w14:textId="77777777" w:rsidTr="00992D45">
        <w:tc>
          <w:tcPr>
            <w:tcW w:w="8833" w:type="dxa"/>
          </w:tcPr>
          <w:p w14:paraId="04D84A24" w14:textId="4F8FBC55" w:rsidR="00866113" w:rsidRDefault="00C90773" w:rsidP="00992D45">
            <w:pPr>
              <w:pStyle w:val="Body"/>
              <w:spacing w:before="20" w:after="20"/>
              <w:rPr>
                <w:noProof/>
                <w:sz w:val="20"/>
                <w:szCs w:val="20"/>
              </w:rPr>
            </w:pPr>
            <w:r>
              <w:rPr>
                <w:noProof/>
                <w:sz w:val="20"/>
                <w:szCs w:val="20"/>
                <w:lang w:eastAsia="en-GB"/>
              </w:rPr>
              <w:drawing>
                <wp:inline distT="0" distB="0" distL="0" distR="0" wp14:anchorId="66F8B872" wp14:editId="0764D97E">
                  <wp:extent cx="5346700" cy="28346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46700" cy="2834640"/>
                          </a:xfrm>
                          <a:prstGeom prst="rect">
                            <a:avLst/>
                          </a:prstGeom>
                          <a:noFill/>
                        </pic:spPr>
                      </pic:pic>
                    </a:graphicData>
                  </a:graphic>
                </wp:inline>
              </w:drawing>
            </w:r>
          </w:p>
        </w:tc>
      </w:tr>
    </w:tbl>
    <w:p w14:paraId="05466F62" w14:textId="5C6DE502" w:rsidR="000076AD" w:rsidRPr="00D44895" w:rsidRDefault="00253AE7" w:rsidP="00320356">
      <w:pPr>
        <w:pStyle w:val="Text1"/>
        <w:ind w:left="0"/>
        <w:rPr>
          <w:bCs/>
          <w:noProof/>
        </w:rPr>
      </w:pPr>
      <w:r>
        <w:rPr>
          <w:bCs/>
          <w:noProof/>
        </w:rPr>
        <w:br/>
      </w:r>
      <w:r w:rsidR="00D44895" w:rsidRPr="00D44895">
        <w:rPr>
          <w:bCs/>
          <w:noProof/>
        </w:rPr>
        <w:t xml:space="preserve">The evolution of trade with GSP beneficiaries </w:t>
      </w:r>
      <w:r w:rsidR="00D44895">
        <w:rPr>
          <w:bCs/>
          <w:noProof/>
        </w:rPr>
        <w:t xml:space="preserve">during the reporting period </w:t>
      </w:r>
      <w:r w:rsidR="00D44895" w:rsidRPr="00D44895">
        <w:rPr>
          <w:bCs/>
          <w:noProof/>
        </w:rPr>
        <w:t xml:space="preserve">is further detailed in </w:t>
      </w:r>
      <w:r w:rsidR="001941D0">
        <w:rPr>
          <w:bCs/>
          <w:noProof/>
        </w:rPr>
        <w:t>S</w:t>
      </w:r>
      <w:r w:rsidR="00D44895" w:rsidRPr="00D44895">
        <w:rPr>
          <w:bCs/>
          <w:noProof/>
        </w:rPr>
        <w:t>ection 5 of this report, and its specific subsections on each of the three GSP arrangements (standard GSP, GSP+ and EBA).</w:t>
      </w:r>
    </w:p>
    <w:p w14:paraId="7A2BA896" w14:textId="77777777" w:rsidR="00067BA2" w:rsidRDefault="00067BA2" w:rsidP="00656571">
      <w:pPr>
        <w:pStyle w:val="Heading2"/>
        <w:shd w:val="clear" w:color="auto" w:fill="DBE5F1" w:themeFill="accent1" w:themeFillTint="33"/>
        <w:rPr>
          <w:noProof/>
        </w:rPr>
      </w:pPr>
      <w:r>
        <w:rPr>
          <w:noProof/>
        </w:rPr>
        <w:t>Long-Term view: 10 years since</w:t>
      </w:r>
      <w:r w:rsidR="00F239FE">
        <w:rPr>
          <w:noProof/>
        </w:rPr>
        <w:t xml:space="preserve"> the 2012</w:t>
      </w:r>
      <w:r>
        <w:rPr>
          <w:noProof/>
        </w:rPr>
        <w:t xml:space="preserve"> GSP reform</w:t>
      </w:r>
    </w:p>
    <w:p w14:paraId="77EF8637" w14:textId="77777777" w:rsidR="00C434D7" w:rsidRPr="00C434D7" w:rsidRDefault="00C434D7" w:rsidP="00EC6C46">
      <w:pPr>
        <w:pStyle w:val="Text1"/>
        <w:keepNext/>
        <w:ind w:left="0"/>
        <w:rPr>
          <w:i/>
          <w:noProof/>
          <w:u w:val="single"/>
          <w:lang w:val="en-US"/>
        </w:rPr>
      </w:pPr>
      <w:r w:rsidRPr="00C434D7">
        <w:rPr>
          <w:i/>
          <w:noProof/>
          <w:u w:val="single"/>
          <w:lang w:val="en-US"/>
        </w:rPr>
        <w:t>Bilateral trade with GSP beneficiaries</w:t>
      </w:r>
    </w:p>
    <w:p w14:paraId="3AFCD268" w14:textId="77777777" w:rsidR="000076AD" w:rsidRDefault="00AE3C8A" w:rsidP="00894833">
      <w:pPr>
        <w:pStyle w:val="Text1"/>
        <w:widowControl w:val="0"/>
        <w:ind w:left="0"/>
        <w:rPr>
          <w:noProof/>
          <w:lang w:val="en-US"/>
        </w:rPr>
      </w:pPr>
      <w:bookmarkStart w:id="16" w:name="_Hlk147301398"/>
      <w:r w:rsidRPr="43DA1706">
        <w:rPr>
          <w:noProof/>
          <w:lang w:val="en-US"/>
        </w:rPr>
        <w:t xml:space="preserve">Trade statistics </w:t>
      </w:r>
      <w:r w:rsidR="00F239FE">
        <w:rPr>
          <w:noProof/>
          <w:lang w:val="en-US"/>
        </w:rPr>
        <w:t xml:space="preserve">over </w:t>
      </w:r>
      <w:r w:rsidR="001941D0">
        <w:rPr>
          <w:noProof/>
          <w:lang w:val="en-US"/>
        </w:rPr>
        <w:t xml:space="preserve">the </w:t>
      </w:r>
      <w:r w:rsidR="00715F42">
        <w:rPr>
          <w:noProof/>
          <w:lang w:val="en-US"/>
        </w:rPr>
        <w:t>course of implementation of the current GSP Regulation since 2014</w:t>
      </w:r>
      <w:r w:rsidR="001941D0">
        <w:rPr>
          <w:noProof/>
          <w:lang w:val="en-US"/>
        </w:rPr>
        <w:t xml:space="preserve"> </w:t>
      </w:r>
      <w:r w:rsidR="004E1577">
        <w:rPr>
          <w:noProof/>
          <w:lang w:val="en-US"/>
        </w:rPr>
        <w:t>show</w:t>
      </w:r>
      <w:r w:rsidRPr="43DA1706">
        <w:rPr>
          <w:noProof/>
          <w:lang w:val="en-US"/>
        </w:rPr>
        <w:t xml:space="preserve"> GSP</w:t>
      </w:r>
      <w:r w:rsidR="7AA46E46" w:rsidRPr="43DA1706">
        <w:rPr>
          <w:noProof/>
          <w:lang w:val="en-US"/>
        </w:rPr>
        <w:t>’s</w:t>
      </w:r>
      <w:r w:rsidRPr="43DA1706">
        <w:rPr>
          <w:noProof/>
          <w:lang w:val="en-US"/>
        </w:rPr>
        <w:t xml:space="preserve"> positive impact on </w:t>
      </w:r>
      <w:r w:rsidR="00AA3F91">
        <w:rPr>
          <w:noProof/>
          <w:lang w:val="en-US"/>
        </w:rPr>
        <w:t xml:space="preserve">beneficiary countries’ </w:t>
      </w:r>
      <w:r w:rsidR="001941D0">
        <w:rPr>
          <w:noProof/>
          <w:lang w:val="en-US"/>
        </w:rPr>
        <w:t>exports</w:t>
      </w:r>
      <w:r w:rsidRPr="43DA1706">
        <w:rPr>
          <w:noProof/>
          <w:lang w:val="en-US"/>
        </w:rPr>
        <w:t xml:space="preserve"> to </w:t>
      </w:r>
      <w:r w:rsidR="0E29A4DB" w:rsidRPr="43DA1706">
        <w:rPr>
          <w:noProof/>
          <w:lang w:val="en-US"/>
        </w:rPr>
        <w:t xml:space="preserve">the </w:t>
      </w:r>
      <w:r w:rsidRPr="43DA1706">
        <w:rPr>
          <w:noProof/>
          <w:lang w:val="en-US"/>
        </w:rPr>
        <w:t>EU.</w:t>
      </w:r>
      <w:bookmarkEnd w:id="16"/>
      <w:r w:rsidRPr="43DA1706">
        <w:rPr>
          <w:noProof/>
          <w:lang w:val="en-US"/>
        </w:rPr>
        <w:t xml:space="preserve"> </w:t>
      </w:r>
    </w:p>
    <w:p w14:paraId="06B582B0" w14:textId="5A0E1B12" w:rsidR="001E4001" w:rsidRPr="00DF542A" w:rsidRDefault="000076AD" w:rsidP="00457135">
      <w:pPr>
        <w:pStyle w:val="Text1"/>
        <w:widowControl w:val="0"/>
        <w:ind w:left="0"/>
        <w:rPr>
          <w:noProof/>
        </w:rPr>
      </w:pPr>
      <w:r>
        <w:rPr>
          <w:noProof/>
          <w:lang w:val="en-US"/>
        </w:rPr>
        <w:t>Data also show that since 2014 beneficiaries of the GSP+ and EBA arrangement</w:t>
      </w:r>
      <w:r w:rsidR="00CD551A">
        <w:rPr>
          <w:noProof/>
          <w:lang w:val="en-US"/>
        </w:rPr>
        <w:t>s</w:t>
      </w:r>
      <w:r>
        <w:rPr>
          <w:noProof/>
          <w:lang w:val="en-US"/>
        </w:rPr>
        <w:t xml:space="preserve"> used most of the preferences, with some </w:t>
      </w:r>
      <w:r w:rsidRPr="009C7641">
        <w:rPr>
          <w:noProof/>
          <w:lang w:val="en-US"/>
        </w:rPr>
        <w:t xml:space="preserve">beneficiary countries </w:t>
      </w:r>
      <w:r w:rsidR="000564A6">
        <w:rPr>
          <w:noProof/>
          <w:lang w:val="en-US"/>
        </w:rPr>
        <w:t>account</w:t>
      </w:r>
      <w:r w:rsidR="00E61D0C">
        <w:rPr>
          <w:noProof/>
          <w:lang w:val="en-US"/>
        </w:rPr>
        <w:t>ing</w:t>
      </w:r>
      <w:r w:rsidR="000564A6">
        <w:rPr>
          <w:noProof/>
          <w:lang w:val="en-US"/>
        </w:rPr>
        <w:t xml:space="preserve"> for</w:t>
      </w:r>
      <w:r w:rsidR="000564A6" w:rsidRPr="009C7641">
        <w:rPr>
          <w:noProof/>
          <w:lang w:val="en-US"/>
        </w:rPr>
        <w:t xml:space="preserve"> </w:t>
      </w:r>
      <w:r w:rsidRPr="009C7641">
        <w:rPr>
          <w:noProof/>
          <w:lang w:val="en-US"/>
        </w:rPr>
        <w:t>most of the preferences</w:t>
      </w:r>
      <w:r w:rsidR="000564A6">
        <w:rPr>
          <w:noProof/>
          <w:lang w:val="en-US"/>
        </w:rPr>
        <w:t xml:space="preserve"> used</w:t>
      </w:r>
      <w:r>
        <w:rPr>
          <w:noProof/>
          <w:lang w:val="en-US"/>
        </w:rPr>
        <w:t xml:space="preserve">. Moreover, </w:t>
      </w:r>
      <w:r w:rsidR="00DD1CCD">
        <w:rPr>
          <w:noProof/>
          <w:lang w:val="en-US"/>
        </w:rPr>
        <w:t xml:space="preserve">all </w:t>
      </w:r>
      <w:r w:rsidR="000564A6">
        <w:rPr>
          <w:noProof/>
          <w:lang w:val="en-US"/>
        </w:rPr>
        <w:t xml:space="preserve">GSP </w:t>
      </w:r>
      <w:r w:rsidR="00DD1CCD">
        <w:rPr>
          <w:noProof/>
          <w:lang w:val="en-US"/>
        </w:rPr>
        <w:t>beneficiary countries (</w:t>
      </w:r>
      <w:r>
        <w:rPr>
          <w:noProof/>
          <w:lang w:val="en-US"/>
        </w:rPr>
        <w:t>standard GSP</w:t>
      </w:r>
      <w:r w:rsidR="00DD1CCD">
        <w:rPr>
          <w:noProof/>
          <w:lang w:val="en-US"/>
        </w:rPr>
        <w:t xml:space="preserve">, </w:t>
      </w:r>
      <w:r>
        <w:rPr>
          <w:noProof/>
          <w:lang w:val="en-US"/>
        </w:rPr>
        <w:t xml:space="preserve">GSP+ </w:t>
      </w:r>
      <w:r w:rsidR="00DD1CCD">
        <w:rPr>
          <w:noProof/>
          <w:lang w:val="en-US"/>
        </w:rPr>
        <w:t>and EBA</w:t>
      </w:r>
      <w:r w:rsidR="000564A6">
        <w:rPr>
          <w:noProof/>
          <w:lang w:val="en-US"/>
        </w:rPr>
        <w:t>)</w:t>
      </w:r>
      <w:r>
        <w:rPr>
          <w:noProof/>
          <w:lang w:val="en-US"/>
        </w:rPr>
        <w:t xml:space="preserve"> tend to concentrate </w:t>
      </w:r>
      <w:r w:rsidR="00CD551A">
        <w:rPr>
          <w:noProof/>
          <w:lang w:val="en-US"/>
        </w:rPr>
        <w:t xml:space="preserve">their </w:t>
      </w:r>
      <w:r>
        <w:rPr>
          <w:noProof/>
          <w:lang w:val="en-US"/>
        </w:rPr>
        <w:t>export</w:t>
      </w:r>
      <w:r w:rsidR="000564A6">
        <w:rPr>
          <w:noProof/>
          <w:lang w:val="en-US"/>
        </w:rPr>
        <w:t>s</w:t>
      </w:r>
      <w:r>
        <w:rPr>
          <w:noProof/>
          <w:lang w:val="en-US"/>
        </w:rPr>
        <w:t xml:space="preserve"> on specific products. </w:t>
      </w:r>
      <w:bookmarkStart w:id="17" w:name="_Hlk147301542"/>
      <w:r w:rsidR="081873FD" w:rsidRPr="00DF542A">
        <w:rPr>
          <w:noProof/>
          <w:lang w:val="en-US"/>
        </w:rPr>
        <w:t xml:space="preserve">The </w:t>
      </w:r>
      <w:r w:rsidR="00E64097" w:rsidRPr="00DF542A">
        <w:rPr>
          <w:noProof/>
          <w:lang w:val="en-US"/>
        </w:rPr>
        <w:t xml:space="preserve">strongest </w:t>
      </w:r>
      <w:r w:rsidR="081873FD" w:rsidRPr="00DF542A">
        <w:rPr>
          <w:noProof/>
          <w:lang w:val="en-US"/>
        </w:rPr>
        <w:t xml:space="preserve">positive impact of GSP </w:t>
      </w:r>
      <w:r w:rsidR="00E64097" w:rsidRPr="00DF542A">
        <w:rPr>
          <w:noProof/>
          <w:lang w:val="en-US"/>
        </w:rPr>
        <w:t>has been its contribution</w:t>
      </w:r>
      <w:r w:rsidR="081873FD" w:rsidRPr="00DF542A">
        <w:rPr>
          <w:noProof/>
          <w:lang w:val="en-US"/>
        </w:rPr>
        <w:t xml:space="preserve"> to growth and trade diversification through EBA</w:t>
      </w:r>
      <w:r w:rsidR="00604F2B" w:rsidRPr="00DF542A">
        <w:rPr>
          <w:noProof/>
          <w:lang w:val="en-US"/>
        </w:rPr>
        <w:t xml:space="preserve"> preferences</w:t>
      </w:r>
      <w:r w:rsidR="081873FD" w:rsidRPr="00DF542A">
        <w:rPr>
          <w:noProof/>
          <w:lang w:val="en-US"/>
        </w:rPr>
        <w:t>.</w:t>
      </w:r>
      <w:r w:rsidR="081873FD" w:rsidRPr="43DA1706">
        <w:rPr>
          <w:b/>
          <w:bCs/>
          <w:noProof/>
          <w:lang w:val="en-US"/>
        </w:rPr>
        <w:t xml:space="preserve"> </w:t>
      </w:r>
      <w:r w:rsidR="00715F42" w:rsidRPr="00E61D0C">
        <w:rPr>
          <w:noProof/>
        </w:rPr>
        <w:t xml:space="preserve">During the preparation of the </w:t>
      </w:r>
      <w:bookmarkStart w:id="18" w:name="_Hlk147301637"/>
      <w:r w:rsidR="00715F42" w:rsidRPr="00E61D0C">
        <w:rPr>
          <w:noProof/>
        </w:rPr>
        <w:t>Commission’s impact assessment </w:t>
      </w:r>
      <w:r w:rsidR="009C7A94" w:rsidRPr="009C7A94">
        <w:rPr>
          <w:rStyle w:val="FootnoteReference"/>
          <w:noProof/>
          <w:vertAlign w:val="baseline"/>
        </w:rPr>
        <w:t>(</w:t>
      </w:r>
      <w:r w:rsidR="00EC6C46" w:rsidRPr="00E61D0C">
        <w:rPr>
          <w:rStyle w:val="FootnoteReference"/>
          <w:noProof/>
        </w:rPr>
        <w:footnoteReference w:id="26"/>
      </w:r>
      <w:r w:rsidR="009C7A94" w:rsidRPr="009C7A94">
        <w:rPr>
          <w:rStyle w:val="FootnoteReference"/>
          <w:noProof/>
          <w:vertAlign w:val="baseline"/>
        </w:rPr>
        <w:t>)</w:t>
      </w:r>
      <w:r w:rsidR="00715F42" w:rsidRPr="00E61D0C">
        <w:rPr>
          <w:noProof/>
        </w:rPr>
        <w:t xml:space="preserve"> for the</w:t>
      </w:r>
      <w:r w:rsidR="000564A6" w:rsidRPr="00E61D0C">
        <w:rPr>
          <w:noProof/>
        </w:rPr>
        <w:t xml:space="preserve"> Commission</w:t>
      </w:r>
      <w:r w:rsidR="00715F42" w:rsidRPr="00E61D0C">
        <w:rPr>
          <w:noProof/>
        </w:rPr>
        <w:t xml:space="preserve"> propos</w:t>
      </w:r>
      <w:r w:rsidR="000564A6" w:rsidRPr="00E61D0C">
        <w:rPr>
          <w:noProof/>
        </w:rPr>
        <w:t>al for a</w:t>
      </w:r>
      <w:r w:rsidR="00715F42" w:rsidRPr="00E61D0C">
        <w:rPr>
          <w:noProof/>
        </w:rPr>
        <w:t xml:space="preserve"> post-2023 GSP regulation</w:t>
      </w:r>
      <w:bookmarkEnd w:id="18"/>
      <w:r w:rsidR="00715F42" w:rsidRPr="00E61D0C">
        <w:rPr>
          <w:noProof/>
        </w:rPr>
        <w:t xml:space="preserve">, a model-based analysis was carried out </w:t>
      </w:r>
      <w:r w:rsidR="000564A6" w:rsidRPr="00E61D0C">
        <w:rPr>
          <w:noProof/>
        </w:rPr>
        <w:t>based on</w:t>
      </w:r>
      <w:r w:rsidR="00715F42" w:rsidRPr="00E61D0C">
        <w:rPr>
          <w:noProof/>
        </w:rPr>
        <w:t xml:space="preserve"> a computable general equilibrium model (CGE). The results show</w:t>
      </w:r>
      <w:r w:rsidR="000564A6" w:rsidRPr="00E61D0C">
        <w:rPr>
          <w:noProof/>
        </w:rPr>
        <w:t>ed</w:t>
      </w:r>
      <w:r w:rsidR="00715F42" w:rsidRPr="00E61D0C">
        <w:rPr>
          <w:noProof/>
        </w:rPr>
        <w:t xml:space="preserve"> that</w:t>
      </w:r>
      <w:r w:rsidR="00CA3F2F">
        <w:rPr>
          <w:noProof/>
        </w:rPr>
        <w:t>,</w:t>
      </w:r>
      <w:r w:rsidR="00715F42" w:rsidRPr="00E61D0C">
        <w:rPr>
          <w:noProof/>
        </w:rPr>
        <w:t xml:space="preserve"> </w:t>
      </w:r>
      <w:r w:rsidR="00CA3F2F" w:rsidRPr="00E61D0C">
        <w:rPr>
          <w:noProof/>
        </w:rPr>
        <w:t>if preferences were lost</w:t>
      </w:r>
      <w:r w:rsidR="00CA3F2F">
        <w:rPr>
          <w:noProof/>
        </w:rPr>
        <w:t>,</w:t>
      </w:r>
      <w:r w:rsidR="00CA3F2F" w:rsidRPr="00E61D0C">
        <w:rPr>
          <w:noProof/>
        </w:rPr>
        <w:t xml:space="preserve"> </w:t>
      </w:r>
      <w:r w:rsidR="004F310C">
        <w:rPr>
          <w:noProof/>
        </w:rPr>
        <w:t xml:space="preserve">exports from GSP+ beneficiaries to the EU could drop by up to 25% </w:t>
      </w:r>
      <w:r w:rsidR="00F46B1C">
        <w:rPr>
          <w:noProof/>
        </w:rPr>
        <w:t xml:space="preserve">(for Pakistan) </w:t>
      </w:r>
      <w:r w:rsidR="004F310C">
        <w:rPr>
          <w:noProof/>
        </w:rPr>
        <w:t xml:space="preserve">and </w:t>
      </w:r>
      <w:r w:rsidR="00715F42" w:rsidRPr="00E61D0C">
        <w:rPr>
          <w:noProof/>
        </w:rPr>
        <w:t>the GDP of GSP</w:t>
      </w:r>
      <w:r w:rsidR="001E4001" w:rsidRPr="00E61D0C">
        <w:rPr>
          <w:noProof/>
        </w:rPr>
        <w:t>+</w:t>
      </w:r>
      <w:r w:rsidR="00715F42" w:rsidRPr="00E61D0C">
        <w:rPr>
          <w:noProof/>
        </w:rPr>
        <w:t xml:space="preserve"> beneficiar</w:t>
      </w:r>
      <w:r w:rsidR="000A7CCC" w:rsidRPr="00E61D0C">
        <w:rPr>
          <w:noProof/>
        </w:rPr>
        <w:t>y countries</w:t>
      </w:r>
      <w:r w:rsidR="00715F42" w:rsidRPr="00E61D0C">
        <w:rPr>
          <w:noProof/>
        </w:rPr>
        <w:t xml:space="preserve"> could be reduced by up to 0.3%</w:t>
      </w:r>
      <w:r w:rsidR="00894833" w:rsidRPr="00E61D0C">
        <w:rPr>
          <w:noProof/>
        </w:rPr>
        <w:t> </w:t>
      </w:r>
      <w:r w:rsidR="009C7A94" w:rsidRPr="009C7A94">
        <w:rPr>
          <w:rStyle w:val="FootnoteReference"/>
          <w:noProof/>
          <w:vertAlign w:val="baseline"/>
        </w:rPr>
        <w:t>(</w:t>
      </w:r>
      <w:r w:rsidR="00894833" w:rsidRPr="00E61D0C">
        <w:rPr>
          <w:rStyle w:val="FootnoteReference"/>
          <w:noProof/>
        </w:rPr>
        <w:footnoteReference w:id="27"/>
      </w:r>
      <w:r w:rsidR="009C7A94" w:rsidRPr="009C7A94">
        <w:rPr>
          <w:rStyle w:val="FootnoteReference"/>
          <w:noProof/>
          <w:vertAlign w:val="baseline"/>
        </w:rPr>
        <w:t>)</w:t>
      </w:r>
      <w:r w:rsidR="00715F42" w:rsidRPr="00E61D0C">
        <w:rPr>
          <w:noProof/>
        </w:rPr>
        <w:t>.</w:t>
      </w:r>
      <w:r w:rsidR="001E4001">
        <w:rPr>
          <w:noProof/>
        </w:rPr>
        <w:t xml:space="preserve"> In terms of absolute value</w:t>
      </w:r>
      <w:r w:rsidR="000564A6">
        <w:rPr>
          <w:noProof/>
        </w:rPr>
        <w:t xml:space="preserve">s, </w:t>
      </w:r>
      <w:r w:rsidR="005430B4">
        <w:rPr>
          <w:noProof/>
        </w:rPr>
        <w:t xml:space="preserve">the GDP loss </w:t>
      </w:r>
      <w:r w:rsidR="0027744C">
        <w:rPr>
          <w:noProof/>
        </w:rPr>
        <w:t xml:space="preserve">would be about </w:t>
      </w:r>
      <w:r w:rsidR="009C7A94">
        <w:rPr>
          <w:noProof/>
        </w:rPr>
        <w:t>€</w:t>
      </w:r>
      <w:r w:rsidR="0027744C">
        <w:rPr>
          <w:noProof/>
        </w:rPr>
        <w:t>6.6 billion</w:t>
      </w:r>
      <w:bookmarkEnd w:id="17"/>
      <w:r w:rsidR="0027744C" w:rsidRPr="00037ADE">
        <w:rPr>
          <w:noProof/>
        </w:rPr>
        <w:t> (</w:t>
      </w:r>
      <w:r w:rsidR="0027744C">
        <w:rPr>
          <w:rStyle w:val="FootnoteReference"/>
          <w:noProof/>
        </w:rPr>
        <w:footnoteReference w:id="28"/>
      </w:r>
      <w:r w:rsidR="0027744C">
        <w:rPr>
          <w:noProof/>
        </w:rPr>
        <w:t>)</w:t>
      </w:r>
      <w:r w:rsidR="009C7A94">
        <w:rPr>
          <w:noProof/>
        </w:rPr>
        <w:t>.</w:t>
      </w:r>
      <w:r w:rsidR="0027744C">
        <w:rPr>
          <w:noProof/>
        </w:rPr>
        <w:t xml:space="preserve"> Losses for EBA beneficiaries, where preferences are even more generous, have not been simulated in the study and would have to be added on top</w:t>
      </w:r>
      <w:r w:rsidR="00D54237">
        <w:rPr>
          <w:noProof/>
        </w:rPr>
        <w:t xml:space="preserve"> of</w:t>
      </w:r>
      <w:r w:rsidR="0027744C">
        <w:rPr>
          <w:noProof/>
        </w:rPr>
        <w:t xml:space="preserve"> </w:t>
      </w:r>
      <w:r w:rsidR="000564A6">
        <w:rPr>
          <w:noProof/>
        </w:rPr>
        <w:t xml:space="preserve">the projected losses </w:t>
      </w:r>
      <w:r w:rsidR="00DF3433">
        <w:rPr>
          <w:noProof/>
        </w:rPr>
        <w:t xml:space="preserve">of </w:t>
      </w:r>
      <w:r w:rsidR="009C7A94">
        <w:rPr>
          <w:noProof/>
        </w:rPr>
        <w:t>€</w:t>
      </w:r>
      <w:r w:rsidR="000564A6">
        <w:rPr>
          <w:noProof/>
        </w:rPr>
        <w:t xml:space="preserve">1.6 billion for GSP+ beneficiaries and </w:t>
      </w:r>
      <w:r w:rsidR="009C7A94">
        <w:rPr>
          <w:noProof/>
        </w:rPr>
        <w:t>€</w:t>
      </w:r>
      <w:r w:rsidR="000564A6">
        <w:rPr>
          <w:noProof/>
        </w:rPr>
        <w:t>5 billion for standard</w:t>
      </w:r>
      <w:r w:rsidR="00457135">
        <w:rPr>
          <w:noProof/>
        </w:rPr>
        <w:t xml:space="preserve"> GSP beneficiaries. </w:t>
      </w:r>
    </w:p>
    <w:p w14:paraId="543E4642" w14:textId="23A45C5C" w:rsidR="00AE3C8A" w:rsidRDefault="00AE3C8A" w:rsidP="00E7475B">
      <w:pPr>
        <w:pStyle w:val="Text1"/>
        <w:ind w:left="0"/>
        <w:rPr>
          <w:noProof/>
          <w:lang w:val="en-US"/>
        </w:rPr>
      </w:pPr>
      <w:r w:rsidRPr="730E3F16">
        <w:rPr>
          <w:noProof/>
          <w:lang w:val="en-US"/>
        </w:rPr>
        <w:t>Between 2014 and 2019</w:t>
      </w:r>
      <w:r w:rsidR="009056BF">
        <w:rPr>
          <w:noProof/>
          <w:lang w:val="en-US"/>
        </w:rPr>
        <w:t>, i.e.</w:t>
      </w:r>
      <w:r w:rsidR="00C26244">
        <w:rPr>
          <w:noProof/>
          <w:lang w:val="en-US"/>
        </w:rPr>
        <w:t>,</w:t>
      </w:r>
      <w:r w:rsidR="009056BF">
        <w:rPr>
          <w:noProof/>
          <w:lang w:val="en-US"/>
        </w:rPr>
        <w:t xml:space="preserve"> before the COVID-19 pandemic</w:t>
      </w:r>
      <w:r w:rsidRPr="730E3F16">
        <w:rPr>
          <w:noProof/>
          <w:lang w:val="en-US"/>
        </w:rPr>
        <w:t xml:space="preserve">, EU27 </w:t>
      </w:r>
      <w:r w:rsidR="56CAB23A" w:rsidRPr="00DF542A">
        <w:rPr>
          <w:noProof/>
          <w:lang w:val="en-US"/>
        </w:rPr>
        <w:t xml:space="preserve">total </w:t>
      </w:r>
      <w:r w:rsidR="00010953">
        <w:rPr>
          <w:noProof/>
          <w:lang w:val="en-US"/>
        </w:rPr>
        <w:t xml:space="preserve">preferential </w:t>
      </w:r>
      <w:r w:rsidRPr="00DF542A">
        <w:rPr>
          <w:noProof/>
          <w:lang w:val="en-US"/>
        </w:rPr>
        <w:t>imports</w:t>
      </w:r>
      <w:r w:rsidRPr="0010661B">
        <w:rPr>
          <w:noProof/>
          <w:lang w:val="en-US"/>
        </w:rPr>
        <w:t xml:space="preserve"> from current GSP beneficiaries u</w:t>
      </w:r>
      <w:r w:rsidR="69339629" w:rsidRPr="0010661B">
        <w:rPr>
          <w:noProof/>
          <w:lang w:val="en-US"/>
        </w:rPr>
        <w:t>s</w:t>
      </w:r>
      <w:r w:rsidRPr="0010661B">
        <w:rPr>
          <w:noProof/>
          <w:lang w:val="en-US"/>
        </w:rPr>
        <w:t xml:space="preserve">ing any of the </w:t>
      </w:r>
      <w:r w:rsidR="00F239FE" w:rsidRPr="0010661B">
        <w:rPr>
          <w:noProof/>
          <w:lang w:val="en-US"/>
        </w:rPr>
        <w:t xml:space="preserve">three arrangements </w:t>
      </w:r>
      <w:r w:rsidRPr="0010661B">
        <w:rPr>
          <w:noProof/>
          <w:lang w:val="en-US"/>
        </w:rPr>
        <w:t xml:space="preserve">increased by </w:t>
      </w:r>
      <w:r w:rsidR="00583F3C">
        <w:rPr>
          <w:noProof/>
          <w:lang w:val="en-US"/>
        </w:rPr>
        <w:t>56</w:t>
      </w:r>
      <w:r w:rsidRPr="0010661B">
        <w:rPr>
          <w:noProof/>
          <w:lang w:val="en-US"/>
        </w:rPr>
        <w:t>%, whereas overall imports from</w:t>
      </w:r>
      <w:r w:rsidR="00457135">
        <w:rPr>
          <w:noProof/>
          <w:lang w:val="en-US"/>
        </w:rPr>
        <w:t xml:space="preserve"> all</w:t>
      </w:r>
      <w:r w:rsidRPr="0010661B">
        <w:rPr>
          <w:noProof/>
          <w:lang w:val="en-US"/>
        </w:rPr>
        <w:t xml:space="preserve"> third countries increased by </w:t>
      </w:r>
      <w:r w:rsidR="00583F3C">
        <w:rPr>
          <w:noProof/>
          <w:lang w:val="en-US"/>
        </w:rPr>
        <w:t>17</w:t>
      </w:r>
      <w:r w:rsidRPr="0010661B">
        <w:rPr>
          <w:noProof/>
          <w:lang w:val="en-US"/>
        </w:rPr>
        <w:t xml:space="preserve">% over the same period. Imports under </w:t>
      </w:r>
      <w:r w:rsidR="00E64097" w:rsidRPr="0010661B">
        <w:rPr>
          <w:noProof/>
          <w:lang w:val="en-US"/>
        </w:rPr>
        <w:t xml:space="preserve">the </w:t>
      </w:r>
      <w:r w:rsidRPr="0010661B">
        <w:rPr>
          <w:noProof/>
          <w:lang w:val="en-US"/>
        </w:rPr>
        <w:t>EBA</w:t>
      </w:r>
      <w:r w:rsidR="00E64097" w:rsidRPr="0010661B">
        <w:rPr>
          <w:noProof/>
          <w:lang w:val="en-US"/>
        </w:rPr>
        <w:t xml:space="preserve"> arrangement</w:t>
      </w:r>
      <w:r w:rsidRPr="0010661B">
        <w:rPr>
          <w:noProof/>
          <w:lang w:val="en-US"/>
        </w:rPr>
        <w:t xml:space="preserve"> outperformed </w:t>
      </w:r>
      <w:r w:rsidR="00E64097" w:rsidRPr="0010661B">
        <w:rPr>
          <w:noProof/>
          <w:lang w:val="en-US"/>
        </w:rPr>
        <w:t xml:space="preserve">even more, </w:t>
      </w:r>
      <w:r w:rsidRPr="0010661B">
        <w:rPr>
          <w:noProof/>
          <w:lang w:val="en-US"/>
        </w:rPr>
        <w:t xml:space="preserve">with </w:t>
      </w:r>
      <w:r w:rsidR="00F239FE" w:rsidRPr="0010661B">
        <w:rPr>
          <w:noProof/>
          <w:lang w:val="en-US"/>
        </w:rPr>
        <w:t>a</w:t>
      </w:r>
      <w:r w:rsidR="00583F3C">
        <w:rPr>
          <w:noProof/>
          <w:lang w:val="en-US"/>
        </w:rPr>
        <w:t>n</w:t>
      </w:r>
      <w:r w:rsidR="00F239FE" w:rsidRPr="0010661B">
        <w:rPr>
          <w:noProof/>
          <w:lang w:val="en-US"/>
        </w:rPr>
        <w:t xml:space="preserve"> </w:t>
      </w:r>
      <w:r w:rsidR="00583F3C">
        <w:rPr>
          <w:noProof/>
          <w:lang w:val="en-US"/>
        </w:rPr>
        <w:t>81</w:t>
      </w:r>
      <w:r w:rsidRPr="0010661B">
        <w:rPr>
          <w:noProof/>
          <w:lang w:val="en-US"/>
        </w:rPr>
        <w:t>%</w:t>
      </w:r>
      <w:r w:rsidR="00F239FE" w:rsidRPr="0010661B">
        <w:rPr>
          <w:noProof/>
          <w:lang w:val="en-US"/>
        </w:rPr>
        <w:t xml:space="preserve"> increase over this period</w:t>
      </w:r>
      <w:r w:rsidRPr="0010661B">
        <w:rPr>
          <w:noProof/>
          <w:lang w:val="en-US"/>
        </w:rPr>
        <w:t xml:space="preserve"> (from </w:t>
      </w:r>
      <w:r w:rsidR="1CC11BF5" w:rsidRPr="0010661B">
        <w:rPr>
          <w:noProof/>
        </w:rPr>
        <w:t>€</w:t>
      </w:r>
      <w:r w:rsidRPr="0010661B">
        <w:rPr>
          <w:noProof/>
          <w:lang w:val="en-US"/>
        </w:rPr>
        <w:t>1</w:t>
      </w:r>
      <w:r w:rsidR="00583F3C">
        <w:rPr>
          <w:noProof/>
          <w:lang w:val="en-US"/>
        </w:rPr>
        <w:t>3</w:t>
      </w:r>
      <w:r w:rsidRPr="0010661B">
        <w:rPr>
          <w:noProof/>
          <w:lang w:val="en-US"/>
        </w:rPr>
        <w:t>.</w:t>
      </w:r>
      <w:r w:rsidR="00583F3C">
        <w:rPr>
          <w:noProof/>
          <w:lang w:val="en-US"/>
        </w:rPr>
        <w:t>9</w:t>
      </w:r>
      <w:r w:rsidRPr="0010661B">
        <w:rPr>
          <w:noProof/>
          <w:lang w:val="en-US"/>
        </w:rPr>
        <w:t xml:space="preserve"> billion in 2014 to </w:t>
      </w:r>
      <w:r w:rsidR="7C138E8D" w:rsidRPr="0010661B">
        <w:rPr>
          <w:noProof/>
        </w:rPr>
        <w:t>€</w:t>
      </w:r>
      <w:r w:rsidRPr="0010661B">
        <w:rPr>
          <w:noProof/>
          <w:lang w:val="en-US"/>
        </w:rPr>
        <w:t>25.2 billion</w:t>
      </w:r>
      <w:r w:rsidR="5D21045B" w:rsidRPr="0010661B">
        <w:rPr>
          <w:noProof/>
        </w:rPr>
        <w:t xml:space="preserve"> </w:t>
      </w:r>
      <w:r w:rsidRPr="0010661B">
        <w:rPr>
          <w:noProof/>
          <w:lang w:val="en-US"/>
        </w:rPr>
        <w:t xml:space="preserve">in 2019). During the same time, the </w:t>
      </w:r>
      <w:r w:rsidRPr="00DF542A">
        <w:rPr>
          <w:noProof/>
          <w:lang w:val="en-US"/>
        </w:rPr>
        <w:t>share of imports</w:t>
      </w:r>
      <w:r w:rsidR="00F239FE" w:rsidRPr="00DF542A">
        <w:rPr>
          <w:noProof/>
          <w:lang w:val="en-US"/>
        </w:rPr>
        <w:t xml:space="preserve"> from LDCs</w:t>
      </w:r>
      <w:r w:rsidRPr="730E3F16">
        <w:rPr>
          <w:noProof/>
          <w:lang w:val="en-US"/>
        </w:rPr>
        <w:t xml:space="preserve"> </w:t>
      </w:r>
      <w:r w:rsidR="00A4340A">
        <w:rPr>
          <w:noProof/>
          <w:lang w:val="en-US"/>
        </w:rPr>
        <w:t>using</w:t>
      </w:r>
      <w:r w:rsidR="00F239FE" w:rsidRPr="730E3F16">
        <w:rPr>
          <w:noProof/>
          <w:lang w:val="en-US"/>
        </w:rPr>
        <w:t xml:space="preserve"> </w:t>
      </w:r>
      <w:r w:rsidRPr="730E3F16">
        <w:rPr>
          <w:noProof/>
          <w:lang w:val="en-US"/>
        </w:rPr>
        <w:t>EBA</w:t>
      </w:r>
      <w:r w:rsidR="00F239FE">
        <w:rPr>
          <w:noProof/>
          <w:lang w:val="en-US"/>
        </w:rPr>
        <w:t xml:space="preserve"> preferences</w:t>
      </w:r>
      <w:r w:rsidRPr="730E3F16">
        <w:rPr>
          <w:noProof/>
          <w:lang w:val="en-US"/>
        </w:rPr>
        <w:t xml:space="preserve"> in total </w:t>
      </w:r>
      <w:r w:rsidR="00F239FE">
        <w:rPr>
          <w:noProof/>
          <w:lang w:val="en-US"/>
        </w:rPr>
        <w:t xml:space="preserve">EU </w:t>
      </w:r>
      <w:r w:rsidRPr="730E3F16">
        <w:rPr>
          <w:noProof/>
          <w:lang w:val="en-US"/>
        </w:rPr>
        <w:t>imports from LDC</w:t>
      </w:r>
      <w:r w:rsidR="001941D0">
        <w:rPr>
          <w:noProof/>
          <w:lang w:val="en-US"/>
        </w:rPr>
        <w:t>s</w:t>
      </w:r>
      <w:r w:rsidRPr="730E3F16">
        <w:rPr>
          <w:noProof/>
          <w:lang w:val="en-US"/>
        </w:rPr>
        <w:t xml:space="preserve"> increased from less than </w:t>
      </w:r>
      <w:r w:rsidR="09E12391" w:rsidRPr="730E3F16">
        <w:rPr>
          <w:noProof/>
          <w:lang w:val="en-US"/>
        </w:rPr>
        <w:t>50%</w:t>
      </w:r>
      <w:r w:rsidRPr="730E3F16">
        <w:rPr>
          <w:noProof/>
          <w:lang w:val="en-US"/>
        </w:rPr>
        <w:t xml:space="preserve"> to over </w:t>
      </w:r>
      <w:r w:rsidR="68ACFE7C" w:rsidRPr="730E3F16">
        <w:rPr>
          <w:noProof/>
          <w:lang w:val="en-US"/>
        </w:rPr>
        <w:t>66%</w:t>
      </w:r>
      <w:r w:rsidR="00A4340A">
        <w:rPr>
          <w:noProof/>
          <w:lang w:val="en-US"/>
        </w:rPr>
        <w:t>. This</w:t>
      </w:r>
      <w:r w:rsidRPr="730E3F16">
        <w:rPr>
          <w:noProof/>
          <w:lang w:val="en-US"/>
        </w:rPr>
        <w:t xml:space="preserve"> suggest</w:t>
      </w:r>
      <w:r w:rsidR="00A4340A">
        <w:rPr>
          <w:noProof/>
          <w:lang w:val="en-US"/>
        </w:rPr>
        <w:t>s</w:t>
      </w:r>
      <w:r w:rsidRPr="730E3F16">
        <w:rPr>
          <w:noProof/>
          <w:lang w:val="en-US"/>
        </w:rPr>
        <w:t xml:space="preserve"> a diversification away from </w:t>
      </w:r>
      <w:r w:rsidR="008E353B">
        <w:rPr>
          <w:noProof/>
          <w:lang w:val="en-US"/>
        </w:rPr>
        <w:t xml:space="preserve">fossil </w:t>
      </w:r>
      <w:r w:rsidRPr="730E3F16">
        <w:rPr>
          <w:noProof/>
          <w:lang w:val="en-US"/>
        </w:rPr>
        <w:t xml:space="preserve">fuels and other items </w:t>
      </w:r>
      <w:r w:rsidR="009E3B32">
        <w:rPr>
          <w:noProof/>
          <w:lang w:val="en-US"/>
        </w:rPr>
        <w:t>for which</w:t>
      </w:r>
      <w:r w:rsidR="00F239FE" w:rsidRPr="730E3F16">
        <w:rPr>
          <w:noProof/>
          <w:lang w:val="en-US"/>
        </w:rPr>
        <w:t xml:space="preserve"> </w:t>
      </w:r>
      <w:r w:rsidRPr="730E3F16">
        <w:rPr>
          <w:noProof/>
          <w:lang w:val="en-US"/>
        </w:rPr>
        <w:t>EBA preferences</w:t>
      </w:r>
      <w:r w:rsidR="008E353B">
        <w:rPr>
          <w:noProof/>
          <w:lang w:val="en-US"/>
        </w:rPr>
        <w:t xml:space="preserve"> do not give additional advantages (e.g.</w:t>
      </w:r>
      <w:r w:rsidR="001941D0">
        <w:rPr>
          <w:noProof/>
          <w:lang w:val="en-US"/>
        </w:rPr>
        <w:t>,</w:t>
      </w:r>
      <w:r w:rsidR="008E353B">
        <w:rPr>
          <w:noProof/>
          <w:lang w:val="en-US"/>
        </w:rPr>
        <w:t xml:space="preserve"> because the EU’s M</w:t>
      </w:r>
      <w:r w:rsidR="001941D0">
        <w:rPr>
          <w:noProof/>
          <w:lang w:val="en-US"/>
        </w:rPr>
        <w:t>FN</w:t>
      </w:r>
      <w:r w:rsidR="008E353B">
        <w:rPr>
          <w:noProof/>
          <w:lang w:val="en-US"/>
        </w:rPr>
        <w:t xml:space="preserve"> import duties are already zero)</w:t>
      </w:r>
      <w:r w:rsidRPr="730E3F16">
        <w:rPr>
          <w:noProof/>
          <w:lang w:val="en-US"/>
        </w:rPr>
        <w:t>.</w:t>
      </w:r>
    </w:p>
    <w:p w14:paraId="741A34A7" w14:textId="26D65AC3" w:rsidR="00C606DE" w:rsidRDefault="3E31AA1C" w:rsidP="00E7475B">
      <w:pPr>
        <w:pStyle w:val="Text1"/>
        <w:ind w:left="0"/>
        <w:rPr>
          <w:noProof/>
        </w:rPr>
      </w:pPr>
      <w:bookmarkStart w:id="19" w:name="_Hlk147301752"/>
      <w:r>
        <w:rPr>
          <w:noProof/>
        </w:rPr>
        <w:t>Despite the</w:t>
      </w:r>
      <w:r w:rsidR="5954581D">
        <w:rPr>
          <w:noProof/>
        </w:rPr>
        <w:t xml:space="preserve"> impact of the </w:t>
      </w:r>
      <w:r w:rsidR="00F2143A">
        <w:rPr>
          <w:noProof/>
        </w:rPr>
        <w:t>COVID</w:t>
      </w:r>
      <w:r w:rsidR="00E0173E">
        <w:rPr>
          <w:noProof/>
        </w:rPr>
        <w:t xml:space="preserve">-19 </w:t>
      </w:r>
      <w:r w:rsidR="5954581D">
        <w:rPr>
          <w:noProof/>
        </w:rPr>
        <w:t>crisis and the</w:t>
      </w:r>
      <w:r w:rsidR="005438D7">
        <w:rPr>
          <w:noProof/>
        </w:rPr>
        <w:t xml:space="preserve"> exit of Vietnam </w:t>
      </w:r>
      <w:r w:rsidR="001B0598">
        <w:rPr>
          <w:noProof/>
        </w:rPr>
        <w:t xml:space="preserve">and other beneficiaries </w:t>
      </w:r>
      <w:r w:rsidR="005438D7">
        <w:rPr>
          <w:noProof/>
        </w:rPr>
        <w:t xml:space="preserve">from the </w:t>
      </w:r>
      <w:r w:rsidR="008E353B">
        <w:rPr>
          <w:noProof/>
        </w:rPr>
        <w:t xml:space="preserve">GSP </w:t>
      </w:r>
      <w:r w:rsidR="001B0598">
        <w:rPr>
          <w:noProof/>
        </w:rPr>
        <w:t xml:space="preserve">scheme </w:t>
      </w:r>
      <w:r w:rsidR="008E353B">
        <w:rPr>
          <w:noProof/>
        </w:rPr>
        <w:t xml:space="preserve">between </w:t>
      </w:r>
      <w:r>
        <w:rPr>
          <w:noProof/>
        </w:rPr>
        <w:t>2019</w:t>
      </w:r>
      <w:r w:rsidR="008E353B">
        <w:rPr>
          <w:noProof/>
        </w:rPr>
        <w:t xml:space="preserve"> and 202</w:t>
      </w:r>
      <w:r w:rsidR="00882893">
        <w:rPr>
          <w:noProof/>
        </w:rPr>
        <w:t>2</w:t>
      </w:r>
      <w:r w:rsidR="7693C715">
        <w:rPr>
          <w:noProof/>
        </w:rPr>
        <w:t xml:space="preserve"> as discussed above</w:t>
      </w:r>
      <w:r>
        <w:rPr>
          <w:noProof/>
        </w:rPr>
        <w:t xml:space="preserve">, the longer-term trend remains positive, in particular for GSP+ </w:t>
      </w:r>
      <w:r w:rsidR="001836D4">
        <w:rPr>
          <w:noProof/>
        </w:rPr>
        <w:t>and EBA beneficiaries</w:t>
      </w:r>
      <w:r>
        <w:rPr>
          <w:noProof/>
        </w:rPr>
        <w:t>, and to a certain extent also for countries</w:t>
      </w:r>
      <w:r w:rsidR="001836D4">
        <w:rPr>
          <w:noProof/>
        </w:rPr>
        <w:t xml:space="preserve"> under the standard GSP arrangement.</w:t>
      </w:r>
      <w:bookmarkEnd w:id="19"/>
      <w:r>
        <w:rPr>
          <w:noProof/>
        </w:rPr>
        <w:t xml:space="preserve"> </w:t>
      </w:r>
      <w:r w:rsidR="001836D4">
        <w:rPr>
          <w:noProof/>
        </w:rPr>
        <w:t>I</w:t>
      </w:r>
      <w:r>
        <w:rPr>
          <w:noProof/>
        </w:rPr>
        <w:t xml:space="preserve">n fact, imports from </w:t>
      </w:r>
      <w:r w:rsidR="00882893">
        <w:rPr>
          <w:noProof/>
        </w:rPr>
        <w:t xml:space="preserve">the current </w:t>
      </w:r>
      <w:r w:rsidR="001836D4">
        <w:rPr>
          <w:noProof/>
        </w:rPr>
        <w:t>GSP beneficiaries</w:t>
      </w:r>
      <w:r>
        <w:rPr>
          <w:noProof/>
        </w:rPr>
        <w:t xml:space="preserve"> reached an all-time high in 202</w:t>
      </w:r>
      <w:r w:rsidR="00DD04CB">
        <w:rPr>
          <w:noProof/>
        </w:rPr>
        <w:t>2</w:t>
      </w:r>
      <w:r>
        <w:rPr>
          <w:noProof/>
        </w:rPr>
        <w:t>, at €</w:t>
      </w:r>
      <w:r w:rsidR="00882893">
        <w:rPr>
          <w:noProof/>
        </w:rPr>
        <w:t>80</w:t>
      </w:r>
      <w:r>
        <w:rPr>
          <w:noProof/>
        </w:rPr>
        <w:t>.6 billion</w:t>
      </w:r>
      <w:r w:rsidR="00B45940">
        <w:rPr>
          <w:noProof/>
        </w:rPr>
        <w:t xml:space="preserve"> (Figure </w:t>
      </w:r>
      <w:r w:rsidR="00F2143A">
        <w:rPr>
          <w:noProof/>
        </w:rPr>
        <w:t>8</w:t>
      </w:r>
      <w:r w:rsidR="00B45940">
        <w:rPr>
          <w:noProof/>
        </w:rPr>
        <w:t>)</w:t>
      </w:r>
      <w:r>
        <w:rPr>
          <w:noProof/>
        </w:rPr>
        <w:t>.</w:t>
      </w:r>
    </w:p>
    <w:p w14:paraId="2C62F357" w14:textId="42EFC7D4" w:rsidR="008348B8" w:rsidRPr="001B0598" w:rsidRDefault="008348B8" w:rsidP="001B0598">
      <w:pPr>
        <w:keepNext/>
        <w:spacing w:before="120" w:after="120"/>
        <w:jc w:val="left"/>
        <w:rPr>
          <w:iCs/>
          <w:noProof/>
          <w:color w:val="365F91" w:themeColor="accent1" w:themeShade="BF"/>
          <w:sz w:val="20"/>
          <w:lang w:eastAsia="en-US"/>
        </w:rPr>
      </w:pPr>
      <w:bookmarkStart w:id="20" w:name="_Ref118976769"/>
      <w:bookmarkStart w:id="21" w:name="_Toc119052775"/>
      <w:r w:rsidRPr="001B0598">
        <w:rPr>
          <w:i/>
          <w:iCs/>
          <w:noProof/>
          <w:color w:val="365F91" w:themeColor="accent1" w:themeShade="BF"/>
          <w:sz w:val="20"/>
          <w:lang w:eastAsia="en-US"/>
        </w:rPr>
        <w:t xml:space="preserve">Figure </w:t>
      </w:r>
      <w:bookmarkEnd w:id="20"/>
      <w:r w:rsidR="00F2143A" w:rsidRPr="00AD549E">
        <w:rPr>
          <w:i/>
          <w:iCs/>
          <w:noProof/>
          <w:color w:val="365F91" w:themeColor="accent1" w:themeShade="BF"/>
          <w:sz w:val="20"/>
          <w:lang w:eastAsia="en-US"/>
        </w:rPr>
        <w:t>8</w:t>
      </w:r>
      <w:r w:rsidRPr="001B0598">
        <w:rPr>
          <w:i/>
          <w:iCs/>
          <w:noProof/>
          <w:color w:val="365F91" w:themeColor="accent1" w:themeShade="BF"/>
          <w:sz w:val="20"/>
          <w:lang w:eastAsia="en-US"/>
        </w:rPr>
        <w:t xml:space="preserve">: </w:t>
      </w:r>
      <w:r w:rsidR="00BB7C4C">
        <w:rPr>
          <w:i/>
          <w:iCs/>
          <w:noProof/>
          <w:color w:val="365F91" w:themeColor="accent1" w:themeShade="BF"/>
          <w:sz w:val="20"/>
          <w:lang w:eastAsia="en-US"/>
        </w:rPr>
        <w:t xml:space="preserve">GSP preferential imports by arrangement, </w:t>
      </w:r>
      <w:r w:rsidR="00BB7C4C" w:rsidRPr="00192B66">
        <w:rPr>
          <w:i/>
          <w:iCs/>
          <w:noProof/>
          <w:color w:val="365F91" w:themeColor="accent1" w:themeShade="BF"/>
          <w:sz w:val="20"/>
          <w:lang w:eastAsia="en-US"/>
        </w:rPr>
        <w:t>2014-202</w:t>
      </w:r>
      <w:r w:rsidR="00BB7C4C">
        <w:rPr>
          <w:i/>
          <w:iCs/>
          <w:noProof/>
          <w:color w:val="365F91" w:themeColor="accent1" w:themeShade="BF"/>
          <w:sz w:val="20"/>
          <w:lang w:eastAsia="en-US"/>
        </w:rPr>
        <w:t>2 (€ billion)</w:t>
      </w:r>
      <w:bookmarkEnd w:id="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07"/>
      </w:tblGrid>
      <w:tr w:rsidR="008348B8" w14:paraId="7B5B569B" w14:textId="77777777" w:rsidTr="00992D45">
        <w:trPr>
          <w:trHeight w:val="3307"/>
        </w:trPr>
        <w:tc>
          <w:tcPr>
            <w:tcW w:w="8833" w:type="dxa"/>
          </w:tcPr>
          <w:p w14:paraId="6B1E1011" w14:textId="3633BB3D" w:rsidR="008348B8" w:rsidRDefault="00882893" w:rsidP="00992D45">
            <w:pPr>
              <w:pStyle w:val="Body"/>
              <w:spacing w:before="20" w:after="20"/>
              <w:rPr>
                <w:noProof/>
                <w:sz w:val="20"/>
                <w:szCs w:val="20"/>
              </w:rPr>
            </w:pPr>
            <w:r>
              <w:rPr>
                <w:noProof/>
                <w:lang w:eastAsia="en-GB"/>
              </w:rPr>
              <w:drawing>
                <wp:inline distT="0" distB="0" distL="0" distR="0" wp14:anchorId="7B61B9C7" wp14:editId="6F20F6B5">
                  <wp:extent cx="5471795" cy="2656205"/>
                  <wp:effectExtent l="0" t="0" r="0" b="0"/>
                  <wp:docPr id="805596004" name="Diagramm 1">
                    <a:extLst xmlns:a="http://schemas.openxmlformats.org/drawingml/2006/main">
                      <a:ext uri="{FF2B5EF4-FFF2-40B4-BE49-F238E27FC236}">
                        <a16:creationId xmlns:a16="http://schemas.microsoft.com/office/drawing/2014/main" id="{9D89D3C3-180B-4C1C-AF4F-EA381DFBC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7A167104" w14:textId="307F1AAF" w:rsidR="00AE3C8A" w:rsidRDefault="00992D45" w:rsidP="00E7475B">
      <w:pPr>
        <w:pStyle w:val="Text1"/>
        <w:ind w:left="0"/>
        <w:rPr>
          <w:noProof/>
          <w:lang w:val="en-US"/>
        </w:rPr>
      </w:pPr>
      <w:r>
        <w:rPr>
          <w:noProof/>
          <w:lang w:val="en-US"/>
        </w:rPr>
        <w:br/>
      </w:r>
      <w:r w:rsidR="00C041B5">
        <w:rPr>
          <w:noProof/>
          <w:lang w:val="en-US"/>
        </w:rPr>
        <w:t>T</w:t>
      </w:r>
      <w:r w:rsidR="00AE3C8A" w:rsidRPr="730E3F16">
        <w:rPr>
          <w:noProof/>
          <w:lang w:val="en-US"/>
        </w:rPr>
        <w:t xml:space="preserve">he </w:t>
      </w:r>
      <w:r w:rsidR="00E0173E">
        <w:rPr>
          <w:noProof/>
          <w:lang w:val="en-US"/>
        </w:rPr>
        <w:t>duty</w:t>
      </w:r>
      <w:r w:rsidR="00A51E76">
        <w:rPr>
          <w:noProof/>
          <w:lang w:val="en-US"/>
        </w:rPr>
        <w:t>-</w:t>
      </w:r>
      <w:r w:rsidR="00E0173E">
        <w:rPr>
          <w:noProof/>
          <w:lang w:val="en-US"/>
        </w:rPr>
        <w:t>free</w:t>
      </w:r>
      <w:r w:rsidR="00A51E76">
        <w:rPr>
          <w:noProof/>
          <w:lang w:val="en-US"/>
        </w:rPr>
        <w:t>,</w:t>
      </w:r>
      <w:r w:rsidR="00E0173E">
        <w:rPr>
          <w:noProof/>
          <w:lang w:val="en-US"/>
        </w:rPr>
        <w:t xml:space="preserve"> quota</w:t>
      </w:r>
      <w:r w:rsidR="00A51E76">
        <w:rPr>
          <w:noProof/>
          <w:lang w:val="en-US"/>
        </w:rPr>
        <w:t>-</w:t>
      </w:r>
      <w:r w:rsidR="00E0173E">
        <w:rPr>
          <w:noProof/>
          <w:lang w:val="en-US"/>
        </w:rPr>
        <w:t xml:space="preserve">free </w:t>
      </w:r>
      <w:r w:rsidR="00AE3C8A" w:rsidRPr="730E3F16">
        <w:rPr>
          <w:noProof/>
          <w:lang w:val="en-US"/>
        </w:rPr>
        <w:t xml:space="preserve">EBA arrangement has supported improvements in </w:t>
      </w:r>
      <w:r w:rsidR="00790513">
        <w:rPr>
          <w:noProof/>
          <w:lang w:val="en-US"/>
        </w:rPr>
        <w:t>domestic</w:t>
      </w:r>
      <w:r w:rsidR="00B9151F">
        <w:rPr>
          <w:noProof/>
          <w:lang w:val="en-US"/>
        </w:rPr>
        <w:t xml:space="preserve"> </w:t>
      </w:r>
      <w:r w:rsidR="00E0173E">
        <w:rPr>
          <w:noProof/>
          <w:lang w:val="en-US"/>
        </w:rPr>
        <w:t>revenues</w:t>
      </w:r>
      <w:r w:rsidR="00AE3C8A" w:rsidRPr="730E3F16">
        <w:rPr>
          <w:noProof/>
          <w:lang w:val="en-US"/>
        </w:rPr>
        <w:t xml:space="preserve"> for the lowest income economies in the world.</w:t>
      </w:r>
      <w:r w:rsidR="00804ADC" w:rsidRPr="730E3F16">
        <w:rPr>
          <w:noProof/>
          <w:lang w:val="en-US"/>
        </w:rPr>
        <w:t xml:space="preserve"> </w:t>
      </w:r>
      <w:r w:rsidR="00AE3C8A" w:rsidRPr="730E3F16">
        <w:rPr>
          <w:noProof/>
          <w:lang w:val="en-US"/>
        </w:rPr>
        <w:t xml:space="preserve">EBA </w:t>
      </w:r>
      <w:r w:rsidR="00457135">
        <w:rPr>
          <w:noProof/>
          <w:lang w:val="en-US"/>
        </w:rPr>
        <w:t>beneficiaries</w:t>
      </w:r>
      <w:r w:rsidR="00457135" w:rsidRPr="730E3F16">
        <w:rPr>
          <w:noProof/>
          <w:lang w:val="en-US"/>
        </w:rPr>
        <w:t xml:space="preserve"> </w:t>
      </w:r>
      <w:r w:rsidR="00AE3C8A" w:rsidRPr="730E3F16">
        <w:rPr>
          <w:noProof/>
          <w:lang w:val="en-US"/>
        </w:rPr>
        <w:t xml:space="preserve">had strong overall growth in exports to the EU with good performance across all sectors. </w:t>
      </w:r>
      <w:r w:rsidR="00936B9F" w:rsidRPr="730E3F16">
        <w:rPr>
          <w:noProof/>
          <w:lang w:val="en-US"/>
        </w:rPr>
        <w:t xml:space="preserve">GSP+ </w:t>
      </w:r>
      <w:r w:rsidR="00457135">
        <w:rPr>
          <w:noProof/>
          <w:lang w:val="en-US"/>
        </w:rPr>
        <w:t>beneficiaries</w:t>
      </w:r>
      <w:r w:rsidR="00457135" w:rsidRPr="730E3F16">
        <w:rPr>
          <w:noProof/>
          <w:lang w:val="en-US"/>
        </w:rPr>
        <w:t xml:space="preserve"> </w:t>
      </w:r>
      <w:r w:rsidR="00936B9F" w:rsidRPr="730E3F16">
        <w:rPr>
          <w:noProof/>
          <w:lang w:val="en-US"/>
        </w:rPr>
        <w:t>have shown</w:t>
      </w:r>
      <w:r w:rsidR="0095385F">
        <w:rPr>
          <w:noProof/>
          <w:lang w:val="en-US"/>
        </w:rPr>
        <w:t>,</w:t>
      </w:r>
      <w:r w:rsidR="00936B9F" w:rsidRPr="730E3F16">
        <w:rPr>
          <w:noProof/>
          <w:lang w:val="en-US"/>
        </w:rPr>
        <w:t xml:space="preserve"> on average</w:t>
      </w:r>
      <w:r w:rsidR="0095385F">
        <w:rPr>
          <w:noProof/>
          <w:lang w:val="en-US"/>
        </w:rPr>
        <w:t>,</w:t>
      </w:r>
      <w:r w:rsidR="00936B9F" w:rsidRPr="730E3F16">
        <w:rPr>
          <w:noProof/>
          <w:lang w:val="en-US"/>
        </w:rPr>
        <w:t xml:space="preserve"> mo</w:t>
      </w:r>
      <w:r w:rsidR="0095385F">
        <w:rPr>
          <w:noProof/>
          <w:lang w:val="en-US"/>
        </w:rPr>
        <w:t>re</w:t>
      </w:r>
      <w:r w:rsidR="00936B9F" w:rsidRPr="730E3F16">
        <w:rPr>
          <w:noProof/>
          <w:lang w:val="en-US"/>
        </w:rPr>
        <w:t xml:space="preserve"> resilien</w:t>
      </w:r>
      <w:r w:rsidR="00583F3C">
        <w:rPr>
          <w:noProof/>
          <w:lang w:val="en-US"/>
        </w:rPr>
        <w:t>ce</w:t>
      </w:r>
      <w:r w:rsidR="00936B9F" w:rsidRPr="730E3F16">
        <w:rPr>
          <w:noProof/>
          <w:lang w:val="en-US"/>
        </w:rPr>
        <w:t xml:space="preserve"> to crises</w:t>
      </w:r>
      <w:r w:rsidR="00B45940">
        <w:rPr>
          <w:noProof/>
          <w:lang w:val="en-US"/>
        </w:rPr>
        <w:t xml:space="preserve"> compared to </w:t>
      </w:r>
      <w:r w:rsidR="00790513">
        <w:rPr>
          <w:noProof/>
          <w:lang w:val="en-US"/>
        </w:rPr>
        <w:t xml:space="preserve">standard GSP and EBA </w:t>
      </w:r>
      <w:r w:rsidR="00604F2B">
        <w:rPr>
          <w:noProof/>
          <w:lang w:val="en-US"/>
        </w:rPr>
        <w:t>beneficiaries</w:t>
      </w:r>
      <w:r w:rsidR="0095385F">
        <w:rPr>
          <w:noProof/>
          <w:lang w:val="en-US"/>
        </w:rPr>
        <w:t>;</w:t>
      </w:r>
      <w:r w:rsidR="00936B9F" w:rsidRPr="730E3F16">
        <w:rPr>
          <w:noProof/>
          <w:lang w:val="en-US"/>
        </w:rPr>
        <w:t xml:space="preserve"> with stea</w:t>
      </w:r>
      <w:r w:rsidR="00144BA6" w:rsidRPr="730E3F16">
        <w:rPr>
          <w:noProof/>
          <w:lang w:val="en-US"/>
        </w:rPr>
        <w:t>dy growth</w:t>
      </w:r>
      <w:r w:rsidR="00B45940">
        <w:rPr>
          <w:noProof/>
          <w:lang w:val="en-US"/>
        </w:rPr>
        <w:t xml:space="preserve"> of exports to the EU</w:t>
      </w:r>
      <w:r w:rsidR="00144BA6" w:rsidRPr="730E3F16">
        <w:rPr>
          <w:noProof/>
          <w:lang w:val="en-US"/>
        </w:rPr>
        <w:t xml:space="preserve"> over the years</w:t>
      </w:r>
      <w:r w:rsidR="00B45940">
        <w:rPr>
          <w:noProof/>
          <w:lang w:val="en-US"/>
        </w:rPr>
        <w:t>, smaller contractions in 2020,</w:t>
      </w:r>
      <w:r w:rsidR="00144BA6" w:rsidRPr="730E3F16">
        <w:rPr>
          <w:noProof/>
          <w:lang w:val="en-US"/>
        </w:rPr>
        <w:t xml:space="preserve"> and a significant rebound in 2021.</w:t>
      </w:r>
    </w:p>
    <w:p w14:paraId="49FA9845" w14:textId="77777777" w:rsidR="00B45940" w:rsidRPr="00174A5C" w:rsidRDefault="00B45940" w:rsidP="000433A4">
      <w:pPr>
        <w:pStyle w:val="Text1"/>
        <w:keepNext/>
        <w:ind w:left="0"/>
        <w:rPr>
          <w:bCs/>
          <w:i/>
          <w:noProof/>
          <w:u w:val="single"/>
          <w:lang w:val="en-US"/>
        </w:rPr>
      </w:pPr>
      <w:r w:rsidRPr="00F61BBA">
        <w:rPr>
          <w:bCs/>
          <w:i/>
          <w:noProof/>
          <w:u w:val="single"/>
          <w:lang w:val="en-US"/>
        </w:rPr>
        <w:t>Compliance with international standards</w:t>
      </w:r>
    </w:p>
    <w:p w14:paraId="6B81F319" w14:textId="794F7347" w:rsidR="00C5330D" w:rsidRDefault="00B45940" w:rsidP="00E7475B">
      <w:pPr>
        <w:rPr>
          <w:noProof/>
        </w:rPr>
      </w:pPr>
      <w:bookmarkStart w:id="22" w:name="_Hlk147302525"/>
      <w:r>
        <w:rPr>
          <w:noProof/>
        </w:rPr>
        <w:t>Alongside the economic benefits</w:t>
      </w:r>
      <w:r w:rsidR="0095385F">
        <w:rPr>
          <w:noProof/>
        </w:rPr>
        <w:t xml:space="preserve"> of </w:t>
      </w:r>
      <w:r w:rsidR="00461C19">
        <w:rPr>
          <w:noProof/>
        </w:rPr>
        <w:t>GSP</w:t>
      </w:r>
      <w:r w:rsidR="0095385F">
        <w:rPr>
          <w:noProof/>
        </w:rPr>
        <w:t>,</w:t>
      </w:r>
      <w:r w:rsidR="00C12516">
        <w:rPr>
          <w:noProof/>
        </w:rPr>
        <w:t xml:space="preserve"> beneficiary countries have advanced </w:t>
      </w:r>
      <w:r w:rsidR="00EB14B9">
        <w:rPr>
          <w:noProof/>
        </w:rPr>
        <w:t>with regard to</w:t>
      </w:r>
      <w:r w:rsidR="00C12516">
        <w:rPr>
          <w:noProof/>
        </w:rPr>
        <w:t xml:space="preserve"> </w:t>
      </w:r>
      <w:r w:rsidR="00C12516" w:rsidRPr="00DF542A">
        <w:rPr>
          <w:noProof/>
        </w:rPr>
        <w:t>sustainable development and compliance with international standards</w:t>
      </w:r>
      <w:r w:rsidR="00C12516" w:rsidRPr="0010661B">
        <w:rPr>
          <w:noProof/>
        </w:rPr>
        <w:t xml:space="preserve">. </w:t>
      </w:r>
      <w:r w:rsidR="358815B3">
        <w:rPr>
          <w:noProof/>
        </w:rPr>
        <w:t xml:space="preserve">As a prerequisite for joining GSP+, all </w:t>
      </w:r>
      <w:r w:rsidR="00461C19">
        <w:rPr>
          <w:noProof/>
        </w:rPr>
        <w:t xml:space="preserve">GSP+ </w:t>
      </w:r>
      <w:r w:rsidR="358815B3">
        <w:rPr>
          <w:noProof/>
        </w:rPr>
        <w:t>beneficiaries ratified the relevant 27 international conventions, have maintained ratification</w:t>
      </w:r>
      <w:r w:rsidR="00D86CE1">
        <w:rPr>
          <w:noProof/>
        </w:rPr>
        <w:t>,</w:t>
      </w:r>
      <w:r w:rsidR="358815B3">
        <w:rPr>
          <w:noProof/>
        </w:rPr>
        <w:t xml:space="preserve"> and have made no reservations which </w:t>
      </w:r>
      <w:r w:rsidR="0EF8240A">
        <w:rPr>
          <w:noProof/>
        </w:rPr>
        <w:t xml:space="preserve">go against the principles of the conventions. </w:t>
      </w:r>
      <w:r w:rsidR="00E30C14">
        <w:rPr>
          <w:noProof/>
        </w:rPr>
        <w:t>Overall</w:t>
      </w:r>
      <w:r w:rsidR="211A864C">
        <w:rPr>
          <w:noProof/>
        </w:rPr>
        <w:t xml:space="preserve"> compliance with </w:t>
      </w:r>
      <w:r w:rsidR="00E30C14">
        <w:rPr>
          <w:noProof/>
        </w:rPr>
        <w:t xml:space="preserve">GSP+ </w:t>
      </w:r>
      <w:r w:rsidR="211A864C">
        <w:rPr>
          <w:noProof/>
        </w:rPr>
        <w:t xml:space="preserve">requirements in terms of </w:t>
      </w:r>
      <w:r w:rsidR="00A51E76">
        <w:rPr>
          <w:noProof/>
        </w:rPr>
        <w:t xml:space="preserve">cooperation with and </w:t>
      </w:r>
      <w:r w:rsidR="211A864C" w:rsidRPr="00DF542A">
        <w:rPr>
          <w:noProof/>
        </w:rPr>
        <w:t>reporting obligations</w:t>
      </w:r>
      <w:r w:rsidR="00461C19" w:rsidRPr="00DF542A">
        <w:rPr>
          <w:noProof/>
        </w:rPr>
        <w:t xml:space="preserve"> to UN </w:t>
      </w:r>
      <w:r w:rsidR="00EB14B9" w:rsidRPr="00DF542A">
        <w:rPr>
          <w:noProof/>
        </w:rPr>
        <w:t>and ILO</w:t>
      </w:r>
      <w:r w:rsidR="00A51E76">
        <w:rPr>
          <w:noProof/>
        </w:rPr>
        <w:t xml:space="preserve"> </w:t>
      </w:r>
      <w:r w:rsidR="00461C19" w:rsidRPr="00EC4BCE">
        <w:rPr>
          <w:noProof/>
        </w:rPr>
        <w:t>monitoring bodies</w:t>
      </w:r>
      <w:r w:rsidR="211A864C" w:rsidRPr="0010661B">
        <w:rPr>
          <w:noProof/>
        </w:rPr>
        <w:t xml:space="preserve"> </w:t>
      </w:r>
      <w:r w:rsidR="00174A5C">
        <w:rPr>
          <w:noProof/>
        </w:rPr>
        <w:t>has been</w:t>
      </w:r>
      <w:r w:rsidR="00E30C14">
        <w:rPr>
          <w:noProof/>
        </w:rPr>
        <w:t xml:space="preserve"> relatively high</w:t>
      </w:r>
      <w:r w:rsidR="00CB71AF">
        <w:rPr>
          <w:noProof/>
        </w:rPr>
        <w:t xml:space="preserve"> as</w:t>
      </w:r>
      <w:r w:rsidR="211A864C">
        <w:rPr>
          <w:noProof/>
        </w:rPr>
        <w:t xml:space="preserve"> </w:t>
      </w:r>
      <w:r w:rsidR="211A864C" w:rsidRPr="00F61BBA">
        <w:rPr>
          <w:noProof/>
        </w:rPr>
        <w:t xml:space="preserve">most reports were submitted </w:t>
      </w:r>
      <w:r w:rsidR="00461C19" w:rsidRPr="00F61BBA">
        <w:rPr>
          <w:noProof/>
        </w:rPr>
        <w:t>o</w:t>
      </w:r>
      <w:r w:rsidR="211A864C" w:rsidRPr="00F61BBA">
        <w:rPr>
          <w:noProof/>
        </w:rPr>
        <w:t>n time</w:t>
      </w:r>
      <w:r w:rsidR="00CB71AF">
        <w:rPr>
          <w:noProof/>
        </w:rPr>
        <w:t>.</w:t>
      </w:r>
      <w:r w:rsidR="211A864C" w:rsidRPr="00F61BBA">
        <w:rPr>
          <w:noProof/>
        </w:rPr>
        <w:t xml:space="preserve"> </w:t>
      </w:r>
      <w:r w:rsidR="00CB71AF">
        <w:rPr>
          <w:noProof/>
        </w:rPr>
        <w:t xml:space="preserve">In the few instances in which reports </w:t>
      </w:r>
      <w:r w:rsidR="211A864C" w:rsidRPr="00F61BBA">
        <w:rPr>
          <w:noProof/>
        </w:rPr>
        <w:t xml:space="preserve">were submitted </w:t>
      </w:r>
      <w:r w:rsidR="00EB14B9" w:rsidRPr="00F61BBA">
        <w:rPr>
          <w:noProof/>
        </w:rPr>
        <w:t xml:space="preserve">either </w:t>
      </w:r>
      <w:r w:rsidR="211A864C" w:rsidRPr="00F61BBA">
        <w:rPr>
          <w:noProof/>
        </w:rPr>
        <w:t xml:space="preserve">late or not </w:t>
      </w:r>
      <w:r w:rsidR="00EB14B9" w:rsidRPr="00F61BBA">
        <w:rPr>
          <w:noProof/>
        </w:rPr>
        <w:t xml:space="preserve">at all, </w:t>
      </w:r>
      <w:r w:rsidR="00CB71AF">
        <w:rPr>
          <w:noProof/>
        </w:rPr>
        <w:t xml:space="preserve">the Commission and the EEAS have </w:t>
      </w:r>
      <w:r w:rsidR="00891F88">
        <w:rPr>
          <w:noProof/>
        </w:rPr>
        <w:t xml:space="preserve">raised </w:t>
      </w:r>
      <w:r w:rsidR="00CB71AF">
        <w:rPr>
          <w:noProof/>
        </w:rPr>
        <w:t xml:space="preserve">this </w:t>
      </w:r>
      <w:r w:rsidR="00461C19" w:rsidRPr="00F61BBA">
        <w:rPr>
          <w:noProof/>
        </w:rPr>
        <w:t>with the countries concerned</w:t>
      </w:r>
      <w:r w:rsidR="211A864C" w:rsidRPr="00F61BBA">
        <w:rPr>
          <w:noProof/>
        </w:rPr>
        <w:t xml:space="preserve">. </w:t>
      </w:r>
      <w:r w:rsidR="00A51E76" w:rsidRPr="00F61BBA">
        <w:rPr>
          <w:noProof/>
        </w:rPr>
        <w:t>Moreover, GSP+ beneficiaries have committed to the effective implementation of the</w:t>
      </w:r>
      <w:r w:rsidR="00A51E76">
        <w:rPr>
          <w:noProof/>
        </w:rPr>
        <w:t xml:space="preserve"> conventions and taken part in detailed monitoring of this commitment with the EU. </w:t>
      </w:r>
      <w:r w:rsidR="00A51E76" w:rsidRPr="00C434D7">
        <w:rPr>
          <w:noProof/>
        </w:rPr>
        <w:t>The special incentives provided through the GSP+ arrangement ha</w:t>
      </w:r>
      <w:r w:rsidR="00B92D6E">
        <w:rPr>
          <w:noProof/>
        </w:rPr>
        <w:t>ve</w:t>
      </w:r>
      <w:r w:rsidR="00A51E76" w:rsidRPr="00C434D7">
        <w:rPr>
          <w:noProof/>
        </w:rPr>
        <w:t xml:space="preserve"> been instrumental in</w:t>
      </w:r>
      <w:r w:rsidR="00A51E76">
        <w:rPr>
          <w:noProof/>
        </w:rPr>
        <w:t xml:space="preserve"> achieving this.</w:t>
      </w:r>
      <w:r w:rsidR="00C26244">
        <w:rPr>
          <w:noProof/>
        </w:rPr>
        <w:t xml:space="preserve"> </w:t>
      </w:r>
    </w:p>
    <w:p w14:paraId="2DB0659C" w14:textId="1F518E98" w:rsidR="358815B3" w:rsidRDefault="001E4001" w:rsidP="00930748">
      <w:pPr>
        <w:rPr>
          <w:noProof/>
        </w:rPr>
      </w:pPr>
      <w:r>
        <w:rPr>
          <w:noProof/>
        </w:rPr>
        <w:t>The European Commission has established a rigorous process of engagement with GSP+ beneficiaries, using all political and technical channels f</w:t>
      </w:r>
      <w:r w:rsidR="00457135">
        <w:rPr>
          <w:noProof/>
        </w:rPr>
        <w:t>or</w:t>
      </w:r>
      <w:r>
        <w:rPr>
          <w:noProof/>
        </w:rPr>
        <w:t xml:space="preserve"> </w:t>
      </w:r>
      <w:r w:rsidR="002C6612">
        <w:rPr>
          <w:noProof/>
        </w:rPr>
        <w:t xml:space="preserve">cooperation and </w:t>
      </w:r>
      <w:r>
        <w:rPr>
          <w:noProof/>
        </w:rPr>
        <w:t xml:space="preserve">dialogue. </w:t>
      </w:r>
      <w:r w:rsidR="00930748">
        <w:rPr>
          <w:noProof/>
        </w:rPr>
        <w:t xml:space="preserve">Specific monitoring missions in the GSP+ beneficiaries allow for collections of evidence on the ground and informing of compliance obligations. </w:t>
      </w:r>
      <w:r w:rsidR="002C6612">
        <w:rPr>
          <w:noProof/>
        </w:rPr>
        <w:t>Such engagement is based on the issues highlighted by the UN and ILO supervisory mechanism</w:t>
      </w:r>
      <w:r w:rsidR="00E612AA">
        <w:rPr>
          <w:noProof/>
        </w:rPr>
        <w:t>s</w:t>
      </w:r>
      <w:r w:rsidR="00CB71AF">
        <w:rPr>
          <w:noProof/>
        </w:rPr>
        <w:t xml:space="preserve"> and</w:t>
      </w:r>
      <w:r w:rsidR="002C6612">
        <w:rPr>
          <w:noProof/>
        </w:rPr>
        <w:t xml:space="preserve"> their reports and recommendations</w:t>
      </w:r>
      <w:r w:rsidR="008B2CAC">
        <w:rPr>
          <w:noProof/>
        </w:rPr>
        <w:t xml:space="preserve">, with the objective to promote </w:t>
      </w:r>
      <w:r w:rsidR="002C6612">
        <w:rPr>
          <w:noProof/>
        </w:rPr>
        <w:t xml:space="preserve">progress over time </w:t>
      </w:r>
      <w:r w:rsidR="008B2CAC">
        <w:rPr>
          <w:noProof/>
        </w:rPr>
        <w:t>in</w:t>
      </w:r>
      <w:r w:rsidR="002C6612">
        <w:rPr>
          <w:noProof/>
        </w:rPr>
        <w:t xml:space="preserve"> address</w:t>
      </w:r>
      <w:r w:rsidR="008B2CAC">
        <w:rPr>
          <w:noProof/>
        </w:rPr>
        <w:t>ing</w:t>
      </w:r>
      <w:r w:rsidR="002C6612">
        <w:rPr>
          <w:noProof/>
        </w:rPr>
        <w:t xml:space="preserve"> those issues. </w:t>
      </w:r>
      <w:r w:rsidR="00930748">
        <w:rPr>
          <w:noProof/>
        </w:rPr>
        <w:t xml:space="preserve">The EU is also deploying significant </w:t>
      </w:r>
      <w:r w:rsidR="00C26244">
        <w:rPr>
          <w:noProof/>
        </w:rPr>
        <w:t xml:space="preserve">financial and technical support to beneficiary countries in their efforts to effectively implement the international conventions. </w:t>
      </w:r>
    </w:p>
    <w:p w14:paraId="6336E3A4" w14:textId="5CBD88AA" w:rsidR="211A864C" w:rsidRDefault="00A51E76" w:rsidP="00E7475B">
      <w:pPr>
        <w:rPr>
          <w:rFonts w:ascii="Calibri" w:eastAsia="Calibri" w:hAnsi="Calibri" w:cs="Calibri"/>
          <w:noProof/>
          <w:sz w:val="22"/>
          <w:szCs w:val="22"/>
        </w:rPr>
      </w:pPr>
      <w:r>
        <w:rPr>
          <w:noProof/>
        </w:rPr>
        <w:t xml:space="preserve">In terms of effective implementation on the ground, </w:t>
      </w:r>
      <w:r w:rsidR="00E612AA">
        <w:rPr>
          <w:noProof/>
        </w:rPr>
        <w:t xml:space="preserve">significant progress was achieved </w:t>
      </w:r>
      <w:r>
        <w:rPr>
          <w:noProof/>
        </w:rPr>
        <w:t>i</w:t>
      </w:r>
      <w:r w:rsidR="22671103">
        <w:rPr>
          <w:noProof/>
        </w:rPr>
        <w:t xml:space="preserve">n the field of </w:t>
      </w:r>
      <w:r w:rsidR="22671103" w:rsidRPr="00DF542A">
        <w:rPr>
          <w:noProof/>
        </w:rPr>
        <w:t>human rights</w:t>
      </w:r>
      <w:r w:rsidR="22671103" w:rsidRPr="0010661B">
        <w:rPr>
          <w:noProof/>
        </w:rPr>
        <w:t xml:space="preserve">, </w:t>
      </w:r>
      <w:r w:rsidR="00461C19">
        <w:rPr>
          <w:noProof/>
        </w:rPr>
        <w:t>notably taking a medium</w:t>
      </w:r>
      <w:r w:rsidR="00174A5C">
        <w:rPr>
          <w:noProof/>
        </w:rPr>
        <w:t>-</w:t>
      </w:r>
      <w:r w:rsidR="00461C19">
        <w:rPr>
          <w:noProof/>
        </w:rPr>
        <w:t xml:space="preserve"> to</w:t>
      </w:r>
      <w:r w:rsidR="22671103">
        <w:rPr>
          <w:noProof/>
        </w:rPr>
        <w:t xml:space="preserve"> </w:t>
      </w:r>
      <w:r w:rsidR="399F8031">
        <w:rPr>
          <w:noProof/>
        </w:rPr>
        <w:t>long</w:t>
      </w:r>
      <w:r w:rsidR="004E1577">
        <w:rPr>
          <w:noProof/>
        </w:rPr>
        <w:t>-</w:t>
      </w:r>
      <w:r w:rsidR="399F8031">
        <w:rPr>
          <w:noProof/>
        </w:rPr>
        <w:t>term</w:t>
      </w:r>
      <w:r w:rsidR="00461C19">
        <w:rPr>
          <w:noProof/>
        </w:rPr>
        <w:t xml:space="preserve"> perspective,</w:t>
      </w:r>
      <w:r w:rsidR="399F8031">
        <w:rPr>
          <w:noProof/>
        </w:rPr>
        <w:t xml:space="preserve"> </w:t>
      </w:r>
      <w:r w:rsidR="22671103">
        <w:rPr>
          <w:noProof/>
        </w:rPr>
        <w:t xml:space="preserve">with legislative reforms being carried out </w:t>
      </w:r>
      <w:r w:rsidR="00461C19">
        <w:rPr>
          <w:noProof/>
        </w:rPr>
        <w:t xml:space="preserve">in several beneficiary countries </w:t>
      </w:r>
      <w:r w:rsidR="22671103">
        <w:rPr>
          <w:noProof/>
        </w:rPr>
        <w:t>to tackle key challenges.</w:t>
      </w:r>
      <w:r w:rsidR="31D94D36" w:rsidRPr="30DC8ACA">
        <w:rPr>
          <w:rFonts w:ascii="Calibri" w:eastAsia="Calibri" w:hAnsi="Calibri" w:cs="Calibri"/>
          <w:noProof/>
          <w:sz w:val="22"/>
          <w:szCs w:val="22"/>
        </w:rPr>
        <w:t xml:space="preserve"> </w:t>
      </w:r>
      <w:r w:rsidR="6CCBB7AC">
        <w:rPr>
          <w:noProof/>
        </w:rPr>
        <w:t xml:space="preserve">Positive developments are apparent especially in terms of efforts to advance women’s and children’s rights, </w:t>
      </w:r>
      <w:r w:rsidR="00461C19">
        <w:rPr>
          <w:noProof/>
        </w:rPr>
        <w:t xml:space="preserve">the </w:t>
      </w:r>
      <w:r w:rsidR="6CCBB7AC">
        <w:rPr>
          <w:noProof/>
        </w:rPr>
        <w:t xml:space="preserve">fight against torture and ill treatment, </w:t>
      </w:r>
      <w:r w:rsidR="00AA3F91">
        <w:rPr>
          <w:noProof/>
        </w:rPr>
        <w:t xml:space="preserve">and the </w:t>
      </w:r>
      <w:r w:rsidR="6CCBB7AC">
        <w:rPr>
          <w:noProof/>
        </w:rPr>
        <w:t>eradication of child labour and forced labour.</w:t>
      </w:r>
      <w:r w:rsidR="70A34C37">
        <w:rPr>
          <w:noProof/>
        </w:rPr>
        <w:t xml:space="preserve"> </w:t>
      </w:r>
      <w:r w:rsidR="70A34C37" w:rsidRPr="00E7475B">
        <w:rPr>
          <w:noProof/>
        </w:rPr>
        <w:t xml:space="preserve">For example, </w:t>
      </w:r>
      <w:r w:rsidR="00070E10">
        <w:rPr>
          <w:noProof/>
        </w:rPr>
        <w:t xml:space="preserve">Pakistan adopted a law against torture and custodial death in 2022; </w:t>
      </w:r>
      <w:r w:rsidR="70A34C37" w:rsidRPr="00E7475B">
        <w:rPr>
          <w:noProof/>
        </w:rPr>
        <w:t>Bolivia</w:t>
      </w:r>
      <w:r w:rsidR="00461C19">
        <w:rPr>
          <w:noProof/>
        </w:rPr>
        <w:t xml:space="preserve"> </w:t>
      </w:r>
      <w:r w:rsidR="70A34C37" w:rsidRPr="00E7475B">
        <w:rPr>
          <w:noProof/>
        </w:rPr>
        <w:t xml:space="preserve">introduced a bill that defines torture in line with international standards </w:t>
      </w:r>
      <w:r w:rsidR="006F1CFE">
        <w:rPr>
          <w:noProof/>
        </w:rPr>
        <w:t>and</w:t>
      </w:r>
      <w:r w:rsidR="70A34C37" w:rsidRPr="00E7475B">
        <w:rPr>
          <w:noProof/>
        </w:rPr>
        <w:t xml:space="preserve"> established a National Preventive Mechanism. </w:t>
      </w:r>
      <w:r w:rsidR="22671103" w:rsidRPr="00F61BBA">
        <w:rPr>
          <w:noProof/>
        </w:rPr>
        <w:t xml:space="preserve">However, </w:t>
      </w:r>
      <w:r w:rsidR="00A01C27" w:rsidRPr="00F61BBA">
        <w:rPr>
          <w:noProof/>
        </w:rPr>
        <w:t xml:space="preserve">despite this positive </w:t>
      </w:r>
      <w:r w:rsidR="002546D7" w:rsidRPr="00F61BBA">
        <w:rPr>
          <w:noProof/>
        </w:rPr>
        <w:t xml:space="preserve">progress </w:t>
      </w:r>
      <w:r w:rsidR="22671103" w:rsidRPr="00F61BBA">
        <w:rPr>
          <w:noProof/>
        </w:rPr>
        <w:t>in</w:t>
      </w:r>
      <w:r w:rsidR="000B206C" w:rsidRPr="00F61BBA">
        <w:rPr>
          <w:noProof/>
        </w:rPr>
        <w:t xml:space="preserve"> ensuring a conducive</w:t>
      </w:r>
      <w:r w:rsidR="22671103" w:rsidRPr="00F61BBA">
        <w:rPr>
          <w:noProof/>
        </w:rPr>
        <w:t xml:space="preserve"> legal framework, </w:t>
      </w:r>
      <w:r w:rsidR="00174A5C" w:rsidRPr="00F61BBA">
        <w:rPr>
          <w:noProof/>
        </w:rPr>
        <w:t xml:space="preserve">effective </w:t>
      </w:r>
      <w:r w:rsidR="22671103" w:rsidRPr="00F61BBA">
        <w:rPr>
          <w:noProof/>
        </w:rPr>
        <w:t xml:space="preserve">implementation </w:t>
      </w:r>
      <w:r w:rsidR="00174A5C" w:rsidRPr="00F61BBA">
        <w:rPr>
          <w:noProof/>
        </w:rPr>
        <w:t xml:space="preserve">and enforcement </w:t>
      </w:r>
      <w:r w:rsidR="5A20F331" w:rsidRPr="00F61BBA">
        <w:rPr>
          <w:noProof/>
        </w:rPr>
        <w:t>remain challeng</w:t>
      </w:r>
      <w:r w:rsidR="00174A5C" w:rsidRPr="00F61BBA">
        <w:rPr>
          <w:noProof/>
        </w:rPr>
        <w:t>ing</w:t>
      </w:r>
      <w:r w:rsidR="22671103" w:rsidRPr="00F61BBA">
        <w:rPr>
          <w:noProof/>
        </w:rPr>
        <w:t xml:space="preserve">. </w:t>
      </w:r>
      <w:r w:rsidR="251BB0C7" w:rsidRPr="00F61BBA">
        <w:rPr>
          <w:noProof/>
        </w:rPr>
        <w:t>Restric</w:t>
      </w:r>
      <w:r w:rsidR="55DAB73C" w:rsidRPr="00F61BBA">
        <w:rPr>
          <w:noProof/>
        </w:rPr>
        <w:t xml:space="preserve">tions </w:t>
      </w:r>
      <w:r w:rsidR="7372310D" w:rsidRPr="00F61BBA">
        <w:rPr>
          <w:noProof/>
        </w:rPr>
        <w:t xml:space="preserve">to civil society space and freedom of </w:t>
      </w:r>
      <w:r w:rsidR="5C1AA11B" w:rsidRPr="00F61BBA">
        <w:rPr>
          <w:noProof/>
        </w:rPr>
        <w:t>expression are also common concerns</w:t>
      </w:r>
      <w:r w:rsidR="000B206C" w:rsidRPr="00F61BBA">
        <w:rPr>
          <w:noProof/>
        </w:rPr>
        <w:t xml:space="preserve"> in several GSP beneficiaries</w:t>
      </w:r>
      <w:r w:rsidR="5C1AA11B" w:rsidRPr="00F61BBA">
        <w:rPr>
          <w:noProof/>
        </w:rPr>
        <w:t>.</w:t>
      </w:r>
      <w:r w:rsidR="22671103" w:rsidRPr="00F61BBA">
        <w:rPr>
          <w:noProof/>
        </w:rPr>
        <w:t xml:space="preserve"> </w:t>
      </w:r>
      <w:r w:rsidR="002B5189" w:rsidRPr="00F61BBA">
        <w:rPr>
          <w:noProof/>
        </w:rPr>
        <w:t>Gender-based violence has been a common problem, exacerbated by the COVID-19 crisis and the related restrictions.</w:t>
      </w:r>
    </w:p>
    <w:p w14:paraId="4BC7FFD7" w14:textId="2ECC0CB3" w:rsidR="00A24FF0" w:rsidRDefault="00A24FF0" w:rsidP="00E7475B">
      <w:pPr>
        <w:rPr>
          <w:noProof/>
        </w:rPr>
      </w:pPr>
      <w:r>
        <w:rPr>
          <w:noProof/>
        </w:rPr>
        <w:t xml:space="preserve">Progress has been achieved </w:t>
      </w:r>
      <w:r w:rsidR="00A51E76">
        <w:rPr>
          <w:noProof/>
        </w:rPr>
        <w:t xml:space="preserve">also </w:t>
      </w:r>
      <w:r>
        <w:rPr>
          <w:noProof/>
        </w:rPr>
        <w:t xml:space="preserve">in the field of </w:t>
      </w:r>
      <w:r w:rsidRPr="00DF542A">
        <w:rPr>
          <w:noProof/>
        </w:rPr>
        <w:t>labour rights and working conditions</w:t>
      </w:r>
      <w:r>
        <w:rPr>
          <w:noProof/>
        </w:rPr>
        <w:t xml:space="preserve">. All </w:t>
      </w:r>
      <w:r w:rsidR="000B206C">
        <w:rPr>
          <w:noProof/>
        </w:rPr>
        <w:t xml:space="preserve">GSP+ </w:t>
      </w:r>
      <w:r>
        <w:rPr>
          <w:noProof/>
        </w:rPr>
        <w:t>beneficiary countries have adopted new legislation or amended existing l</w:t>
      </w:r>
      <w:r w:rsidR="00174A5C">
        <w:rPr>
          <w:noProof/>
        </w:rPr>
        <w:t>aws</w:t>
      </w:r>
      <w:r>
        <w:rPr>
          <w:noProof/>
        </w:rPr>
        <w:t xml:space="preserve"> to </w:t>
      </w:r>
      <w:r w:rsidR="00174A5C">
        <w:rPr>
          <w:noProof/>
        </w:rPr>
        <w:t xml:space="preserve">better </w:t>
      </w:r>
      <w:r>
        <w:rPr>
          <w:noProof/>
        </w:rPr>
        <w:t xml:space="preserve">comply with international standards. </w:t>
      </w:r>
      <w:r w:rsidR="008E7AA0">
        <w:rPr>
          <w:noProof/>
        </w:rPr>
        <w:t>For example</w:t>
      </w:r>
      <w:r w:rsidR="009F6AA9">
        <w:rPr>
          <w:noProof/>
        </w:rPr>
        <w:t>,</w:t>
      </w:r>
      <w:r w:rsidR="000B206C">
        <w:rPr>
          <w:noProof/>
        </w:rPr>
        <w:t xml:space="preserve"> </w:t>
      </w:r>
      <w:r>
        <w:rPr>
          <w:noProof/>
        </w:rPr>
        <w:t>Sri Lanka</w:t>
      </w:r>
      <w:r w:rsidR="008E7AA0">
        <w:rPr>
          <w:noProof/>
        </w:rPr>
        <w:t xml:space="preserve"> </w:t>
      </w:r>
      <w:r w:rsidR="000B206C">
        <w:rPr>
          <w:noProof/>
        </w:rPr>
        <w:t>has</w:t>
      </w:r>
      <w:r>
        <w:rPr>
          <w:noProof/>
        </w:rPr>
        <w:t xml:space="preserve"> made significant progress in the fight against child labour</w:t>
      </w:r>
      <w:r w:rsidR="008E7AA0">
        <w:rPr>
          <w:noProof/>
        </w:rPr>
        <w:t>;</w:t>
      </w:r>
      <w:r>
        <w:rPr>
          <w:noProof/>
        </w:rPr>
        <w:t xml:space="preserve"> Uzbekistan </w:t>
      </w:r>
      <w:r w:rsidR="008E7AA0">
        <w:rPr>
          <w:noProof/>
        </w:rPr>
        <w:t xml:space="preserve">has </w:t>
      </w:r>
      <w:r>
        <w:rPr>
          <w:noProof/>
        </w:rPr>
        <w:t xml:space="preserve">eradicated forced and child labour in its cotton harvest through sustained efforts since 2016. </w:t>
      </w:r>
      <w:r w:rsidRPr="00F61BBA">
        <w:rPr>
          <w:noProof/>
        </w:rPr>
        <w:t xml:space="preserve">However, in several countries, </w:t>
      </w:r>
      <w:r w:rsidR="000B206C" w:rsidRPr="00F61BBA">
        <w:rPr>
          <w:noProof/>
        </w:rPr>
        <w:t xml:space="preserve">further </w:t>
      </w:r>
      <w:r w:rsidRPr="00F61BBA">
        <w:rPr>
          <w:noProof/>
        </w:rPr>
        <w:t>efforts are required as there is still insufficient compliance with conventions or a lack of effective cooperation with ILO and information on enforcement and effects of policies.</w:t>
      </w:r>
    </w:p>
    <w:p w14:paraId="52AEBF35" w14:textId="6AD6CCE5" w:rsidR="211A864C" w:rsidRPr="00F52C9F" w:rsidRDefault="00B52A82" w:rsidP="00174A5C">
      <w:pPr>
        <w:rPr>
          <w:noProof/>
        </w:rPr>
      </w:pPr>
      <w:r>
        <w:rPr>
          <w:noProof/>
        </w:rPr>
        <w:t>O</w:t>
      </w:r>
      <w:r w:rsidR="211A864C">
        <w:rPr>
          <w:noProof/>
        </w:rPr>
        <w:t xml:space="preserve">verall, beneficiary countries are making progress in addressing key </w:t>
      </w:r>
      <w:r w:rsidR="211A864C" w:rsidRPr="00DF542A">
        <w:rPr>
          <w:noProof/>
        </w:rPr>
        <w:t>environmental and climate change</w:t>
      </w:r>
      <w:r w:rsidR="211A864C">
        <w:rPr>
          <w:noProof/>
        </w:rPr>
        <w:t xml:space="preserve"> </w:t>
      </w:r>
      <w:r>
        <w:rPr>
          <w:noProof/>
        </w:rPr>
        <w:t>challenges</w:t>
      </w:r>
      <w:r w:rsidR="23857A8E">
        <w:rPr>
          <w:noProof/>
        </w:rPr>
        <w:t xml:space="preserve">. </w:t>
      </w:r>
      <w:r w:rsidRPr="00174A5C">
        <w:rPr>
          <w:noProof/>
        </w:rPr>
        <w:t>P</w:t>
      </w:r>
      <w:r w:rsidR="23857A8E" w:rsidRPr="00174A5C">
        <w:rPr>
          <w:noProof/>
        </w:rPr>
        <w:t>ositive developments regarding the</w:t>
      </w:r>
      <w:r w:rsidR="00BC559A">
        <w:rPr>
          <w:noProof/>
        </w:rPr>
        <w:t xml:space="preserve"> implementation of</w:t>
      </w:r>
      <w:r w:rsidR="23857A8E" w:rsidRPr="00174A5C">
        <w:rPr>
          <w:noProof/>
        </w:rPr>
        <w:t xml:space="preserve"> </w:t>
      </w:r>
      <w:r w:rsidR="00CD551A">
        <w:rPr>
          <w:noProof/>
        </w:rPr>
        <w:t xml:space="preserve">the </w:t>
      </w:r>
      <w:r w:rsidR="23857A8E" w:rsidRPr="00174A5C">
        <w:rPr>
          <w:noProof/>
        </w:rPr>
        <w:t xml:space="preserve">Montreal Protocol and the Convention on Biological Diversity have taken place in all </w:t>
      </w:r>
      <w:r w:rsidR="000B206C" w:rsidRPr="00174A5C">
        <w:rPr>
          <w:noProof/>
        </w:rPr>
        <w:t xml:space="preserve">GSP+ </w:t>
      </w:r>
      <w:r w:rsidR="23857A8E" w:rsidRPr="00174A5C">
        <w:rPr>
          <w:noProof/>
        </w:rPr>
        <w:t>beneficiary countries.</w:t>
      </w:r>
      <w:r w:rsidR="001B66B4" w:rsidRPr="00174A5C">
        <w:rPr>
          <w:noProof/>
        </w:rPr>
        <w:t xml:space="preserve"> </w:t>
      </w:r>
      <w:r w:rsidR="00991F79">
        <w:rPr>
          <w:noProof/>
        </w:rPr>
        <w:t>More ambition in the</w:t>
      </w:r>
      <w:r w:rsidR="000A31B9" w:rsidRPr="00174A5C">
        <w:rPr>
          <w:noProof/>
        </w:rPr>
        <w:t xml:space="preserve"> nationally determined contributions and </w:t>
      </w:r>
      <w:r w:rsidR="00714694" w:rsidRPr="00174A5C">
        <w:rPr>
          <w:noProof/>
        </w:rPr>
        <w:t xml:space="preserve">cooperation </w:t>
      </w:r>
      <w:r w:rsidR="00F52C9F">
        <w:rPr>
          <w:noProof/>
        </w:rPr>
        <w:t>i</w:t>
      </w:r>
      <w:r w:rsidR="00714694" w:rsidRPr="00174A5C">
        <w:rPr>
          <w:noProof/>
        </w:rPr>
        <w:t xml:space="preserve">n the multilateral fora regarding climate change and biodiversity are also </w:t>
      </w:r>
      <w:r w:rsidR="00CB71AF">
        <w:rPr>
          <w:noProof/>
        </w:rPr>
        <w:t>positive developments</w:t>
      </w:r>
      <w:r w:rsidR="00714694" w:rsidRPr="00174A5C">
        <w:rPr>
          <w:noProof/>
        </w:rPr>
        <w:t xml:space="preserve">. </w:t>
      </w:r>
      <w:r w:rsidR="00C14E84">
        <w:rPr>
          <w:noProof/>
        </w:rPr>
        <w:t xml:space="preserve">Conversely, </w:t>
      </w:r>
      <w:r w:rsidR="0098784C">
        <w:rPr>
          <w:noProof/>
        </w:rPr>
        <w:t xml:space="preserve">the effective implementation of </w:t>
      </w:r>
      <w:r w:rsidR="00C14E84">
        <w:rPr>
          <w:noProof/>
        </w:rPr>
        <w:t>t</w:t>
      </w:r>
      <w:r w:rsidR="211A864C">
        <w:rPr>
          <w:noProof/>
        </w:rPr>
        <w:t xml:space="preserve">he conventions </w:t>
      </w:r>
      <w:r w:rsidR="0098784C">
        <w:rPr>
          <w:noProof/>
        </w:rPr>
        <w:t xml:space="preserve">was </w:t>
      </w:r>
      <w:r w:rsidR="211A864C">
        <w:rPr>
          <w:noProof/>
        </w:rPr>
        <w:t>challeng</w:t>
      </w:r>
      <w:r w:rsidR="0098784C">
        <w:rPr>
          <w:noProof/>
        </w:rPr>
        <w:t>ing</w:t>
      </w:r>
      <w:r w:rsidR="211A864C">
        <w:rPr>
          <w:noProof/>
        </w:rPr>
        <w:t xml:space="preserve"> and reporting obligations </w:t>
      </w:r>
      <w:r w:rsidR="00B35412">
        <w:rPr>
          <w:noProof/>
        </w:rPr>
        <w:t>remain</w:t>
      </w:r>
      <w:r w:rsidR="211A864C">
        <w:rPr>
          <w:noProof/>
        </w:rPr>
        <w:t xml:space="preserve"> </w:t>
      </w:r>
      <w:r w:rsidR="0098784C">
        <w:rPr>
          <w:noProof/>
        </w:rPr>
        <w:t xml:space="preserve">to be addressed </w:t>
      </w:r>
      <w:r w:rsidR="211A864C">
        <w:rPr>
          <w:noProof/>
        </w:rPr>
        <w:t xml:space="preserve">in most of the beneficiary countries </w:t>
      </w:r>
      <w:r w:rsidR="0098784C">
        <w:rPr>
          <w:noProof/>
        </w:rPr>
        <w:t xml:space="preserve">as regards </w:t>
      </w:r>
      <w:r w:rsidR="211A864C">
        <w:rPr>
          <w:noProof/>
        </w:rPr>
        <w:t>the Convention on International Trade and Endangered Species (CITES), the Basel Convention</w:t>
      </w:r>
      <w:r w:rsidR="00F52C9F">
        <w:rPr>
          <w:noProof/>
        </w:rPr>
        <w:t xml:space="preserve"> on the Control of Transboundary Movements of Hazardous Wastes</w:t>
      </w:r>
      <w:r w:rsidR="211A864C">
        <w:rPr>
          <w:noProof/>
        </w:rPr>
        <w:t xml:space="preserve"> and the Cartagena Protocol on Biosafety.</w:t>
      </w:r>
    </w:p>
    <w:p w14:paraId="14EA47DF" w14:textId="77777777" w:rsidR="43DA1706" w:rsidRDefault="211A864C" w:rsidP="00E7475B">
      <w:pPr>
        <w:rPr>
          <w:noProof/>
          <w:szCs w:val="24"/>
        </w:rPr>
      </w:pPr>
      <w:r w:rsidRPr="338FCEBF">
        <w:rPr>
          <w:noProof/>
          <w:szCs w:val="24"/>
        </w:rPr>
        <w:t xml:space="preserve">With regards to </w:t>
      </w:r>
      <w:r w:rsidRPr="00DF542A">
        <w:rPr>
          <w:noProof/>
          <w:szCs w:val="24"/>
        </w:rPr>
        <w:t>good governance</w:t>
      </w:r>
      <w:r w:rsidRPr="0010661B">
        <w:rPr>
          <w:noProof/>
          <w:szCs w:val="24"/>
        </w:rPr>
        <w:t>, positive</w:t>
      </w:r>
      <w:r w:rsidRPr="338FCEBF">
        <w:rPr>
          <w:noProof/>
          <w:szCs w:val="24"/>
        </w:rPr>
        <w:t xml:space="preserve"> developments have been observ</w:t>
      </w:r>
      <w:r w:rsidR="51B18369" w:rsidRPr="338FCEBF">
        <w:rPr>
          <w:noProof/>
          <w:szCs w:val="24"/>
        </w:rPr>
        <w:t>ed</w:t>
      </w:r>
      <w:r w:rsidRPr="338FCEBF">
        <w:rPr>
          <w:noProof/>
          <w:szCs w:val="24"/>
        </w:rPr>
        <w:t xml:space="preserve"> both in terms of efforts towards drug control and anti-corruption</w:t>
      </w:r>
      <w:r w:rsidR="007F440D">
        <w:rPr>
          <w:noProof/>
          <w:szCs w:val="24"/>
        </w:rPr>
        <w:t xml:space="preserve"> measures</w:t>
      </w:r>
      <w:r w:rsidRPr="338FCEBF">
        <w:rPr>
          <w:noProof/>
          <w:szCs w:val="24"/>
        </w:rPr>
        <w:t xml:space="preserve">. Although in general efforts are </w:t>
      </w:r>
      <w:r w:rsidR="00B35412">
        <w:rPr>
          <w:noProof/>
          <w:szCs w:val="24"/>
        </w:rPr>
        <w:t>clearly noticeable</w:t>
      </w:r>
      <w:r w:rsidRPr="338FCEBF">
        <w:rPr>
          <w:noProof/>
          <w:szCs w:val="24"/>
        </w:rPr>
        <w:t xml:space="preserve">, </w:t>
      </w:r>
      <w:r w:rsidR="007F440D">
        <w:rPr>
          <w:noProof/>
          <w:szCs w:val="24"/>
        </w:rPr>
        <w:t>long-term challenges remain</w:t>
      </w:r>
      <w:r w:rsidR="00EC4BCE">
        <w:rPr>
          <w:noProof/>
          <w:szCs w:val="24"/>
        </w:rPr>
        <w:t>, such as the establishment of functional and politically independent anti-corruption agencies</w:t>
      </w:r>
      <w:r w:rsidRPr="338FCEBF">
        <w:rPr>
          <w:noProof/>
          <w:szCs w:val="24"/>
        </w:rPr>
        <w:t xml:space="preserve">. </w:t>
      </w:r>
    </w:p>
    <w:bookmarkEnd w:id="22"/>
    <w:p w14:paraId="7AD3F3E6" w14:textId="77777777" w:rsidR="00067BA2" w:rsidRDefault="00067BA2" w:rsidP="00C10249">
      <w:pPr>
        <w:pStyle w:val="Heading1"/>
        <w:tabs>
          <w:tab w:val="clear" w:pos="2467"/>
        </w:tabs>
        <w:ind w:left="567" w:hanging="567"/>
        <w:rPr>
          <w:noProof/>
        </w:rPr>
      </w:pPr>
      <w:r>
        <w:rPr>
          <w:noProof/>
        </w:rPr>
        <w:t xml:space="preserve">The Three </w:t>
      </w:r>
      <w:r w:rsidR="00EC6C46">
        <w:rPr>
          <w:noProof/>
        </w:rPr>
        <w:t>A</w:t>
      </w:r>
      <w:r>
        <w:rPr>
          <w:noProof/>
        </w:rPr>
        <w:t>rrangements</w:t>
      </w:r>
    </w:p>
    <w:p w14:paraId="3040C01B" w14:textId="77777777" w:rsidR="00067BA2" w:rsidRDefault="00067BA2" w:rsidP="0054176F">
      <w:pPr>
        <w:pStyle w:val="Heading2"/>
        <w:shd w:val="clear" w:color="auto" w:fill="DBE5F1" w:themeFill="accent1" w:themeFillTint="33"/>
        <w:rPr>
          <w:noProof/>
        </w:rPr>
      </w:pPr>
      <w:r>
        <w:rPr>
          <w:noProof/>
        </w:rPr>
        <w:t>Standard GSP</w:t>
      </w:r>
      <w:r w:rsidR="00C95506">
        <w:rPr>
          <w:noProof/>
        </w:rPr>
        <w:t xml:space="preserve"> </w:t>
      </w:r>
    </w:p>
    <w:p w14:paraId="3F16A7E5" w14:textId="0FC07CD4" w:rsidR="00BC559A" w:rsidRDefault="02591CC0" w:rsidP="00E7475B">
      <w:pPr>
        <w:pStyle w:val="Text1"/>
        <w:ind w:left="0"/>
        <w:rPr>
          <w:noProof/>
        </w:rPr>
      </w:pPr>
      <w:r>
        <w:rPr>
          <w:noProof/>
        </w:rPr>
        <w:t xml:space="preserve">There are currently </w:t>
      </w:r>
      <w:r w:rsidR="00A12EC4">
        <w:rPr>
          <w:noProof/>
        </w:rPr>
        <w:t>ten</w:t>
      </w:r>
      <w:r w:rsidRPr="00E7475B">
        <w:rPr>
          <w:noProof/>
        </w:rPr>
        <w:t xml:space="preserve"> standard GSP beneficiaries</w:t>
      </w:r>
      <w:r w:rsidRPr="00D37568">
        <w:rPr>
          <w:noProof/>
        </w:rPr>
        <w:t>:</w:t>
      </w:r>
      <w:r w:rsidR="65AFDACF">
        <w:rPr>
          <w:noProof/>
        </w:rPr>
        <w:t xml:space="preserve"> </w:t>
      </w:r>
      <w:r w:rsidR="007F440D">
        <w:rPr>
          <w:noProof/>
        </w:rPr>
        <w:t xml:space="preserve">the </w:t>
      </w:r>
      <w:r w:rsidR="65AFDACF">
        <w:rPr>
          <w:noProof/>
        </w:rPr>
        <w:t>Republic of Congo, Cook Islands, India, Indonesia, Kenya, Micronesia</w:t>
      </w:r>
      <w:r w:rsidR="0ECC371C">
        <w:rPr>
          <w:noProof/>
        </w:rPr>
        <w:t xml:space="preserve">, Nigeria, Niue, Syria, </w:t>
      </w:r>
      <w:r w:rsidR="00251EF9">
        <w:rPr>
          <w:noProof/>
        </w:rPr>
        <w:t xml:space="preserve">and </w:t>
      </w:r>
      <w:r w:rsidR="0ECC371C">
        <w:rPr>
          <w:noProof/>
        </w:rPr>
        <w:t>Tajikistan</w:t>
      </w:r>
      <w:r w:rsidR="007C28AF">
        <w:rPr>
          <w:noProof/>
        </w:rPr>
        <w:t>.</w:t>
      </w:r>
      <w:r w:rsidR="004123DE">
        <w:rPr>
          <w:noProof/>
        </w:rPr>
        <w:t xml:space="preserve"> </w:t>
      </w:r>
      <w:r w:rsidR="49EE50E6">
        <w:rPr>
          <w:noProof/>
        </w:rPr>
        <w:t>This number has declin</w:t>
      </w:r>
      <w:r w:rsidR="001F336E">
        <w:rPr>
          <w:noProof/>
        </w:rPr>
        <w:t xml:space="preserve">ed </w:t>
      </w:r>
      <w:r w:rsidR="00251EF9">
        <w:rPr>
          <w:noProof/>
        </w:rPr>
        <w:t>over the years</w:t>
      </w:r>
      <w:r w:rsidR="49EE50E6">
        <w:rPr>
          <w:noProof/>
        </w:rPr>
        <w:t xml:space="preserve">, including </w:t>
      </w:r>
      <w:r w:rsidR="00500255">
        <w:rPr>
          <w:noProof/>
        </w:rPr>
        <w:t xml:space="preserve">during </w:t>
      </w:r>
      <w:r w:rsidR="49EE50E6">
        <w:rPr>
          <w:noProof/>
        </w:rPr>
        <w:t xml:space="preserve">the reporting period, as </w:t>
      </w:r>
      <w:r w:rsidR="00251EF9">
        <w:rPr>
          <w:noProof/>
        </w:rPr>
        <w:t xml:space="preserve">standard GSP </w:t>
      </w:r>
      <w:r w:rsidR="49EE50E6">
        <w:rPr>
          <w:noProof/>
        </w:rPr>
        <w:t>beneficiaries</w:t>
      </w:r>
      <w:r w:rsidR="00F52C9F">
        <w:rPr>
          <w:noProof/>
        </w:rPr>
        <w:t xml:space="preserve">’ </w:t>
      </w:r>
      <w:r w:rsidR="49EE50E6">
        <w:rPr>
          <w:noProof/>
        </w:rPr>
        <w:t xml:space="preserve">income status </w:t>
      </w:r>
      <w:r w:rsidR="00F52C9F">
        <w:rPr>
          <w:noProof/>
        </w:rPr>
        <w:t xml:space="preserve">increases </w:t>
      </w:r>
      <w:r w:rsidR="49EE50E6">
        <w:rPr>
          <w:noProof/>
        </w:rPr>
        <w:t xml:space="preserve">and/or </w:t>
      </w:r>
      <w:r w:rsidR="00F52C9F">
        <w:rPr>
          <w:noProof/>
        </w:rPr>
        <w:t xml:space="preserve">they </w:t>
      </w:r>
      <w:r w:rsidR="49EE50E6">
        <w:rPr>
          <w:noProof/>
        </w:rPr>
        <w:t>conclude preferential trade agreements with the EU</w:t>
      </w:r>
      <w:r w:rsidR="00251EF9">
        <w:rPr>
          <w:noProof/>
        </w:rPr>
        <w:t>, therefore no longer qualify</w:t>
      </w:r>
      <w:r w:rsidR="00BC559A">
        <w:rPr>
          <w:noProof/>
        </w:rPr>
        <w:t>ing</w:t>
      </w:r>
      <w:r w:rsidR="00251EF9">
        <w:rPr>
          <w:noProof/>
        </w:rPr>
        <w:t xml:space="preserve"> for GSP</w:t>
      </w:r>
      <w:r w:rsidR="00E612AA">
        <w:rPr>
          <w:noProof/>
        </w:rPr>
        <w:t>; or as they successfully apply for GSP+</w:t>
      </w:r>
      <w:r w:rsidR="49EE50E6">
        <w:rPr>
          <w:noProof/>
        </w:rPr>
        <w:t>.</w:t>
      </w:r>
    </w:p>
    <w:p w14:paraId="6333DF18" w14:textId="52E3DB2B" w:rsidR="49EE50E6" w:rsidRDefault="001F336E" w:rsidP="00E7475B">
      <w:pPr>
        <w:pStyle w:val="Text1"/>
        <w:ind w:left="0"/>
        <w:rPr>
          <w:noProof/>
        </w:rPr>
      </w:pPr>
      <w:r>
        <w:rPr>
          <w:noProof/>
        </w:rPr>
        <w:t xml:space="preserve">As noted already in section </w:t>
      </w:r>
      <w:r w:rsidR="004E1577">
        <w:rPr>
          <w:noProof/>
        </w:rPr>
        <w:t>3</w:t>
      </w:r>
      <w:r>
        <w:rPr>
          <w:noProof/>
        </w:rPr>
        <w:t xml:space="preserve">, </w:t>
      </w:r>
      <w:r w:rsidR="00CA4542">
        <w:rPr>
          <w:noProof/>
        </w:rPr>
        <w:t xml:space="preserve">Vietnam </w:t>
      </w:r>
      <w:r w:rsidR="00251EF9">
        <w:rPr>
          <w:noProof/>
        </w:rPr>
        <w:t xml:space="preserve">left </w:t>
      </w:r>
      <w:r w:rsidR="00CA4542">
        <w:rPr>
          <w:noProof/>
        </w:rPr>
        <w:t>the scheme</w:t>
      </w:r>
      <w:r w:rsidR="00251EF9">
        <w:rPr>
          <w:noProof/>
        </w:rPr>
        <w:t xml:space="preserve"> on 1 January 2023</w:t>
      </w:r>
      <w:r w:rsidR="00CA4542">
        <w:rPr>
          <w:noProof/>
        </w:rPr>
        <w:t xml:space="preserve">, </w:t>
      </w:r>
      <w:r w:rsidR="00F52C9F">
        <w:rPr>
          <w:noProof/>
        </w:rPr>
        <w:t xml:space="preserve">after its </w:t>
      </w:r>
      <w:r w:rsidR="00CD551A">
        <w:rPr>
          <w:noProof/>
        </w:rPr>
        <w:t>FTA</w:t>
      </w:r>
      <w:r w:rsidR="00CA4542">
        <w:rPr>
          <w:noProof/>
        </w:rPr>
        <w:t xml:space="preserve"> with the EU</w:t>
      </w:r>
      <w:r w:rsidR="00F52C9F">
        <w:rPr>
          <w:noProof/>
        </w:rPr>
        <w:t xml:space="preserve"> had entered into force on 1 August 2020</w:t>
      </w:r>
      <w:r w:rsidR="00CA4542">
        <w:rPr>
          <w:noProof/>
        </w:rPr>
        <w:t xml:space="preserve">, and India and Indonesia are </w:t>
      </w:r>
      <w:r w:rsidR="00CD551A">
        <w:rPr>
          <w:noProof/>
        </w:rPr>
        <w:t xml:space="preserve">currently </w:t>
      </w:r>
      <w:r w:rsidR="00CA4542">
        <w:rPr>
          <w:noProof/>
        </w:rPr>
        <w:t xml:space="preserve">negotiating </w:t>
      </w:r>
      <w:r w:rsidR="00251EF9">
        <w:rPr>
          <w:noProof/>
        </w:rPr>
        <w:t xml:space="preserve">preferential trade agreements </w:t>
      </w:r>
      <w:r w:rsidR="00CA4542">
        <w:rPr>
          <w:noProof/>
        </w:rPr>
        <w:t xml:space="preserve">with the EU. </w:t>
      </w:r>
    </w:p>
    <w:p w14:paraId="580292EE" w14:textId="004B2B16" w:rsidR="03062EF1" w:rsidRDefault="00251EF9" w:rsidP="00E7475B">
      <w:pPr>
        <w:pStyle w:val="Text1"/>
        <w:ind w:left="0"/>
        <w:rPr>
          <w:noProof/>
        </w:rPr>
      </w:pPr>
      <w:r>
        <w:rPr>
          <w:noProof/>
        </w:rPr>
        <w:t xml:space="preserve">During the </w:t>
      </w:r>
      <w:r w:rsidR="001F336E">
        <w:rPr>
          <w:noProof/>
        </w:rPr>
        <w:t xml:space="preserve">reporting </w:t>
      </w:r>
      <w:r>
        <w:rPr>
          <w:noProof/>
        </w:rPr>
        <w:t xml:space="preserve">period, </w:t>
      </w:r>
      <w:r w:rsidR="4D67E1B4">
        <w:rPr>
          <w:noProof/>
        </w:rPr>
        <w:t xml:space="preserve">standard GSP beneficiaries </w:t>
      </w:r>
      <w:r w:rsidR="00550455">
        <w:rPr>
          <w:noProof/>
        </w:rPr>
        <w:t xml:space="preserve">continued to </w:t>
      </w:r>
      <w:r w:rsidR="4D67E1B4">
        <w:rPr>
          <w:noProof/>
        </w:rPr>
        <w:t xml:space="preserve">represent a significant share of </w:t>
      </w:r>
      <w:r w:rsidR="00550455">
        <w:rPr>
          <w:noProof/>
        </w:rPr>
        <w:t xml:space="preserve">total </w:t>
      </w:r>
      <w:r w:rsidR="4D67E1B4">
        <w:rPr>
          <w:noProof/>
        </w:rPr>
        <w:t>GSP use</w:t>
      </w:r>
      <w:r w:rsidR="4755BBAD">
        <w:rPr>
          <w:noProof/>
        </w:rPr>
        <w:t xml:space="preserve">, with the biggest users of the </w:t>
      </w:r>
      <w:r w:rsidR="00550455">
        <w:rPr>
          <w:noProof/>
        </w:rPr>
        <w:t xml:space="preserve">GSP </w:t>
      </w:r>
      <w:r w:rsidR="4755BBAD">
        <w:rPr>
          <w:noProof/>
        </w:rPr>
        <w:t>scheme</w:t>
      </w:r>
      <w:r w:rsidR="00550455">
        <w:rPr>
          <w:noProof/>
        </w:rPr>
        <w:t xml:space="preserve"> </w:t>
      </w:r>
      <w:r>
        <w:rPr>
          <w:noProof/>
        </w:rPr>
        <w:t>being</w:t>
      </w:r>
      <w:r w:rsidR="4755BBAD">
        <w:rPr>
          <w:noProof/>
        </w:rPr>
        <w:t xml:space="preserve"> India and Indonesia</w:t>
      </w:r>
      <w:r w:rsidR="00B92D6E">
        <w:rPr>
          <w:noProof/>
        </w:rPr>
        <w:t xml:space="preserve"> (Figure 9)</w:t>
      </w:r>
      <w:r w:rsidR="4D67E1B4">
        <w:rPr>
          <w:noProof/>
        </w:rPr>
        <w:t xml:space="preserve">. </w:t>
      </w:r>
      <w:r w:rsidR="00C27239">
        <w:rPr>
          <w:noProof/>
        </w:rPr>
        <w:t>Clothing (S</w:t>
      </w:r>
      <w:r w:rsidR="002C7BA1">
        <w:rPr>
          <w:noProof/>
        </w:rPr>
        <w:t>-</w:t>
      </w:r>
      <w:r w:rsidR="00C27239">
        <w:rPr>
          <w:noProof/>
        </w:rPr>
        <w:t>11b), machinery (S-16)</w:t>
      </w:r>
      <w:r w:rsidR="00870715">
        <w:rPr>
          <w:noProof/>
        </w:rPr>
        <w:t xml:space="preserve">, </w:t>
      </w:r>
      <w:r w:rsidR="00C27239">
        <w:rPr>
          <w:noProof/>
        </w:rPr>
        <w:t>and footwear (S-12)</w:t>
      </w:r>
      <w:r w:rsidR="004E1577">
        <w:rPr>
          <w:noProof/>
        </w:rPr>
        <w:t xml:space="preserve"> </w:t>
      </w:r>
      <w:r w:rsidR="00C27239">
        <w:rPr>
          <w:noProof/>
        </w:rPr>
        <w:t xml:space="preserve">are the main products using standard GSP: </w:t>
      </w:r>
      <w:r w:rsidR="004E1577">
        <w:rPr>
          <w:noProof/>
        </w:rPr>
        <w:t>c</w:t>
      </w:r>
      <w:r w:rsidR="00955FCE">
        <w:rPr>
          <w:noProof/>
        </w:rPr>
        <w:t>ombined</w:t>
      </w:r>
      <w:r w:rsidR="00550455">
        <w:rPr>
          <w:noProof/>
        </w:rPr>
        <w:t>,</w:t>
      </w:r>
      <w:r w:rsidR="00955FCE">
        <w:rPr>
          <w:noProof/>
        </w:rPr>
        <w:t xml:space="preserve"> t</w:t>
      </w:r>
      <w:r w:rsidR="00C27239">
        <w:rPr>
          <w:noProof/>
        </w:rPr>
        <w:t>hey</w:t>
      </w:r>
      <w:r w:rsidR="00955FCE">
        <w:rPr>
          <w:noProof/>
        </w:rPr>
        <w:t xml:space="preserve"> represented nearly 50% of all standard GSP imports</w:t>
      </w:r>
      <w:r w:rsidR="00550455" w:rsidRPr="00550455">
        <w:rPr>
          <w:noProof/>
        </w:rPr>
        <w:t xml:space="preserve"> </w:t>
      </w:r>
      <w:r w:rsidR="00550455">
        <w:rPr>
          <w:noProof/>
        </w:rPr>
        <w:t>in 202</w:t>
      </w:r>
      <w:r w:rsidR="00882893">
        <w:rPr>
          <w:noProof/>
        </w:rPr>
        <w:t>2</w:t>
      </w:r>
      <w:r w:rsidR="00955FCE">
        <w:rPr>
          <w:noProof/>
        </w:rPr>
        <w:t>.</w:t>
      </w:r>
      <w:r w:rsidR="00C27239">
        <w:rPr>
          <w:noProof/>
        </w:rPr>
        <w:t xml:space="preserve"> </w:t>
      </w:r>
    </w:p>
    <w:p w14:paraId="75CB8DEC" w14:textId="79CE1176" w:rsidR="00550455" w:rsidRPr="0054176F" w:rsidRDefault="007C6BAE" w:rsidP="0054176F">
      <w:pPr>
        <w:keepNext/>
        <w:spacing w:before="120" w:after="120"/>
        <w:jc w:val="left"/>
        <w:rPr>
          <w:iCs/>
          <w:noProof/>
          <w:color w:val="365F91" w:themeColor="accent1" w:themeShade="BF"/>
          <w:sz w:val="20"/>
          <w:lang w:eastAsia="en-US"/>
        </w:rPr>
      </w:pPr>
      <w:r w:rsidRPr="0054176F">
        <w:rPr>
          <w:i/>
          <w:iCs/>
          <w:noProof/>
          <w:color w:val="365F91" w:themeColor="accent1" w:themeShade="BF"/>
          <w:sz w:val="20"/>
          <w:lang w:eastAsia="en-US"/>
        </w:rPr>
        <w:t xml:space="preserve">Figure </w:t>
      </w:r>
      <w:r w:rsidR="00B92D6E" w:rsidRPr="0054176F">
        <w:rPr>
          <w:i/>
          <w:iCs/>
          <w:noProof/>
          <w:color w:val="365F91" w:themeColor="accent1" w:themeShade="BF"/>
          <w:sz w:val="20"/>
          <w:lang w:eastAsia="en-US"/>
        </w:rPr>
        <w:t>9</w:t>
      </w:r>
      <w:r w:rsidRPr="0054176F">
        <w:rPr>
          <w:i/>
          <w:iCs/>
          <w:noProof/>
          <w:color w:val="365F91" w:themeColor="accent1" w:themeShade="BF"/>
          <w:sz w:val="20"/>
          <w:lang w:eastAsia="en-US"/>
        </w:rPr>
        <w:t xml:space="preserve">: </w:t>
      </w:r>
      <w:r w:rsidR="00BB7C4C">
        <w:rPr>
          <w:i/>
          <w:iCs/>
          <w:noProof/>
          <w:color w:val="365F91" w:themeColor="accent1" w:themeShade="BF"/>
          <w:sz w:val="20"/>
          <w:lang w:eastAsia="en-US"/>
        </w:rPr>
        <w:t>Standard GSP – Imports using preferences by beneficiary country, 2019-2022 (€ million)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07"/>
      </w:tblGrid>
      <w:tr w:rsidR="00B35660" w14:paraId="1FC90EF4" w14:textId="77777777" w:rsidTr="00992D45">
        <w:tc>
          <w:tcPr>
            <w:tcW w:w="8833" w:type="dxa"/>
          </w:tcPr>
          <w:p w14:paraId="1D10924B" w14:textId="1B64779C" w:rsidR="00B35660" w:rsidRPr="003656F4" w:rsidRDefault="00882893" w:rsidP="00952755">
            <w:pPr>
              <w:pStyle w:val="Body"/>
              <w:spacing w:before="40" w:after="40"/>
              <w:rPr>
                <w:noProof/>
                <w:sz w:val="20"/>
                <w:szCs w:val="20"/>
                <w:lang w:val="en-US"/>
              </w:rPr>
            </w:pPr>
            <w:r>
              <w:rPr>
                <w:noProof/>
                <w:lang w:eastAsia="en-GB"/>
              </w:rPr>
              <w:drawing>
                <wp:inline distT="0" distB="0" distL="0" distR="0" wp14:anchorId="206FC584" wp14:editId="7AF92D18">
                  <wp:extent cx="5471795" cy="1704975"/>
                  <wp:effectExtent l="0" t="0" r="0" b="0"/>
                  <wp:docPr id="1369313041" name="Diagramm 1">
                    <a:extLst xmlns:a="http://schemas.openxmlformats.org/drawingml/2006/main">
                      <a:ext uri="{FF2B5EF4-FFF2-40B4-BE49-F238E27FC236}">
                        <a16:creationId xmlns:a16="http://schemas.microsoft.com/office/drawing/2014/main" id="{64E005F1-A092-442E-ACEF-42B4125CD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2706AB9C" w14:textId="42A164B7" w:rsidR="003E1829" w:rsidRDefault="00253AE7" w:rsidP="00E7475B">
      <w:pPr>
        <w:pStyle w:val="Text1"/>
        <w:ind w:left="0"/>
        <w:rPr>
          <w:noProof/>
        </w:rPr>
      </w:pPr>
      <w:r>
        <w:rPr>
          <w:noProof/>
        </w:rPr>
        <w:br/>
      </w:r>
      <w:r w:rsidR="003E1829">
        <w:rPr>
          <w:noProof/>
        </w:rPr>
        <w:t xml:space="preserve">Reflecting a high concentration of imports of specific products from certain </w:t>
      </w:r>
      <w:r w:rsidR="00251EF9">
        <w:rPr>
          <w:noProof/>
        </w:rPr>
        <w:t xml:space="preserve">standard </w:t>
      </w:r>
      <w:r w:rsidR="003E1829">
        <w:rPr>
          <w:noProof/>
        </w:rPr>
        <w:t>GSP beneficiaries, graduation</w:t>
      </w:r>
      <w:r w:rsidR="00AB1E99" w:rsidRPr="00AB1E99">
        <w:rPr>
          <w:noProof/>
        </w:rPr>
        <w:t> (</w:t>
      </w:r>
      <w:r w:rsidR="00AB1E99">
        <w:rPr>
          <w:rStyle w:val="FootnoteReference"/>
          <w:noProof/>
        </w:rPr>
        <w:footnoteReference w:id="29"/>
      </w:r>
      <w:r w:rsidR="00AB1E99">
        <w:rPr>
          <w:noProof/>
        </w:rPr>
        <w:t>)</w:t>
      </w:r>
      <w:r w:rsidR="003E1829">
        <w:rPr>
          <w:noProof/>
        </w:rPr>
        <w:t xml:space="preserve"> mechanisms have been triggered for </w:t>
      </w:r>
      <w:r w:rsidR="00C84F52">
        <w:rPr>
          <w:noProof/>
        </w:rPr>
        <w:t xml:space="preserve">certain products </w:t>
      </w:r>
      <w:r w:rsidR="00550455">
        <w:rPr>
          <w:noProof/>
        </w:rPr>
        <w:t>from</w:t>
      </w:r>
      <w:r w:rsidR="00C84F52">
        <w:rPr>
          <w:noProof/>
        </w:rPr>
        <w:t xml:space="preserve"> </w:t>
      </w:r>
      <w:r w:rsidR="00251EF9">
        <w:rPr>
          <w:noProof/>
        </w:rPr>
        <w:t>three standard GSP beneficiaries</w:t>
      </w:r>
      <w:r w:rsidR="00DC0C35">
        <w:rPr>
          <w:noProof/>
        </w:rPr>
        <w:t xml:space="preserve"> – India, Indonesia, and Kenya </w:t>
      </w:r>
      <w:r w:rsidR="00B92D6E">
        <w:rPr>
          <w:noProof/>
        </w:rPr>
        <w:t>–</w:t>
      </w:r>
      <w:r w:rsidR="00251EF9">
        <w:rPr>
          <w:noProof/>
        </w:rPr>
        <w:t xml:space="preserve"> </w:t>
      </w:r>
      <w:r w:rsidR="00550455">
        <w:rPr>
          <w:noProof/>
        </w:rPr>
        <w:t>over the reporting period</w:t>
      </w:r>
      <w:r w:rsidR="003E1829">
        <w:rPr>
          <w:noProof/>
        </w:rPr>
        <w:t xml:space="preserve"> and</w:t>
      </w:r>
      <w:r w:rsidR="00550455">
        <w:rPr>
          <w:noProof/>
        </w:rPr>
        <w:t xml:space="preserve"> </w:t>
      </w:r>
      <w:r w:rsidR="003E1829">
        <w:rPr>
          <w:noProof/>
        </w:rPr>
        <w:t>in 2023</w:t>
      </w:r>
      <w:r w:rsidR="00251EF9">
        <w:rPr>
          <w:noProof/>
        </w:rPr>
        <w:t>, r</w:t>
      </w:r>
      <w:r w:rsidR="00731035">
        <w:rPr>
          <w:noProof/>
        </w:rPr>
        <w:t xml:space="preserve">esulting in EU imports of </w:t>
      </w:r>
      <w:r w:rsidR="00C84F52">
        <w:rPr>
          <w:noProof/>
        </w:rPr>
        <w:t>those</w:t>
      </w:r>
      <w:r w:rsidR="00731035">
        <w:rPr>
          <w:noProof/>
        </w:rPr>
        <w:t xml:space="preserve"> goods originating from these countries no longer benefitting from the preferences.</w:t>
      </w:r>
      <w:r w:rsidR="002F4213">
        <w:rPr>
          <w:noProof/>
        </w:rPr>
        <w:t xml:space="preserve"> This is </w:t>
      </w:r>
      <w:r w:rsidR="007C28AF">
        <w:rPr>
          <w:noProof/>
        </w:rPr>
        <w:t xml:space="preserve">an </w:t>
      </w:r>
      <w:r w:rsidR="002F4213">
        <w:rPr>
          <w:noProof/>
        </w:rPr>
        <w:t xml:space="preserve">indication of improved competitiveness of the relevant goods and industry sectors </w:t>
      </w:r>
      <w:r w:rsidR="00681146">
        <w:rPr>
          <w:noProof/>
        </w:rPr>
        <w:t>in these standard GSP beneficiaries.</w:t>
      </w:r>
    </w:p>
    <w:p w14:paraId="45F24009" w14:textId="11433CCF" w:rsidR="00392D6D" w:rsidRDefault="00EC11B1" w:rsidP="00E7475B">
      <w:pPr>
        <w:pStyle w:val="Text1"/>
        <w:ind w:left="0"/>
        <w:rPr>
          <w:noProof/>
        </w:rPr>
      </w:pPr>
      <w:bookmarkStart w:id="23" w:name="_Hlk147304137"/>
      <w:r w:rsidRPr="00C95506">
        <w:rPr>
          <w:bCs/>
          <w:noProof/>
        </w:rPr>
        <w:t>Belarus</w:t>
      </w:r>
      <w:r w:rsidR="00392D6D" w:rsidRPr="00550455">
        <w:rPr>
          <w:noProof/>
        </w:rPr>
        <w:t xml:space="preserve"> </w:t>
      </w:r>
      <w:r w:rsidR="00C41684" w:rsidRPr="00550455">
        <w:rPr>
          <w:noProof/>
        </w:rPr>
        <w:t>was</w:t>
      </w:r>
      <w:r w:rsidR="00C41684">
        <w:rPr>
          <w:noProof/>
        </w:rPr>
        <w:t xml:space="preserve"> </w:t>
      </w:r>
      <w:r w:rsidR="007465AF">
        <w:rPr>
          <w:noProof/>
        </w:rPr>
        <w:t>form</w:t>
      </w:r>
      <w:r w:rsidR="00C95506">
        <w:rPr>
          <w:noProof/>
        </w:rPr>
        <w:t>a</w:t>
      </w:r>
      <w:r w:rsidR="007465AF">
        <w:rPr>
          <w:noProof/>
        </w:rPr>
        <w:t>l</w:t>
      </w:r>
      <w:r w:rsidR="00C95506">
        <w:rPr>
          <w:noProof/>
        </w:rPr>
        <w:t>l</w:t>
      </w:r>
      <w:r w:rsidR="007465AF">
        <w:rPr>
          <w:noProof/>
        </w:rPr>
        <w:t xml:space="preserve">y eligible for standard GSP, </w:t>
      </w:r>
      <w:r w:rsidR="00C41684">
        <w:rPr>
          <w:noProof/>
        </w:rPr>
        <w:t xml:space="preserve">but the EU </w:t>
      </w:r>
      <w:r w:rsidR="00472FBB">
        <w:rPr>
          <w:noProof/>
        </w:rPr>
        <w:t>full</w:t>
      </w:r>
      <w:r w:rsidR="00C41684">
        <w:rPr>
          <w:noProof/>
        </w:rPr>
        <w:t>y</w:t>
      </w:r>
      <w:r w:rsidR="00472FBB">
        <w:rPr>
          <w:noProof/>
        </w:rPr>
        <w:t xml:space="preserve"> withdr</w:t>
      </w:r>
      <w:r w:rsidR="00C41684">
        <w:rPr>
          <w:noProof/>
        </w:rPr>
        <w:t>e</w:t>
      </w:r>
      <w:r w:rsidR="00472FBB">
        <w:rPr>
          <w:noProof/>
        </w:rPr>
        <w:t xml:space="preserve">w </w:t>
      </w:r>
      <w:r w:rsidR="00C41684">
        <w:rPr>
          <w:noProof/>
        </w:rPr>
        <w:t>its</w:t>
      </w:r>
      <w:r w:rsidR="00472FBB">
        <w:rPr>
          <w:noProof/>
        </w:rPr>
        <w:t xml:space="preserve"> GSP preferences </w:t>
      </w:r>
      <w:r w:rsidR="00C41684">
        <w:rPr>
          <w:noProof/>
        </w:rPr>
        <w:t xml:space="preserve">already in </w:t>
      </w:r>
      <w:r w:rsidR="00BB42F5">
        <w:rPr>
          <w:noProof/>
        </w:rPr>
        <w:t>20</w:t>
      </w:r>
      <w:r w:rsidR="00616559">
        <w:rPr>
          <w:noProof/>
        </w:rPr>
        <w:t>06</w:t>
      </w:r>
      <w:r w:rsidR="007465AF">
        <w:rPr>
          <w:noProof/>
        </w:rPr>
        <w:t xml:space="preserve"> due to serious </w:t>
      </w:r>
      <w:r w:rsidR="0074215B">
        <w:rPr>
          <w:noProof/>
        </w:rPr>
        <w:t>labour rights violations.</w:t>
      </w:r>
      <w:bookmarkEnd w:id="23"/>
      <w:r w:rsidR="37117DC9">
        <w:rPr>
          <w:noProof/>
        </w:rPr>
        <w:t xml:space="preserve"> </w:t>
      </w:r>
      <w:r w:rsidR="00945C67" w:rsidRPr="00B22282">
        <w:rPr>
          <w:noProof/>
        </w:rPr>
        <w:t>Belarus</w:t>
      </w:r>
      <w:r w:rsidR="00945C67">
        <w:rPr>
          <w:noProof/>
        </w:rPr>
        <w:t xml:space="preserve"> </w:t>
      </w:r>
      <w:r w:rsidR="004C6849">
        <w:rPr>
          <w:noProof/>
        </w:rPr>
        <w:t xml:space="preserve">expressed interest in re-engaging on this issue </w:t>
      </w:r>
      <w:r w:rsidR="00945C67">
        <w:rPr>
          <w:noProof/>
        </w:rPr>
        <w:t>prior to the fraudulent elections in 2020</w:t>
      </w:r>
      <w:r w:rsidR="00CC5142">
        <w:rPr>
          <w:noProof/>
        </w:rPr>
        <w:t xml:space="preserve">. </w:t>
      </w:r>
      <w:bookmarkStart w:id="24" w:name="_Hlk147304181"/>
      <w:r w:rsidR="00CC5142">
        <w:rPr>
          <w:noProof/>
        </w:rPr>
        <w:t>Given</w:t>
      </w:r>
      <w:r w:rsidR="00945C67">
        <w:rPr>
          <w:noProof/>
        </w:rPr>
        <w:t xml:space="preserve"> the continuous deterioration of the situation </w:t>
      </w:r>
      <w:r w:rsidR="00550455">
        <w:rPr>
          <w:noProof/>
        </w:rPr>
        <w:t xml:space="preserve">in Belarus as well as </w:t>
      </w:r>
      <w:r w:rsidR="00CC5142">
        <w:rPr>
          <w:noProof/>
        </w:rPr>
        <w:t xml:space="preserve">of </w:t>
      </w:r>
      <w:r w:rsidR="00550455">
        <w:rPr>
          <w:noProof/>
        </w:rPr>
        <w:t>EU</w:t>
      </w:r>
      <w:r w:rsidR="00B92D6E">
        <w:rPr>
          <w:noProof/>
        </w:rPr>
        <w:t>-</w:t>
      </w:r>
      <w:r w:rsidR="00550455">
        <w:rPr>
          <w:noProof/>
        </w:rPr>
        <w:t xml:space="preserve">Belarus relations </w:t>
      </w:r>
      <w:r w:rsidR="00945C67">
        <w:rPr>
          <w:noProof/>
        </w:rPr>
        <w:t>since then</w:t>
      </w:r>
      <w:r w:rsidR="00012BB5">
        <w:rPr>
          <w:noProof/>
        </w:rPr>
        <w:t xml:space="preserve">, including in the context of Russia’s military </w:t>
      </w:r>
      <w:r w:rsidR="00500255">
        <w:rPr>
          <w:noProof/>
        </w:rPr>
        <w:t xml:space="preserve">unprovoked and unjustified </w:t>
      </w:r>
      <w:r w:rsidR="00012BB5">
        <w:rPr>
          <w:noProof/>
        </w:rPr>
        <w:t>aggression against Ukraine</w:t>
      </w:r>
      <w:r w:rsidR="00CC5142">
        <w:rPr>
          <w:noProof/>
        </w:rPr>
        <w:t xml:space="preserve">, the withdrawal </w:t>
      </w:r>
      <w:r>
        <w:rPr>
          <w:noProof/>
        </w:rPr>
        <w:t>is maintained.</w:t>
      </w:r>
      <w:bookmarkEnd w:id="24"/>
      <w:r w:rsidR="37117DC9">
        <w:rPr>
          <w:noProof/>
        </w:rPr>
        <w:t xml:space="preserve"> </w:t>
      </w:r>
    </w:p>
    <w:p w14:paraId="798F743B" w14:textId="77777777" w:rsidR="00067BA2" w:rsidRPr="00E7475B" w:rsidRDefault="00067BA2" w:rsidP="009D6300">
      <w:pPr>
        <w:pStyle w:val="Heading2"/>
        <w:shd w:val="clear" w:color="auto" w:fill="DBE5F1" w:themeFill="accent1" w:themeFillTint="33"/>
        <w:rPr>
          <w:noProof/>
        </w:rPr>
      </w:pPr>
      <w:r w:rsidRPr="00E7475B">
        <w:rPr>
          <w:noProof/>
        </w:rPr>
        <w:t>GSP+</w:t>
      </w:r>
    </w:p>
    <w:p w14:paraId="0F6AE8E8" w14:textId="3489CCF0" w:rsidR="00012BB5" w:rsidRDefault="2696473A" w:rsidP="00E7475B">
      <w:pPr>
        <w:pStyle w:val="Text1"/>
        <w:ind w:left="0"/>
        <w:rPr>
          <w:noProof/>
        </w:rPr>
      </w:pPr>
      <w:r>
        <w:rPr>
          <w:noProof/>
        </w:rPr>
        <w:t xml:space="preserve">The </w:t>
      </w:r>
      <w:r w:rsidR="5910311F">
        <w:rPr>
          <w:noProof/>
        </w:rPr>
        <w:t>special incentive arrangement for sustainable development and good governance</w:t>
      </w:r>
      <w:r w:rsidR="00731035">
        <w:rPr>
          <w:noProof/>
        </w:rPr>
        <w:t xml:space="preserve">, or GSP+, </w:t>
      </w:r>
      <w:r w:rsidR="5910311F">
        <w:rPr>
          <w:noProof/>
        </w:rPr>
        <w:t>continue</w:t>
      </w:r>
      <w:r w:rsidR="00731035">
        <w:rPr>
          <w:noProof/>
        </w:rPr>
        <w:t>s</w:t>
      </w:r>
      <w:r w:rsidR="5910311F">
        <w:rPr>
          <w:noProof/>
        </w:rPr>
        <w:t xml:space="preserve"> to be a</w:t>
      </w:r>
      <w:r w:rsidR="1387B3C6">
        <w:rPr>
          <w:noProof/>
        </w:rPr>
        <w:t xml:space="preserve"> key tool to engage with and support vulnerable developing countries.</w:t>
      </w:r>
      <w:r w:rsidR="3B8DC2F0">
        <w:rPr>
          <w:noProof/>
        </w:rPr>
        <w:t xml:space="preserve"> </w:t>
      </w:r>
      <w:r w:rsidR="008707ED">
        <w:rPr>
          <w:noProof/>
        </w:rPr>
        <w:t xml:space="preserve">During the reporting period, </w:t>
      </w:r>
      <w:r w:rsidR="00DF3433">
        <w:rPr>
          <w:noProof/>
        </w:rPr>
        <w:t>the</w:t>
      </w:r>
      <w:r w:rsidR="008707ED">
        <w:rPr>
          <w:noProof/>
        </w:rPr>
        <w:t xml:space="preserve"> </w:t>
      </w:r>
      <w:r w:rsidR="004C6849">
        <w:rPr>
          <w:noProof/>
        </w:rPr>
        <w:t>nine</w:t>
      </w:r>
      <w:r w:rsidR="008707ED">
        <w:rPr>
          <w:noProof/>
        </w:rPr>
        <w:t xml:space="preserve"> GSP+ beneficiaries</w:t>
      </w:r>
      <w:r w:rsidR="00DF3433">
        <w:rPr>
          <w:noProof/>
        </w:rPr>
        <w:t xml:space="preserve"> were</w:t>
      </w:r>
      <w:r w:rsidR="008707ED">
        <w:rPr>
          <w:noProof/>
        </w:rPr>
        <w:t xml:space="preserve"> Armenia, Bolivia, Cabo Verde, Kyrgyzstan, Mongolia, Pakistan, the Philippines, Sri Lanka</w:t>
      </w:r>
      <w:r w:rsidR="00841044">
        <w:rPr>
          <w:noProof/>
        </w:rPr>
        <w:t>,</w:t>
      </w:r>
      <w:r w:rsidR="008707ED">
        <w:rPr>
          <w:noProof/>
        </w:rPr>
        <w:t xml:space="preserve"> and Uzbekistan.</w:t>
      </w:r>
      <w:r w:rsidR="004C4EEC">
        <w:rPr>
          <w:noProof/>
        </w:rPr>
        <w:t xml:space="preserve"> </w:t>
      </w:r>
    </w:p>
    <w:p w14:paraId="64210DA2" w14:textId="7E3206E0" w:rsidR="00500255" w:rsidRDefault="008707ED" w:rsidP="00E7475B">
      <w:pPr>
        <w:pStyle w:val="Text1"/>
        <w:ind w:left="0"/>
        <w:rPr>
          <w:noProof/>
        </w:rPr>
      </w:pPr>
      <w:r>
        <w:rPr>
          <w:noProof/>
        </w:rPr>
        <w:t>D</w:t>
      </w:r>
      <w:r w:rsidR="2146CBED">
        <w:rPr>
          <w:noProof/>
        </w:rPr>
        <w:t xml:space="preserve">espite the global economic challenges, </w:t>
      </w:r>
      <w:r w:rsidR="001D21B5">
        <w:rPr>
          <w:noProof/>
        </w:rPr>
        <w:t xml:space="preserve">one </w:t>
      </w:r>
      <w:r w:rsidR="2146CBED">
        <w:rPr>
          <w:noProof/>
        </w:rPr>
        <w:t>GSP+ beneficiar</w:t>
      </w:r>
      <w:r w:rsidR="00FA1FDB">
        <w:rPr>
          <w:noProof/>
        </w:rPr>
        <w:t>y</w:t>
      </w:r>
      <w:r w:rsidR="2146CBED">
        <w:rPr>
          <w:noProof/>
        </w:rPr>
        <w:t xml:space="preserve"> </w:t>
      </w:r>
      <w:r w:rsidR="008E16F1" w:rsidRPr="008E16F1">
        <w:rPr>
          <w:noProof/>
        </w:rPr>
        <w:t>(Armenia)</w:t>
      </w:r>
      <w:r w:rsidR="008E16F1">
        <w:rPr>
          <w:noProof/>
        </w:rPr>
        <w:t xml:space="preserve"> </w:t>
      </w:r>
      <w:r w:rsidR="2146CBED">
        <w:rPr>
          <w:noProof/>
        </w:rPr>
        <w:t>graduate</w:t>
      </w:r>
      <w:r w:rsidR="00FA1FDB">
        <w:rPr>
          <w:noProof/>
        </w:rPr>
        <w:t>d</w:t>
      </w:r>
      <w:r w:rsidR="2146CBED">
        <w:rPr>
          <w:noProof/>
        </w:rPr>
        <w:t xml:space="preserve"> </w:t>
      </w:r>
      <w:r w:rsidR="001D21B5">
        <w:rPr>
          <w:noProof/>
        </w:rPr>
        <w:t xml:space="preserve">from </w:t>
      </w:r>
      <w:r w:rsidR="2146CBED">
        <w:rPr>
          <w:noProof/>
        </w:rPr>
        <w:t xml:space="preserve">the scheme </w:t>
      </w:r>
      <w:r w:rsidR="00C95506">
        <w:rPr>
          <w:noProof/>
        </w:rPr>
        <w:t xml:space="preserve">as of 1 January 2022 </w:t>
      </w:r>
      <w:r w:rsidR="2146CBED">
        <w:rPr>
          <w:noProof/>
        </w:rPr>
        <w:t xml:space="preserve">thanks to </w:t>
      </w:r>
      <w:r w:rsidR="001D21B5">
        <w:rPr>
          <w:noProof/>
        </w:rPr>
        <w:t xml:space="preserve">its </w:t>
      </w:r>
      <w:r w:rsidR="2146CBED">
        <w:rPr>
          <w:noProof/>
        </w:rPr>
        <w:t>economic development</w:t>
      </w:r>
      <w:r w:rsidR="00C95506">
        <w:rPr>
          <w:noProof/>
        </w:rPr>
        <w:t xml:space="preserve"> and </w:t>
      </w:r>
      <w:r w:rsidR="00DF542A">
        <w:rPr>
          <w:noProof/>
        </w:rPr>
        <w:t>higher</w:t>
      </w:r>
      <w:r w:rsidR="00C95506">
        <w:rPr>
          <w:noProof/>
        </w:rPr>
        <w:t xml:space="preserve"> income status</w:t>
      </w:r>
      <w:r w:rsidR="004B0D8F">
        <w:rPr>
          <w:noProof/>
        </w:rPr>
        <w:t>.</w:t>
      </w:r>
    </w:p>
    <w:p w14:paraId="1375CE4C" w14:textId="38AF3A3C" w:rsidR="001D21B5" w:rsidRDefault="00500255" w:rsidP="00E7475B">
      <w:pPr>
        <w:pStyle w:val="Text1"/>
        <w:ind w:left="0"/>
        <w:rPr>
          <w:noProof/>
        </w:rPr>
      </w:pPr>
      <w:r>
        <w:rPr>
          <w:noProof/>
        </w:rPr>
        <w:t>T</w:t>
      </w:r>
      <w:r w:rsidR="2146CBED">
        <w:rPr>
          <w:noProof/>
        </w:rPr>
        <w:t xml:space="preserve">he </w:t>
      </w:r>
      <w:r>
        <w:rPr>
          <w:noProof/>
        </w:rPr>
        <w:t xml:space="preserve">GSP+ </w:t>
      </w:r>
      <w:r w:rsidR="00C95506">
        <w:rPr>
          <w:noProof/>
        </w:rPr>
        <w:t>arrangement</w:t>
      </w:r>
      <w:r w:rsidR="558A2ECA">
        <w:rPr>
          <w:noProof/>
        </w:rPr>
        <w:t xml:space="preserve"> </w:t>
      </w:r>
      <w:r w:rsidR="00FA1FDB">
        <w:rPr>
          <w:noProof/>
        </w:rPr>
        <w:t xml:space="preserve">remains </w:t>
      </w:r>
      <w:r w:rsidR="558A2ECA">
        <w:rPr>
          <w:noProof/>
        </w:rPr>
        <w:t>attractive for standard GSP beneficiaries</w:t>
      </w:r>
      <w:r w:rsidR="00FA1FDB">
        <w:rPr>
          <w:noProof/>
        </w:rPr>
        <w:t xml:space="preserve">, as demonstrated by efforts </w:t>
      </w:r>
      <w:r>
        <w:rPr>
          <w:noProof/>
        </w:rPr>
        <w:t xml:space="preserve">by beneficiaries </w:t>
      </w:r>
      <w:r w:rsidR="001D21B5">
        <w:rPr>
          <w:noProof/>
        </w:rPr>
        <w:t>to</w:t>
      </w:r>
      <w:r w:rsidR="00FA1FDB">
        <w:rPr>
          <w:noProof/>
        </w:rPr>
        <w:t xml:space="preserve"> </w:t>
      </w:r>
      <w:r w:rsidR="558A2ECA">
        <w:rPr>
          <w:noProof/>
        </w:rPr>
        <w:t>tak</w:t>
      </w:r>
      <w:r w:rsidR="001D21B5">
        <w:rPr>
          <w:noProof/>
        </w:rPr>
        <w:t>e</w:t>
      </w:r>
      <w:r w:rsidR="558A2ECA">
        <w:rPr>
          <w:noProof/>
        </w:rPr>
        <w:t xml:space="preserve"> additional commitments relat</w:t>
      </w:r>
      <w:r w:rsidR="001D21B5">
        <w:rPr>
          <w:noProof/>
        </w:rPr>
        <w:t>ing</w:t>
      </w:r>
      <w:r w:rsidR="558A2ECA">
        <w:rPr>
          <w:noProof/>
        </w:rPr>
        <w:t xml:space="preserve"> to ratification and effective implementation of the rel</w:t>
      </w:r>
      <w:r w:rsidR="001D21B5">
        <w:rPr>
          <w:noProof/>
        </w:rPr>
        <w:t>evant</w:t>
      </w:r>
      <w:r w:rsidR="558A2ECA">
        <w:rPr>
          <w:noProof/>
        </w:rPr>
        <w:t xml:space="preserve"> </w:t>
      </w:r>
      <w:r w:rsidR="00C95506">
        <w:rPr>
          <w:noProof/>
        </w:rPr>
        <w:t xml:space="preserve">international </w:t>
      </w:r>
      <w:r w:rsidR="558A2ECA">
        <w:rPr>
          <w:noProof/>
        </w:rPr>
        <w:t>conventions</w:t>
      </w:r>
      <w:r w:rsidR="00FA1FDB">
        <w:rPr>
          <w:noProof/>
        </w:rPr>
        <w:t xml:space="preserve">. This is illustrated for example by </w:t>
      </w:r>
      <w:r w:rsidR="558A2ECA">
        <w:rPr>
          <w:noProof/>
        </w:rPr>
        <w:t>Uzbekistan</w:t>
      </w:r>
      <w:r w:rsidR="00010953">
        <w:rPr>
          <w:noProof/>
        </w:rPr>
        <w:t>’</w:t>
      </w:r>
      <w:r w:rsidR="558A2ECA">
        <w:rPr>
          <w:noProof/>
        </w:rPr>
        <w:t xml:space="preserve">s successful application </w:t>
      </w:r>
      <w:r w:rsidR="00C95506">
        <w:rPr>
          <w:noProof/>
        </w:rPr>
        <w:t xml:space="preserve">and </w:t>
      </w:r>
      <w:r w:rsidR="001D21B5">
        <w:rPr>
          <w:noProof/>
        </w:rPr>
        <w:t>join</w:t>
      </w:r>
      <w:r w:rsidR="00C95506">
        <w:rPr>
          <w:noProof/>
        </w:rPr>
        <w:t>ing</w:t>
      </w:r>
      <w:r w:rsidR="001D21B5">
        <w:rPr>
          <w:noProof/>
        </w:rPr>
        <w:t xml:space="preserve"> </w:t>
      </w:r>
      <w:r w:rsidR="00C95506" w:rsidRPr="00B22282">
        <w:rPr>
          <w:noProof/>
        </w:rPr>
        <w:t xml:space="preserve">GSP+ status as of 1 April </w:t>
      </w:r>
      <w:r w:rsidR="00B92D6E" w:rsidRPr="00B22282">
        <w:rPr>
          <w:noProof/>
        </w:rPr>
        <w:t>2021</w:t>
      </w:r>
      <w:r w:rsidR="00B92D6E">
        <w:rPr>
          <w:noProof/>
        </w:rPr>
        <w:t> </w:t>
      </w:r>
      <w:r w:rsidR="009C7A94" w:rsidRPr="009C7A94">
        <w:rPr>
          <w:rStyle w:val="FootnoteReference"/>
          <w:noProof/>
          <w:vertAlign w:val="baseline"/>
        </w:rPr>
        <w:t>(</w:t>
      </w:r>
      <w:r w:rsidR="00EC6C46" w:rsidRPr="00B22282">
        <w:rPr>
          <w:rStyle w:val="FootnoteReference"/>
          <w:noProof/>
        </w:rPr>
        <w:footnoteReference w:id="30"/>
      </w:r>
      <w:r w:rsidR="009C7A94" w:rsidRPr="009C7A94">
        <w:rPr>
          <w:rStyle w:val="FootnoteReference"/>
          <w:noProof/>
          <w:vertAlign w:val="baseline"/>
        </w:rPr>
        <w:t>)</w:t>
      </w:r>
      <w:r w:rsidR="001D21B5">
        <w:rPr>
          <w:noProof/>
        </w:rPr>
        <w:t xml:space="preserve"> </w:t>
      </w:r>
      <w:r w:rsidR="558A2ECA">
        <w:rPr>
          <w:noProof/>
        </w:rPr>
        <w:t>and Tajikistan</w:t>
      </w:r>
      <w:r w:rsidR="6FB1C0EF">
        <w:rPr>
          <w:noProof/>
        </w:rPr>
        <w:t xml:space="preserve">’s </w:t>
      </w:r>
      <w:r w:rsidR="004C6849">
        <w:rPr>
          <w:noProof/>
        </w:rPr>
        <w:t>engagement in a pre-application dialogue</w:t>
      </w:r>
      <w:r w:rsidR="001D21B5">
        <w:rPr>
          <w:noProof/>
        </w:rPr>
        <w:t xml:space="preserve"> </w:t>
      </w:r>
      <w:r w:rsidR="00D36C9D">
        <w:rPr>
          <w:noProof/>
        </w:rPr>
        <w:t xml:space="preserve">during the reporting period that led to a formal request to join the GSP+ in April 2023 </w:t>
      </w:r>
      <w:r w:rsidR="001D21B5">
        <w:rPr>
          <w:noProof/>
        </w:rPr>
        <w:t>(</w:t>
      </w:r>
      <w:r w:rsidR="00E612AA">
        <w:rPr>
          <w:noProof/>
        </w:rPr>
        <w:t>see also</w:t>
      </w:r>
      <w:r w:rsidR="001D21B5">
        <w:rPr>
          <w:noProof/>
        </w:rPr>
        <w:t xml:space="preserve"> section </w:t>
      </w:r>
      <w:r w:rsidR="00012BB5" w:rsidRPr="00EC4BCE">
        <w:rPr>
          <w:noProof/>
        </w:rPr>
        <w:t>3.1</w:t>
      </w:r>
      <w:r w:rsidR="001D21B5">
        <w:rPr>
          <w:noProof/>
        </w:rPr>
        <w:t xml:space="preserve"> above)</w:t>
      </w:r>
      <w:r w:rsidR="6FB1C0EF">
        <w:rPr>
          <w:noProof/>
        </w:rPr>
        <w:t xml:space="preserve">. </w:t>
      </w:r>
    </w:p>
    <w:p w14:paraId="2977EE10" w14:textId="0C56F132" w:rsidR="2696473A" w:rsidRDefault="007B6045" w:rsidP="00E7475B">
      <w:pPr>
        <w:pStyle w:val="Text1"/>
        <w:ind w:left="0"/>
        <w:rPr>
          <w:noProof/>
        </w:rPr>
      </w:pPr>
      <w:r>
        <w:rPr>
          <w:noProof/>
        </w:rPr>
        <w:t>The top t</w:t>
      </w:r>
      <w:r w:rsidR="00EE3053">
        <w:rPr>
          <w:noProof/>
        </w:rPr>
        <w:t xml:space="preserve">hree </w:t>
      </w:r>
      <w:r>
        <w:rPr>
          <w:noProof/>
        </w:rPr>
        <w:t xml:space="preserve">GSP+ </w:t>
      </w:r>
      <w:r w:rsidR="00EE3053">
        <w:rPr>
          <w:noProof/>
        </w:rPr>
        <w:t>beneficiaries</w:t>
      </w:r>
      <w:r>
        <w:rPr>
          <w:noProof/>
        </w:rPr>
        <w:t xml:space="preserve"> in terms of export value to the EU</w:t>
      </w:r>
      <w:r w:rsidR="00EE3053">
        <w:rPr>
          <w:noProof/>
        </w:rPr>
        <w:t xml:space="preserve"> (</w:t>
      </w:r>
      <w:r w:rsidR="006621C9">
        <w:rPr>
          <w:noProof/>
        </w:rPr>
        <w:t>Pakistan, the Philippines</w:t>
      </w:r>
      <w:r w:rsidR="008E16F1">
        <w:rPr>
          <w:noProof/>
        </w:rPr>
        <w:t xml:space="preserve"> and</w:t>
      </w:r>
      <w:r w:rsidR="006621C9">
        <w:rPr>
          <w:noProof/>
        </w:rPr>
        <w:t xml:space="preserve"> Sri Lanka) </w:t>
      </w:r>
      <w:r w:rsidR="00FA1FDB">
        <w:rPr>
          <w:noProof/>
        </w:rPr>
        <w:t xml:space="preserve">accounted for </w:t>
      </w:r>
      <w:r w:rsidR="006621C9">
        <w:rPr>
          <w:noProof/>
        </w:rPr>
        <w:t>over 90% of all imports</w:t>
      </w:r>
      <w:r w:rsidR="00FA1FDB">
        <w:rPr>
          <w:noProof/>
        </w:rPr>
        <w:t xml:space="preserve"> into the EU</w:t>
      </w:r>
      <w:r w:rsidR="00B53443">
        <w:rPr>
          <w:noProof/>
        </w:rPr>
        <w:t xml:space="preserve"> </w:t>
      </w:r>
      <w:r>
        <w:rPr>
          <w:noProof/>
        </w:rPr>
        <w:t xml:space="preserve">under GSP+ </w:t>
      </w:r>
      <w:r w:rsidR="00B53443">
        <w:rPr>
          <w:noProof/>
        </w:rPr>
        <w:t xml:space="preserve">during the </w:t>
      </w:r>
      <w:r>
        <w:rPr>
          <w:noProof/>
        </w:rPr>
        <w:t xml:space="preserve">reporting </w:t>
      </w:r>
      <w:r w:rsidR="00B53443">
        <w:rPr>
          <w:noProof/>
        </w:rPr>
        <w:t xml:space="preserve">period, while </w:t>
      </w:r>
      <w:r w:rsidR="00FA1FDB">
        <w:rPr>
          <w:noProof/>
        </w:rPr>
        <w:t xml:space="preserve">the new GSP+ beneficiary </w:t>
      </w:r>
      <w:r w:rsidR="008E16F1">
        <w:rPr>
          <w:noProof/>
        </w:rPr>
        <w:t>(</w:t>
      </w:r>
      <w:r w:rsidR="00B53443">
        <w:rPr>
          <w:noProof/>
        </w:rPr>
        <w:t>Uzbekistan</w:t>
      </w:r>
      <w:r w:rsidR="008E16F1">
        <w:rPr>
          <w:noProof/>
        </w:rPr>
        <w:t>)</w:t>
      </w:r>
      <w:r w:rsidR="00B53443">
        <w:rPr>
          <w:noProof/>
        </w:rPr>
        <w:t xml:space="preserve"> </w:t>
      </w:r>
      <w:r>
        <w:rPr>
          <w:noProof/>
        </w:rPr>
        <w:t xml:space="preserve">ranked </w:t>
      </w:r>
      <w:r w:rsidR="00B53443">
        <w:rPr>
          <w:noProof/>
        </w:rPr>
        <w:t>fourth</w:t>
      </w:r>
      <w:r>
        <w:rPr>
          <w:noProof/>
        </w:rPr>
        <w:t xml:space="preserve"> and</w:t>
      </w:r>
      <w:r w:rsidR="00A70F13">
        <w:rPr>
          <w:noProof/>
        </w:rPr>
        <w:t xml:space="preserve"> with </w:t>
      </w:r>
      <w:r w:rsidR="00155AC5">
        <w:rPr>
          <w:noProof/>
        </w:rPr>
        <w:t>a growing use of the preferences</w:t>
      </w:r>
      <w:r w:rsidR="00A25A91">
        <w:rPr>
          <w:noProof/>
        </w:rPr>
        <w:t xml:space="preserve"> (Figure 10)</w:t>
      </w:r>
      <w:r w:rsidR="00155AC5">
        <w:rPr>
          <w:noProof/>
        </w:rPr>
        <w:t xml:space="preserve">. </w:t>
      </w:r>
      <w:r w:rsidR="00EA6679">
        <w:rPr>
          <w:noProof/>
        </w:rPr>
        <w:t>In terms of products, t</w:t>
      </w:r>
      <w:r w:rsidR="005A03F4">
        <w:rPr>
          <w:noProof/>
        </w:rPr>
        <w:t xml:space="preserve">extiles and clothing combined </w:t>
      </w:r>
      <w:r w:rsidR="002C7BA1">
        <w:rPr>
          <w:noProof/>
        </w:rPr>
        <w:t xml:space="preserve">(S-11a and S-11b) </w:t>
      </w:r>
      <w:r w:rsidR="005A03F4">
        <w:rPr>
          <w:noProof/>
        </w:rPr>
        <w:t xml:space="preserve">represent </w:t>
      </w:r>
      <w:r w:rsidR="00EA6679">
        <w:rPr>
          <w:noProof/>
        </w:rPr>
        <w:t>nearly 60% of all GS</w:t>
      </w:r>
      <w:r w:rsidR="00D36C9D">
        <w:rPr>
          <w:noProof/>
        </w:rPr>
        <w:t>P</w:t>
      </w:r>
      <w:r w:rsidR="00EA6679">
        <w:rPr>
          <w:noProof/>
        </w:rPr>
        <w:t>+ imports into the EU in 202</w:t>
      </w:r>
      <w:r w:rsidR="00CA2720">
        <w:rPr>
          <w:noProof/>
        </w:rPr>
        <w:t>2</w:t>
      </w:r>
      <w:r w:rsidR="004C620D">
        <w:rPr>
          <w:noProof/>
        </w:rPr>
        <w:t xml:space="preserve">, followed by </w:t>
      </w:r>
      <w:r w:rsidR="002C1AF6">
        <w:rPr>
          <w:noProof/>
        </w:rPr>
        <w:t xml:space="preserve">electrical machinery </w:t>
      </w:r>
      <w:r w:rsidR="004C620D">
        <w:rPr>
          <w:noProof/>
        </w:rPr>
        <w:t>(S</w:t>
      </w:r>
      <w:r w:rsidR="00AD4EB6">
        <w:rPr>
          <w:noProof/>
        </w:rPr>
        <w:t xml:space="preserve">-16) and </w:t>
      </w:r>
      <w:r w:rsidR="002C7BA1">
        <w:rPr>
          <w:noProof/>
        </w:rPr>
        <w:t xml:space="preserve">oils, </w:t>
      </w:r>
      <w:r w:rsidR="002C1AF6">
        <w:rPr>
          <w:noProof/>
        </w:rPr>
        <w:t xml:space="preserve">fats and waxes </w:t>
      </w:r>
      <w:r w:rsidR="00AD4EB6">
        <w:rPr>
          <w:noProof/>
        </w:rPr>
        <w:t>(S-</w:t>
      </w:r>
      <w:r w:rsidR="002C1AF6">
        <w:rPr>
          <w:noProof/>
        </w:rPr>
        <w:t>3</w:t>
      </w:r>
      <w:r w:rsidR="00AD4EB6">
        <w:rPr>
          <w:noProof/>
        </w:rPr>
        <w:t>)</w:t>
      </w:r>
      <w:r w:rsidR="00EA6679">
        <w:rPr>
          <w:noProof/>
        </w:rPr>
        <w:t>.</w:t>
      </w:r>
    </w:p>
    <w:p w14:paraId="78F494FB" w14:textId="3FC3B4D6" w:rsidR="00934ECC" w:rsidRPr="00D36C9D" w:rsidRDefault="00934ECC" w:rsidP="00D36C9D">
      <w:pPr>
        <w:keepNext/>
        <w:spacing w:before="120" w:after="120"/>
        <w:jc w:val="left"/>
        <w:rPr>
          <w:iCs/>
          <w:noProof/>
          <w:color w:val="365F91" w:themeColor="accent1" w:themeShade="BF"/>
          <w:sz w:val="20"/>
          <w:lang w:eastAsia="en-US"/>
        </w:rPr>
      </w:pPr>
      <w:r w:rsidRPr="00D36C9D">
        <w:rPr>
          <w:i/>
          <w:iCs/>
          <w:noProof/>
          <w:color w:val="365F91" w:themeColor="accent1" w:themeShade="BF"/>
          <w:sz w:val="20"/>
          <w:lang w:eastAsia="en-US"/>
        </w:rPr>
        <w:t xml:space="preserve">Figure </w:t>
      </w:r>
      <w:r w:rsidR="00783F7C" w:rsidRPr="00D36C9D">
        <w:rPr>
          <w:i/>
          <w:iCs/>
          <w:noProof/>
          <w:color w:val="365F91" w:themeColor="accent1" w:themeShade="BF"/>
          <w:sz w:val="20"/>
          <w:lang w:eastAsia="en-US"/>
        </w:rPr>
        <w:t>10</w:t>
      </w:r>
      <w:r w:rsidRPr="00D36C9D">
        <w:rPr>
          <w:i/>
          <w:iCs/>
          <w:noProof/>
          <w:color w:val="365F91" w:themeColor="accent1" w:themeShade="BF"/>
          <w:sz w:val="20"/>
          <w:lang w:eastAsia="en-US"/>
        </w:rPr>
        <w:t xml:space="preserve">: </w:t>
      </w:r>
      <w:r w:rsidR="00BB7C4C" w:rsidRPr="00D36C9D">
        <w:rPr>
          <w:i/>
          <w:iCs/>
          <w:noProof/>
          <w:color w:val="365F91" w:themeColor="accent1" w:themeShade="BF"/>
          <w:sz w:val="20"/>
          <w:lang w:eastAsia="en-US"/>
        </w:rPr>
        <w:t>GSP+</w:t>
      </w:r>
      <w:r w:rsidR="00985510">
        <w:rPr>
          <w:i/>
          <w:iCs/>
          <w:noProof/>
          <w:color w:val="365F91" w:themeColor="accent1" w:themeShade="BF"/>
          <w:sz w:val="20"/>
          <w:lang w:eastAsia="en-US"/>
        </w:rPr>
        <w:t xml:space="preserve"> –</w:t>
      </w:r>
      <w:r w:rsidR="00BB7C4C">
        <w:rPr>
          <w:i/>
          <w:iCs/>
          <w:noProof/>
          <w:color w:val="365F91" w:themeColor="accent1" w:themeShade="BF"/>
          <w:sz w:val="20"/>
          <w:lang w:eastAsia="en-US"/>
        </w:rPr>
        <w:t xml:space="preserve"> </w:t>
      </w:r>
      <w:r w:rsidR="00E52701">
        <w:rPr>
          <w:i/>
          <w:iCs/>
          <w:noProof/>
          <w:color w:val="365F91" w:themeColor="accent1" w:themeShade="BF"/>
          <w:sz w:val="20"/>
          <w:lang w:eastAsia="en-US"/>
        </w:rPr>
        <w:t>I</w:t>
      </w:r>
      <w:r w:rsidR="00BB7C4C">
        <w:rPr>
          <w:i/>
          <w:iCs/>
          <w:noProof/>
          <w:color w:val="365F91" w:themeColor="accent1" w:themeShade="BF"/>
          <w:sz w:val="20"/>
          <w:lang w:eastAsia="en-US"/>
        </w:rPr>
        <w:t>mports using preferences by beneficiary country, 2019-2022 (€ million)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07"/>
      </w:tblGrid>
      <w:tr w:rsidR="00860415" w14:paraId="72C01FD0" w14:textId="77777777" w:rsidTr="00992D45">
        <w:tc>
          <w:tcPr>
            <w:tcW w:w="8833" w:type="dxa"/>
          </w:tcPr>
          <w:p w14:paraId="5A0451BA" w14:textId="65F34289" w:rsidR="00860415" w:rsidRDefault="00882893" w:rsidP="00992D45">
            <w:pPr>
              <w:pStyle w:val="Body"/>
              <w:spacing w:before="20" w:after="20"/>
              <w:rPr>
                <w:noProof/>
                <w:sz w:val="20"/>
                <w:szCs w:val="20"/>
              </w:rPr>
            </w:pPr>
            <w:r>
              <w:rPr>
                <w:noProof/>
                <w:lang w:eastAsia="en-GB"/>
              </w:rPr>
              <w:drawing>
                <wp:inline distT="0" distB="0" distL="0" distR="0" wp14:anchorId="32CC3613" wp14:editId="5F435277">
                  <wp:extent cx="5471795" cy="2319655"/>
                  <wp:effectExtent l="0" t="0" r="0" b="4445"/>
                  <wp:docPr id="577366936" name="Diagramm 1">
                    <a:extLst xmlns:a="http://schemas.openxmlformats.org/drawingml/2006/main">
                      <a:ext uri="{FF2B5EF4-FFF2-40B4-BE49-F238E27FC236}">
                        <a16:creationId xmlns:a16="http://schemas.microsoft.com/office/drawing/2014/main" id="{1C716520-9167-4355-8F6E-C22675BCE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830D417" w14:textId="1DD4DBA9" w:rsidR="0034757C" w:rsidRDefault="00992D45" w:rsidP="00E7475B">
      <w:pPr>
        <w:pStyle w:val="Text1"/>
        <w:ind w:left="0"/>
        <w:rPr>
          <w:noProof/>
        </w:rPr>
      </w:pPr>
      <w:r>
        <w:rPr>
          <w:noProof/>
        </w:rPr>
        <w:br/>
      </w:r>
      <w:r w:rsidR="003A07C9" w:rsidRPr="00753C0C">
        <w:rPr>
          <w:noProof/>
        </w:rPr>
        <w:t>The EU’s m</w:t>
      </w:r>
      <w:r w:rsidR="00020AA9" w:rsidRPr="00753C0C">
        <w:rPr>
          <w:noProof/>
        </w:rPr>
        <w:t xml:space="preserve">onitoring </w:t>
      </w:r>
      <w:r w:rsidR="002025E8" w:rsidRPr="00753C0C">
        <w:rPr>
          <w:noProof/>
        </w:rPr>
        <w:t xml:space="preserve">of </w:t>
      </w:r>
      <w:r w:rsidR="008707ED" w:rsidRPr="00753C0C">
        <w:rPr>
          <w:noProof/>
        </w:rPr>
        <w:t>GSP+</w:t>
      </w:r>
      <w:r w:rsidR="00020AA9" w:rsidRPr="00753C0C">
        <w:rPr>
          <w:noProof/>
        </w:rPr>
        <w:t xml:space="preserve"> </w:t>
      </w:r>
      <w:r w:rsidR="003A07C9" w:rsidRPr="00753C0C">
        <w:rPr>
          <w:noProof/>
        </w:rPr>
        <w:t xml:space="preserve">beneficiaries’ respect of their </w:t>
      </w:r>
      <w:r w:rsidR="00020AA9" w:rsidRPr="00753C0C">
        <w:rPr>
          <w:noProof/>
        </w:rPr>
        <w:t xml:space="preserve">obligations </w:t>
      </w:r>
      <w:r w:rsidR="00A25A91" w:rsidRPr="00753C0C">
        <w:rPr>
          <w:noProof/>
        </w:rPr>
        <w:t xml:space="preserve">in </w:t>
      </w:r>
      <w:r w:rsidR="003A07C9" w:rsidRPr="00753C0C">
        <w:rPr>
          <w:noProof/>
        </w:rPr>
        <w:t xml:space="preserve">the reporting period </w:t>
      </w:r>
      <w:r w:rsidR="00020AA9" w:rsidRPr="00753C0C">
        <w:rPr>
          <w:noProof/>
        </w:rPr>
        <w:t>was conducted through written exchanges of information as well as</w:t>
      </w:r>
      <w:r w:rsidR="00783F7C" w:rsidRPr="00753C0C">
        <w:rPr>
          <w:noProof/>
        </w:rPr>
        <w:t xml:space="preserve"> </w:t>
      </w:r>
      <w:r w:rsidR="00020AA9" w:rsidRPr="00753C0C">
        <w:rPr>
          <w:noProof/>
        </w:rPr>
        <w:t>in person</w:t>
      </w:r>
      <w:r w:rsidR="006B3772" w:rsidRPr="00753C0C">
        <w:rPr>
          <w:noProof/>
        </w:rPr>
        <w:t xml:space="preserve"> dedicated</w:t>
      </w:r>
      <w:r w:rsidR="00020AA9" w:rsidRPr="00753C0C">
        <w:rPr>
          <w:noProof/>
        </w:rPr>
        <w:t xml:space="preserve"> missions as soon as the global health situation allowed</w:t>
      </w:r>
      <w:r w:rsidR="00012BB5" w:rsidRPr="00753C0C">
        <w:rPr>
          <w:noProof/>
        </w:rPr>
        <w:t xml:space="preserve">: </w:t>
      </w:r>
      <w:r w:rsidR="002904D6" w:rsidRPr="00753C0C">
        <w:rPr>
          <w:noProof/>
        </w:rPr>
        <w:t xml:space="preserve">in the reporting period it was possible to </w:t>
      </w:r>
      <w:r w:rsidR="006B3772" w:rsidRPr="00753C0C">
        <w:rPr>
          <w:noProof/>
        </w:rPr>
        <w:t>conduct</w:t>
      </w:r>
      <w:r w:rsidR="002904D6" w:rsidRPr="00753C0C">
        <w:rPr>
          <w:noProof/>
        </w:rPr>
        <w:t xml:space="preserve"> missions </w:t>
      </w:r>
      <w:r w:rsidR="006B3772" w:rsidRPr="00753C0C">
        <w:rPr>
          <w:noProof/>
        </w:rPr>
        <w:t xml:space="preserve">in </w:t>
      </w:r>
      <w:r w:rsidR="00FA1544" w:rsidRPr="00753C0C">
        <w:rPr>
          <w:noProof/>
        </w:rPr>
        <w:t xml:space="preserve">Kyrgyzstan, Pakistan, the Philippines, Sri Lanka, </w:t>
      </w:r>
      <w:r w:rsidR="008E16F1" w:rsidRPr="00753C0C">
        <w:rPr>
          <w:noProof/>
        </w:rPr>
        <w:t xml:space="preserve">and </w:t>
      </w:r>
      <w:r w:rsidR="00FA1544" w:rsidRPr="00753C0C">
        <w:rPr>
          <w:noProof/>
        </w:rPr>
        <w:t>Uzbekistan</w:t>
      </w:r>
      <w:r w:rsidR="00D36C9D" w:rsidRPr="00753C0C">
        <w:rPr>
          <w:noProof/>
        </w:rPr>
        <w:t> (</w:t>
      </w:r>
      <w:r w:rsidR="00D36C9D" w:rsidRPr="00753C0C">
        <w:rPr>
          <w:rStyle w:val="FootnoteReference"/>
          <w:noProof/>
        </w:rPr>
        <w:footnoteReference w:id="31"/>
      </w:r>
      <w:r w:rsidR="00D36C9D" w:rsidRPr="00753C0C">
        <w:rPr>
          <w:noProof/>
        </w:rPr>
        <w:t>)</w:t>
      </w:r>
      <w:r w:rsidR="00B6471F" w:rsidRPr="00753C0C">
        <w:rPr>
          <w:noProof/>
        </w:rPr>
        <w:t>.</w:t>
      </w:r>
      <w:r w:rsidR="000A25E0" w:rsidRPr="00753C0C">
        <w:rPr>
          <w:noProof/>
        </w:rPr>
        <w:t xml:space="preserve"> Issues relat</w:t>
      </w:r>
      <w:r w:rsidR="00B51663" w:rsidRPr="00753C0C">
        <w:rPr>
          <w:noProof/>
        </w:rPr>
        <w:t>ing</w:t>
      </w:r>
      <w:r w:rsidR="000A25E0" w:rsidRPr="00753C0C">
        <w:rPr>
          <w:noProof/>
        </w:rPr>
        <w:t xml:space="preserve"> to the GSP+ obligations were discussed </w:t>
      </w:r>
      <w:r w:rsidR="00B51663" w:rsidRPr="00753C0C">
        <w:rPr>
          <w:noProof/>
        </w:rPr>
        <w:t xml:space="preserve">regularly </w:t>
      </w:r>
      <w:r w:rsidR="000A25E0" w:rsidRPr="00753C0C">
        <w:rPr>
          <w:noProof/>
        </w:rPr>
        <w:t>also in the context of other high</w:t>
      </w:r>
      <w:r w:rsidR="001C726B" w:rsidRPr="00753C0C">
        <w:rPr>
          <w:noProof/>
        </w:rPr>
        <w:t>-</w:t>
      </w:r>
      <w:r w:rsidR="000A25E0" w:rsidRPr="00753C0C">
        <w:rPr>
          <w:noProof/>
        </w:rPr>
        <w:t>level meetings, including Trade and other Committees and Human Rights Dialogues</w:t>
      </w:r>
      <w:r w:rsidR="00B51663" w:rsidRPr="00753C0C">
        <w:rPr>
          <w:noProof/>
        </w:rPr>
        <w:t>. D</w:t>
      </w:r>
      <w:r w:rsidR="17B406E4" w:rsidRPr="00753C0C">
        <w:rPr>
          <w:noProof/>
        </w:rPr>
        <w:t xml:space="preserve">edicated </w:t>
      </w:r>
      <w:r w:rsidR="00E612AA">
        <w:rPr>
          <w:noProof/>
        </w:rPr>
        <w:t>S</w:t>
      </w:r>
      <w:r w:rsidR="17B406E4" w:rsidRPr="00753C0C">
        <w:rPr>
          <w:noProof/>
        </w:rPr>
        <w:t xml:space="preserve">taff </w:t>
      </w:r>
      <w:r w:rsidR="00E612AA">
        <w:rPr>
          <w:noProof/>
        </w:rPr>
        <w:t>W</w:t>
      </w:r>
      <w:r w:rsidR="17B406E4" w:rsidRPr="00753C0C">
        <w:rPr>
          <w:noProof/>
        </w:rPr>
        <w:t xml:space="preserve">orking </w:t>
      </w:r>
      <w:r w:rsidR="00E612AA">
        <w:rPr>
          <w:noProof/>
        </w:rPr>
        <w:t>D</w:t>
      </w:r>
      <w:r w:rsidR="17B406E4" w:rsidRPr="00753C0C">
        <w:rPr>
          <w:noProof/>
        </w:rPr>
        <w:t xml:space="preserve">ocuments on each of the </w:t>
      </w:r>
      <w:r w:rsidR="00B51663" w:rsidRPr="00753C0C">
        <w:rPr>
          <w:noProof/>
        </w:rPr>
        <w:t xml:space="preserve">nine GSP+ </w:t>
      </w:r>
      <w:r w:rsidR="17B406E4" w:rsidRPr="00753C0C">
        <w:rPr>
          <w:noProof/>
        </w:rPr>
        <w:t xml:space="preserve">beneficiaries accompany this report and cover </w:t>
      </w:r>
      <w:r w:rsidR="000A25E0" w:rsidRPr="00753C0C">
        <w:rPr>
          <w:noProof/>
        </w:rPr>
        <w:t xml:space="preserve">in </w:t>
      </w:r>
      <w:r w:rsidR="00B51663" w:rsidRPr="00753C0C">
        <w:rPr>
          <w:noProof/>
        </w:rPr>
        <w:t xml:space="preserve">more </w:t>
      </w:r>
      <w:r w:rsidR="000A25E0" w:rsidRPr="00753C0C">
        <w:rPr>
          <w:noProof/>
        </w:rPr>
        <w:t xml:space="preserve">detail </w:t>
      </w:r>
      <w:r w:rsidR="17B406E4" w:rsidRPr="00753C0C">
        <w:rPr>
          <w:noProof/>
        </w:rPr>
        <w:t xml:space="preserve">the state of implementation of the 27 </w:t>
      </w:r>
      <w:r w:rsidR="00E612AA">
        <w:rPr>
          <w:noProof/>
        </w:rPr>
        <w:t xml:space="preserve">GSP-relevant </w:t>
      </w:r>
      <w:r w:rsidR="17B406E4" w:rsidRPr="00753C0C">
        <w:rPr>
          <w:noProof/>
        </w:rPr>
        <w:t>conventions</w:t>
      </w:r>
      <w:r w:rsidR="00012BB5" w:rsidRPr="00753C0C">
        <w:rPr>
          <w:noProof/>
        </w:rPr>
        <w:t xml:space="preserve"> per coun</w:t>
      </w:r>
      <w:r w:rsidR="00B6471F" w:rsidRPr="00753C0C">
        <w:rPr>
          <w:noProof/>
        </w:rPr>
        <w:t>t</w:t>
      </w:r>
      <w:r w:rsidR="00012BB5" w:rsidRPr="00753C0C">
        <w:rPr>
          <w:noProof/>
        </w:rPr>
        <w:t>ry</w:t>
      </w:r>
      <w:r w:rsidR="17B406E4" w:rsidRPr="00753C0C">
        <w:rPr>
          <w:noProof/>
        </w:rPr>
        <w:t>, as well as the</w:t>
      </w:r>
      <w:r w:rsidR="1D196962" w:rsidRPr="00753C0C">
        <w:rPr>
          <w:noProof/>
        </w:rPr>
        <w:t xml:space="preserve"> monitoring activities,</w:t>
      </w:r>
      <w:r w:rsidR="17B406E4" w:rsidRPr="00753C0C">
        <w:rPr>
          <w:noProof/>
        </w:rPr>
        <w:t xml:space="preserve"> economic impact</w:t>
      </w:r>
      <w:r w:rsidR="00B51663" w:rsidRPr="00753C0C">
        <w:rPr>
          <w:noProof/>
        </w:rPr>
        <w:t xml:space="preserve"> of GSP+</w:t>
      </w:r>
      <w:r w:rsidR="17B406E4" w:rsidRPr="00753C0C">
        <w:rPr>
          <w:noProof/>
        </w:rPr>
        <w:t xml:space="preserve"> and </w:t>
      </w:r>
      <w:r w:rsidR="00B51663" w:rsidRPr="00753C0C">
        <w:rPr>
          <w:noProof/>
        </w:rPr>
        <w:t xml:space="preserve">the </w:t>
      </w:r>
      <w:r w:rsidR="000A25E0" w:rsidRPr="00753C0C">
        <w:rPr>
          <w:noProof/>
        </w:rPr>
        <w:t>broad</w:t>
      </w:r>
      <w:r w:rsidR="00B51663" w:rsidRPr="00753C0C">
        <w:rPr>
          <w:noProof/>
        </w:rPr>
        <w:t>er</w:t>
      </w:r>
      <w:r w:rsidR="000A25E0" w:rsidRPr="00753C0C">
        <w:rPr>
          <w:noProof/>
        </w:rPr>
        <w:t xml:space="preserve"> </w:t>
      </w:r>
      <w:r w:rsidR="17B406E4" w:rsidRPr="00753C0C">
        <w:rPr>
          <w:noProof/>
        </w:rPr>
        <w:t>political context</w:t>
      </w:r>
      <w:r w:rsidR="00B51663" w:rsidRPr="00753C0C">
        <w:rPr>
          <w:noProof/>
        </w:rPr>
        <w:t xml:space="preserve"> for GSP in those countries</w:t>
      </w:r>
      <w:r w:rsidR="7229C0A0" w:rsidRPr="00753C0C">
        <w:rPr>
          <w:noProof/>
        </w:rPr>
        <w:t>.</w:t>
      </w:r>
    </w:p>
    <w:p w14:paraId="2445318D" w14:textId="77777777" w:rsidR="00067BA2" w:rsidRPr="00E7475B" w:rsidRDefault="00067BA2" w:rsidP="001F1BE4">
      <w:pPr>
        <w:pStyle w:val="Heading2"/>
        <w:shd w:val="clear" w:color="auto" w:fill="DBE5F1" w:themeFill="accent1" w:themeFillTint="33"/>
        <w:rPr>
          <w:noProof/>
        </w:rPr>
      </w:pPr>
      <w:r w:rsidRPr="00E7475B">
        <w:rPr>
          <w:noProof/>
        </w:rPr>
        <w:t>E</w:t>
      </w:r>
      <w:r w:rsidR="00783F7C">
        <w:rPr>
          <w:noProof/>
        </w:rPr>
        <w:t xml:space="preserve">verything </w:t>
      </w:r>
      <w:r w:rsidRPr="00E7475B">
        <w:rPr>
          <w:noProof/>
        </w:rPr>
        <w:t>B</w:t>
      </w:r>
      <w:r w:rsidR="00783F7C">
        <w:rPr>
          <w:noProof/>
        </w:rPr>
        <w:t xml:space="preserve">ut </w:t>
      </w:r>
      <w:r w:rsidRPr="00E7475B">
        <w:rPr>
          <w:noProof/>
        </w:rPr>
        <w:t>A</w:t>
      </w:r>
      <w:r w:rsidR="00783F7C">
        <w:rPr>
          <w:noProof/>
        </w:rPr>
        <w:t>rms arrangement</w:t>
      </w:r>
    </w:p>
    <w:p w14:paraId="0D8AB4BC" w14:textId="594B9842" w:rsidR="00012BB5" w:rsidRDefault="1D942517" w:rsidP="00E7475B">
      <w:pPr>
        <w:pStyle w:val="Text1"/>
        <w:ind w:left="0"/>
        <w:rPr>
          <w:noProof/>
          <w:szCs w:val="24"/>
        </w:rPr>
      </w:pPr>
      <w:r w:rsidRPr="730E3F16">
        <w:rPr>
          <w:noProof/>
          <w:lang w:val="en-US"/>
        </w:rPr>
        <w:t xml:space="preserve">EBA </w:t>
      </w:r>
      <w:r w:rsidR="00783F7C">
        <w:rPr>
          <w:noProof/>
          <w:lang w:val="en-US"/>
        </w:rPr>
        <w:t>countries</w:t>
      </w:r>
      <w:r w:rsidRPr="730E3F16">
        <w:rPr>
          <w:noProof/>
          <w:lang w:val="en-US"/>
        </w:rPr>
        <w:t xml:space="preserve"> make up the largest group of </w:t>
      </w:r>
      <w:r w:rsidR="00B51663">
        <w:rPr>
          <w:noProof/>
          <w:lang w:val="en-US"/>
        </w:rPr>
        <w:t xml:space="preserve">all </w:t>
      </w:r>
      <w:r w:rsidRPr="730E3F16">
        <w:rPr>
          <w:noProof/>
          <w:lang w:val="en-US"/>
        </w:rPr>
        <w:t xml:space="preserve">GSP </w:t>
      </w:r>
      <w:r w:rsidR="00B51663">
        <w:rPr>
          <w:noProof/>
          <w:lang w:val="en-US"/>
        </w:rPr>
        <w:t>beneficiaries</w:t>
      </w:r>
      <w:r w:rsidRPr="730E3F16">
        <w:rPr>
          <w:noProof/>
          <w:lang w:val="en-US"/>
        </w:rPr>
        <w:t xml:space="preserve"> – 47 LDCs </w:t>
      </w:r>
      <w:r w:rsidR="00B51663">
        <w:rPr>
          <w:noProof/>
          <w:lang w:val="en-US"/>
        </w:rPr>
        <w:t xml:space="preserve">currently </w:t>
      </w:r>
      <w:r w:rsidRPr="730E3F16">
        <w:rPr>
          <w:noProof/>
          <w:lang w:val="en-US"/>
        </w:rPr>
        <w:t xml:space="preserve">benefit from the tariff-free quota-free </w:t>
      </w:r>
      <w:r w:rsidR="00783F7C">
        <w:rPr>
          <w:noProof/>
          <w:lang w:val="en-US"/>
        </w:rPr>
        <w:t xml:space="preserve">access to the EU market </w:t>
      </w:r>
      <w:r w:rsidR="006B3772">
        <w:rPr>
          <w:noProof/>
          <w:lang w:val="en-US"/>
        </w:rPr>
        <w:t>under this arrangement</w:t>
      </w:r>
      <w:r w:rsidRPr="730E3F16">
        <w:rPr>
          <w:noProof/>
          <w:lang w:val="en-US"/>
        </w:rPr>
        <w:t xml:space="preserve">. </w:t>
      </w:r>
      <w:r w:rsidR="4FDA252F" w:rsidRPr="730E3F16">
        <w:rPr>
          <w:noProof/>
          <w:lang w:val="en-US"/>
        </w:rPr>
        <w:t xml:space="preserve">Imports from LDCs accounted for 2% of total EU imports in </w:t>
      </w:r>
      <w:r w:rsidR="4FDA252F" w:rsidRPr="00E7475B">
        <w:rPr>
          <w:noProof/>
          <w:lang w:val="en-US"/>
        </w:rPr>
        <w:t>2019</w:t>
      </w:r>
      <w:r w:rsidR="006B3772">
        <w:rPr>
          <w:noProof/>
          <w:lang w:val="en-US"/>
        </w:rPr>
        <w:t xml:space="preserve"> and 40% of total imports from </w:t>
      </w:r>
      <w:r w:rsidR="00B51663">
        <w:rPr>
          <w:noProof/>
          <w:lang w:val="en-US"/>
        </w:rPr>
        <w:t xml:space="preserve">all </w:t>
      </w:r>
      <w:r w:rsidR="006B3772">
        <w:rPr>
          <w:noProof/>
          <w:lang w:val="en-US"/>
        </w:rPr>
        <w:t xml:space="preserve">GSP countries. </w:t>
      </w:r>
      <w:r w:rsidR="4FDA252F" w:rsidRPr="004B4A56">
        <w:rPr>
          <w:noProof/>
          <w:lang w:val="en-US"/>
        </w:rPr>
        <w:t>6</w:t>
      </w:r>
      <w:r w:rsidR="002C7BA1" w:rsidRPr="004B4A56">
        <w:rPr>
          <w:noProof/>
          <w:lang w:val="en-US"/>
        </w:rPr>
        <w:t>9</w:t>
      </w:r>
      <w:r w:rsidR="4FDA252F" w:rsidRPr="004B4A56">
        <w:rPr>
          <w:noProof/>
          <w:lang w:val="en-US"/>
        </w:rPr>
        <w:t>%</w:t>
      </w:r>
      <w:r w:rsidR="4FDA252F" w:rsidRPr="730E3F16">
        <w:rPr>
          <w:noProof/>
          <w:lang w:val="en-US"/>
        </w:rPr>
        <w:t xml:space="preserve"> of these imports from LDCs benefitted from EBA preferences</w:t>
      </w:r>
      <w:r w:rsidR="00374D18" w:rsidRPr="00374D18">
        <w:rPr>
          <w:noProof/>
          <w:lang w:val="en-US"/>
        </w:rPr>
        <w:t> (</w:t>
      </w:r>
      <w:r w:rsidR="00374D18">
        <w:rPr>
          <w:rStyle w:val="FootnoteReference"/>
          <w:noProof/>
          <w:lang w:val="en-US"/>
        </w:rPr>
        <w:footnoteReference w:id="32"/>
      </w:r>
      <w:r w:rsidR="00374D18">
        <w:rPr>
          <w:noProof/>
          <w:lang w:val="en-US"/>
        </w:rPr>
        <w:t>)</w:t>
      </w:r>
      <w:r w:rsidR="4FDA252F" w:rsidRPr="730E3F16">
        <w:rPr>
          <w:noProof/>
          <w:lang w:val="en-US"/>
        </w:rPr>
        <w:t>.</w:t>
      </w:r>
      <w:r w:rsidR="009F1D86">
        <w:rPr>
          <w:noProof/>
          <w:lang w:val="en-US"/>
        </w:rPr>
        <w:t xml:space="preserve"> The top products</w:t>
      </w:r>
      <w:r w:rsidR="000A72D9">
        <w:rPr>
          <w:noProof/>
          <w:lang w:val="en-US"/>
        </w:rPr>
        <w:t xml:space="preserve"> (</w:t>
      </w:r>
      <w:r w:rsidR="002C7BA1">
        <w:rPr>
          <w:noProof/>
          <w:lang w:val="en-US"/>
        </w:rPr>
        <w:t xml:space="preserve">each </w:t>
      </w:r>
      <w:r w:rsidR="00783F7C">
        <w:rPr>
          <w:noProof/>
          <w:lang w:val="en-US"/>
        </w:rPr>
        <w:t xml:space="preserve">worth </w:t>
      </w:r>
      <w:r w:rsidR="000A72D9">
        <w:rPr>
          <w:noProof/>
          <w:lang w:val="en-US"/>
        </w:rPr>
        <w:t xml:space="preserve">over </w:t>
      </w:r>
      <w:r w:rsidR="0023762C" w:rsidRPr="0023762C">
        <w:rPr>
          <w:noProof/>
          <w:lang w:val="en-US"/>
        </w:rPr>
        <w:t>€</w:t>
      </w:r>
      <w:r w:rsidR="00CA2720">
        <w:rPr>
          <w:noProof/>
          <w:lang w:val="en-US"/>
        </w:rPr>
        <w:t>1 b</w:t>
      </w:r>
      <w:r w:rsidR="00783F7C">
        <w:rPr>
          <w:noProof/>
          <w:lang w:val="en-US"/>
        </w:rPr>
        <w:t>illion</w:t>
      </w:r>
      <w:r w:rsidR="000A72D9">
        <w:rPr>
          <w:noProof/>
          <w:lang w:val="en-US"/>
        </w:rPr>
        <w:t>)</w:t>
      </w:r>
      <w:r w:rsidR="009F1D86">
        <w:rPr>
          <w:noProof/>
          <w:lang w:val="en-US"/>
        </w:rPr>
        <w:t xml:space="preserve"> </w:t>
      </w:r>
      <w:r w:rsidR="006B3772">
        <w:rPr>
          <w:noProof/>
          <w:lang w:val="en-US"/>
        </w:rPr>
        <w:t xml:space="preserve">imported under </w:t>
      </w:r>
      <w:r w:rsidR="009F1D86">
        <w:rPr>
          <w:noProof/>
          <w:lang w:val="en-US"/>
        </w:rPr>
        <w:t xml:space="preserve">the EBA </w:t>
      </w:r>
      <w:r w:rsidR="00B51663">
        <w:rPr>
          <w:noProof/>
          <w:lang w:val="en-US"/>
        </w:rPr>
        <w:t xml:space="preserve">arrangement </w:t>
      </w:r>
      <w:r w:rsidR="00275557">
        <w:rPr>
          <w:noProof/>
          <w:lang w:val="en-US"/>
        </w:rPr>
        <w:t>in 202</w:t>
      </w:r>
      <w:r w:rsidR="00CA2720">
        <w:rPr>
          <w:noProof/>
          <w:lang w:val="en-US"/>
        </w:rPr>
        <w:t>2</w:t>
      </w:r>
      <w:r w:rsidR="00275557">
        <w:rPr>
          <w:noProof/>
          <w:lang w:val="en-US"/>
        </w:rPr>
        <w:t xml:space="preserve"> </w:t>
      </w:r>
      <w:r w:rsidR="009F1D86">
        <w:rPr>
          <w:noProof/>
          <w:lang w:val="en-US"/>
        </w:rPr>
        <w:t xml:space="preserve">were </w:t>
      </w:r>
      <w:r w:rsidR="000A7033">
        <w:rPr>
          <w:noProof/>
          <w:lang w:val="en-US"/>
        </w:rPr>
        <w:t xml:space="preserve">clothing </w:t>
      </w:r>
      <w:r w:rsidR="00BC57E8">
        <w:rPr>
          <w:noProof/>
          <w:lang w:val="en-US"/>
        </w:rPr>
        <w:t>and footwear</w:t>
      </w:r>
      <w:r w:rsidR="002C7BA1">
        <w:rPr>
          <w:noProof/>
          <w:lang w:val="en-US"/>
        </w:rPr>
        <w:t xml:space="preserve"> (S-11b and S-12a)</w:t>
      </w:r>
      <w:r w:rsidR="00FE0172">
        <w:rPr>
          <w:noProof/>
          <w:lang w:val="en-US"/>
        </w:rPr>
        <w:t xml:space="preserve">, followed by </w:t>
      </w:r>
      <w:r w:rsidR="00275557">
        <w:rPr>
          <w:noProof/>
          <w:lang w:val="en-US"/>
        </w:rPr>
        <w:t>base metals and articles thereof</w:t>
      </w:r>
      <w:r w:rsidR="002C7BA1">
        <w:rPr>
          <w:noProof/>
          <w:lang w:val="en-US"/>
        </w:rPr>
        <w:t xml:space="preserve"> (S-15b)</w:t>
      </w:r>
      <w:r w:rsidR="00CA2720">
        <w:rPr>
          <w:noProof/>
          <w:lang w:val="en-US"/>
        </w:rPr>
        <w:t xml:space="preserve"> and fish and crustaceans (S-1b)</w:t>
      </w:r>
      <w:r w:rsidR="00275557">
        <w:rPr>
          <w:noProof/>
          <w:lang w:val="en-US"/>
        </w:rPr>
        <w:t>.</w:t>
      </w:r>
      <w:r w:rsidR="00ED0278">
        <w:rPr>
          <w:noProof/>
          <w:lang w:val="en-US"/>
        </w:rPr>
        <w:t xml:space="preserve"> </w:t>
      </w:r>
    </w:p>
    <w:p w14:paraId="7EE7D9B0" w14:textId="61C3834C" w:rsidR="004B0D8F" w:rsidRDefault="00844E20" w:rsidP="00E7475B">
      <w:pPr>
        <w:pStyle w:val="Text1"/>
        <w:ind w:left="0"/>
        <w:rPr>
          <w:noProof/>
          <w:szCs w:val="24"/>
          <w:lang w:val="en-US"/>
        </w:rPr>
      </w:pPr>
      <w:r w:rsidRPr="004D297A">
        <w:rPr>
          <w:noProof/>
          <w:szCs w:val="24"/>
        </w:rPr>
        <w:t xml:space="preserve">During the reporting period, </w:t>
      </w:r>
      <w:r w:rsidRPr="003800BE">
        <w:rPr>
          <w:noProof/>
          <w:szCs w:val="24"/>
        </w:rPr>
        <w:t xml:space="preserve">preference utilisation </w:t>
      </w:r>
      <w:r w:rsidRPr="00462FBD">
        <w:rPr>
          <w:noProof/>
          <w:szCs w:val="24"/>
        </w:rPr>
        <w:t>in EBA countries</w:t>
      </w:r>
      <w:r w:rsidRPr="003800BE">
        <w:rPr>
          <w:noProof/>
          <w:szCs w:val="24"/>
        </w:rPr>
        <w:t xml:space="preserve"> </w:t>
      </w:r>
      <w:r w:rsidRPr="00462FBD">
        <w:rPr>
          <w:noProof/>
          <w:szCs w:val="24"/>
        </w:rPr>
        <w:t xml:space="preserve">remained almost constant at an average of 93%. </w:t>
      </w:r>
      <w:r w:rsidR="183B3B41" w:rsidRPr="383E3E7F">
        <w:rPr>
          <w:noProof/>
          <w:lang w:val="en-US"/>
        </w:rPr>
        <w:t xml:space="preserve">The </w:t>
      </w:r>
      <w:r w:rsidR="183B3B41" w:rsidRPr="00B0047E">
        <w:rPr>
          <w:noProof/>
          <w:lang w:val="en-US"/>
        </w:rPr>
        <w:t>decrease in preferential import</w:t>
      </w:r>
      <w:r w:rsidR="00AC6C35" w:rsidRPr="00B0047E">
        <w:rPr>
          <w:noProof/>
          <w:lang w:val="en-US"/>
        </w:rPr>
        <w:t>s</w:t>
      </w:r>
      <w:r w:rsidR="183B3B41" w:rsidRPr="383E3E7F">
        <w:rPr>
          <w:b/>
          <w:bCs/>
          <w:noProof/>
          <w:lang w:val="en-US"/>
        </w:rPr>
        <w:t xml:space="preserve"> </w:t>
      </w:r>
      <w:r w:rsidR="00CA2720">
        <w:rPr>
          <w:noProof/>
          <w:lang w:val="en-US"/>
        </w:rPr>
        <w:t>in 2020 and 2021</w:t>
      </w:r>
      <w:r w:rsidR="183B3B41" w:rsidRPr="383E3E7F">
        <w:rPr>
          <w:noProof/>
          <w:lang w:val="en-US"/>
        </w:rPr>
        <w:t xml:space="preserve"> </w:t>
      </w:r>
      <w:r w:rsidR="00F14F36">
        <w:rPr>
          <w:noProof/>
          <w:lang w:val="en-US"/>
        </w:rPr>
        <w:t xml:space="preserve">(see further section </w:t>
      </w:r>
      <w:r w:rsidR="00012BB5" w:rsidRPr="00EC4BCE">
        <w:rPr>
          <w:noProof/>
          <w:lang w:val="en-US"/>
        </w:rPr>
        <w:t>4</w:t>
      </w:r>
      <w:r w:rsidR="00F14F36">
        <w:rPr>
          <w:noProof/>
          <w:lang w:val="en-US"/>
        </w:rPr>
        <w:t xml:space="preserve"> above) </w:t>
      </w:r>
      <w:r w:rsidR="183B3B41" w:rsidRPr="383E3E7F">
        <w:rPr>
          <w:noProof/>
          <w:lang w:val="en-US"/>
        </w:rPr>
        <w:t xml:space="preserve">is </w:t>
      </w:r>
      <w:r w:rsidR="00774B2B">
        <w:rPr>
          <w:noProof/>
          <w:lang w:val="en-US"/>
        </w:rPr>
        <w:t xml:space="preserve">largely </w:t>
      </w:r>
      <w:r w:rsidR="183B3B41" w:rsidRPr="383E3E7F">
        <w:rPr>
          <w:noProof/>
          <w:lang w:val="en-US"/>
        </w:rPr>
        <w:t xml:space="preserve">the result of the </w:t>
      </w:r>
      <w:r w:rsidR="00774B2B">
        <w:rPr>
          <w:noProof/>
          <w:lang w:val="en-US"/>
        </w:rPr>
        <w:t xml:space="preserve">economic </w:t>
      </w:r>
      <w:r w:rsidR="000A25E0">
        <w:rPr>
          <w:noProof/>
          <w:lang w:val="en-US"/>
        </w:rPr>
        <w:t>crisis</w:t>
      </w:r>
      <w:r w:rsidR="183B3B41" w:rsidRPr="383E3E7F">
        <w:rPr>
          <w:noProof/>
          <w:lang w:val="en-US"/>
        </w:rPr>
        <w:t xml:space="preserve"> </w:t>
      </w:r>
      <w:r w:rsidR="00774B2B">
        <w:rPr>
          <w:noProof/>
          <w:lang w:val="en-US"/>
        </w:rPr>
        <w:t xml:space="preserve">linked to the </w:t>
      </w:r>
      <w:r w:rsidR="002C7BA1">
        <w:rPr>
          <w:noProof/>
          <w:lang w:val="en-US"/>
        </w:rPr>
        <w:t>COVID</w:t>
      </w:r>
      <w:r w:rsidR="00774B2B">
        <w:rPr>
          <w:noProof/>
          <w:lang w:val="en-US"/>
        </w:rPr>
        <w:t xml:space="preserve">-19 pandemic, </w:t>
      </w:r>
      <w:r w:rsidR="183B3B41" w:rsidRPr="383E3E7F">
        <w:rPr>
          <w:noProof/>
          <w:lang w:val="en-US"/>
        </w:rPr>
        <w:t xml:space="preserve">which </w:t>
      </w:r>
      <w:r w:rsidR="00CA2720">
        <w:rPr>
          <w:noProof/>
          <w:lang w:val="en-US"/>
        </w:rPr>
        <w:t xml:space="preserve">initially </w:t>
      </w:r>
      <w:r w:rsidR="183B3B41" w:rsidRPr="383E3E7F">
        <w:rPr>
          <w:noProof/>
          <w:lang w:val="en-US"/>
        </w:rPr>
        <w:t xml:space="preserve">turned the performance from 2014 to 2019 on its head: </w:t>
      </w:r>
      <w:r w:rsidR="00774B2B">
        <w:rPr>
          <w:noProof/>
          <w:lang w:val="en-US"/>
        </w:rPr>
        <w:t xml:space="preserve">the </w:t>
      </w:r>
      <w:r w:rsidR="183B3B41" w:rsidRPr="383E3E7F">
        <w:rPr>
          <w:noProof/>
          <w:lang w:val="en-US"/>
        </w:rPr>
        <w:t xml:space="preserve">average annual growth rate </w:t>
      </w:r>
      <w:r w:rsidR="00F14F36">
        <w:rPr>
          <w:noProof/>
          <w:lang w:val="en-US"/>
        </w:rPr>
        <w:t xml:space="preserve">of goods </w:t>
      </w:r>
      <w:r w:rsidR="00F14F36" w:rsidRPr="383E3E7F">
        <w:rPr>
          <w:noProof/>
          <w:lang w:val="en-US"/>
        </w:rPr>
        <w:t>import</w:t>
      </w:r>
      <w:r w:rsidR="00F14F36">
        <w:rPr>
          <w:noProof/>
          <w:lang w:val="en-US"/>
        </w:rPr>
        <w:t>s</w:t>
      </w:r>
      <w:r w:rsidR="00F14F36" w:rsidRPr="383E3E7F">
        <w:rPr>
          <w:noProof/>
          <w:lang w:val="en-US"/>
        </w:rPr>
        <w:t xml:space="preserve"> </w:t>
      </w:r>
      <w:r w:rsidR="183B3B41" w:rsidRPr="383E3E7F">
        <w:rPr>
          <w:noProof/>
          <w:lang w:val="en-US"/>
        </w:rPr>
        <w:t xml:space="preserve">from </w:t>
      </w:r>
      <w:r w:rsidR="00774B2B">
        <w:rPr>
          <w:noProof/>
          <w:lang w:val="en-US"/>
        </w:rPr>
        <w:t>EBA beneficiaries</w:t>
      </w:r>
      <w:r w:rsidR="183B3B41" w:rsidRPr="383E3E7F">
        <w:rPr>
          <w:noProof/>
          <w:lang w:val="en-US"/>
        </w:rPr>
        <w:t xml:space="preserve"> in the earlier period</w:t>
      </w:r>
      <w:r w:rsidR="00BC559A">
        <w:rPr>
          <w:noProof/>
          <w:lang w:val="en-US"/>
        </w:rPr>
        <w:t xml:space="preserve"> (</w:t>
      </w:r>
      <w:r w:rsidR="183B3B41" w:rsidRPr="383E3E7F">
        <w:rPr>
          <w:noProof/>
          <w:lang w:val="en-US"/>
        </w:rPr>
        <w:t>12.6%</w:t>
      </w:r>
      <w:r w:rsidR="00BC559A">
        <w:rPr>
          <w:noProof/>
          <w:lang w:val="en-US"/>
        </w:rPr>
        <w:t xml:space="preserve">) </w:t>
      </w:r>
      <w:r w:rsidR="00774B2B" w:rsidRPr="383E3E7F">
        <w:rPr>
          <w:noProof/>
          <w:lang w:val="en-US"/>
        </w:rPr>
        <w:t>w</w:t>
      </w:r>
      <w:r w:rsidR="00774B2B">
        <w:rPr>
          <w:noProof/>
          <w:lang w:val="en-US"/>
        </w:rPr>
        <w:t>as</w:t>
      </w:r>
      <w:r w:rsidR="00774B2B" w:rsidRPr="383E3E7F">
        <w:rPr>
          <w:noProof/>
          <w:lang w:val="en-US"/>
        </w:rPr>
        <w:t xml:space="preserve"> </w:t>
      </w:r>
      <w:r w:rsidR="183B3B41" w:rsidRPr="383E3E7F">
        <w:rPr>
          <w:noProof/>
          <w:lang w:val="en-US"/>
        </w:rPr>
        <w:t>substantially higher tha</w:t>
      </w:r>
      <w:r w:rsidR="00774B2B">
        <w:rPr>
          <w:noProof/>
          <w:lang w:val="en-US"/>
        </w:rPr>
        <w:t>n</w:t>
      </w:r>
      <w:r w:rsidR="183B3B41" w:rsidRPr="383E3E7F">
        <w:rPr>
          <w:noProof/>
          <w:lang w:val="en-US"/>
        </w:rPr>
        <w:t xml:space="preserve"> the EU’s overall import growth</w:t>
      </w:r>
      <w:r w:rsidR="00500255">
        <w:rPr>
          <w:noProof/>
          <w:lang w:val="en-US"/>
        </w:rPr>
        <w:t xml:space="preserve"> (</w:t>
      </w:r>
      <w:r w:rsidR="183B3B41" w:rsidRPr="383E3E7F">
        <w:rPr>
          <w:noProof/>
          <w:lang w:val="en-US"/>
        </w:rPr>
        <w:t>at 3.2%</w:t>
      </w:r>
      <w:r w:rsidR="00500255">
        <w:rPr>
          <w:noProof/>
          <w:lang w:val="en-US"/>
        </w:rPr>
        <w:t>)</w:t>
      </w:r>
      <w:r w:rsidR="183B3B41" w:rsidRPr="383E3E7F">
        <w:rPr>
          <w:noProof/>
          <w:lang w:val="en-US"/>
        </w:rPr>
        <w:t>.</w:t>
      </w:r>
      <w:r w:rsidR="00774B2B">
        <w:rPr>
          <w:noProof/>
          <w:lang w:val="en-US"/>
        </w:rPr>
        <w:t xml:space="preserve"> However, </w:t>
      </w:r>
      <w:r w:rsidR="00774B2B">
        <w:rPr>
          <w:noProof/>
          <w:szCs w:val="24"/>
          <w:lang w:val="en-US"/>
        </w:rPr>
        <w:t>between</w:t>
      </w:r>
      <w:r w:rsidR="183B3B41" w:rsidRPr="730E3F16">
        <w:rPr>
          <w:noProof/>
          <w:szCs w:val="24"/>
          <w:lang w:val="en-US"/>
        </w:rPr>
        <w:t xml:space="preserve"> 2019 </w:t>
      </w:r>
      <w:r w:rsidR="00774B2B">
        <w:rPr>
          <w:noProof/>
          <w:szCs w:val="24"/>
          <w:lang w:val="en-US"/>
        </w:rPr>
        <w:t>and</w:t>
      </w:r>
      <w:r w:rsidR="00774B2B" w:rsidRPr="730E3F16">
        <w:rPr>
          <w:noProof/>
          <w:szCs w:val="24"/>
          <w:lang w:val="en-US"/>
        </w:rPr>
        <w:t xml:space="preserve"> </w:t>
      </w:r>
      <w:r w:rsidR="183B3B41" w:rsidRPr="730E3F16">
        <w:rPr>
          <w:noProof/>
          <w:szCs w:val="24"/>
          <w:lang w:val="en-US"/>
        </w:rPr>
        <w:t xml:space="preserve">2021, </w:t>
      </w:r>
      <w:r w:rsidR="00774B2B">
        <w:rPr>
          <w:noProof/>
          <w:szCs w:val="24"/>
          <w:lang w:val="en-US"/>
        </w:rPr>
        <w:t xml:space="preserve">the </w:t>
      </w:r>
      <w:r w:rsidR="183B3B41" w:rsidRPr="730E3F16">
        <w:rPr>
          <w:noProof/>
          <w:szCs w:val="24"/>
          <w:lang w:val="en-US"/>
        </w:rPr>
        <w:t xml:space="preserve">average annual growth of the EU’s overall </w:t>
      </w:r>
      <w:r w:rsidR="003428E3">
        <w:rPr>
          <w:noProof/>
          <w:szCs w:val="24"/>
          <w:lang w:val="en-US"/>
        </w:rPr>
        <w:t xml:space="preserve">goods </w:t>
      </w:r>
      <w:r w:rsidR="183B3B41" w:rsidRPr="730E3F16">
        <w:rPr>
          <w:noProof/>
          <w:szCs w:val="24"/>
          <w:lang w:val="en-US"/>
        </w:rPr>
        <w:t>imports was 10.6%, while the</w:t>
      </w:r>
      <w:r w:rsidR="003428E3">
        <w:rPr>
          <w:noProof/>
          <w:szCs w:val="24"/>
          <w:lang w:val="en-US"/>
        </w:rPr>
        <w:t xml:space="preserve"> </w:t>
      </w:r>
      <w:r w:rsidR="183B3B41" w:rsidRPr="00EC4BCE">
        <w:rPr>
          <w:noProof/>
          <w:szCs w:val="24"/>
          <w:lang w:val="en-US"/>
        </w:rPr>
        <w:t>preferential imports from EBA</w:t>
      </w:r>
      <w:r w:rsidR="003428E3" w:rsidRPr="00EC4BCE">
        <w:rPr>
          <w:noProof/>
          <w:szCs w:val="24"/>
          <w:lang w:val="en-US"/>
        </w:rPr>
        <w:t xml:space="preserve"> beneficiaries contracted </w:t>
      </w:r>
      <w:r w:rsidR="003428E3" w:rsidRPr="00462FBD">
        <w:rPr>
          <w:noProof/>
          <w:szCs w:val="24"/>
          <w:lang w:val="en-US"/>
        </w:rPr>
        <w:t>by</w:t>
      </w:r>
      <w:r w:rsidR="003428E3">
        <w:rPr>
          <w:b/>
          <w:bCs/>
          <w:noProof/>
          <w:szCs w:val="24"/>
          <w:lang w:val="en-US"/>
        </w:rPr>
        <w:t xml:space="preserve"> </w:t>
      </w:r>
      <w:r w:rsidR="003428E3">
        <w:rPr>
          <w:noProof/>
          <w:szCs w:val="24"/>
          <w:lang w:val="en-US"/>
        </w:rPr>
        <w:t xml:space="preserve">an annual average of </w:t>
      </w:r>
      <w:r w:rsidR="183B3B41" w:rsidRPr="730E3F16">
        <w:rPr>
          <w:noProof/>
          <w:szCs w:val="24"/>
          <w:lang w:val="en-US"/>
        </w:rPr>
        <w:t>5.9%.</w:t>
      </w:r>
      <w:r w:rsidR="00CA2720">
        <w:rPr>
          <w:noProof/>
          <w:szCs w:val="24"/>
          <w:lang w:val="en-US"/>
        </w:rPr>
        <w:t xml:space="preserve"> But the strong performance in 2022 meant that EBA beneficiary countries managed to regain the competitive </w:t>
      </w:r>
      <w:r w:rsidR="00BB7C4C">
        <w:rPr>
          <w:noProof/>
          <w:szCs w:val="24"/>
          <w:lang w:val="en-US"/>
        </w:rPr>
        <w:t>position</w:t>
      </w:r>
      <w:r w:rsidR="00CA2720">
        <w:rPr>
          <w:noProof/>
          <w:szCs w:val="24"/>
          <w:lang w:val="en-US"/>
        </w:rPr>
        <w:t xml:space="preserve"> that they had reached before the pandemic.</w:t>
      </w:r>
    </w:p>
    <w:p w14:paraId="1D4440DA" w14:textId="690E1ACB" w:rsidR="183B3B41" w:rsidRDefault="00F14F36" w:rsidP="00E7475B">
      <w:pPr>
        <w:pStyle w:val="Text1"/>
        <w:ind w:left="0"/>
        <w:rPr>
          <w:noProof/>
          <w:szCs w:val="24"/>
          <w:lang w:val="en-US"/>
        </w:rPr>
      </w:pPr>
      <w:r>
        <w:rPr>
          <w:noProof/>
          <w:szCs w:val="24"/>
          <w:lang w:val="en-US"/>
        </w:rPr>
        <w:t xml:space="preserve">It is </w:t>
      </w:r>
      <w:r w:rsidR="00CA2720">
        <w:rPr>
          <w:noProof/>
          <w:szCs w:val="24"/>
          <w:lang w:val="en-US"/>
        </w:rPr>
        <w:t xml:space="preserve">also </w:t>
      </w:r>
      <w:r>
        <w:rPr>
          <w:noProof/>
          <w:szCs w:val="24"/>
          <w:lang w:val="en-US"/>
        </w:rPr>
        <w:t xml:space="preserve">important to note that </w:t>
      </w:r>
      <w:r w:rsidR="00CA2720">
        <w:rPr>
          <w:noProof/>
          <w:szCs w:val="24"/>
          <w:lang w:val="en-US"/>
        </w:rPr>
        <w:t xml:space="preserve">the </w:t>
      </w:r>
      <w:r w:rsidR="00B24D76">
        <w:rPr>
          <w:noProof/>
          <w:szCs w:val="24"/>
          <w:lang w:val="en-US"/>
        </w:rPr>
        <w:t xml:space="preserve">decline </w:t>
      </w:r>
      <w:r w:rsidR="00CA2720">
        <w:rPr>
          <w:noProof/>
          <w:szCs w:val="24"/>
          <w:lang w:val="en-US"/>
        </w:rPr>
        <w:t xml:space="preserve">in 2020 and 2021 was </w:t>
      </w:r>
      <w:r w:rsidR="00B24D76">
        <w:rPr>
          <w:noProof/>
          <w:szCs w:val="24"/>
          <w:lang w:val="en-US"/>
        </w:rPr>
        <w:t xml:space="preserve">strongly dominated by </w:t>
      </w:r>
      <w:r w:rsidR="004D297A">
        <w:rPr>
          <w:noProof/>
          <w:szCs w:val="24"/>
          <w:lang w:val="en-US"/>
        </w:rPr>
        <w:t>t</w:t>
      </w:r>
      <w:r w:rsidR="00B24D76">
        <w:rPr>
          <w:noProof/>
          <w:szCs w:val="24"/>
          <w:lang w:val="en-US"/>
        </w:rPr>
        <w:t xml:space="preserve">he reduction in </w:t>
      </w:r>
      <w:r>
        <w:rPr>
          <w:noProof/>
          <w:szCs w:val="24"/>
          <w:lang w:val="en-US"/>
        </w:rPr>
        <w:t xml:space="preserve">EU </w:t>
      </w:r>
      <w:r w:rsidR="00B24D76">
        <w:rPr>
          <w:noProof/>
          <w:szCs w:val="24"/>
          <w:lang w:val="en-US"/>
        </w:rPr>
        <w:t>imports from Cambodia</w:t>
      </w:r>
      <w:r w:rsidR="001B1371">
        <w:rPr>
          <w:noProof/>
          <w:szCs w:val="24"/>
          <w:lang w:val="en-US"/>
        </w:rPr>
        <w:t>,</w:t>
      </w:r>
      <w:r w:rsidR="00B24D76">
        <w:rPr>
          <w:noProof/>
          <w:szCs w:val="24"/>
          <w:lang w:val="en-US"/>
        </w:rPr>
        <w:t xml:space="preserve"> </w:t>
      </w:r>
      <w:r w:rsidR="0030250C">
        <w:rPr>
          <w:noProof/>
          <w:szCs w:val="24"/>
          <w:lang w:val="en-US"/>
        </w:rPr>
        <w:t>Bangladesh</w:t>
      </w:r>
      <w:r w:rsidR="00374D18">
        <w:rPr>
          <w:noProof/>
          <w:szCs w:val="24"/>
          <w:lang w:val="en-US"/>
        </w:rPr>
        <w:t>,</w:t>
      </w:r>
      <w:r w:rsidR="0030250C">
        <w:rPr>
          <w:noProof/>
          <w:szCs w:val="24"/>
          <w:lang w:val="en-US"/>
        </w:rPr>
        <w:t xml:space="preserve"> </w:t>
      </w:r>
      <w:r w:rsidR="00B24D76">
        <w:rPr>
          <w:noProof/>
          <w:szCs w:val="24"/>
          <w:lang w:val="en-US"/>
        </w:rPr>
        <w:t xml:space="preserve">and Myanmar </w:t>
      </w:r>
      <w:r>
        <w:rPr>
          <w:noProof/>
          <w:szCs w:val="24"/>
          <w:lang w:val="en-US"/>
        </w:rPr>
        <w:t>(</w:t>
      </w:r>
      <w:r w:rsidR="00B24D76">
        <w:rPr>
          <w:noProof/>
          <w:szCs w:val="24"/>
          <w:lang w:val="en-US"/>
        </w:rPr>
        <w:t>in th</w:t>
      </w:r>
      <w:r>
        <w:rPr>
          <w:noProof/>
          <w:szCs w:val="24"/>
          <w:lang w:val="en-US"/>
        </w:rPr>
        <w:t>at</w:t>
      </w:r>
      <w:r w:rsidR="00B24D76">
        <w:rPr>
          <w:noProof/>
          <w:szCs w:val="24"/>
          <w:lang w:val="en-US"/>
        </w:rPr>
        <w:t xml:space="preserve"> order</w:t>
      </w:r>
      <w:r>
        <w:rPr>
          <w:noProof/>
          <w:szCs w:val="24"/>
          <w:lang w:val="en-US"/>
        </w:rPr>
        <w:t xml:space="preserve">) </w:t>
      </w:r>
      <w:r w:rsidR="00012BB5">
        <w:rPr>
          <w:noProof/>
          <w:szCs w:val="24"/>
          <w:lang w:val="en-US"/>
        </w:rPr>
        <w:t>which</w:t>
      </w:r>
      <w:r w:rsidR="00374D18">
        <w:rPr>
          <w:noProof/>
          <w:szCs w:val="24"/>
          <w:lang w:val="en-US"/>
        </w:rPr>
        <w:t xml:space="preserve"> combined</w:t>
      </w:r>
      <w:r w:rsidR="00012BB5">
        <w:rPr>
          <w:noProof/>
          <w:szCs w:val="24"/>
          <w:lang w:val="en-US"/>
        </w:rPr>
        <w:t xml:space="preserve"> </w:t>
      </w:r>
      <w:r w:rsidR="0030250C">
        <w:rPr>
          <w:noProof/>
          <w:szCs w:val="24"/>
          <w:lang w:val="en-US"/>
        </w:rPr>
        <w:t>accounts for 90%</w:t>
      </w:r>
      <w:r w:rsidR="009C176C">
        <w:rPr>
          <w:noProof/>
          <w:szCs w:val="24"/>
          <w:lang w:val="en-US"/>
        </w:rPr>
        <w:t xml:space="preserve"> of </w:t>
      </w:r>
      <w:r w:rsidR="00B24D76">
        <w:rPr>
          <w:noProof/>
          <w:szCs w:val="24"/>
          <w:lang w:val="en-US"/>
        </w:rPr>
        <w:t xml:space="preserve">the decrease in EU </w:t>
      </w:r>
      <w:r w:rsidR="009C176C">
        <w:rPr>
          <w:noProof/>
          <w:szCs w:val="24"/>
          <w:lang w:val="en-US"/>
        </w:rPr>
        <w:t xml:space="preserve">preferential </w:t>
      </w:r>
      <w:r w:rsidR="00B24D76">
        <w:rPr>
          <w:noProof/>
          <w:szCs w:val="24"/>
          <w:lang w:val="en-US"/>
        </w:rPr>
        <w:t xml:space="preserve">imports from </w:t>
      </w:r>
      <w:r w:rsidR="005A0718">
        <w:rPr>
          <w:noProof/>
          <w:szCs w:val="24"/>
          <w:lang w:val="en-US"/>
        </w:rPr>
        <w:t xml:space="preserve">all </w:t>
      </w:r>
      <w:r w:rsidR="00B24D76">
        <w:rPr>
          <w:noProof/>
          <w:szCs w:val="24"/>
          <w:lang w:val="en-US"/>
        </w:rPr>
        <w:t>LDC</w:t>
      </w:r>
      <w:r w:rsidR="005A0718">
        <w:rPr>
          <w:noProof/>
          <w:szCs w:val="24"/>
          <w:lang w:val="en-US"/>
        </w:rPr>
        <w:t>s</w:t>
      </w:r>
      <w:r w:rsidR="00B24D76">
        <w:rPr>
          <w:noProof/>
          <w:szCs w:val="24"/>
          <w:lang w:val="en-US"/>
        </w:rPr>
        <w:t xml:space="preserve"> between 2019 and 2021. That means that on average other LDC</w:t>
      </w:r>
      <w:r w:rsidR="005A0718">
        <w:rPr>
          <w:noProof/>
          <w:szCs w:val="24"/>
          <w:lang w:val="en-US"/>
        </w:rPr>
        <w:t>s</w:t>
      </w:r>
      <w:r w:rsidR="00B24D76">
        <w:rPr>
          <w:noProof/>
          <w:szCs w:val="24"/>
          <w:lang w:val="en-US"/>
        </w:rPr>
        <w:t xml:space="preserve"> </w:t>
      </w:r>
      <w:r w:rsidR="009C176C">
        <w:rPr>
          <w:noProof/>
          <w:szCs w:val="24"/>
          <w:lang w:val="en-US"/>
        </w:rPr>
        <w:t>hardly de</w:t>
      </w:r>
      <w:r w:rsidR="00B24D76">
        <w:rPr>
          <w:noProof/>
          <w:szCs w:val="24"/>
          <w:lang w:val="en-US"/>
        </w:rPr>
        <w:t>crease</w:t>
      </w:r>
      <w:r w:rsidR="005A0718">
        <w:rPr>
          <w:noProof/>
          <w:szCs w:val="24"/>
          <w:lang w:val="en-US"/>
        </w:rPr>
        <w:t>d</w:t>
      </w:r>
      <w:r w:rsidR="00B24D76">
        <w:rPr>
          <w:noProof/>
          <w:szCs w:val="24"/>
          <w:lang w:val="en-US"/>
        </w:rPr>
        <w:t xml:space="preserve"> their exports to the EU</w:t>
      </w:r>
      <w:r w:rsidR="009C176C">
        <w:rPr>
          <w:noProof/>
          <w:szCs w:val="24"/>
          <w:lang w:val="en-US"/>
        </w:rPr>
        <w:t>, and 19 LDCs actually increased their exports</w:t>
      </w:r>
      <w:r w:rsidR="00B24D76">
        <w:rPr>
          <w:noProof/>
          <w:szCs w:val="24"/>
          <w:lang w:val="en-US"/>
        </w:rPr>
        <w:t xml:space="preserve">. In the case of Cambodia and Myanmar, </w:t>
      </w:r>
      <w:r w:rsidR="005A0718">
        <w:rPr>
          <w:noProof/>
          <w:szCs w:val="24"/>
          <w:lang w:val="en-US"/>
        </w:rPr>
        <w:t>the decrease</w:t>
      </w:r>
      <w:r w:rsidR="00B24D76">
        <w:rPr>
          <w:noProof/>
          <w:szCs w:val="24"/>
          <w:lang w:val="en-US"/>
        </w:rPr>
        <w:t xml:space="preserve"> </w:t>
      </w:r>
      <w:r w:rsidR="004D297A">
        <w:rPr>
          <w:noProof/>
          <w:szCs w:val="24"/>
          <w:lang w:val="en-US"/>
        </w:rPr>
        <w:t xml:space="preserve">has </w:t>
      </w:r>
      <w:r w:rsidR="005A0718">
        <w:rPr>
          <w:noProof/>
          <w:szCs w:val="24"/>
          <w:lang w:val="en-US"/>
        </w:rPr>
        <w:t xml:space="preserve">largely </w:t>
      </w:r>
      <w:r w:rsidR="004D297A">
        <w:rPr>
          <w:noProof/>
          <w:szCs w:val="24"/>
          <w:lang w:val="en-US"/>
        </w:rPr>
        <w:t xml:space="preserve">been </w:t>
      </w:r>
      <w:r w:rsidR="00B24D76">
        <w:rPr>
          <w:noProof/>
          <w:szCs w:val="24"/>
          <w:lang w:val="en-US"/>
        </w:rPr>
        <w:t xml:space="preserve">explained by </w:t>
      </w:r>
      <w:r w:rsidR="005A0718">
        <w:rPr>
          <w:noProof/>
          <w:szCs w:val="24"/>
          <w:lang w:val="en-US"/>
        </w:rPr>
        <w:t xml:space="preserve">country-specific </w:t>
      </w:r>
      <w:r w:rsidR="00B24D76">
        <w:rPr>
          <w:noProof/>
          <w:szCs w:val="24"/>
          <w:lang w:val="en-US"/>
        </w:rPr>
        <w:t>political</w:t>
      </w:r>
      <w:r w:rsidR="005A0718">
        <w:rPr>
          <w:noProof/>
          <w:szCs w:val="24"/>
          <w:lang w:val="en-US"/>
        </w:rPr>
        <w:t xml:space="preserve"> and economic</w:t>
      </w:r>
      <w:r w:rsidR="00B24D76">
        <w:rPr>
          <w:noProof/>
          <w:szCs w:val="24"/>
          <w:lang w:val="en-US"/>
        </w:rPr>
        <w:t xml:space="preserve"> factors</w:t>
      </w:r>
      <w:r w:rsidR="004D297A">
        <w:rPr>
          <w:noProof/>
          <w:szCs w:val="24"/>
          <w:lang w:val="en-US"/>
        </w:rPr>
        <w:t xml:space="preserve"> </w:t>
      </w:r>
      <w:r w:rsidR="00010953">
        <w:rPr>
          <w:noProof/>
          <w:szCs w:val="24"/>
          <w:lang w:val="en-US"/>
        </w:rPr>
        <w:t>–</w:t>
      </w:r>
      <w:r w:rsidR="004D297A">
        <w:rPr>
          <w:noProof/>
          <w:szCs w:val="24"/>
          <w:lang w:val="en-US"/>
        </w:rPr>
        <w:t xml:space="preserve"> t</w:t>
      </w:r>
      <w:r w:rsidR="00B24D76">
        <w:rPr>
          <w:noProof/>
          <w:szCs w:val="24"/>
          <w:lang w:val="en-US"/>
        </w:rPr>
        <w:t>he partial withdrawal of EBA preferences</w:t>
      </w:r>
      <w:r w:rsidR="003428E3">
        <w:rPr>
          <w:noProof/>
          <w:szCs w:val="24"/>
          <w:lang w:val="en-US"/>
        </w:rPr>
        <w:t xml:space="preserve"> </w:t>
      </w:r>
      <w:r w:rsidR="00B24D76">
        <w:rPr>
          <w:noProof/>
          <w:szCs w:val="24"/>
          <w:lang w:val="en-US"/>
        </w:rPr>
        <w:t>for the former and the fallout of the 2021 military coup for the latter.</w:t>
      </w:r>
    </w:p>
    <w:p w14:paraId="37BC8E14" w14:textId="5DC9DC04" w:rsidR="00E12929" w:rsidRDefault="00E12929" w:rsidP="004D297A">
      <w:pPr>
        <w:pStyle w:val="Text2"/>
        <w:ind w:left="0"/>
        <w:rPr>
          <w:noProof/>
        </w:rPr>
      </w:pPr>
      <w:r>
        <w:rPr>
          <w:noProof/>
        </w:rPr>
        <w:t>During the reporting period</w:t>
      </w:r>
      <w:r w:rsidR="00233509">
        <w:rPr>
          <w:noProof/>
        </w:rPr>
        <w:t>,</w:t>
      </w:r>
      <w:r w:rsidRPr="00E12929">
        <w:rPr>
          <w:noProof/>
        </w:rPr>
        <w:t xml:space="preserve"> safeguards measures imposed by the Commission in 2019 on imports of rice from Cambodia and Myanmar applied until January 2022</w:t>
      </w:r>
      <w:r w:rsidR="004B0D8F">
        <w:rPr>
          <w:noProof/>
        </w:rPr>
        <w:t>.</w:t>
      </w:r>
    </w:p>
    <w:p w14:paraId="5E78B9A5" w14:textId="22967A12" w:rsidR="611842E5" w:rsidRPr="004D297A" w:rsidRDefault="611842E5" w:rsidP="004D297A">
      <w:pPr>
        <w:pStyle w:val="Text2"/>
        <w:ind w:left="0"/>
        <w:rPr>
          <w:noProof/>
        </w:rPr>
      </w:pPr>
      <w:r w:rsidRPr="00462FBD">
        <w:rPr>
          <w:noProof/>
        </w:rPr>
        <w:t>T</w:t>
      </w:r>
      <w:r w:rsidR="005438D7">
        <w:rPr>
          <w:noProof/>
        </w:rPr>
        <w:t>he t</w:t>
      </w:r>
      <w:r w:rsidRPr="00462FBD">
        <w:rPr>
          <w:noProof/>
        </w:rPr>
        <w:t xml:space="preserve">hree </w:t>
      </w:r>
      <w:r w:rsidR="005438D7">
        <w:rPr>
          <w:noProof/>
        </w:rPr>
        <w:t xml:space="preserve">biggest </w:t>
      </w:r>
      <w:r w:rsidRPr="00462FBD">
        <w:rPr>
          <w:noProof/>
        </w:rPr>
        <w:t xml:space="preserve">EBA beneficiaries have been under </w:t>
      </w:r>
      <w:r w:rsidRPr="00B0047E">
        <w:rPr>
          <w:noProof/>
        </w:rPr>
        <w:t>enhanced engagement</w:t>
      </w:r>
      <w:r w:rsidRPr="004D297A">
        <w:rPr>
          <w:noProof/>
        </w:rPr>
        <w:t xml:space="preserve"> during the reporting period (Bangladesh, Cambodia</w:t>
      </w:r>
      <w:r w:rsidR="00DD16FC" w:rsidRPr="004D297A">
        <w:rPr>
          <w:noProof/>
        </w:rPr>
        <w:t>,</w:t>
      </w:r>
      <w:r w:rsidR="7C74A5D8" w:rsidRPr="004D297A">
        <w:rPr>
          <w:noProof/>
        </w:rPr>
        <w:t xml:space="preserve"> and</w:t>
      </w:r>
      <w:r w:rsidR="00DD16FC" w:rsidRPr="004D297A">
        <w:rPr>
          <w:noProof/>
        </w:rPr>
        <w:t xml:space="preserve"> </w:t>
      </w:r>
      <w:r w:rsidRPr="004D297A">
        <w:rPr>
          <w:noProof/>
        </w:rPr>
        <w:t xml:space="preserve">Myanmar). </w:t>
      </w:r>
      <w:r w:rsidR="004D297A">
        <w:rPr>
          <w:noProof/>
        </w:rPr>
        <w:t xml:space="preserve">In that </w:t>
      </w:r>
      <w:r w:rsidR="0080145A" w:rsidRPr="004D297A">
        <w:rPr>
          <w:noProof/>
        </w:rPr>
        <w:t xml:space="preserve">period, EBA preferences were partially withdrawn from </w:t>
      </w:r>
      <w:r w:rsidR="0080145A" w:rsidRPr="00EC4BCE">
        <w:rPr>
          <w:noProof/>
        </w:rPr>
        <w:t>Cambodia</w:t>
      </w:r>
      <w:r w:rsidR="0080145A" w:rsidRPr="004D297A">
        <w:rPr>
          <w:b/>
          <w:bCs/>
          <w:noProof/>
        </w:rPr>
        <w:t xml:space="preserve"> </w:t>
      </w:r>
      <w:r w:rsidR="0080145A" w:rsidRPr="004D297A">
        <w:rPr>
          <w:noProof/>
        </w:rPr>
        <w:t xml:space="preserve">as of 12 </w:t>
      </w:r>
      <w:r w:rsidR="004D297A">
        <w:rPr>
          <w:noProof/>
        </w:rPr>
        <w:t>August</w:t>
      </w:r>
      <w:r w:rsidR="0080145A" w:rsidRPr="004D297A">
        <w:rPr>
          <w:noProof/>
        </w:rPr>
        <w:t xml:space="preserve"> 2020 due to serious and systematic concerns related to human rights ascertained in the country </w:t>
      </w:r>
      <w:r w:rsidR="009C7A94" w:rsidRPr="009C7A94">
        <w:rPr>
          <w:rStyle w:val="FootnoteReference"/>
          <w:noProof/>
          <w:vertAlign w:val="baseline"/>
        </w:rPr>
        <w:t>(</w:t>
      </w:r>
      <w:r w:rsidR="00EC6C46" w:rsidRPr="004D297A">
        <w:rPr>
          <w:rStyle w:val="FootnoteReference"/>
          <w:noProof/>
        </w:rPr>
        <w:footnoteReference w:id="33"/>
      </w:r>
      <w:r w:rsidR="009C7A94" w:rsidRPr="009C7A94">
        <w:rPr>
          <w:rStyle w:val="FootnoteReference"/>
          <w:noProof/>
          <w:vertAlign w:val="baseline"/>
        </w:rPr>
        <w:t>)</w:t>
      </w:r>
      <w:r w:rsidR="0080145A" w:rsidRPr="004D297A">
        <w:rPr>
          <w:noProof/>
        </w:rPr>
        <w:t>.</w:t>
      </w:r>
      <w:r w:rsidR="0091524D">
        <w:rPr>
          <w:noProof/>
        </w:rPr>
        <w:t xml:space="preserve"> </w:t>
      </w:r>
      <w:r w:rsidR="00B55DE6" w:rsidRPr="004D297A">
        <w:rPr>
          <w:noProof/>
        </w:rPr>
        <w:t xml:space="preserve">This </w:t>
      </w:r>
      <w:r w:rsidR="00012BB5">
        <w:rPr>
          <w:noProof/>
        </w:rPr>
        <w:t>r</w:t>
      </w:r>
      <w:r w:rsidR="00B55DE6" w:rsidRPr="004D297A">
        <w:rPr>
          <w:noProof/>
        </w:rPr>
        <w:t xml:space="preserve">eport is </w:t>
      </w:r>
      <w:r w:rsidR="00B81114" w:rsidRPr="004D297A">
        <w:rPr>
          <w:noProof/>
        </w:rPr>
        <w:t>accompan</w:t>
      </w:r>
      <w:r w:rsidR="00B55DE6" w:rsidRPr="004D297A">
        <w:rPr>
          <w:noProof/>
        </w:rPr>
        <w:t xml:space="preserve">ied by a dedicated </w:t>
      </w:r>
      <w:r w:rsidR="00B81114" w:rsidRPr="004D297A">
        <w:rPr>
          <w:noProof/>
        </w:rPr>
        <w:t>Staff Working Document provid</w:t>
      </w:r>
      <w:r w:rsidR="00B55DE6" w:rsidRPr="004D297A">
        <w:rPr>
          <w:noProof/>
        </w:rPr>
        <w:t>ing</w:t>
      </w:r>
      <w:r w:rsidR="00B81114" w:rsidRPr="004D297A">
        <w:rPr>
          <w:noProof/>
        </w:rPr>
        <w:t xml:space="preserve"> more detailed information on this </w:t>
      </w:r>
      <w:r w:rsidR="00374D18">
        <w:rPr>
          <w:noProof/>
        </w:rPr>
        <w:t>enhanced</w:t>
      </w:r>
      <w:r w:rsidR="00C634BE">
        <w:rPr>
          <w:noProof/>
        </w:rPr>
        <w:t xml:space="preserve"> </w:t>
      </w:r>
      <w:r w:rsidR="00FE1C99" w:rsidRPr="004D297A">
        <w:rPr>
          <w:noProof/>
        </w:rPr>
        <w:t xml:space="preserve">engagement and </w:t>
      </w:r>
      <w:r w:rsidR="006B3772" w:rsidRPr="004D297A">
        <w:rPr>
          <w:noProof/>
        </w:rPr>
        <w:t xml:space="preserve">on the </w:t>
      </w:r>
      <w:r w:rsidR="00FE1C99" w:rsidRPr="004D297A">
        <w:rPr>
          <w:noProof/>
        </w:rPr>
        <w:t xml:space="preserve">relevant </w:t>
      </w:r>
      <w:r w:rsidR="006B3772" w:rsidRPr="004D297A">
        <w:rPr>
          <w:noProof/>
        </w:rPr>
        <w:t xml:space="preserve">developments in these </w:t>
      </w:r>
      <w:r w:rsidR="005A0718" w:rsidRPr="004D297A">
        <w:rPr>
          <w:noProof/>
        </w:rPr>
        <w:t xml:space="preserve">three </w:t>
      </w:r>
      <w:r w:rsidR="006B3772" w:rsidRPr="004D297A">
        <w:rPr>
          <w:noProof/>
        </w:rPr>
        <w:t>countries</w:t>
      </w:r>
      <w:r w:rsidR="00B81114" w:rsidRPr="004D297A">
        <w:rPr>
          <w:noProof/>
        </w:rPr>
        <w:t>.</w:t>
      </w:r>
    </w:p>
    <w:p w14:paraId="5876CF99" w14:textId="2978ACD4" w:rsidR="00A3779B" w:rsidRDefault="004A6F51" w:rsidP="00F47BDF">
      <w:pPr>
        <w:pStyle w:val="Text1"/>
        <w:ind w:left="0"/>
        <w:rPr>
          <w:noProof/>
          <w:lang w:val="en-US"/>
        </w:rPr>
      </w:pPr>
      <w:r w:rsidRPr="004D297A">
        <w:rPr>
          <w:noProof/>
        </w:rPr>
        <w:t xml:space="preserve">The European Commission </w:t>
      </w:r>
      <w:r w:rsidR="009F41F2">
        <w:rPr>
          <w:noProof/>
        </w:rPr>
        <w:t xml:space="preserve">services </w:t>
      </w:r>
      <w:r w:rsidR="000611CA" w:rsidRPr="004D297A">
        <w:rPr>
          <w:noProof/>
        </w:rPr>
        <w:t xml:space="preserve">and the EEAS </w:t>
      </w:r>
      <w:r w:rsidRPr="004D297A">
        <w:rPr>
          <w:noProof/>
        </w:rPr>
        <w:t>may</w:t>
      </w:r>
      <w:r w:rsidR="000611CA" w:rsidRPr="004D297A">
        <w:rPr>
          <w:noProof/>
        </w:rPr>
        <w:t>,</w:t>
      </w:r>
      <w:r w:rsidRPr="004D297A">
        <w:rPr>
          <w:noProof/>
        </w:rPr>
        <w:t xml:space="preserve"> </w:t>
      </w:r>
      <w:r w:rsidR="000611CA" w:rsidRPr="004D297A">
        <w:rPr>
          <w:noProof/>
        </w:rPr>
        <w:t xml:space="preserve">as appropriate, </w:t>
      </w:r>
      <w:r w:rsidRPr="004D297A">
        <w:rPr>
          <w:noProof/>
        </w:rPr>
        <w:t xml:space="preserve">further </w:t>
      </w:r>
      <w:r w:rsidRPr="00B0047E">
        <w:rPr>
          <w:noProof/>
        </w:rPr>
        <w:t xml:space="preserve">increase </w:t>
      </w:r>
      <w:r w:rsidR="007137C4">
        <w:rPr>
          <w:noProof/>
        </w:rPr>
        <w:t xml:space="preserve">their </w:t>
      </w:r>
      <w:r w:rsidRPr="00B0047E">
        <w:rPr>
          <w:noProof/>
        </w:rPr>
        <w:t>vigilance</w:t>
      </w:r>
      <w:r w:rsidRPr="00462FBD">
        <w:rPr>
          <w:noProof/>
        </w:rPr>
        <w:t xml:space="preserve"> regarding the human </w:t>
      </w:r>
      <w:r w:rsidR="000611CA" w:rsidRPr="00462FBD">
        <w:rPr>
          <w:noProof/>
        </w:rPr>
        <w:t xml:space="preserve">and labour </w:t>
      </w:r>
      <w:r w:rsidRPr="00462FBD">
        <w:rPr>
          <w:noProof/>
        </w:rPr>
        <w:t xml:space="preserve">rights </w:t>
      </w:r>
      <w:r w:rsidR="00F47BDF" w:rsidRPr="00462FBD">
        <w:rPr>
          <w:noProof/>
        </w:rPr>
        <w:t xml:space="preserve">situation </w:t>
      </w:r>
      <w:r w:rsidR="000611CA" w:rsidRPr="00462FBD">
        <w:rPr>
          <w:noProof/>
        </w:rPr>
        <w:t xml:space="preserve">also </w:t>
      </w:r>
      <w:r w:rsidRPr="00462FBD">
        <w:rPr>
          <w:noProof/>
        </w:rPr>
        <w:t>in other EBA countries</w:t>
      </w:r>
      <w:r w:rsidR="000611CA" w:rsidRPr="00462FBD">
        <w:rPr>
          <w:noProof/>
        </w:rPr>
        <w:t xml:space="preserve"> depending on current and future developments</w:t>
      </w:r>
      <w:r w:rsidRPr="00462FBD">
        <w:rPr>
          <w:noProof/>
        </w:rPr>
        <w:t xml:space="preserve">. </w:t>
      </w:r>
      <w:r w:rsidR="000611CA" w:rsidRPr="00462FBD">
        <w:rPr>
          <w:noProof/>
        </w:rPr>
        <w:t>It is important to recall that c</w:t>
      </w:r>
      <w:r w:rsidRPr="00462FBD">
        <w:rPr>
          <w:noProof/>
        </w:rPr>
        <w:t xml:space="preserve">ontinued enjoyment of EBA </w:t>
      </w:r>
      <w:r w:rsidR="000611CA" w:rsidRPr="00462FBD">
        <w:rPr>
          <w:noProof/>
        </w:rPr>
        <w:t xml:space="preserve">preferences </w:t>
      </w:r>
      <w:r w:rsidRPr="00462FBD">
        <w:rPr>
          <w:noProof/>
        </w:rPr>
        <w:t xml:space="preserve">requires </w:t>
      </w:r>
      <w:r w:rsidR="000611CA" w:rsidRPr="00462FBD">
        <w:rPr>
          <w:noProof/>
        </w:rPr>
        <w:t xml:space="preserve">that </w:t>
      </w:r>
      <w:r w:rsidR="00500255">
        <w:rPr>
          <w:noProof/>
        </w:rPr>
        <w:t>also</w:t>
      </w:r>
      <w:r w:rsidRPr="00462FBD">
        <w:rPr>
          <w:noProof/>
        </w:rPr>
        <w:t xml:space="preserve"> EBA </w:t>
      </w:r>
      <w:r w:rsidR="000611CA" w:rsidRPr="00462FBD">
        <w:rPr>
          <w:noProof/>
        </w:rPr>
        <w:t>beneficiar</w:t>
      </w:r>
      <w:r w:rsidR="00500255">
        <w:rPr>
          <w:noProof/>
        </w:rPr>
        <w:t>ies</w:t>
      </w:r>
      <w:r w:rsidR="000611CA" w:rsidRPr="00462FBD">
        <w:rPr>
          <w:noProof/>
        </w:rPr>
        <w:t xml:space="preserve"> </w:t>
      </w:r>
      <w:r w:rsidRPr="00B0047E">
        <w:rPr>
          <w:noProof/>
        </w:rPr>
        <w:t>respect the principles</w:t>
      </w:r>
      <w:r w:rsidRPr="00462FBD">
        <w:rPr>
          <w:noProof/>
        </w:rPr>
        <w:t xml:space="preserve"> laid down in all the UN and ILO conventions </w:t>
      </w:r>
      <w:r w:rsidR="003714A8">
        <w:rPr>
          <w:noProof/>
        </w:rPr>
        <w:t xml:space="preserve">on human rights and labour rights </w:t>
      </w:r>
      <w:r w:rsidRPr="00462FBD">
        <w:rPr>
          <w:noProof/>
        </w:rPr>
        <w:t>listed in annex</w:t>
      </w:r>
      <w:r w:rsidR="007137C4">
        <w:rPr>
          <w:noProof/>
        </w:rPr>
        <w:t xml:space="preserve"> VI</w:t>
      </w:r>
      <w:r w:rsidR="009C176C">
        <w:rPr>
          <w:noProof/>
        </w:rPr>
        <w:t>II</w:t>
      </w:r>
      <w:r w:rsidRPr="00462FBD">
        <w:rPr>
          <w:noProof/>
        </w:rPr>
        <w:t xml:space="preserve"> of the GSP Regulation.</w:t>
      </w:r>
    </w:p>
    <w:p w14:paraId="6107068F" w14:textId="77777777" w:rsidR="00067BA2" w:rsidRDefault="00067BA2" w:rsidP="00C10249">
      <w:pPr>
        <w:pStyle w:val="Heading1"/>
        <w:tabs>
          <w:tab w:val="clear" w:pos="2467"/>
        </w:tabs>
        <w:ind w:left="567" w:hanging="567"/>
        <w:rPr>
          <w:noProof/>
        </w:rPr>
      </w:pPr>
      <w:r>
        <w:rPr>
          <w:noProof/>
        </w:rPr>
        <w:t>Partnerships and cooperation</w:t>
      </w:r>
    </w:p>
    <w:p w14:paraId="65937DF4" w14:textId="77777777" w:rsidR="00067BA2" w:rsidRDefault="00067BA2" w:rsidP="00A979C4">
      <w:pPr>
        <w:pStyle w:val="Heading2"/>
        <w:shd w:val="clear" w:color="auto" w:fill="DBE5F1" w:themeFill="accent1" w:themeFillTint="33"/>
        <w:rPr>
          <w:noProof/>
        </w:rPr>
      </w:pPr>
      <w:r>
        <w:rPr>
          <w:noProof/>
        </w:rPr>
        <w:t xml:space="preserve">Support for GSP beneficiaries </w:t>
      </w:r>
    </w:p>
    <w:p w14:paraId="6653E9F5" w14:textId="60DA8B6F" w:rsidR="43015E44" w:rsidRDefault="00AE2643" w:rsidP="00E7475B">
      <w:pPr>
        <w:rPr>
          <w:noProof/>
          <w:lang w:val="en-IE"/>
        </w:rPr>
      </w:pPr>
      <w:r>
        <w:rPr>
          <w:noProof/>
          <w:color w:val="000000" w:themeColor="text1"/>
          <w:lang w:val="en-IE"/>
        </w:rPr>
        <w:t xml:space="preserve">The </w:t>
      </w:r>
      <w:r w:rsidR="00200B8F">
        <w:rPr>
          <w:noProof/>
          <w:color w:val="000000" w:themeColor="text1"/>
          <w:lang w:val="en-IE"/>
        </w:rPr>
        <w:t>GSP is a comprehensive tool to</w:t>
      </w:r>
      <w:r w:rsidR="00200B8F">
        <w:rPr>
          <w:noProof/>
          <w:lang w:val="en-IE"/>
        </w:rPr>
        <w:t xml:space="preserve"> </w:t>
      </w:r>
      <w:r w:rsidR="43015E44" w:rsidRPr="730E3F16">
        <w:rPr>
          <w:noProof/>
          <w:lang w:val="en-IE"/>
        </w:rPr>
        <w:t>support long</w:t>
      </w:r>
      <w:r>
        <w:rPr>
          <w:noProof/>
          <w:lang w:val="en-IE"/>
        </w:rPr>
        <w:t>-</w:t>
      </w:r>
      <w:r w:rsidR="43015E44" w:rsidRPr="730E3F16">
        <w:rPr>
          <w:noProof/>
          <w:lang w:val="en-IE"/>
        </w:rPr>
        <w:t>term sustainable development in beneficiary countries</w:t>
      </w:r>
      <w:r w:rsidR="00012BB5">
        <w:rPr>
          <w:noProof/>
          <w:lang w:val="en-IE"/>
        </w:rPr>
        <w:t>, as discussed already in section 1</w:t>
      </w:r>
      <w:r w:rsidR="43015E44" w:rsidRPr="730E3F16">
        <w:rPr>
          <w:noProof/>
          <w:lang w:val="en-IE"/>
        </w:rPr>
        <w:t xml:space="preserve">. This </w:t>
      </w:r>
      <w:r w:rsidR="00460F88">
        <w:rPr>
          <w:noProof/>
          <w:lang w:val="en-IE"/>
        </w:rPr>
        <w:t xml:space="preserve">goal </w:t>
      </w:r>
      <w:r w:rsidR="43015E44" w:rsidRPr="730E3F16">
        <w:rPr>
          <w:noProof/>
          <w:lang w:val="en-IE"/>
        </w:rPr>
        <w:t xml:space="preserve">is further </w:t>
      </w:r>
      <w:r w:rsidR="00460F88">
        <w:rPr>
          <w:noProof/>
          <w:lang w:val="en-IE"/>
        </w:rPr>
        <w:t>supported</w:t>
      </w:r>
      <w:r w:rsidR="00460F88" w:rsidRPr="730E3F16">
        <w:rPr>
          <w:noProof/>
          <w:lang w:val="en-IE"/>
        </w:rPr>
        <w:t xml:space="preserve"> </w:t>
      </w:r>
      <w:r w:rsidR="43015E44" w:rsidRPr="730E3F16">
        <w:rPr>
          <w:noProof/>
          <w:lang w:val="en-IE"/>
        </w:rPr>
        <w:t xml:space="preserve">by the </w:t>
      </w:r>
      <w:r w:rsidR="0087536D">
        <w:rPr>
          <w:noProof/>
          <w:lang w:val="en-IE"/>
        </w:rPr>
        <w:t>formulation of Multiannual Indicative Programmes (MIPs) which define the EU’s priority areas and specific objectives</w:t>
      </w:r>
      <w:r w:rsidR="00500255">
        <w:rPr>
          <w:noProof/>
          <w:lang w:val="en-IE"/>
        </w:rPr>
        <w:t xml:space="preserve"> </w:t>
      </w:r>
      <w:r w:rsidR="0087536D">
        <w:rPr>
          <w:noProof/>
          <w:lang w:val="en-IE"/>
        </w:rPr>
        <w:t xml:space="preserve">for </w:t>
      </w:r>
      <w:r w:rsidR="0014342B">
        <w:rPr>
          <w:noProof/>
          <w:lang w:val="en-IE"/>
        </w:rPr>
        <w:t xml:space="preserve">development </w:t>
      </w:r>
      <w:r w:rsidR="0087536D">
        <w:rPr>
          <w:noProof/>
          <w:lang w:val="en-IE"/>
        </w:rPr>
        <w:t>cooperation with the respective countries</w:t>
      </w:r>
      <w:r w:rsidR="00500255">
        <w:rPr>
          <w:noProof/>
          <w:lang w:val="en-IE"/>
        </w:rPr>
        <w:t xml:space="preserve"> (most recently for the period 2021-2027)</w:t>
      </w:r>
      <w:r w:rsidR="0087536D">
        <w:rPr>
          <w:noProof/>
          <w:lang w:val="en-IE"/>
        </w:rPr>
        <w:t>. This is done in dialogue with the partner country government, civil society and other</w:t>
      </w:r>
      <w:r w:rsidR="00500255">
        <w:rPr>
          <w:noProof/>
          <w:lang w:val="en-IE"/>
        </w:rPr>
        <w:t xml:space="preserve"> </w:t>
      </w:r>
      <w:r w:rsidR="0087536D">
        <w:rPr>
          <w:noProof/>
          <w:lang w:val="en-IE"/>
        </w:rPr>
        <w:t>s</w:t>
      </w:r>
      <w:r w:rsidR="00500255">
        <w:rPr>
          <w:noProof/>
          <w:lang w:val="en-IE"/>
        </w:rPr>
        <w:t>takeholders</w:t>
      </w:r>
      <w:r w:rsidR="00462FBD">
        <w:rPr>
          <w:noProof/>
          <w:lang w:val="en-IE"/>
        </w:rPr>
        <w:t>, in cooperation with international organisations and monitoring bodies,</w:t>
      </w:r>
      <w:r w:rsidR="0087536D">
        <w:rPr>
          <w:noProof/>
          <w:lang w:val="en-IE"/>
        </w:rPr>
        <w:t xml:space="preserve"> </w:t>
      </w:r>
      <w:r w:rsidR="00462FBD">
        <w:rPr>
          <w:noProof/>
          <w:lang w:val="en-IE"/>
        </w:rPr>
        <w:t xml:space="preserve">to </w:t>
      </w:r>
      <w:r w:rsidR="0087536D">
        <w:rPr>
          <w:noProof/>
          <w:lang w:val="en-IE"/>
        </w:rPr>
        <w:t>help the countries</w:t>
      </w:r>
      <w:r w:rsidR="43015E44" w:rsidRPr="730E3F16">
        <w:rPr>
          <w:noProof/>
          <w:lang w:val="en-IE"/>
        </w:rPr>
        <w:t xml:space="preserve"> meet requirements and maximis</w:t>
      </w:r>
      <w:r w:rsidR="00450D86">
        <w:rPr>
          <w:noProof/>
          <w:lang w:val="en-IE"/>
        </w:rPr>
        <w:t>e</w:t>
      </w:r>
      <w:r w:rsidR="43015E44" w:rsidRPr="730E3F16">
        <w:rPr>
          <w:noProof/>
          <w:lang w:val="en-IE"/>
        </w:rPr>
        <w:t xml:space="preserve"> utilisation</w:t>
      </w:r>
      <w:r w:rsidR="00200B8F">
        <w:rPr>
          <w:noProof/>
          <w:lang w:val="en-IE"/>
        </w:rPr>
        <w:t xml:space="preserve"> and benefits of the GSP preferences</w:t>
      </w:r>
      <w:r w:rsidR="43015E44" w:rsidRPr="730E3F16">
        <w:rPr>
          <w:noProof/>
          <w:lang w:val="en-IE"/>
        </w:rPr>
        <w:t>.</w:t>
      </w:r>
    </w:p>
    <w:p w14:paraId="3C43408F" w14:textId="1358C354" w:rsidR="0087536D" w:rsidRPr="00B22282" w:rsidRDefault="0087536D" w:rsidP="00E7475B">
      <w:pPr>
        <w:rPr>
          <w:noProof/>
          <w:lang w:val="en-IE"/>
        </w:rPr>
      </w:pPr>
      <w:r>
        <w:rPr>
          <w:noProof/>
          <w:lang w:val="en-IE"/>
        </w:rPr>
        <w:t>A</w:t>
      </w:r>
      <w:r>
        <w:rPr>
          <w:noProof/>
        </w:rPr>
        <w:t xml:space="preserve"> majority of MIPs includes support to sustainable growth and decent jobs, </w:t>
      </w:r>
      <w:r w:rsidR="00996192">
        <w:rPr>
          <w:noProof/>
        </w:rPr>
        <w:t xml:space="preserve">with fair and just working conditions, </w:t>
      </w:r>
      <w:r>
        <w:rPr>
          <w:noProof/>
        </w:rPr>
        <w:t xml:space="preserve">which will make it possible for the Commission to design, where appropriate, specific actions and measures that contribute towards relevant support to GSP countries. Work towards ratification and effective implementation of conventions and commitments related to </w:t>
      </w:r>
      <w:r w:rsidR="00996192">
        <w:rPr>
          <w:noProof/>
        </w:rPr>
        <w:t xml:space="preserve">good </w:t>
      </w:r>
      <w:r>
        <w:rPr>
          <w:noProof/>
        </w:rPr>
        <w:t>governance, human rights, migration</w:t>
      </w:r>
      <w:r w:rsidR="00733678">
        <w:rPr>
          <w:noProof/>
        </w:rPr>
        <w:t>,</w:t>
      </w:r>
      <w:r>
        <w:rPr>
          <w:noProof/>
        </w:rPr>
        <w:t xml:space="preserve"> and environment also have ample support from MIPs generally. As GSP+ countries face specific requirements to be eligible for the additional tariff preferences, this is typically given particular attention.</w:t>
      </w:r>
    </w:p>
    <w:p w14:paraId="4AEEDD9E" w14:textId="77777777" w:rsidR="004B0D8F" w:rsidRDefault="47CB51B6" w:rsidP="00E7475B">
      <w:pPr>
        <w:rPr>
          <w:noProof/>
        </w:rPr>
      </w:pPr>
      <w:r w:rsidRPr="43DA1706">
        <w:rPr>
          <w:noProof/>
          <w:color w:val="000000" w:themeColor="text1"/>
          <w:szCs w:val="24"/>
          <w:lang w:val="en-IE"/>
        </w:rPr>
        <w:t>In 20</w:t>
      </w:r>
      <w:r w:rsidR="007C11F5">
        <w:rPr>
          <w:noProof/>
          <w:color w:val="000000" w:themeColor="text1"/>
          <w:szCs w:val="24"/>
          <w:lang w:val="en-IE"/>
        </w:rPr>
        <w:t>20</w:t>
      </w:r>
      <w:r w:rsidRPr="43DA1706">
        <w:rPr>
          <w:noProof/>
          <w:color w:val="000000" w:themeColor="text1"/>
          <w:szCs w:val="24"/>
          <w:lang w:val="en-IE"/>
        </w:rPr>
        <w:t xml:space="preserve">, the EU and its Member States together provided </w:t>
      </w:r>
      <w:r w:rsidR="007C11F5" w:rsidRPr="43DA1706">
        <w:rPr>
          <w:noProof/>
          <w:color w:val="000000" w:themeColor="text1"/>
          <w:szCs w:val="24"/>
          <w:lang w:val="en-IE"/>
        </w:rPr>
        <w:t>€</w:t>
      </w:r>
      <w:r w:rsidR="007C11F5">
        <w:rPr>
          <w:noProof/>
          <w:color w:val="000000" w:themeColor="text1"/>
          <w:szCs w:val="24"/>
          <w:lang w:val="en-IE"/>
        </w:rPr>
        <w:t>22</w:t>
      </w:r>
      <w:r w:rsidRPr="43DA1706">
        <w:rPr>
          <w:noProof/>
          <w:color w:val="000000" w:themeColor="text1"/>
          <w:szCs w:val="24"/>
          <w:lang w:val="en-IE"/>
        </w:rPr>
        <w:t xml:space="preserve">.9 billion or </w:t>
      </w:r>
      <w:r w:rsidR="007C11F5">
        <w:rPr>
          <w:noProof/>
          <w:color w:val="000000" w:themeColor="text1"/>
          <w:szCs w:val="24"/>
          <w:lang w:val="en-IE"/>
        </w:rPr>
        <w:t>40</w:t>
      </w:r>
      <w:r w:rsidR="4E9373EC" w:rsidRPr="43DA1706">
        <w:rPr>
          <w:noProof/>
          <w:color w:val="000000" w:themeColor="text1"/>
          <w:szCs w:val="24"/>
          <w:lang w:val="en-IE"/>
        </w:rPr>
        <w:t>%</w:t>
      </w:r>
      <w:r w:rsidRPr="43DA1706">
        <w:rPr>
          <w:noProof/>
          <w:color w:val="000000" w:themeColor="text1"/>
          <w:szCs w:val="24"/>
          <w:lang w:val="en-IE"/>
        </w:rPr>
        <w:t xml:space="preserve"> of global Aid for Trade (AfT), making them the </w:t>
      </w:r>
      <w:r w:rsidR="00200B8F">
        <w:rPr>
          <w:noProof/>
          <w:color w:val="000000" w:themeColor="text1"/>
          <w:szCs w:val="24"/>
          <w:lang w:val="en-IE"/>
        </w:rPr>
        <w:t>largest</w:t>
      </w:r>
      <w:r w:rsidRPr="43DA1706">
        <w:rPr>
          <w:noProof/>
          <w:color w:val="000000" w:themeColor="text1"/>
          <w:szCs w:val="24"/>
          <w:lang w:val="en-IE"/>
        </w:rPr>
        <w:t xml:space="preserve"> AfT donor in the world. The EU’s AfT is closely coordinated with its trade policy. Accordingly, </w:t>
      </w:r>
      <w:r w:rsidR="0087536D" w:rsidRPr="00B0047E">
        <w:rPr>
          <w:noProof/>
        </w:rPr>
        <w:t>96% of AfT is directed to countries that have preferential access to the EU</w:t>
      </w:r>
      <w:r w:rsidR="0014342B" w:rsidRPr="00B0047E">
        <w:rPr>
          <w:noProof/>
        </w:rPr>
        <w:t xml:space="preserve"> market</w:t>
      </w:r>
      <w:r w:rsidR="0087536D" w:rsidRPr="00B0047E">
        <w:rPr>
          <w:noProof/>
        </w:rPr>
        <w:t xml:space="preserve">, including through </w:t>
      </w:r>
      <w:r w:rsidR="00AE2643">
        <w:rPr>
          <w:noProof/>
        </w:rPr>
        <w:t xml:space="preserve">the </w:t>
      </w:r>
      <w:r w:rsidR="0087536D" w:rsidRPr="00B0047E">
        <w:rPr>
          <w:noProof/>
        </w:rPr>
        <w:t>GSP</w:t>
      </w:r>
      <w:r w:rsidR="0087536D" w:rsidRPr="00462FBD">
        <w:rPr>
          <w:noProof/>
        </w:rPr>
        <w:t>.</w:t>
      </w:r>
      <w:r w:rsidR="0087536D">
        <w:rPr>
          <w:noProof/>
        </w:rPr>
        <w:t xml:space="preserve"> </w:t>
      </w:r>
      <w:r w:rsidRPr="00B22282">
        <w:rPr>
          <w:noProof/>
          <w:color w:val="000000" w:themeColor="text1"/>
          <w:szCs w:val="24"/>
          <w:lang w:val="en-IE"/>
        </w:rPr>
        <w:t>GSP beneficiary countries received over one third of the EU’s AfT</w:t>
      </w:r>
      <w:r w:rsidR="0087536D" w:rsidRPr="00B22282">
        <w:rPr>
          <w:noProof/>
          <w:color w:val="000000" w:themeColor="text1"/>
          <w:szCs w:val="24"/>
          <w:lang w:val="en-IE"/>
        </w:rPr>
        <w:t xml:space="preserve">, not </w:t>
      </w:r>
      <w:r w:rsidR="0014342B" w:rsidRPr="00B22282">
        <w:rPr>
          <w:noProof/>
          <w:color w:val="000000" w:themeColor="text1"/>
          <w:szCs w:val="24"/>
          <w:lang w:val="en-IE"/>
        </w:rPr>
        <w:t>considering</w:t>
      </w:r>
      <w:r w:rsidR="0087536D" w:rsidRPr="00B22282">
        <w:rPr>
          <w:noProof/>
          <w:color w:val="000000" w:themeColor="text1"/>
          <w:szCs w:val="24"/>
          <w:lang w:val="en-IE"/>
        </w:rPr>
        <w:t xml:space="preserve"> those who may have other types of preferential access</w:t>
      </w:r>
      <w:r w:rsidRPr="009968CD">
        <w:rPr>
          <w:noProof/>
          <w:color w:val="000000" w:themeColor="text1"/>
          <w:szCs w:val="24"/>
          <w:lang w:val="en-IE"/>
        </w:rPr>
        <w:t>.</w:t>
      </w:r>
      <w:r w:rsidRPr="43DA1706">
        <w:rPr>
          <w:noProof/>
          <w:color w:val="000000" w:themeColor="text1"/>
          <w:szCs w:val="24"/>
          <w:lang w:val="en-IE"/>
        </w:rPr>
        <w:t xml:space="preserve"> </w:t>
      </w:r>
      <w:r w:rsidR="0087536D">
        <w:rPr>
          <w:noProof/>
        </w:rPr>
        <w:t xml:space="preserve">Among GSP beneficiaries, the majority </w:t>
      </w:r>
      <w:r w:rsidR="007137C4">
        <w:rPr>
          <w:noProof/>
        </w:rPr>
        <w:t xml:space="preserve">of AfT </w:t>
      </w:r>
      <w:r w:rsidR="0087536D">
        <w:rPr>
          <w:noProof/>
        </w:rPr>
        <w:t xml:space="preserve">goes to countries that have access </w:t>
      </w:r>
      <w:r w:rsidR="007137C4">
        <w:rPr>
          <w:noProof/>
        </w:rPr>
        <w:t xml:space="preserve">to the EU market </w:t>
      </w:r>
      <w:r w:rsidR="0087536D">
        <w:rPr>
          <w:noProof/>
        </w:rPr>
        <w:t xml:space="preserve">under the EBA. </w:t>
      </w:r>
    </w:p>
    <w:p w14:paraId="7B107EA5" w14:textId="50AC265C" w:rsidR="47CB51B6" w:rsidRDefault="00844E20" w:rsidP="00E7475B">
      <w:pPr>
        <w:rPr>
          <w:noProof/>
        </w:rPr>
      </w:pPr>
      <w:r>
        <w:rPr>
          <w:noProof/>
        </w:rPr>
        <w:t xml:space="preserve">In 2020, </w:t>
      </w:r>
      <w:r w:rsidR="47CB51B6" w:rsidRPr="43DA1706">
        <w:rPr>
          <w:noProof/>
          <w:color w:val="000000" w:themeColor="text1"/>
          <w:szCs w:val="24"/>
          <w:lang w:val="en-IE"/>
        </w:rPr>
        <w:t xml:space="preserve">EU AfT directed towards GSP beneficiary countries was </w:t>
      </w:r>
      <w:r w:rsidR="0087536D">
        <w:rPr>
          <w:noProof/>
          <w:color w:val="000000" w:themeColor="text1"/>
          <w:szCs w:val="24"/>
          <w:lang w:val="en-IE"/>
        </w:rPr>
        <w:t xml:space="preserve">relatively more </w:t>
      </w:r>
      <w:r w:rsidR="47CB51B6" w:rsidRPr="43DA1706">
        <w:rPr>
          <w:noProof/>
          <w:color w:val="000000" w:themeColor="text1"/>
          <w:szCs w:val="24"/>
        </w:rPr>
        <w:t xml:space="preserve">focused </w:t>
      </w:r>
      <w:r w:rsidR="004B0D8F">
        <w:rPr>
          <w:noProof/>
          <w:color w:val="000000" w:themeColor="text1"/>
          <w:szCs w:val="24"/>
        </w:rPr>
        <w:t>o</w:t>
      </w:r>
      <w:r w:rsidR="0087536D">
        <w:rPr>
          <w:noProof/>
          <w:color w:val="000000" w:themeColor="text1"/>
          <w:szCs w:val="24"/>
        </w:rPr>
        <w:t xml:space="preserve">n two areas. First, </w:t>
      </w:r>
      <w:r w:rsidR="47CB51B6" w:rsidRPr="43DA1706">
        <w:rPr>
          <w:noProof/>
          <w:color w:val="000000" w:themeColor="text1"/>
          <w:szCs w:val="24"/>
        </w:rPr>
        <w:t>trade policy and regulations</w:t>
      </w:r>
      <w:r w:rsidR="0087536D">
        <w:rPr>
          <w:noProof/>
          <w:color w:val="000000" w:themeColor="text1"/>
          <w:szCs w:val="24"/>
        </w:rPr>
        <w:t>, which often include</w:t>
      </w:r>
      <w:r w:rsidR="00AE2643">
        <w:rPr>
          <w:noProof/>
          <w:color w:val="000000" w:themeColor="text1"/>
          <w:szCs w:val="24"/>
        </w:rPr>
        <w:t>s</w:t>
      </w:r>
      <w:r w:rsidR="0087536D">
        <w:rPr>
          <w:noProof/>
          <w:color w:val="000000" w:themeColor="text1"/>
          <w:szCs w:val="24"/>
        </w:rPr>
        <w:t xml:space="preserve"> support to the capacity of designing and implementing trade policy, including specific areas such as frameworks on </w:t>
      </w:r>
      <w:r w:rsidR="0014342B">
        <w:rPr>
          <w:noProof/>
          <w:color w:val="000000" w:themeColor="text1"/>
          <w:szCs w:val="24"/>
        </w:rPr>
        <w:t>s</w:t>
      </w:r>
      <w:r w:rsidR="0087536D">
        <w:rPr>
          <w:noProof/>
          <w:color w:val="000000" w:themeColor="text1"/>
          <w:szCs w:val="24"/>
        </w:rPr>
        <w:t xml:space="preserve">anitary and </w:t>
      </w:r>
      <w:r w:rsidR="0014342B">
        <w:rPr>
          <w:noProof/>
          <w:color w:val="000000" w:themeColor="text1"/>
          <w:szCs w:val="24"/>
        </w:rPr>
        <w:t>p</w:t>
      </w:r>
      <w:r w:rsidR="0087536D">
        <w:rPr>
          <w:noProof/>
          <w:color w:val="000000" w:themeColor="text1"/>
          <w:szCs w:val="24"/>
        </w:rPr>
        <w:t>hytosanitary (SPS) measures, intellectual property rights, technical regulations, trade facilitation and customs reforms.</w:t>
      </w:r>
      <w:r w:rsidR="47CB51B6" w:rsidRPr="43DA1706">
        <w:rPr>
          <w:noProof/>
          <w:color w:val="000000" w:themeColor="text1"/>
          <w:szCs w:val="24"/>
        </w:rPr>
        <w:t xml:space="preserve"> </w:t>
      </w:r>
      <w:r w:rsidR="0087536D">
        <w:rPr>
          <w:noProof/>
          <w:color w:val="000000" w:themeColor="text1"/>
          <w:szCs w:val="24"/>
        </w:rPr>
        <w:t>Secondly,</w:t>
      </w:r>
      <w:r w:rsidR="47CB51B6" w:rsidRPr="43DA1706">
        <w:rPr>
          <w:noProof/>
          <w:color w:val="000000" w:themeColor="text1"/>
          <w:szCs w:val="24"/>
        </w:rPr>
        <w:t xml:space="preserve"> building trade development related capacity</w:t>
      </w:r>
      <w:r w:rsidR="0087536D">
        <w:rPr>
          <w:noProof/>
          <w:color w:val="000000" w:themeColor="text1"/>
          <w:szCs w:val="24"/>
        </w:rPr>
        <w:t>, which often includes a focus on strengthening the utilisation of the GSP and other arrangements through supporting export competitiveness of businesses, creating links with buyers, etc</w:t>
      </w:r>
      <w:r w:rsidR="47CB51B6" w:rsidRPr="43DA1706">
        <w:rPr>
          <w:noProof/>
          <w:color w:val="000000" w:themeColor="text1"/>
          <w:szCs w:val="24"/>
        </w:rPr>
        <w:t xml:space="preserve">. </w:t>
      </w:r>
    </w:p>
    <w:p w14:paraId="42D771D5" w14:textId="0A959D09" w:rsidR="00932E2D" w:rsidRPr="00462FBD" w:rsidRDefault="00932E2D" w:rsidP="00E7475B">
      <w:pPr>
        <w:rPr>
          <w:noProof/>
          <w:color w:val="000000" w:themeColor="text1"/>
        </w:rPr>
      </w:pPr>
      <w:r w:rsidRPr="0014342B">
        <w:rPr>
          <w:noProof/>
          <w:color w:val="000000" w:themeColor="text1"/>
        </w:rPr>
        <w:t>EU AfT, including its support to GSP compliance and utili</w:t>
      </w:r>
      <w:r w:rsidR="006F7EBA" w:rsidRPr="0014342B">
        <w:rPr>
          <w:noProof/>
          <w:color w:val="000000" w:themeColor="text1"/>
        </w:rPr>
        <w:t>s</w:t>
      </w:r>
      <w:r w:rsidRPr="0014342B">
        <w:rPr>
          <w:noProof/>
          <w:color w:val="000000" w:themeColor="text1"/>
        </w:rPr>
        <w:t xml:space="preserve">ation, is a tool to deliver on the </w:t>
      </w:r>
      <w:r w:rsidRPr="00B0047E">
        <w:rPr>
          <w:noProof/>
          <w:color w:val="000000" w:themeColor="text1"/>
        </w:rPr>
        <w:t>Global Gateway</w:t>
      </w:r>
      <w:r w:rsidR="001D2E64" w:rsidRPr="0014342B">
        <w:rPr>
          <w:bCs/>
          <w:noProof/>
          <w:color w:val="000000" w:themeColor="text1"/>
        </w:rPr>
        <w:t> </w:t>
      </w:r>
      <w:r w:rsidR="009C7A94" w:rsidRPr="009C7A94">
        <w:rPr>
          <w:rStyle w:val="FootnoteReference"/>
          <w:noProof/>
          <w:color w:val="000000" w:themeColor="text1"/>
          <w:vertAlign w:val="baseline"/>
        </w:rPr>
        <w:t>(</w:t>
      </w:r>
      <w:r w:rsidR="00EC6C46" w:rsidRPr="0014342B">
        <w:rPr>
          <w:rStyle w:val="FootnoteReference"/>
          <w:noProof/>
          <w:color w:val="000000" w:themeColor="text1"/>
        </w:rPr>
        <w:footnoteReference w:id="34"/>
      </w:r>
      <w:r w:rsidR="009C7A94" w:rsidRPr="009C7A94">
        <w:rPr>
          <w:rStyle w:val="FootnoteReference"/>
          <w:noProof/>
          <w:color w:val="000000" w:themeColor="text1"/>
          <w:vertAlign w:val="baseline"/>
        </w:rPr>
        <w:t>)</w:t>
      </w:r>
      <w:r w:rsidRPr="0014342B">
        <w:rPr>
          <w:noProof/>
          <w:color w:val="000000" w:themeColor="text1"/>
        </w:rPr>
        <w:t>. Launched in December 2021</w:t>
      </w:r>
      <w:r w:rsidR="00844E20">
        <w:rPr>
          <w:noProof/>
          <w:color w:val="000000" w:themeColor="text1"/>
        </w:rPr>
        <w:t>,</w:t>
      </w:r>
      <w:r w:rsidRPr="0014342B">
        <w:rPr>
          <w:noProof/>
          <w:color w:val="000000" w:themeColor="text1"/>
        </w:rPr>
        <w:t xml:space="preserve"> it is a new strategy to mobilise investments total</w:t>
      </w:r>
      <w:r w:rsidR="0014342B">
        <w:rPr>
          <w:noProof/>
          <w:color w:val="000000" w:themeColor="text1"/>
        </w:rPr>
        <w:t>l</w:t>
      </w:r>
      <w:r w:rsidRPr="0014342B">
        <w:rPr>
          <w:noProof/>
          <w:color w:val="000000" w:themeColor="text1"/>
        </w:rPr>
        <w:t>ing €300 billion over 2021-</w:t>
      </w:r>
      <w:r w:rsidR="0014342B">
        <w:rPr>
          <w:noProof/>
          <w:color w:val="000000" w:themeColor="text1"/>
        </w:rPr>
        <w:t>20</w:t>
      </w:r>
      <w:r w:rsidRPr="0014342B">
        <w:rPr>
          <w:noProof/>
          <w:color w:val="000000" w:themeColor="text1"/>
        </w:rPr>
        <w:t>27.</w:t>
      </w:r>
      <w:r w:rsidR="00460F88">
        <w:rPr>
          <w:noProof/>
          <w:color w:val="000000" w:themeColor="text1"/>
        </w:rPr>
        <w:t xml:space="preserve"> Half of this has been earmarked for </w:t>
      </w:r>
      <w:r w:rsidR="00AE2643">
        <w:rPr>
          <w:noProof/>
          <w:color w:val="000000" w:themeColor="text1"/>
        </w:rPr>
        <w:t xml:space="preserve">the </w:t>
      </w:r>
      <w:r w:rsidR="00460F88">
        <w:rPr>
          <w:noProof/>
          <w:color w:val="000000" w:themeColor="text1"/>
        </w:rPr>
        <w:t>Europe-Africa Global Gateway Investment package</w:t>
      </w:r>
      <w:r w:rsidR="00460F88">
        <w:rPr>
          <w:noProof/>
        </w:rPr>
        <w:t>.</w:t>
      </w:r>
      <w:r w:rsidRPr="0014342B">
        <w:rPr>
          <w:noProof/>
          <w:color w:val="000000" w:themeColor="text1"/>
        </w:rPr>
        <w:t xml:space="preserve"> In line with the EU’s geopolitical ambitions and commitment to the 2030 Agenda</w:t>
      </w:r>
      <w:r w:rsidR="0014342B">
        <w:rPr>
          <w:noProof/>
          <w:color w:val="000000" w:themeColor="text1"/>
        </w:rPr>
        <w:t xml:space="preserve"> for Sustainable Development</w:t>
      </w:r>
      <w:r w:rsidRPr="0014342B">
        <w:rPr>
          <w:noProof/>
          <w:color w:val="000000" w:themeColor="text1"/>
        </w:rPr>
        <w:t>, the Global Gateway strategy aims to boost smart, clean and secure investments in digital, energy and transport, and to strengthen health, education and research systems across the world to underpin a lasting global recovery while promoting universal values and high standards,</w:t>
      </w:r>
      <w:r w:rsidRPr="00932E2D">
        <w:rPr>
          <w:noProof/>
          <w:color w:val="000000" w:themeColor="text1"/>
          <w:lang w:val="en-US"/>
        </w:rPr>
        <w:t xml:space="preserve"> good governance and transparency. </w:t>
      </w:r>
      <w:r w:rsidRPr="00542B39">
        <w:rPr>
          <w:noProof/>
          <w:color w:val="000000" w:themeColor="text1"/>
        </w:rPr>
        <w:t xml:space="preserve">The Global Gateway will be delivered through a </w:t>
      </w:r>
      <w:r w:rsidRPr="00B0047E">
        <w:rPr>
          <w:noProof/>
          <w:color w:val="000000" w:themeColor="text1"/>
        </w:rPr>
        <w:t>Team Europe</w:t>
      </w:r>
      <w:r w:rsidRPr="00462FBD">
        <w:rPr>
          <w:noProof/>
          <w:color w:val="000000" w:themeColor="text1"/>
        </w:rPr>
        <w:t xml:space="preserve"> approach, which brings together the EU and EU Member States with their </w:t>
      </w:r>
      <w:r w:rsidR="009F41F2" w:rsidRPr="00E266E7">
        <w:rPr>
          <w:noProof/>
          <w:color w:val="000000" w:themeColor="text1"/>
        </w:rPr>
        <w:t>implementing agencies and public development banks</w:t>
      </w:r>
      <w:r w:rsidR="009F41F2">
        <w:rPr>
          <w:noProof/>
          <w:color w:val="000000" w:themeColor="text1"/>
        </w:rPr>
        <w:t xml:space="preserve"> </w:t>
      </w:r>
      <w:r w:rsidR="00542B39" w:rsidRPr="00462FBD">
        <w:rPr>
          <w:noProof/>
          <w:color w:val="000000" w:themeColor="text1"/>
        </w:rPr>
        <w:t>as well as</w:t>
      </w:r>
      <w:r w:rsidR="009F41F2">
        <w:rPr>
          <w:noProof/>
          <w:color w:val="000000" w:themeColor="text1"/>
        </w:rPr>
        <w:t xml:space="preserve"> </w:t>
      </w:r>
      <w:r w:rsidR="009F41F2" w:rsidRPr="005D6F51">
        <w:rPr>
          <w:noProof/>
          <w:color w:val="000000" w:themeColor="text1"/>
        </w:rPr>
        <w:t>European development financing institutions</w:t>
      </w:r>
      <w:r w:rsidRPr="00462FBD">
        <w:rPr>
          <w:noProof/>
          <w:color w:val="000000" w:themeColor="text1"/>
        </w:rPr>
        <w:t>. It also seeks to mobilise the private sector to leverage investments for a transformational impact.</w:t>
      </w:r>
    </w:p>
    <w:p w14:paraId="5E36D5D0" w14:textId="438461E9" w:rsidR="00F2201A" w:rsidRPr="00F2201A" w:rsidRDefault="00F2201A" w:rsidP="00E7475B">
      <w:pPr>
        <w:rPr>
          <w:noProof/>
          <w:color w:val="000000" w:themeColor="text1"/>
          <w:szCs w:val="24"/>
        </w:rPr>
      </w:pPr>
      <w:r>
        <w:rPr>
          <w:noProof/>
          <w:color w:val="000000" w:themeColor="text1"/>
        </w:rPr>
        <w:t>Beyond this general framework, there are further specific opportunities to support GSP goals, some example</w:t>
      </w:r>
      <w:r w:rsidR="00460F88">
        <w:rPr>
          <w:noProof/>
          <w:color w:val="000000" w:themeColor="text1"/>
        </w:rPr>
        <w:t>s</w:t>
      </w:r>
      <w:r>
        <w:rPr>
          <w:noProof/>
          <w:color w:val="000000" w:themeColor="text1"/>
        </w:rPr>
        <w:t xml:space="preserve"> of which are outlined below.</w:t>
      </w:r>
      <w:r w:rsidRPr="00F2201A">
        <w:rPr>
          <w:noProof/>
          <w:color w:val="000000" w:themeColor="text1"/>
          <w:szCs w:val="24"/>
        </w:rPr>
        <w:t xml:space="preserve"> </w:t>
      </w:r>
      <w:r>
        <w:rPr>
          <w:noProof/>
          <w:color w:val="000000" w:themeColor="text1"/>
          <w:szCs w:val="24"/>
        </w:rPr>
        <w:t>F</w:t>
      </w:r>
      <w:r w:rsidRPr="00A11FEA">
        <w:rPr>
          <w:noProof/>
          <w:color w:val="000000" w:themeColor="text1"/>
          <w:szCs w:val="24"/>
        </w:rPr>
        <w:t xml:space="preserve">urther options </w:t>
      </w:r>
      <w:r>
        <w:rPr>
          <w:noProof/>
          <w:color w:val="000000" w:themeColor="text1"/>
          <w:szCs w:val="24"/>
        </w:rPr>
        <w:t xml:space="preserve">for GSP beneficiary countries </w:t>
      </w:r>
      <w:r w:rsidRPr="00A11FEA">
        <w:rPr>
          <w:noProof/>
          <w:color w:val="000000" w:themeColor="text1"/>
          <w:szCs w:val="24"/>
        </w:rPr>
        <w:t xml:space="preserve">to benefit from EU </w:t>
      </w:r>
      <w:r>
        <w:rPr>
          <w:noProof/>
          <w:color w:val="000000" w:themeColor="text1"/>
          <w:szCs w:val="24"/>
        </w:rPr>
        <w:t xml:space="preserve">financed </w:t>
      </w:r>
      <w:r w:rsidRPr="00A11FEA">
        <w:rPr>
          <w:noProof/>
          <w:color w:val="000000" w:themeColor="text1"/>
          <w:szCs w:val="24"/>
        </w:rPr>
        <w:t>capacity building</w:t>
      </w:r>
      <w:r>
        <w:rPr>
          <w:noProof/>
          <w:color w:val="000000" w:themeColor="text1"/>
          <w:szCs w:val="24"/>
        </w:rPr>
        <w:t xml:space="preserve"> are for instance </w:t>
      </w:r>
      <w:r w:rsidRPr="0067287C">
        <w:rPr>
          <w:noProof/>
          <w:color w:val="000000" w:themeColor="text1"/>
          <w:szCs w:val="24"/>
        </w:rPr>
        <w:t>Socieux+</w:t>
      </w:r>
      <w:r w:rsidR="00BB6325" w:rsidRPr="00BB6325">
        <w:rPr>
          <w:noProof/>
          <w:color w:val="000000" w:themeColor="text1"/>
          <w:szCs w:val="24"/>
        </w:rPr>
        <w:t> </w:t>
      </w:r>
      <w:r w:rsidR="009C7A94" w:rsidRPr="009C7A94">
        <w:rPr>
          <w:rStyle w:val="FootnoteReference"/>
          <w:noProof/>
          <w:color w:val="000000" w:themeColor="text1"/>
          <w:szCs w:val="24"/>
          <w:vertAlign w:val="baseline"/>
        </w:rPr>
        <w:t>(</w:t>
      </w:r>
      <w:r w:rsidR="00EC6C46" w:rsidRPr="00462FBD">
        <w:rPr>
          <w:rStyle w:val="FootnoteReference"/>
          <w:noProof/>
          <w:color w:val="000000" w:themeColor="text1"/>
          <w:szCs w:val="24"/>
        </w:rPr>
        <w:footnoteReference w:id="35"/>
      </w:r>
      <w:r w:rsidR="009C7A94" w:rsidRPr="009C7A94">
        <w:rPr>
          <w:rStyle w:val="FootnoteReference"/>
          <w:noProof/>
          <w:color w:val="000000" w:themeColor="text1"/>
          <w:szCs w:val="24"/>
          <w:vertAlign w:val="baseline"/>
        </w:rPr>
        <w:t>)</w:t>
      </w:r>
      <w:r w:rsidRPr="00462FBD">
        <w:rPr>
          <w:noProof/>
          <w:color w:val="000000" w:themeColor="text1"/>
          <w:szCs w:val="24"/>
        </w:rPr>
        <w:t xml:space="preserve"> or </w:t>
      </w:r>
      <w:r w:rsidRPr="0067287C">
        <w:rPr>
          <w:noProof/>
          <w:color w:val="000000" w:themeColor="text1"/>
          <w:szCs w:val="24"/>
        </w:rPr>
        <w:t>TAIEX</w:t>
      </w:r>
      <w:r w:rsidR="00BB6325" w:rsidRPr="00BB6325">
        <w:rPr>
          <w:noProof/>
          <w:color w:val="000000" w:themeColor="text1"/>
          <w:szCs w:val="24"/>
        </w:rPr>
        <w:t> </w:t>
      </w:r>
      <w:r w:rsidR="009C7A94" w:rsidRPr="009C7A94">
        <w:rPr>
          <w:rStyle w:val="FootnoteReference"/>
          <w:noProof/>
          <w:color w:val="000000" w:themeColor="text1"/>
          <w:szCs w:val="24"/>
          <w:vertAlign w:val="baseline"/>
        </w:rPr>
        <w:t>(</w:t>
      </w:r>
      <w:r w:rsidR="00EC6C46" w:rsidRPr="00462FBD">
        <w:rPr>
          <w:rStyle w:val="FootnoteReference"/>
          <w:noProof/>
          <w:color w:val="000000" w:themeColor="text1"/>
          <w:szCs w:val="24"/>
        </w:rPr>
        <w:footnoteReference w:id="36"/>
      </w:r>
      <w:r w:rsidR="009C7A94" w:rsidRPr="009C7A94">
        <w:rPr>
          <w:rStyle w:val="FootnoteReference"/>
          <w:noProof/>
          <w:color w:val="000000" w:themeColor="text1"/>
          <w:szCs w:val="24"/>
          <w:vertAlign w:val="baseline"/>
        </w:rPr>
        <w:t>)</w:t>
      </w:r>
      <w:r w:rsidRPr="00462FBD">
        <w:rPr>
          <w:noProof/>
          <w:color w:val="000000" w:themeColor="text1"/>
          <w:szCs w:val="24"/>
        </w:rPr>
        <w:t xml:space="preserve">. </w:t>
      </w:r>
    </w:p>
    <w:p w14:paraId="78B579CE" w14:textId="3F482AF9" w:rsidR="001F090C" w:rsidRDefault="47CB51B6" w:rsidP="001F090C">
      <w:pPr>
        <w:rPr>
          <w:noProof/>
          <w:color w:val="000000" w:themeColor="text1"/>
          <w:szCs w:val="24"/>
        </w:rPr>
      </w:pPr>
      <w:r w:rsidRPr="00462FBD">
        <w:rPr>
          <w:noProof/>
          <w:color w:val="000000" w:themeColor="text1"/>
        </w:rPr>
        <w:t xml:space="preserve">The </w:t>
      </w:r>
      <w:r w:rsidRPr="00B0047E">
        <w:rPr>
          <w:noProof/>
          <w:color w:val="000000" w:themeColor="text1"/>
        </w:rPr>
        <w:t>Trade for Decent Work</w:t>
      </w:r>
      <w:r w:rsidRPr="00462FBD">
        <w:rPr>
          <w:noProof/>
          <w:color w:val="000000" w:themeColor="text1"/>
        </w:rPr>
        <w:t xml:space="preserve"> project</w:t>
      </w:r>
      <w:r w:rsidR="008E0501" w:rsidRPr="008E0501">
        <w:rPr>
          <w:noProof/>
          <w:color w:val="000000" w:themeColor="text1"/>
        </w:rPr>
        <w:t> (</w:t>
      </w:r>
      <w:r w:rsidR="008E0501">
        <w:rPr>
          <w:rStyle w:val="FootnoteReference"/>
          <w:noProof/>
          <w:color w:val="000000" w:themeColor="text1"/>
        </w:rPr>
        <w:footnoteReference w:id="37"/>
      </w:r>
      <w:r w:rsidR="008E0501">
        <w:rPr>
          <w:noProof/>
          <w:color w:val="000000" w:themeColor="text1"/>
        </w:rPr>
        <w:t>)</w:t>
      </w:r>
      <w:r w:rsidRPr="730E3F16">
        <w:rPr>
          <w:noProof/>
          <w:color w:val="000000" w:themeColor="text1"/>
        </w:rPr>
        <w:t xml:space="preserve"> (2019-2021, </w:t>
      </w:r>
      <w:r w:rsidR="12DE5529" w:rsidRPr="730E3F16">
        <w:rPr>
          <w:noProof/>
          <w:color w:val="000000" w:themeColor="text1"/>
        </w:rPr>
        <w:t>€</w:t>
      </w:r>
      <w:r w:rsidRPr="730E3F16">
        <w:rPr>
          <w:noProof/>
          <w:color w:val="000000" w:themeColor="text1"/>
        </w:rPr>
        <w:t>6 million), co-funded by the EU and Finland and implemented by the ILO, promote</w:t>
      </w:r>
      <w:r w:rsidR="00200B8F">
        <w:rPr>
          <w:noProof/>
          <w:color w:val="000000" w:themeColor="text1"/>
        </w:rPr>
        <w:t>d</w:t>
      </w:r>
      <w:r w:rsidRPr="730E3F16">
        <w:rPr>
          <w:noProof/>
          <w:color w:val="000000" w:themeColor="text1"/>
        </w:rPr>
        <w:t xml:space="preserve"> the </w:t>
      </w:r>
      <w:r w:rsidR="00200B8F">
        <w:rPr>
          <w:noProof/>
          <w:color w:val="000000" w:themeColor="text1"/>
        </w:rPr>
        <w:t>implementation</w:t>
      </w:r>
      <w:r w:rsidR="00200B8F" w:rsidRPr="730E3F16">
        <w:rPr>
          <w:noProof/>
          <w:color w:val="000000" w:themeColor="text1"/>
        </w:rPr>
        <w:t xml:space="preserve"> </w:t>
      </w:r>
      <w:r w:rsidRPr="730E3F16">
        <w:rPr>
          <w:noProof/>
          <w:color w:val="000000" w:themeColor="text1"/>
        </w:rPr>
        <w:t xml:space="preserve">of ILO fundamental conventions </w:t>
      </w:r>
      <w:r w:rsidR="00200B8F">
        <w:rPr>
          <w:noProof/>
          <w:color w:val="000000" w:themeColor="text1"/>
        </w:rPr>
        <w:t xml:space="preserve">in </w:t>
      </w:r>
      <w:r w:rsidR="00990BBC">
        <w:rPr>
          <w:noProof/>
          <w:color w:val="000000" w:themeColor="text1"/>
        </w:rPr>
        <w:t xml:space="preserve">specific </w:t>
      </w:r>
      <w:r w:rsidR="00200B8F">
        <w:rPr>
          <w:noProof/>
          <w:color w:val="000000" w:themeColor="text1"/>
        </w:rPr>
        <w:t>countries u</w:t>
      </w:r>
      <w:r w:rsidR="00990BBC">
        <w:rPr>
          <w:noProof/>
          <w:color w:val="000000" w:themeColor="text1"/>
        </w:rPr>
        <w:t>nder</w:t>
      </w:r>
      <w:r w:rsidR="00200B8F" w:rsidRPr="730E3F16">
        <w:rPr>
          <w:noProof/>
          <w:color w:val="000000" w:themeColor="text1"/>
        </w:rPr>
        <w:t xml:space="preserve"> </w:t>
      </w:r>
      <w:r w:rsidRPr="730E3F16">
        <w:rPr>
          <w:noProof/>
          <w:color w:val="000000" w:themeColor="text1"/>
        </w:rPr>
        <w:t>the EU GSP+ and EBA</w:t>
      </w:r>
      <w:r w:rsidR="00990BBC">
        <w:rPr>
          <w:noProof/>
          <w:color w:val="000000" w:themeColor="text1"/>
        </w:rPr>
        <w:t xml:space="preserve"> arrangements</w:t>
      </w:r>
      <w:r w:rsidRPr="730E3F16">
        <w:rPr>
          <w:noProof/>
          <w:color w:val="000000" w:themeColor="text1"/>
        </w:rPr>
        <w:t>. The operation of the project was based on two frameworks</w:t>
      </w:r>
      <w:r w:rsidR="00E549F6">
        <w:rPr>
          <w:noProof/>
          <w:color w:val="000000" w:themeColor="text1"/>
        </w:rPr>
        <w:t>: (1)</w:t>
      </w:r>
      <w:r w:rsidRPr="730E3F16">
        <w:rPr>
          <w:noProof/>
          <w:color w:val="000000" w:themeColor="text1"/>
        </w:rPr>
        <w:t xml:space="preserve"> </w:t>
      </w:r>
      <w:r w:rsidR="00E549F6">
        <w:rPr>
          <w:noProof/>
          <w:color w:val="000000" w:themeColor="text1"/>
        </w:rPr>
        <w:t>a</w:t>
      </w:r>
      <w:r w:rsidRPr="730E3F16">
        <w:rPr>
          <w:noProof/>
          <w:color w:val="000000" w:themeColor="text1"/>
        </w:rPr>
        <w:t xml:space="preserve"> Global Facility, undertaking global initiatives in international labour standards and </w:t>
      </w:r>
      <w:r w:rsidRPr="002A52E1">
        <w:rPr>
          <w:i/>
          <w:iCs/>
          <w:noProof/>
          <w:color w:val="000000" w:themeColor="text1"/>
        </w:rPr>
        <w:t>ad hoc</w:t>
      </w:r>
      <w:r w:rsidRPr="730E3F16">
        <w:rPr>
          <w:noProof/>
          <w:color w:val="000000" w:themeColor="text1"/>
        </w:rPr>
        <w:t xml:space="preserve"> support to specific needs of partner countries</w:t>
      </w:r>
      <w:r w:rsidR="00B626AB">
        <w:rPr>
          <w:noProof/>
          <w:color w:val="000000" w:themeColor="text1"/>
        </w:rPr>
        <w:t xml:space="preserve"> and (2)</w:t>
      </w:r>
      <w:r w:rsidRPr="730E3F16">
        <w:rPr>
          <w:noProof/>
          <w:color w:val="000000" w:themeColor="text1"/>
        </w:rPr>
        <w:t xml:space="preserve"> </w:t>
      </w:r>
      <w:r w:rsidR="00B626AB">
        <w:rPr>
          <w:noProof/>
          <w:color w:val="000000" w:themeColor="text1"/>
        </w:rPr>
        <w:t>a</w:t>
      </w:r>
      <w:r w:rsidRPr="730E3F16">
        <w:rPr>
          <w:noProof/>
          <w:color w:val="000000" w:themeColor="text1"/>
        </w:rPr>
        <w:t xml:space="preserve"> Country-focused Facility provid</w:t>
      </w:r>
      <w:r w:rsidR="00D54237">
        <w:rPr>
          <w:noProof/>
          <w:color w:val="000000" w:themeColor="text1"/>
        </w:rPr>
        <w:t>ing</w:t>
      </w:r>
      <w:r w:rsidRPr="730E3F16">
        <w:rPr>
          <w:noProof/>
          <w:color w:val="000000" w:themeColor="text1"/>
        </w:rPr>
        <w:t xml:space="preserve"> support for selected target countries each year. The project included </w:t>
      </w:r>
      <w:r w:rsidR="00B626AB">
        <w:rPr>
          <w:noProof/>
          <w:color w:val="000000" w:themeColor="text1"/>
        </w:rPr>
        <w:t xml:space="preserve">several </w:t>
      </w:r>
      <w:r w:rsidRPr="730E3F16">
        <w:rPr>
          <w:noProof/>
          <w:color w:val="000000" w:themeColor="text1"/>
        </w:rPr>
        <w:t xml:space="preserve">GSP beneficiaries </w:t>
      </w:r>
      <w:r w:rsidR="32AAD230" w:rsidRPr="730E3F16">
        <w:rPr>
          <w:noProof/>
          <w:color w:val="000000" w:themeColor="text1"/>
        </w:rPr>
        <w:t>(</w:t>
      </w:r>
      <w:r w:rsidRPr="730E3F16">
        <w:rPr>
          <w:noProof/>
          <w:color w:val="000000" w:themeColor="text1"/>
        </w:rPr>
        <w:t>Bangladesh, Ca</w:t>
      </w:r>
      <w:r w:rsidR="00422C36">
        <w:rPr>
          <w:noProof/>
          <w:color w:val="000000" w:themeColor="text1"/>
        </w:rPr>
        <w:t>bo</w:t>
      </w:r>
      <w:r w:rsidRPr="730E3F16">
        <w:rPr>
          <w:noProof/>
          <w:color w:val="000000" w:themeColor="text1"/>
        </w:rPr>
        <w:t xml:space="preserve"> Verde, Mongolia, Madagascar, Mozambique, Pakistan</w:t>
      </w:r>
      <w:r w:rsidR="3A2EE12B" w:rsidRPr="730E3F16">
        <w:rPr>
          <w:noProof/>
          <w:color w:val="000000" w:themeColor="text1"/>
        </w:rPr>
        <w:t>,</w:t>
      </w:r>
      <w:r w:rsidRPr="730E3F16">
        <w:rPr>
          <w:noProof/>
          <w:color w:val="000000" w:themeColor="text1"/>
        </w:rPr>
        <w:t xml:space="preserve"> and the Philippines</w:t>
      </w:r>
      <w:r w:rsidR="65241E63" w:rsidRPr="730E3F16">
        <w:rPr>
          <w:noProof/>
          <w:color w:val="000000" w:themeColor="text1"/>
        </w:rPr>
        <w:t>)</w:t>
      </w:r>
      <w:r w:rsidRPr="730E3F16">
        <w:rPr>
          <w:noProof/>
          <w:color w:val="000000" w:themeColor="text1"/>
        </w:rPr>
        <w:t xml:space="preserve">. </w:t>
      </w:r>
      <w:r w:rsidR="00B626AB" w:rsidRPr="00E7475B">
        <w:rPr>
          <w:noProof/>
          <w:color w:val="000000" w:themeColor="text1"/>
        </w:rPr>
        <w:t>The implementation of the project continues</w:t>
      </w:r>
      <w:r w:rsidR="00951204" w:rsidRPr="00E7475B">
        <w:rPr>
          <w:noProof/>
          <w:color w:val="000000" w:themeColor="text1"/>
        </w:rPr>
        <w:t xml:space="preserve"> in 2022-2024.</w:t>
      </w:r>
    </w:p>
    <w:p w14:paraId="650ECD98" w14:textId="54E9322F" w:rsidR="001F090C" w:rsidRPr="002A52E1" w:rsidRDefault="001F090C" w:rsidP="001F090C">
      <w:pPr>
        <w:rPr>
          <w:noProof/>
          <w:color w:val="000000" w:themeColor="text1"/>
          <w:szCs w:val="24"/>
        </w:rPr>
      </w:pPr>
      <w:r w:rsidRPr="002A52E1">
        <w:rPr>
          <w:noProof/>
          <w:color w:val="000000" w:themeColor="text1"/>
          <w:szCs w:val="24"/>
        </w:rPr>
        <w:t xml:space="preserve">The years 2020-2021 marked the conclusion of </w:t>
      </w:r>
      <w:r>
        <w:rPr>
          <w:noProof/>
          <w:color w:val="000000" w:themeColor="text1"/>
          <w:szCs w:val="24"/>
        </w:rPr>
        <w:t>three</w:t>
      </w:r>
      <w:r w:rsidRPr="002A52E1">
        <w:rPr>
          <w:noProof/>
          <w:color w:val="000000" w:themeColor="text1"/>
          <w:szCs w:val="24"/>
        </w:rPr>
        <w:t xml:space="preserve"> GSP+ related projects funded under </w:t>
      </w:r>
      <w:r w:rsidRPr="00DC2695">
        <w:rPr>
          <w:bCs/>
          <w:noProof/>
          <w:color w:val="000000" w:themeColor="text1"/>
          <w:szCs w:val="24"/>
        </w:rPr>
        <w:t>the European Instrument for Democracy and Human Rights</w:t>
      </w:r>
      <w:r w:rsidRPr="00462FBD">
        <w:rPr>
          <w:bCs/>
          <w:noProof/>
          <w:color w:val="000000" w:themeColor="text1"/>
          <w:szCs w:val="24"/>
        </w:rPr>
        <w:t xml:space="preserve"> for</w:t>
      </w:r>
      <w:r w:rsidRPr="002A52E1">
        <w:rPr>
          <w:noProof/>
          <w:color w:val="000000" w:themeColor="text1"/>
          <w:szCs w:val="24"/>
        </w:rPr>
        <w:t xml:space="preserve"> a total amount of </w:t>
      </w:r>
      <w:r w:rsidR="002A52E1">
        <w:rPr>
          <w:noProof/>
          <w:color w:val="000000" w:themeColor="text1"/>
          <w:szCs w:val="24"/>
        </w:rPr>
        <w:t>€</w:t>
      </w:r>
      <w:r w:rsidRPr="002A52E1">
        <w:rPr>
          <w:noProof/>
          <w:color w:val="000000" w:themeColor="text1"/>
          <w:szCs w:val="24"/>
        </w:rPr>
        <w:t xml:space="preserve">5.7 million. The overall objective of these projects was to empower civil society actors including trade unions to monitor the effective compliance and implementation of GSP+ related </w:t>
      </w:r>
      <w:r w:rsidR="002A52E1">
        <w:rPr>
          <w:noProof/>
          <w:color w:val="000000" w:themeColor="text1"/>
          <w:szCs w:val="24"/>
        </w:rPr>
        <w:t>c</w:t>
      </w:r>
      <w:r w:rsidRPr="002A52E1">
        <w:rPr>
          <w:noProof/>
          <w:color w:val="000000" w:themeColor="text1"/>
          <w:szCs w:val="24"/>
        </w:rPr>
        <w:t>onventions in countries where the special incentive arrangement appl</w:t>
      </w:r>
      <w:r w:rsidR="002A52E1">
        <w:rPr>
          <w:noProof/>
          <w:color w:val="000000" w:themeColor="text1"/>
          <w:szCs w:val="24"/>
        </w:rPr>
        <w:t>ies</w:t>
      </w:r>
      <w:r w:rsidRPr="002A52E1">
        <w:rPr>
          <w:noProof/>
          <w:color w:val="000000" w:themeColor="text1"/>
          <w:szCs w:val="24"/>
        </w:rPr>
        <w:t xml:space="preserve">. More specifically, these projects sought to build up the awareness and capacity of civil society actors to conduct the monitoring but also advocate for legal and policy reforms to uphold labour and wider human rights in GSP+ beneficiary countries. This was achieved for example by setting up Monitoring Task Forces to follow-up the implementation of main agreements related to UN and ILO Conventions, to build up constructive policy dialogue between civil society organisations (CSOs), social partners and state actors on these topics or conduct outreach to an external public audience through extensive media coverage, national human rights education campaign or submission to the Treaty Bodies and Universal Period Reviews. For example, in Bolivia, EU-funded Actions focused on CSO monitoring and advocacy on ratified </w:t>
      </w:r>
      <w:r w:rsidR="002A52E1">
        <w:rPr>
          <w:noProof/>
          <w:color w:val="000000" w:themeColor="text1"/>
          <w:szCs w:val="24"/>
        </w:rPr>
        <w:t xml:space="preserve">human rights </w:t>
      </w:r>
      <w:r w:rsidRPr="002A52E1">
        <w:rPr>
          <w:noProof/>
          <w:color w:val="000000" w:themeColor="text1"/>
          <w:szCs w:val="24"/>
        </w:rPr>
        <w:t xml:space="preserve">conventions before national and international instances such as the Inter-American Commission on Human Rights </w:t>
      </w:r>
      <w:r w:rsidR="002A52E1">
        <w:rPr>
          <w:noProof/>
          <w:color w:val="000000" w:themeColor="text1"/>
          <w:szCs w:val="24"/>
        </w:rPr>
        <w:t>(</w:t>
      </w:r>
      <w:r w:rsidRPr="002A52E1">
        <w:rPr>
          <w:noProof/>
          <w:color w:val="000000" w:themeColor="text1"/>
          <w:szCs w:val="24"/>
        </w:rPr>
        <w:t>IACHR</w:t>
      </w:r>
      <w:r w:rsidR="002A52E1">
        <w:rPr>
          <w:noProof/>
          <w:color w:val="000000" w:themeColor="text1"/>
          <w:szCs w:val="24"/>
        </w:rPr>
        <w:t>)</w:t>
      </w:r>
      <w:r w:rsidRPr="002A52E1">
        <w:rPr>
          <w:noProof/>
          <w:color w:val="000000" w:themeColor="text1"/>
          <w:szCs w:val="24"/>
        </w:rPr>
        <w:t xml:space="preserve"> and UN.</w:t>
      </w:r>
      <w:r w:rsidR="00844E20">
        <w:rPr>
          <w:noProof/>
          <w:color w:val="000000" w:themeColor="text1"/>
          <w:szCs w:val="24"/>
        </w:rPr>
        <w:t xml:space="preserve"> </w:t>
      </w:r>
      <w:r w:rsidRPr="002A52E1">
        <w:rPr>
          <w:noProof/>
          <w:color w:val="000000" w:themeColor="text1"/>
          <w:szCs w:val="24"/>
        </w:rPr>
        <w:t xml:space="preserve">The high relevance and the broad impact of these projects has been underlined in several evaluations and in particular, the enhanced general understanding about the GSP+ </w:t>
      </w:r>
      <w:r w:rsidR="002A52E1">
        <w:rPr>
          <w:noProof/>
          <w:color w:val="000000" w:themeColor="text1"/>
          <w:szCs w:val="24"/>
        </w:rPr>
        <w:t>arrangement</w:t>
      </w:r>
      <w:r w:rsidRPr="002A52E1">
        <w:rPr>
          <w:noProof/>
          <w:color w:val="000000" w:themeColor="text1"/>
          <w:szCs w:val="24"/>
        </w:rPr>
        <w:t xml:space="preserve">, the increased dialogue and engagement with </w:t>
      </w:r>
      <w:r w:rsidR="002A52E1">
        <w:rPr>
          <w:noProof/>
          <w:color w:val="000000" w:themeColor="text1"/>
          <w:szCs w:val="24"/>
        </w:rPr>
        <w:t>S</w:t>
      </w:r>
      <w:r w:rsidRPr="002A52E1">
        <w:rPr>
          <w:noProof/>
          <w:color w:val="000000" w:themeColor="text1"/>
          <w:szCs w:val="24"/>
        </w:rPr>
        <w:t>tate actors</w:t>
      </w:r>
      <w:r w:rsidR="005D0DB0">
        <w:rPr>
          <w:noProof/>
          <w:color w:val="000000" w:themeColor="text1"/>
          <w:szCs w:val="24"/>
        </w:rPr>
        <w:t>,</w:t>
      </w:r>
      <w:r w:rsidRPr="002A52E1">
        <w:rPr>
          <w:noProof/>
          <w:color w:val="000000" w:themeColor="text1"/>
          <w:szCs w:val="24"/>
        </w:rPr>
        <w:t xml:space="preserve"> and the increased capacity of CSOs to assess and report about its compliance. </w:t>
      </w:r>
    </w:p>
    <w:p w14:paraId="03F22081" w14:textId="2ECB92FB" w:rsidR="0087536D" w:rsidRDefault="009968CD" w:rsidP="00E7475B">
      <w:pPr>
        <w:rPr>
          <w:noProof/>
          <w:color w:val="000000" w:themeColor="text1"/>
          <w:szCs w:val="24"/>
        </w:rPr>
      </w:pPr>
      <w:r w:rsidRPr="00B22282">
        <w:rPr>
          <w:noProof/>
          <w:color w:val="000000" w:themeColor="text1"/>
          <w:szCs w:val="24"/>
        </w:rPr>
        <w:t xml:space="preserve">The EU also </w:t>
      </w:r>
      <w:r w:rsidR="00BE36C7" w:rsidRPr="00B22282">
        <w:rPr>
          <w:noProof/>
          <w:color w:val="000000" w:themeColor="text1"/>
          <w:szCs w:val="24"/>
        </w:rPr>
        <w:t>supported the provision of comprehensive, transparent, centralised information on GSP for beneficiaries, businesses, civil society, and policy makers alike via the GSP Hub project. The GSP Hub (2019-2021, €400,000) aimed to improve awareness and transparency of the GSP, its economic benefits and its monitoring, via a dedicated website</w:t>
      </w:r>
      <w:r w:rsidR="00855FEF">
        <w:rPr>
          <w:noProof/>
          <w:color w:val="000000" w:themeColor="text1"/>
          <w:szCs w:val="24"/>
        </w:rPr>
        <w:t> </w:t>
      </w:r>
      <w:r w:rsidR="009C7A94" w:rsidRPr="009C7A94">
        <w:rPr>
          <w:rStyle w:val="FootnoteReference"/>
          <w:noProof/>
          <w:color w:val="000000" w:themeColor="text1"/>
          <w:szCs w:val="24"/>
          <w:vertAlign w:val="baseline"/>
        </w:rPr>
        <w:t>(</w:t>
      </w:r>
      <w:r w:rsidR="00EC6C46">
        <w:rPr>
          <w:rStyle w:val="FootnoteReference"/>
          <w:noProof/>
          <w:color w:val="000000" w:themeColor="text1"/>
          <w:szCs w:val="24"/>
        </w:rPr>
        <w:footnoteReference w:id="38"/>
      </w:r>
      <w:r w:rsidR="009C7A94" w:rsidRPr="009C7A94">
        <w:rPr>
          <w:rStyle w:val="FootnoteReference"/>
          <w:noProof/>
          <w:color w:val="000000" w:themeColor="text1"/>
          <w:szCs w:val="24"/>
          <w:vertAlign w:val="baseline"/>
        </w:rPr>
        <w:t>)</w:t>
      </w:r>
      <w:r w:rsidR="00BE36C7" w:rsidRPr="00B22282">
        <w:rPr>
          <w:noProof/>
          <w:color w:val="000000" w:themeColor="text1"/>
          <w:szCs w:val="24"/>
        </w:rPr>
        <w:t xml:space="preserve">, written publications, and a series of awareness events in Europe and in GSP beneficiary countries. The maintenance and update of the website will continue through 2024. </w:t>
      </w:r>
    </w:p>
    <w:p w14:paraId="7AD5B7FF" w14:textId="77777777" w:rsidR="47CB51B6" w:rsidRDefault="47CB51B6" w:rsidP="00E7475B">
      <w:pPr>
        <w:rPr>
          <w:noProof/>
        </w:rPr>
      </w:pPr>
      <w:r w:rsidRPr="43DA1706">
        <w:rPr>
          <w:noProof/>
          <w:color w:val="000000" w:themeColor="text1"/>
          <w:szCs w:val="24"/>
        </w:rPr>
        <w:t>Beyond support to implementation of GSP+ relevant conventions, the EU has also provided sector</w:t>
      </w:r>
      <w:r w:rsidR="00317572">
        <w:rPr>
          <w:noProof/>
          <w:color w:val="000000" w:themeColor="text1"/>
          <w:szCs w:val="24"/>
        </w:rPr>
        <w:t>-</w:t>
      </w:r>
      <w:r w:rsidRPr="43DA1706">
        <w:rPr>
          <w:noProof/>
          <w:color w:val="000000" w:themeColor="text1"/>
          <w:szCs w:val="24"/>
        </w:rPr>
        <w:t>specific assistance for beneficiary countries to achieve maximi</w:t>
      </w:r>
      <w:r w:rsidR="00317572">
        <w:rPr>
          <w:noProof/>
          <w:color w:val="000000" w:themeColor="text1"/>
          <w:szCs w:val="24"/>
        </w:rPr>
        <w:t>s</w:t>
      </w:r>
      <w:r w:rsidRPr="43DA1706">
        <w:rPr>
          <w:noProof/>
          <w:color w:val="000000" w:themeColor="text1"/>
          <w:szCs w:val="24"/>
        </w:rPr>
        <w:t>ation of GSP+</w:t>
      </w:r>
      <w:r w:rsidR="00990BBC">
        <w:rPr>
          <w:noProof/>
          <w:color w:val="000000" w:themeColor="text1"/>
          <w:szCs w:val="24"/>
        </w:rPr>
        <w:t xml:space="preserve"> preference</w:t>
      </w:r>
      <w:r w:rsidRPr="43DA1706">
        <w:rPr>
          <w:noProof/>
          <w:color w:val="000000" w:themeColor="text1"/>
          <w:szCs w:val="24"/>
        </w:rPr>
        <w:t xml:space="preserve"> utili</w:t>
      </w:r>
      <w:r w:rsidR="00990BBC">
        <w:rPr>
          <w:noProof/>
          <w:color w:val="000000" w:themeColor="text1"/>
          <w:szCs w:val="24"/>
        </w:rPr>
        <w:t>s</w:t>
      </w:r>
      <w:r w:rsidRPr="43DA1706">
        <w:rPr>
          <w:noProof/>
          <w:color w:val="000000" w:themeColor="text1"/>
          <w:szCs w:val="24"/>
        </w:rPr>
        <w:t>ation. The EU</w:t>
      </w:r>
      <w:r w:rsidR="00D220FB">
        <w:rPr>
          <w:noProof/>
          <w:color w:val="000000" w:themeColor="text1"/>
          <w:szCs w:val="24"/>
        </w:rPr>
        <w:t>-</w:t>
      </w:r>
      <w:r w:rsidRPr="43DA1706">
        <w:rPr>
          <w:noProof/>
          <w:color w:val="000000" w:themeColor="text1"/>
          <w:szCs w:val="24"/>
        </w:rPr>
        <w:t>Sri Lanka</w:t>
      </w:r>
      <w:r w:rsidRPr="43DA1706">
        <w:rPr>
          <w:b/>
          <w:bCs/>
          <w:noProof/>
          <w:color w:val="000000" w:themeColor="text1"/>
          <w:szCs w:val="24"/>
        </w:rPr>
        <w:t xml:space="preserve"> </w:t>
      </w:r>
      <w:r w:rsidRPr="43DA1706">
        <w:rPr>
          <w:noProof/>
          <w:color w:val="000000" w:themeColor="text1"/>
          <w:szCs w:val="24"/>
        </w:rPr>
        <w:t>Trade Related Assistance Project (</w:t>
      </w:r>
      <w:r w:rsidR="007C11F5" w:rsidRPr="43DA1706">
        <w:rPr>
          <w:noProof/>
          <w:color w:val="000000" w:themeColor="text1"/>
          <w:szCs w:val="24"/>
        </w:rPr>
        <w:t>€</w:t>
      </w:r>
      <w:r w:rsidRPr="43DA1706">
        <w:rPr>
          <w:noProof/>
          <w:color w:val="000000" w:themeColor="text1"/>
          <w:szCs w:val="24"/>
        </w:rPr>
        <w:t xml:space="preserve">8 million) for example provided sector specific assistance on </w:t>
      </w:r>
      <w:r w:rsidR="002A52E1">
        <w:rPr>
          <w:noProof/>
          <w:color w:val="000000" w:themeColor="text1"/>
          <w:szCs w:val="24"/>
        </w:rPr>
        <w:t>s</w:t>
      </w:r>
      <w:r w:rsidRPr="43DA1706">
        <w:rPr>
          <w:noProof/>
          <w:color w:val="000000" w:themeColor="text1"/>
          <w:szCs w:val="24"/>
        </w:rPr>
        <w:t xml:space="preserve">anitary and </w:t>
      </w:r>
      <w:r w:rsidR="002A52E1">
        <w:rPr>
          <w:noProof/>
          <w:color w:val="000000" w:themeColor="text1"/>
          <w:szCs w:val="24"/>
        </w:rPr>
        <w:t>p</w:t>
      </w:r>
      <w:r w:rsidRPr="43DA1706">
        <w:rPr>
          <w:noProof/>
          <w:color w:val="000000" w:themeColor="text1"/>
          <w:szCs w:val="24"/>
        </w:rPr>
        <w:t xml:space="preserve">hytosanitary compliance, packaging and labelling, export management and marketing, and market linkages in the spices and processed foods sectors. The project also facilitated the formulation of </w:t>
      </w:r>
      <w:r w:rsidR="00D220FB">
        <w:rPr>
          <w:noProof/>
          <w:color w:val="000000" w:themeColor="text1"/>
          <w:szCs w:val="24"/>
        </w:rPr>
        <w:t>a</w:t>
      </w:r>
      <w:r w:rsidR="00D220FB" w:rsidRPr="43DA1706">
        <w:rPr>
          <w:noProof/>
          <w:color w:val="000000" w:themeColor="text1"/>
          <w:szCs w:val="24"/>
        </w:rPr>
        <w:t xml:space="preserve"> </w:t>
      </w:r>
      <w:r w:rsidRPr="43DA1706">
        <w:rPr>
          <w:noProof/>
          <w:color w:val="000000" w:themeColor="text1"/>
          <w:szCs w:val="24"/>
        </w:rPr>
        <w:t xml:space="preserve">National Export Strategy as well as contributed to the approval of a National Quality Infrastructure Strategy and action plan, and the publishing of a GSP+ Business Guide. </w:t>
      </w:r>
    </w:p>
    <w:p w14:paraId="7400A83F" w14:textId="77777777" w:rsidR="0080145A" w:rsidRPr="002A52E1" w:rsidRDefault="0080145A" w:rsidP="00A979C4">
      <w:pPr>
        <w:pStyle w:val="Heading2"/>
        <w:shd w:val="clear" w:color="auto" w:fill="DBE5F1" w:themeFill="accent1" w:themeFillTint="33"/>
        <w:rPr>
          <w:noProof/>
        </w:rPr>
      </w:pPr>
      <w:r w:rsidRPr="002A52E1">
        <w:rPr>
          <w:noProof/>
        </w:rPr>
        <w:t>Way ahead</w:t>
      </w:r>
    </w:p>
    <w:p w14:paraId="2CE2D7A0" w14:textId="5937E3B6" w:rsidR="43DA1706" w:rsidRDefault="47CB51B6" w:rsidP="00E22389">
      <w:pPr>
        <w:rPr>
          <w:noProof/>
          <w:color w:val="000000" w:themeColor="text1"/>
          <w:szCs w:val="24"/>
        </w:rPr>
      </w:pPr>
      <w:r w:rsidRPr="43DA1706">
        <w:rPr>
          <w:noProof/>
          <w:color w:val="000000" w:themeColor="text1"/>
          <w:szCs w:val="24"/>
        </w:rPr>
        <w:t xml:space="preserve">In the coming years, the </w:t>
      </w:r>
      <w:r w:rsidRPr="43DA1706">
        <w:rPr>
          <w:noProof/>
          <w:szCs w:val="24"/>
          <w:lang w:val="en-IE"/>
        </w:rPr>
        <w:t xml:space="preserve">general direction of support to GSP+ </w:t>
      </w:r>
      <w:r w:rsidR="00374D18">
        <w:rPr>
          <w:noProof/>
          <w:szCs w:val="24"/>
          <w:lang w:val="en-IE"/>
        </w:rPr>
        <w:t>beneficiaries</w:t>
      </w:r>
      <w:r w:rsidR="00374D18" w:rsidRPr="43DA1706">
        <w:rPr>
          <w:noProof/>
          <w:szCs w:val="24"/>
          <w:lang w:val="en-IE"/>
        </w:rPr>
        <w:t xml:space="preserve"> </w:t>
      </w:r>
      <w:r w:rsidRPr="43DA1706">
        <w:rPr>
          <w:noProof/>
          <w:szCs w:val="24"/>
        </w:rPr>
        <w:t xml:space="preserve">will be defined by </w:t>
      </w:r>
      <w:r w:rsidR="00D220FB">
        <w:rPr>
          <w:noProof/>
          <w:szCs w:val="24"/>
        </w:rPr>
        <w:t xml:space="preserve">the </w:t>
      </w:r>
      <w:r w:rsidR="00E22389">
        <w:rPr>
          <w:noProof/>
          <w:szCs w:val="24"/>
        </w:rPr>
        <w:t xml:space="preserve">continued application of the </w:t>
      </w:r>
      <w:r w:rsidR="00B45FE3">
        <w:rPr>
          <w:noProof/>
          <w:szCs w:val="24"/>
          <w:lang w:val="en-IE"/>
        </w:rPr>
        <w:t>NDICI-Global Europe</w:t>
      </w:r>
      <w:r w:rsidR="009F41F2" w:rsidRPr="009F41F2">
        <w:rPr>
          <w:noProof/>
          <w:szCs w:val="24"/>
          <w:lang w:val="en-IE"/>
        </w:rPr>
        <w:t> (</w:t>
      </w:r>
      <w:r w:rsidR="009F41F2">
        <w:rPr>
          <w:rStyle w:val="FootnoteReference"/>
          <w:noProof/>
          <w:szCs w:val="24"/>
          <w:lang w:val="en-IE"/>
        </w:rPr>
        <w:footnoteReference w:id="39"/>
      </w:r>
      <w:r w:rsidR="009F41F2">
        <w:rPr>
          <w:noProof/>
          <w:szCs w:val="24"/>
          <w:lang w:val="en-IE"/>
        </w:rPr>
        <w:t>)</w:t>
      </w:r>
      <w:r w:rsidRPr="43DA1706">
        <w:rPr>
          <w:noProof/>
          <w:szCs w:val="24"/>
        </w:rPr>
        <w:t>,</w:t>
      </w:r>
      <w:r w:rsidRPr="43DA1706">
        <w:rPr>
          <w:noProof/>
          <w:szCs w:val="24"/>
          <w:lang w:val="en-IE"/>
        </w:rPr>
        <w:t xml:space="preserve"> the EU’s </w:t>
      </w:r>
      <w:r w:rsidRPr="43DA1706">
        <w:rPr>
          <w:noProof/>
          <w:color w:val="000000" w:themeColor="text1"/>
          <w:szCs w:val="24"/>
          <w:lang w:val="en-IE"/>
        </w:rPr>
        <w:t>new main financing instrument for its external action in the period of 2021-</w:t>
      </w:r>
      <w:r w:rsidR="002A52E1">
        <w:rPr>
          <w:noProof/>
          <w:color w:val="000000" w:themeColor="text1"/>
          <w:szCs w:val="24"/>
          <w:lang w:val="en-IE"/>
        </w:rPr>
        <w:t>20</w:t>
      </w:r>
      <w:r w:rsidRPr="43DA1706">
        <w:rPr>
          <w:noProof/>
          <w:color w:val="000000" w:themeColor="text1"/>
          <w:szCs w:val="24"/>
          <w:lang w:val="en-IE"/>
        </w:rPr>
        <w:t>27</w:t>
      </w:r>
      <w:r w:rsidR="00E22389">
        <w:rPr>
          <w:noProof/>
          <w:color w:val="000000" w:themeColor="text1"/>
          <w:szCs w:val="24"/>
          <w:lang w:val="en-IE"/>
        </w:rPr>
        <w:t>, as mentioned in Section 6.1</w:t>
      </w:r>
      <w:r w:rsidRPr="43DA1706">
        <w:rPr>
          <w:noProof/>
          <w:color w:val="000000" w:themeColor="text1"/>
          <w:szCs w:val="24"/>
          <w:lang w:val="en-IE"/>
        </w:rPr>
        <w:t xml:space="preserve">. </w:t>
      </w:r>
      <w:r w:rsidRPr="43DA1706">
        <w:rPr>
          <w:noProof/>
          <w:color w:val="000000" w:themeColor="text1"/>
          <w:szCs w:val="24"/>
        </w:rPr>
        <w:t>A</w:t>
      </w:r>
      <w:r w:rsidRPr="43DA1706">
        <w:rPr>
          <w:noProof/>
          <w:color w:val="000000" w:themeColor="text1"/>
          <w:szCs w:val="24"/>
          <w:lang w:val="en-IE"/>
        </w:rPr>
        <w:t xml:space="preserve"> mid-term review will be completed in 2024</w:t>
      </w:r>
      <w:r w:rsidRPr="43DA1706">
        <w:rPr>
          <w:noProof/>
          <w:color w:val="000000" w:themeColor="text1"/>
          <w:szCs w:val="24"/>
        </w:rPr>
        <w:t xml:space="preserve">, providing the opportunity to </w:t>
      </w:r>
      <w:r w:rsidR="00E22389">
        <w:rPr>
          <w:noProof/>
          <w:color w:val="000000" w:themeColor="text1"/>
          <w:szCs w:val="24"/>
        </w:rPr>
        <w:t>adjust</w:t>
      </w:r>
      <w:r w:rsidRPr="43DA1706">
        <w:rPr>
          <w:noProof/>
          <w:color w:val="000000" w:themeColor="text1"/>
          <w:szCs w:val="24"/>
        </w:rPr>
        <w:t xml:space="preserve"> priorities </w:t>
      </w:r>
      <w:r w:rsidR="00E22389">
        <w:rPr>
          <w:noProof/>
          <w:color w:val="000000" w:themeColor="text1"/>
          <w:szCs w:val="24"/>
        </w:rPr>
        <w:t xml:space="preserve">and resources </w:t>
      </w:r>
      <w:r w:rsidRPr="43DA1706">
        <w:rPr>
          <w:noProof/>
          <w:color w:val="000000" w:themeColor="text1"/>
          <w:szCs w:val="24"/>
        </w:rPr>
        <w:t xml:space="preserve">where needed for the period of 2024-2027. </w:t>
      </w:r>
      <w:r w:rsidR="00B45FE3" w:rsidRPr="43DA1706">
        <w:rPr>
          <w:noProof/>
          <w:color w:val="000000" w:themeColor="text1"/>
          <w:szCs w:val="24"/>
        </w:rPr>
        <w:t>Based on</w:t>
      </w:r>
      <w:r w:rsidRPr="43DA1706">
        <w:rPr>
          <w:noProof/>
          <w:color w:val="000000" w:themeColor="text1"/>
          <w:szCs w:val="24"/>
        </w:rPr>
        <w:t xml:space="preserve"> MIPs, </w:t>
      </w:r>
      <w:r w:rsidR="00E22389">
        <w:rPr>
          <w:noProof/>
          <w:color w:val="000000" w:themeColor="text1"/>
          <w:szCs w:val="24"/>
        </w:rPr>
        <w:t xml:space="preserve">Annual </w:t>
      </w:r>
      <w:r w:rsidRPr="43DA1706">
        <w:rPr>
          <w:noProof/>
          <w:color w:val="000000" w:themeColor="text1"/>
          <w:szCs w:val="24"/>
        </w:rPr>
        <w:t>Action Plans and other measures defining specific actions to be carried out are established.</w:t>
      </w:r>
      <w:r w:rsidR="59334B7E" w:rsidRPr="43DA1706">
        <w:rPr>
          <w:noProof/>
          <w:color w:val="000000" w:themeColor="text1"/>
          <w:szCs w:val="24"/>
        </w:rPr>
        <w:t xml:space="preserve"> The preparation of MIPs and Action for GSP beneficiaries takes into account </w:t>
      </w:r>
      <w:r w:rsidR="00AF1549">
        <w:rPr>
          <w:noProof/>
          <w:color w:val="000000" w:themeColor="text1"/>
          <w:szCs w:val="24"/>
        </w:rPr>
        <w:t>their trade facilitation needs, including to increase GSP</w:t>
      </w:r>
      <w:r w:rsidR="006B6109">
        <w:rPr>
          <w:noProof/>
          <w:color w:val="000000" w:themeColor="text1"/>
          <w:szCs w:val="24"/>
        </w:rPr>
        <w:t xml:space="preserve"> </w:t>
      </w:r>
      <w:r w:rsidR="00AF1549">
        <w:rPr>
          <w:noProof/>
          <w:color w:val="000000" w:themeColor="text1"/>
          <w:szCs w:val="24"/>
        </w:rPr>
        <w:t xml:space="preserve">utilisation, as well as </w:t>
      </w:r>
      <w:r w:rsidR="59334B7E" w:rsidRPr="43DA1706">
        <w:rPr>
          <w:noProof/>
          <w:color w:val="000000" w:themeColor="text1"/>
          <w:szCs w:val="24"/>
        </w:rPr>
        <w:t xml:space="preserve">the priorities established under GSP+ monitoring and EBA </w:t>
      </w:r>
      <w:r w:rsidR="00B45FE3">
        <w:rPr>
          <w:noProof/>
          <w:color w:val="000000" w:themeColor="text1"/>
          <w:szCs w:val="24"/>
        </w:rPr>
        <w:t>e</w:t>
      </w:r>
      <w:r w:rsidR="59334B7E" w:rsidRPr="43DA1706">
        <w:rPr>
          <w:noProof/>
          <w:color w:val="000000" w:themeColor="text1"/>
          <w:szCs w:val="24"/>
        </w:rPr>
        <w:t xml:space="preserve">nhanced </w:t>
      </w:r>
      <w:r w:rsidR="00B45FE3">
        <w:rPr>
          <w:noProof/>
          <w:color w:val="000000" w:themeColor="text1"/>
          <w:szCs w:val="24"/>
        </w:rPr>
        <w:t>e</w:t>
      </w:r>
      <w:r w:rsidR="59334B7E" w:rsidRPr="43DA1706">
        <w:rPr>
          <w:noProof/>
          <w:color w:val="000000" w:themeColor="text1"/>
          <w:szCs w:val="24"/>
        </w:rPr>
        <w:t>n</w:t>
      </w:r>
      <w:r w:rsidR="6BBD7E5B" w:rsidRPr="43DA1706">
        <w:rPr>
          <w:noProof/>
          <w:color w:val="000000" w:themeColor="text1"/>
          <w:szCs w:val="24"/>
        </w:rPr>
        <w:t>g</w:t>
      </w:r>
      <w:r w:rsidR="59334B7E" w:rsidRPr="43DA1706">
        <w:rPr>
          <w:noProof/>
          <w:color w:val="000000" w:themeColor="text1"/>
          <w:szCs w:val="24"/>
        </w:rPr>
        <w:t xml:space="preserve">agement. </w:t>
      </w:r>
      <w:r w:rsidR="00C356BF">
        <w:rPr>
          <w:noProof/>
          <w:color w:val="000000" w:themeColor="text1"/>
          <w:szCs w:val="24"/>
        </w:rPr>
        <w:t xml:space="preserve">Additionally, </w:t>
      </w:r>
      <w:r w:rsidR="00E340D8">
        <w:rPr>
          <w:noProof/>
          <w:color w:val="000000" w:themeColor="text1"/>
          <w:szCs w:val="24"/>
        </w:rPr>
        <w:t xml:space="preserve">support for GSP beneficiaries will </w:t>
      </w:r>
      <w:r w:rsidR="00B45FE3">
        <w:rPr>
          <w:noProof/>
          <w:color w:val="000000" w:themeColor="text1"/>
          <w:szCs w:val="24"/>
        </w:rPr>
        <w:t>consider</w:t>
      </w:r>
      <w:r w:rsidR="00E340D8">
        <w:rPr>
          <w:noProof/>
          <w:color w:val="000000" w:themeColor="text1"/>
          <w:szCs w:val="24"/>
        </w:rPr>
        <w:t xml:space="preserve"> the changes in </w:t>
      </w:r>
      <w:r w:rsidR="006B6109">
        <w:rPr>
          <w:noProof/>
          <w:color w:val="000000" w:themeColor="text1"/>
          <w:szCs w:val="24"/>
        </w:rPr>
        <w:t xml:space="preserve">the </w:t>
      </w:r>
      <w:r w:rsidR="00E340D8">
        <w:rPr>
          <w:noProof/>
          <w:color w:val="000000" w:themeColor="text1"/>
          <w:szCs w:val="24"/>
        </w:rPr>
        <w:t>GSP post</w:t>
      </w:r>
      <w:r w:rsidR="00B45FE3">
        <w:rPr>
          <w:noProof/>
          <w:color w:val="000000" w:themeColor="text1"/>
          <w:szCs w:val="24"/>
        </w:rPr>
        <w:t>-</w:t>
      </w:r>
      <w:r w:rsidR="00E340D8">
        <w:rPr>
          <w:noProof/>
          <w:color w:val="000000" w:themeColor="text1"/>
          <w:szCs w:val="24"/>
        </w:rPr>
        <w:t>2023</w:t>
      </w:r>
      <w:r w:rsidR="00AF1549">
        <w:rPr>
          <w:noProof/>
          <w:color w:val="000000" w:themeColor="text1"/>
          <w:szCs w:val="24"/>
        </w:rPr>
        <w:t>, when the new Regulation is expected to enter into force,</w:t>
      </w:r>
      <w:r w:rsidR="00E340D8">
        <w:rPr>
          <w:noProof/>
          <w:color w:val="000000" w:themeColor="text1"/>
          <w:szCs w:val="24"/>
        </w:rPr>
        <w:t xml:space="preserve"> </w:t>
      </w:r>
      <w:r w:rsidR="00AF1549">
        <w:rPr>
          <w:noProof/>
          <w:color w:val="000000" w:themeColor="text1"/>
          <w:szCs w:val="24"/>
        </w:rPr>
        <w:t>notably</w:t>
      </w:r>
      <w:r w:rsidR="00E340D8">
        <w:rPr>
          <w:noProof/>
          <w:color w:val="000000" w:themeColor="text1"/>
          <w:szCs w:val="24"/>
        </w:rPr>
        <w:t xml:space="preserve"> </w:t>
      </w:r>
      <w:r w:rsidR="00A350E2">
        <w:rPr>
          <w:noProof/>
          <w:color w:val="000000" w:themeColor="text1"/>
          <w:szCs w:val="24"/>
        </w:rPr>
        <w:t>support</w:t>
      </w:r>
      <w:r w:rsidR="009F41F2">
        <w:rPr>
          <w:noProof/>
          <w:color w:val="000000" w:themeColor="text1"/>
          <w:szCs w:val="24"/>
        </w:rPr>
        <w:t>ing</w:t>
      </w:r>
      <w:r w:rsidR="00A350E2">
        <w:rPr>
          <w:noProof/>
          <w:color w:val="000000" w:themeColor="text1"/>
          <w:szCs w:val="24"/>
        </w:rPr>
        <w:t xml:space="preserve"> </w:t>
      </w:r>
      <w:r w:rsidR="00E340D8">
        <w:rPr>
          <w:noProof/>
          <w:color w:val="000000" w:themeColor="text1"/>
          <w:szCs w:val="24"/>
        </w:rPr>
        <w:t xml:space="preserve">the </w:t>
      </w:r>
      <w:r w:rsidR="00820C6E">
        <w:rPr>
          <w:noProof/>
          <w:color w:val="000000" w:themeColor="text1"/>
          <w:szCs w:val="24"/>
        </w:rPr>
        <w:t>ambitio</w:t>
      </w:r>
      <w:r w:rsidR="007C11F5">
        <w:rPr>
          <w:noProof/>
          <w:color w:val="000000" w:themeColor="text1"/>
          <w:szCs w:val="24"/>
        </w:rPr>
        <w:t>n</w:t>
      </w:r>
      <w:r w:rsidR="00820C6E">
        <w:rPr>
          <w:noProof/>
          <w:color w:val="000000" w:themeColor="text1"/>
          <w:szCs w:val="24"/>
        </w:rPr>
        <w:t>s of current GSP+ beneficiaries and future graduating LDCs to be part of the new GSP+</w:t>
      </w:r>
      <w:r w:rsidR="00A350E2">
        <w:rPr>
          <w:noProof/>
          <w:color w:val="000000" w:themeColor="text1"/>
          <w:szCs w:val="24"/>
        </w:rPr>
        <w:t xml:space="preserve"> for example</w:t>
      </w:r>
      <w:r w:rsidR="00AF1549">
        <w:rPr>
          <w:noProof/>
          <w:color w:val="000000" w:themeColor="text1"/>
          <w:szCs w:val="24"/>
        </w:rPr>
        <w:t xml:space="preserve"> by supporting</w:t>
      </w:r>
      <w:r w:rsidR="00A350E2">
        <w:rPr>
          <w:noProof/>
          <w:color w:val="000000" w:themeColor="text1"/>
          <w:szCs w:val="24"/>
        </w:rPr>
        <w:t xml:space="preserve"> ratification and implementation efforts</w:t>
      </w:r>
      <w:r w:rsidR="00820C6E">
        <w:rPr>
          <w:noProof/>
          <w:color w:val="000000" w:themeColor="text1"/>
          <w:szCs w:val="24"/>
        </w:rPr>
        <w:t xml:space="preserve">. </w:t>
      </w:r>
    </w:p>
    <w:p w14:paraId="0930968D" w14:textId="0AE0B6FF" w:rsidR="00E22389" w:rsidRPr="00C10249" w:rsidRDefault="00E22389" w:rsidP="00E22389">
      <w:pPr>
        <w:rPr>
          <w:rFonts w:ascii="Verdana" w:hAnsi="Verdana"/>
          <w:noProof/>
          <w:sz w:val="20"/>
          <w:lang w:val="en-US"/>
        </w:rPr>
      </w:pPr>
      <w:r>
        <w:rPr>
          <w:noProof/>
          <w:color w:val="000000" w:themeColor="text1"/>
          <w:szCs w:val="24"/>
        </w:rPr>
        <w:t>These efforts will be further supported by the EU’s Global Gateway</w:t>
      </w:r>
      <w:r w:rsidR="00BC5565">
        <w:rPr>
          <w:noProof/>
          <w:color w:val="000000" w:themeColor="text1"/>
          <w:szCs w:val="24"/>
        </w:rPr>
        <w:t xml:space="preserve"> described above</w:t>
      </w:r>
      <w:r>
        <w:rPr>
          <w:noProof/>
          <w:color w:val="000000" w:themeColor="text1"/>
          <w:szCs w:val="24"/>
        </w:rPr>
        <w:t xml:space="preserve">. </w:t>
      </w:r>
      <w:r w:rsidRPr="001E424F">
        <w:rPr>
          <w:noProof/>
          <w:color w:val="000000" w:themeColor="text1"/>
          <w:szCs w:val="24"/>
        </w:rPr>
        <w:t xml:space="preserve">Accordingly, </w:t>
      </w:r>
      <w:r>
        <w:rPr>
          <w:noProof/>
          <w:color w:val="000000" w:themeColor="text1"/>
          <w:szCs w:val="24"/>
        </w:rPr>
        <w:t xml:space="preserve">trade-related support will leverage </w:t>
      </w:r>
      <w:r w:rsidRPr="001E424F">
        <w:rPr>
          <w:noProof/>
          <w:color w:val="000000" w:themeColor="text1"/>
          <w:szCs w:val="24"/>
        </w:rPr>
        <w:t xml:space="preserve">innovative de-risking tools to catalyse private sector investment. </w:t>
      </w:r>
      <w:r w:rsidR="00660409" w:rsidRPr="001E424F">
        <w:rPr>
          <w:noProof/>
          <w:color w:val="000000" w:themeColor="text1"/>
          <w:szCs w:val="24"/>
        </w:rPr>
        <w:t xml:space="preserve">The </w:t>
      </w:r>
      <w:r w:rsidRPr="001E424F">
        <w:rPr>
          <w:noProof/>
          <w:color w:val="000000" w:themeColor="text1"/>
          <w:szCs w:val="24"/>
        </w:rPr>
        <w:t>Global Gateway strategy aims to boost smart, clean and secure investments in digital, energy and transport, and to strengthen health, education and research systems across the world to underpin a lasting global recovery while promoting universal values and high standards, good governance and transparenc</w:t>
      </w:r>
      <w:r w:rsidRPr="0091524D">
        <w:rPr>
          <w:noProof/>
          <w:color w:val="000000" w:themeColor="text1"/>
          <w:szCs w:val="24"/>
        </w:rPr>
        <w:t>y</w:t>
      </w:r>
      <w:r w:rsidR="00992D45">
        <w:rPr>
          <w:noProof/>
          <w:color w:val="000000" w:themeColor="text1"/>
          <w:szCs w:val="24"/>
        </w:rPr>
        <w:t> </w:t>
      </w:r>
      <w:r w:rsidRPr="0091524D">
        <w:rPr>
          <w:noProof/>
          <w:color w:val="000000" w:themeColor="text1"/>
          <w:szCs w:val="24"/>
        </w:rPr>
        <w:t>(</w:t>
      </w:r>
      <w:r w:rsidRPr="003656F4">
        <w:rPr>
          <w:rStyle w:val="FootnoteReference"/>
          <w:noProof/>
          <w:szCs w:val="24"/>
          <w:lang w:val="en-US"/>
        </w:rPr>
        <w:footnoteReference w:id="40"/>
      </w:r>
      <w:r w:rsidRPr="0091524D">
        <w:rPr>
          <w:noProof/>
          <w:color w:val="000000" w:themeColor="text1"/>
          <w:szCs w:val="24"/>
        </w:rPr>
        <w:t>)</w:t>
      </w:r>
      <w:r>
        <w:rPr>
          <w:noProof/>
          <w:color w:val="000000" w:themeColor="text1"/>
          <w:szCs w:val="24"/>
        </w:rPr>
        <w:t>.</w:t>
      </w:r>
    </w:p>
    <w:p w14:paraId="1576DC9C" w14:textId="77777777" w:rsidR="00067BA2" w:rsidRDefault="00067BA2" w:rsidP="00C10249">
      <w:pPr>
        <w:pStyle w:val="Heading1"/>
        <w:tabs>
          <w:tab w:val="clear" w:pos="2467"/>
        </w:tabs>
        <w:ind w:left="567" w:hanging="567"/>
        <w:rPr>
          <w:noProof/>
        </w:rPr>
      </w:pPr>
      <w:r>
        <w:rPr>
          <w:noProof/>
        </w:rPr>
        <w:t xml:space="preserve">Conclusion </w:t>
      </w:r>
    </w:p>
    <w:p w14:paraId="0BFA0B17" w14:textId="3B846D56" w:rsidR="004151CF" w:rsidRPr="005C6C4D" w:rsidRDefault="00872A83" w:rsidP="004151CF">
      <w:pPr>
        <w:pStyle w:val="Text1"/>
        <w:ind w:left="0"/>
        <w:rPr>
          <w:iCs/>
          <w:noProof/>
        </w:rPr>
      </w:pPr>
      <w:r w:rsidRPr="005C6C4D">
        <w:rPr>
          <w:iCs/>
          <w:noProof/>
        </w:rPr>
        <w:t>As ampl</w:t>
      </w:r>
      <w:r w:rsidR="00A80597">
        <w:rPr>
          <w:iCs/>
          <w:noProof/>
        </w:rPr>
        <w:t>e evidence indicates</w:t>
      </w:r>
      <w:r w:rsidRPr="005C6C4D">
        <w:rPr>
          <w:iCs/>
          <w:noProof/>
        </w:rPr>
        <w:t xml:space="preserve"> and </w:t>
      </w:r>
      <w:r w:rsidR="00870715">
        <w:rPr>
          <w:iCs/>
          <w:noProof/>
        </w:rPr>
        <w:t xml:space="preserve">as </w:t>
      </w:r>
      <w:r w:rsidRPr="005C6C4D">
        <w:rPr>
          <w:iCs/>
          <w:noProof/>
        </w:rPr>
        <w:t xml:space="preserve">detailed in this </w:t>
      </w:r>
      <w:r w:rsidR="009F41F2" w:rsidRPr="005C6C4D">
        <w:rPr>
          <w:iCs/>
          <w:noProof/>
        </w:rPr>
        <w:t>report</w:t>
      </w:r>
      <w:r w:rsidRPr="005C6C4D">
        <w:rPr>
          <w:iCs/>
          <w:noProof/>
        </w:rPr>
        <w:t xml:space="preserve">, </w:t>
      </w:r>
      <w:r w:rsidR="006B6109">
        <w:rPr>
          <w:iCs/>
          <w:noProof/>
        </w:rPr>
        <w:t xml:space="preserve">the </w:t>
      </w:r>
      <w:r w:rsidRPr="005C6C4D">
        <w:rPr>
          <w:iCs/>
          <w:noProof/>
        </w:rPr>
        <w:t>GSP provide</w:t>
      </w:r>
      <w:r w:rsidR="004151CF">
        <w:rPr>
          <w:iCs/>
          <w:noProof/>
        </w:rPr>
        <w:t>s</w:t>
      </w:r>
      <w:r w:rsidRPr="005C6C4D">
        <w:rPr>
          <w:iCs/>
          <w:noProof/>
        </w:rPr>
        <w:t xml:space="preserve"> substantial economic benefits to </w:t>
      </w:r>
      <w:r w:rsidR="00374D18">
        <w:rPr>
          <w:iCs/>
          <w:noProof/>
        </w:rPr>
        <w:t>its</w:t>
      </w:r>
      <w:r w:rsidR="00374D18" w:rsidRPr="005C6C4D">
        <w:rPr>
          <w:iCs/>
          <w:noProof/>
        </w:rPr>
        <w:t xml:space="preserve"> </w:t>
      </w:r>
      <w:r w:rsidR="00870715">
        <w:rPr>
          <w:iCs/>
          <w:noProof/>
        </w:rPr>
        <w:t>beneficiaries</w:t>
      </w:r>
      <w:r w:rsidR="004151CF">
        <w:rPr>
          <w:iCs/>
          <w:noProof/>
        </w:rPr>
        <w:t>, with the strongest impact on the EBA</w:t>
      </w:r>
      <w:r w:rsidR="00374D18">
        <w:rPr>
          <w:iCs/>
          <w:noProof/>
        </w:rPr>
        <w:t xml:space="preserve"> beneficiary</w:t>
      </w:r>
      <w:r w:rsidR="004151CF">
        <w:rPr>
          <w:iCs/>
          <w:noProof/>
        </w:rPr>
        <w:t xml:space="preserve"> countries</w:t>
      </w:r>
      <w:r w:rsidRPr="005C6C4D">
        <w:rPr>
          <w:iCs/>
          <w:noProof/>
        </w:rPr>
        <w:t xml:space="preserve">. </w:t>
      </w:r>
      <w:r w:rsidR="004151CF">
        <w:rPr>
          <w:iCs/>
          <w:noProof/>
        </w:rPr>
        <w:t xml:space="preserve">Between </w:t>
      </w:r>
      <w:r w:rsidR="007A5015">
        <w:rPr>
          <w:noProof/>
        </w:rPr>
        <w:t xml:space="preserve">2014 and 2019, preferential imports from EBA </w:t>
      </w:r>
      <w:r w:rsidR="00374D18">
        <w:rPr>
          <w:noProof/>
        </w:rPr>
        <w:t xml:space="preserve">beneficiaries </w:t>
      </w:r>
      <w:r w:rsidR="007A5015">
        <w:rPr>
          <w:noProof/>
        </w:rPr>
        <w:t xml:space="preserve">increased by </w:t>
      </w:r>
      <w:r w:rsidR="007A5015">
        <w:rPr>
          <w:noProof/>
          <w:lang w:val="en-US"/>
        </w:rPr>
        <w:t xml:space="preserve">81% (from </w:t>
      </w:r>
      <w:r w:rsidR="007A5015">
        <w:rPr>
          <w:noProof/>
        </w:rPr>
        <w:t>€</w:t>
      </w:r>
      <w:r w:rsidR="007A5015">
        <w:rPr>
          <w:noProof/>
          <w:lang w:val="en-US"/>
        </w:rPr>
        <w:t xml:space="preserve">13.9 billion to </w:t>
      </w:r>
      <w:r w:rsidR="007A5015">
        <w:rPr>
          <w:noProof/>
        </w:rPr>
        <w:t>€</w:t>
      </w:r>
      <w:r w:rsidR="007A5015">
        <w:rPr>
          <w:noProof/>
          <w:lang w:val="en-US"/>
        </w:rPr>
        <w:t>25.2 billion</w:t>
      </w:r>
      <w:r w:rsidR="007A5015">
        <w:rPr>
          <w:noProof/>
        </w:rPr>
        <w:t xml:space="preserve"> </w:t>
      </w:r>
      <w:r w:rsidR="007A5015">
        <w:rPr>
          <w:noProof/>
          <w:lang w:val="en-US"/>
        </w:rPr>
        <w:t xml:space="preserve">in 2019). </w:t>
      </w:r>
      <w:r w:rsidR="00536ABF">
        <w:rPr>
          <w:iCs/>
          <w:noProof/>
        </w:rPr>
        <w:t>I</w:t>
      </w:r>
      <w:r w:rsidR="006F67B9">
        <w:rPr>
          <w:iCs/>
          <w:noProof/>
        </w:rPr>
        <w:t xml:space="preserve">n the absence of GSP+ </w:t>
      </w:r>
      <w:r w:rsidR="00536ABF">
        <w:rPr>
          <w:iCs/>
          <w:noProof/>
        </w:rPr>
        <w:t>preferences,</w:t>
      </w:r>
      <w:r w:rsidR="00536ABF" w:rsidRPr="005C6C4D">
        <w:rPr>
          <w:iCs/>
          <w:noProof/>
        </w:rPr>
        <w:t xml:space="preserve"> </w:t>
      </w:r>
      <w:r w:rsidR="00536ABF">
        <w:rPr>
          <w:iCs/>
          <w:noProof/>
        </w:rPr>
        <w:t>t</w:t>
      </w:r>
      <w:r w:rsidR="004151CF" w:rsidRPr="005C6C4D">
        <w:rPr>
          <w:iCs/>
          <w:noProof/>
        </w:rPr>
        <w:t>he GDP of GSP</w:t>
      </w:r>
      <w:r w:rsidR="0033303B">
        <w:rPr>
          <w:iCs/>
          <w:noProof/>
        </w:rPr>
        <w:t>+</w:t>
      </w:r>
      <w:r w:rsidR="004151CF" w:rsidRPr="005C6C4D">
        <w:rPr>
          <w:iCs/>
          <w:noProof/>
        </w:rPr>
        <w:t xml:space="preserve"> </w:t>
      </w:r>
      <w:r w:rsidR="006B6109">
        <w:rPr>
          <w:iCs/>
          <w:noProof/>
        </w:rPr>
        <w:t xml:space="preserve">beneficiaries </w:t>
      </w:r>
      <w:r w:rsidR="004151CF" w:rsidRPr="005C6C4D">
        <w:rPr>
          <w:iCs/>
          <w:noProof/>
        </w:rPr>
        <w:t>could be reduced by up to 0</w:t>
      </w:r>
      <w:r w:rsidR="006B6109">
        <w:rPr>
          <w:iCs/>
          <w:noProof/>
        </w:rPr>
        <w:t>.</w:t>
      </w:r>
      <w:r w:rsidR="004151CF" w:rsidRPr="005C6C4D">
        <w:rPr>
          <w:iCs/>
          <w:noProof/>
        </w:rPr>
        <w:t>3%</w:t>
      </w:r>
      <w:r w:rsidR="005430B4">
        <w:rPr>
          <w:iCs/>
          <w:noProof/>
        </w:rPr>
        <w:t xml:space="preserve"> - in absolute terms, up to €6.6 billion - </w:t>
      </w:r>
      <w:r w:rsidR="00536ABF">
        <w:rPr>
          <w:iCs/>
          <w:noProof/>
        </w:rPr>
        <w:t xml:space="preserve">and </w:t>
      </w:r>
      <w:r w:rsidR="00536ABF">
        <w:rPr>
          <w:noProof/>
        </w:rPr>
        <w:t>exports from GSP+ beneficiaries to the EU could drop by up to 25%</w:t>
      </w:r>
      <w:r w:rsidR="00374D18">
        <w:rPr>
          <w:noProof/>
        </w:rPr>
        <w:t xml:space="preserve">. </w:t>
      </w:r>
    </w:p>
    <w:p w14:paraId="12883099" w14:textId="50279BD3" w:rsidR="00070773" w:rsidRDefault="00A80597" w:rsidP="008C719C">
      <w:pPr>
        <w:pStyle w:val="Text1"/>
        <w:ind w:left="0"/>
        <w:rPr>
          <w:noProof/>
        </w:rPr>
      </w:pPr>
      <w:r>
        <w:rPr>
          <w:iCs/>
          <w:noProof/>
        </w:rPr>
        <w:t xml:space="preserve">Furthermore, </w:t>
      </w:r>
      <w:r w:rsidR="00010953">
        <w:rPr>
          <w:iCs/>
          <w:noProof/>
        </w:rPr>
        <w:t xml:space="preserve">the </w:t>
      </w:r>
      <w:r w:rsidR="004151CF">
        <w:rPr>
          <w:iCs/>
          <w:noProof/>
        </w:rPr>
        <w:t xml:space="preserve">GSP is an effective instrument to </w:t>
      </w:r>
      <w:r w:rsidR="004151CF">
        <w:rPr>
          <w:noProof/>
        </w:rPr>
        <w:t xml:space="preserve">engage with and support developing countries to launch </w:t>
      </w:r>
      <w:r w:rsidR="0033303B">
        <w:rPr>
          <w:noProof/>
        </w:rPr>
        <w:t xml:space="preserve">the necessary </w:t>
      </w:r>
      <w:r w:rsidR="004151CF">
        <w:rPr>
          <w:noProof/>
        </w:rPr>
        <w:t xml:space="preserve">reforms towards the effective implementation of international standards of human rights, labour rights, environmental </w:t>
      </w:r>
      <w:r w:rsidR="00E86BF7">
        <w:rPr>
          <w:noProof/>
        </w:rPr>
        <w:t xml:space="preserve">and climate </w:t>
      </w:r>
      <w:r w:rsidR="004151CF">
        <w:rPr>
          <w:noProof/>
        </w:rPr>
        <w:t>protection</w:t>
      </w:r>
      <w:r w:rsidR="00E86BF7">
        <w:rPr>
          <w:noProof/>
        </w:rPr>
        <w:t>,</w:t>
      </w:r>
      <w:r w:rsidR="004151CF">
        <w:rPr>
          <w:noProof/>
        </w:rPr>
        <w:t xml:space="preserve"> and good governance. </w:t>
      </w:r>
    </w:p>
    <w:p w14:paraId="0392B999" w14:textId="4C19511B" w:rsidR="008950E7" w:rsidRDefault="00810732" w:rsidP="008C719C">
      <w:pPr>
        <w:pStyle w:val="Text1"/>
        <w:ind w:left="0"/>
        <w:rPr>
          <w:noProof/>
          <w:szCs w:val="24"/>
        </w:rPr>
      </w:pPr>
      <w:r w:rsidRPr="009C7743">
        <w:rPr>
          <w:noProof/>
        </w:rPr>
        <w:t>Overall</w:t>
      </w:r>
      <w:r w:rsidRPr="00C634BE">
        <w:rPr>
          <w:noProof/>
          <w:szCs w:val="24"/>
        </w:rPr>
        <w:t xml:space="preserve"> compliance with GSP+ requirements in terms of </w:t>
      </w:r>
      <w:r w:rsidRPr="00C634BE">
        <w:rPr>
          <w:bCs/>
          <w:noProof/>
          <w:szCs w:val="24"/>
        </w:rPr>
        <w:t>reporting obligations to UN and ILO monitoring bodies</w:t>
      </w:r>
      <w:r w:rsidRPr="00C634BE">
        <w:rPr>
          <w:noProof/>
          <w:szCs w:val="24"/>
        </w:rPr>
        <w:t xml:space="preserve"> is relatively high</w:t>
      </w:r>
      <w:r w:rsidR="006F67B9">
        <w:rPr>
          <w:noProof/>
          <w:szCs w:val="24"/>
        </w:rPr>
        <w:t xml:space="preserve">, reflecting a clear commitment by beneficiary countries to </w:t>
      </w:r>
      <w:r w:rsidR="008950E7">
        <w:rPr>
          <w:noProof/>
          <w:szCs w:val="24"/>
        </w:rPr>
        <w:t xml:space="preserve">this </w:t>
      </w:r>
      <w:r w:rsidR="006F67B9">
        <w:rPr>
          <w:noProof/>
          <w:szCs w:val="24"/>
        </w:rPr>
        <w:t>key prerequisite for participation in the scheme</w:t>
      </w:r>
      <w:r w:rsidR="00FD1BB5">
        <w:rPr>
          <w:noProof/>
          <w:szCs w:val="24"/>
        </w:rPr>
        <w:t xml:space="preserve"> and adherence to international standards</w:t>
      </w:r>
      <w:r w:rsidR="008950E7">
        <w:rPr>
          <w:noProof/>
          <w:szCs w:val="24"/>
        </w:rPr>
        <w:t xml:space="preserve">. </w:t>
      </w:r>
      <w:r w:rsidR="007D191C">
        <w:rPr>
          <w:noProof/>
          <w:szCs w:val="24"/>
        </w:rPr>
        <w:t xml:space="preserve">This commitment </w:t>
      </w:r>
      <w:r w:rsidR="008950E7">
        <w:rPr>
          <w:noProof/>
          <w:szCs w:val="24"/>
        </w:rPr>
        <w:t>also prov</w:t>
      </w:r>
      <w:r w:rsidR="00FD1BB5">
        <w:rPr>
          <w:noProof/>
          <w:szCs w:val="24"/>
        </w:rPr>
        <w:t>id</w:t>
      </w:r>
      <w:r w:rsidR="008950E7">
        <w:rPr>
          <w:noProof/>
          <w:szCs w:val="24"/>
        </w:rPr>
        <w:t xml:space="preserve">es a basis for assessment </w:t>
      </w:r>
      <w:r w:rsidR="00156907">
        <w:rPr>
          <w:noProof/>
          <w:szCs w:val="24"/>
        </w:rPr>
        <w:t>by</w:t>
      </w:r>
      <w:r w:rsidR="008950E7">
        <w:rPr>
          <w:noProof/>
          <w:szCs w:val="24"/>
        </w:rPr>
        <w:t xml:space="preserve"> treaty monitoring bodies, which </w:t>
      </w:r>
      <w:r w:rsidR="00FD1BB5">
        <w:rPr>
          <w:noProof/>
          <w:szCs w:val="24"/>
        </w:rPr>
        <w:t>is in turn</w:t>
      </w:r>
      <w:r w:rsidR="008950E7">
        <w:rPr>
          <w:noProof/>
          <w:szCs w:val="24"/>
        </w:rPr>
        <w:t xml:space="preserve"> the key component of the EU’s </w:t>
      </w:r>
      <w:r w:rsidR="00FD1BB5">
        <w:rPr>
          <w:noProof/>
          <w:szCs w:val="24"/>
        </w:rPr>
        <w:t>monitoring and engagement</w:t>
      </w:r>
      <w:r w:rsidR="008950E7">
        <w:rPr>
          <w:noProof/>
          <w:szCs w:val="24"/>
        </w:rPr>
        <w:t xml:space="preserve">. </w:t>
      </w:r>
    </w:p>
    <w:p w14:paraId="69422CB0" w14:textId="47CCD848" w:rsidR="008950E7" w:rsidRPr="009C7743" w:rsidRDefault="008950E7" w:rsidP="008C719C">
      <w:pPr>
        <w:pStyle w:val="Text1"/>
        <w:ind w:left="0"/>
        <w:rPr>
          <w:noProof/>
        </w:rPr>
      </w:pPr>
      <w:r>
        <w:rPr>
          <w:noProof/>
          <w:szCs w:val="24"/>
        </w:rPr>
        <w:t xml:space="preserve">On this basis, the Commission </w:t>
      </w:r>
      <w:r w:rsidR="009F41F2">
        <w:rPr>
          <w:noProof/>
          <w:szCs w:val="24"/>
        </w:rPr>
        <w:t xml:space="preserve">services </w:t>
      </w:r>
      <w:r>
        <w:rPr>
          <w:noProof/>
          <w:szCs w:val="24"/>
        </w:rPr>
        <w:t xml:space="preserve">and the EEAS are monitoring </w:t>
      </w:r>
      <w:r w:rsidR="00891F88">
        <w:rPr>
          <w:noProof/>
          <w:szCs w:val="24"/>
        </w:rPr>
        <w:t xml:space="preserve">the respect of </w:t>
      </w:r>
      <w:r>
        <w:rPr>
          <w:noProof/>
          <w:szCs w:val="24"/>
        </w:rPr>
        <w:t>GSP obligations to comply with international standards for all beneficiaries</w:t>
      </w:r>
      <w:r w:rsidR="00BC5565">
        <w:rPr>
          <w:noProof/>
          <w:szCs w:val="24"/>
        </w:rPr>
        <w:t>,</w:t>
      </w:r>
      <w:r>
        <w:rPr>
          <w:noProof/>
          <w:szCs w:val="24"/>
        </w:rPr>
        <w:t xml:space="preserve"> and more particularly for the </w:t>
      </w:r>
      <w:r w:rsidR="00156907">
        <w:rPr>
          <w:noProof/>
          <w:szCs w:val="24"/>
        </w:rPr>
        <w:t xml:space="preserve">beneficiaries of the </w:t>
      </w:r>
      <w:r>
        <w:rPr>
          <w:noProof/>
          <w:szCs w:val="24"/>
        </w:rPr>
        <w:t>GSP+ arrangement</w:t>
      </w:r>
      <w:r w:rsidR="00156907">
        <w:rPr>
          <w:noProof/>
          <w:szCs w:val="24"/>
        </w:rPr>
        <w:t xml:space="preserve"> and some EBA beneficiaries</w:t>
      </w:r>
      <w:r>
        <w:rPr>
          <w:noProof/>
          <w:szCs w:val="24"/>
        </w:rPr>
        <w:t>. Monitoring focus</w:t>
      </w:r>
      <w:r w:rsidR="00156907">
        <w:rPr>
          <w:noProof/>
          <w:szCs w:val="24"/>
        </w:rPr>
        <w:t>ses on</w:t>
      </w:r>
      <w:r>
        <w:rPr>
          <w:noProof/>
          <w:szCs w:val="24"/>
        </w:rPr>
        <w:t xml:space="preserve"> </w:t>
      </w:r>
      <w:r w:rsidR="00156907">
        <w:rPr>
          <w:noProof/>
          <w:szCs w:val="24"/>
        </w:rPr>
        <w:t xml:space="preserve">the </w:t>
      </w:r>
      <w:r>
        <w:rPr>
          <w:noProof/>
          <w:szCs w:val="24"/>
        </w:rPr>
        <w:t xml:space="preserve">implementation </w:t>
      </w:r>
      <w:r w:rsidR="00156907">
        <w:rPr>
          <w:noProof/>
          <w:szCs w:val="24"/>
        </w:rPr>
        <w:t xml:space="preserve">of international standards set by </w:t>
      </w:r>
      <w:r>
        <w:rPr>
          <w:noProof/>
          <w:szCs w:val="24"/>
        </w:rPr>
        <w:t>the UN and ILO on their respective conventions</w:t>
      </w:r>
      <w:r w:rsidR="00156907">
        <w:rPr>
          <w:noProof/>
          <w:szCs w:val="24"/>
        </w:rPr>
        <w:t>. E</w:t>
      </w:r>
      <w:r>
        <w:rPr>
          <w:noProof/>
          <w:szCs w:val="24"/>
        </w:rPr>
        <w:t xml:space="preserve">ngagement with beneficiary countries </w:t>
      </w:r>
      <w:r w:rsidR="00FD1BB5">
        <w:rPr>
          <w:noProof/>
          <w:szCs w:val="24"/>
        </w:rPr>
        <w:t>makes use of</w:t>
      </w:r>
      <w:r w:rsidR="007D191C">
        <w:rPr>
          <w:noProof/>
          <w:szCs w:val="24"/>
        </w:rPr>
        <w:t xml:space="preserve"> </w:t>
      </w:r>
      <w:r w:rsidR="00156907">
        <w:rPr>
          <w:noProof/>
          <w:szCs w:val="24"/>
        </w:rPr>
        <w:t xml:space="preserve">all opportunities and means of communication available, including existing formal </w:t>
      </w:r>
      <w:r w:rsidR="00156907" w:rsidRPr="008C719C">
        <w:rPr>
          <w:i/>
          <w:iCs/>
          <w:noProof/>
          <w:szCs w:val="24"/>
        </w:rPr>
        <w:t>fora</w:t>
      </w:r>
      <w:r w:rsidR="00156907">
        <w:rPr>
          <w:noProof/>
          <w:szCs w:val="24"/>
        </w:rPr>
        <w:t xml:space="preserve"> like dialogues and joint commission</w:t>
      </w:r>
      <w:r w:rsidR="00FD1BB5">
        <w:rPr>
          <w:noProof/>
          <w:szCs w:val="24"/>
        </w:rPr>
        <w:t>s</w:t>
      </w:r>
      <w:r w:rsidR="00156907">
        <w:rPr>
          <w:noProof/>
          <w:szCs w:val="24"/>
        </w:rPr>
        <w:t xml:space="preserve">, as well as monitoring missions and other </w:t>
      </w:r>
      <w:r w:rsidR="007D191C">
        <w:rPr>
          <w:noProof/>
          <w:szCs w:val="24"/>
        </w:rPr>
        <w:t xml:space="preserve">more </w:t>
      </w:r>
      <w:r w:rsidR="00156907">
        <w:rPr>
          <w:noProof/>
          <w:szCs w:val="24"/>
        </w:rPr>
        <w:t xml:space="preserve">informal means of exchange. In this process, the inputs of civil society partners, both in the beneficiary country and internationally, </w:t>
      </w:r>
      <w:r w:rsidR="007D191C">
        <w:rPr>
          <w:noProof/>
          <w:szCs w:val="24"/>
        </w:rPr>
        <w:t>are</w:t>
      </w:r>
      <w:r w:rsidR="00156907">
        <w:rPr>
          <w:noProof/>
          <w:szCs w:val="24"/>
        </w:rPr>
        <w:t xml:space="preserve"> of primary importance. T</w:t>
      </w:r>
      <w:r>
        <w:rPr>
          <w:noProof/>
          <w:szCs w:val="24"/>
        </w:rPr>
        <w:t>echnical and development cooperation projects</w:t>
      </w:r>
      <w:r w:rsidR="00156907">
        <w:rPr>
          <w:noProof/>
          <w:szCs w:val="24"/>
        </w:rPr>
        <w:t xml:space="preserve"> also contribute towards the goal of sustainable </w:t>
      </w:r>
      <w:r w:rsidR="00156907" w:rsidRPr="009C7743">
        <w:rPr>
          <w:noProof/>
        </w:rPr>
        <w:t>development</w:t>
      </w:r>
      <w:r w:rsidR="00FD1BB5" w:rsidRPr="009C7743">
        <w:rPr>
          <w:noProof/>
        </w:rPr>
        <w:t xml:space="preserve"> and the implementation of international standards</w:t>
      </w:r>
      <w:r w:rsidRPr="009C7743">
        <w:rPr>
          <w:noProof/>
        </w:rPr>
        <w:t xml:space="preserve">. </w:t>
      </w:r>
    </w:p>
    <w:p w14:paraId="2B04A9F3" w14:textId="25E35B34" w:rsidR="00070773" w:rsidRPr="00C634BE" w:rsidRDefault="008950E7" w:rsidP="008C719C">
      <w:pPr>
        <w:pStyle w:val="Text1"/>
        <w:ind w:left="0"/>
        <w:rPr>
          <w:noProof/>
        </w:rPr>
      </w:pPr>
      <w:r w:rsidRPr="009C7743">
        <w:rPr>
          <w:noProof/>
        </w:rPr>
        <w:t>Beyond</w:t>
      </w:r>
      <w:r>
        <w:rPr>
          <w:noProof/>
          <w:szCs w:val="24"/>
        </w:rPr>
        <w:t xml:space="preserve"> the implementation of existing obligations, </w:t>
      </w:r>
      <w:r>
        <w:rPr>
          <w:noProof/>
        </w:rPr>
        <w:t>t</w:t>
      </w:r>
      <w:r w:rsidR="0033303B" w:rsidRPr="00C634BE">
        <w:rPr>
          <w:noProof/>
        </w:rPr>
        <w:t xml:space="preserve">he accompanying </w:t>
      </w:r>
      <w:r w:rsidR="00FD1BB5">
        <w:rPr>
          <w:noProof/>
        </w:rPr>
        <w:t xml:space="preserve">Staff </w:t>
      </w:r>
      <w:r w:rsidR="00C16BF9" w:rsidRPr="00C634BE">
        <w:rPr>
          <w:noProof/>
        </w:rPr>
        <w:t xml:space="preserve">Working Documents </w:t>
      </w:r>
      <w:r>
        <w:rPr>
          <w:noProof/>
        </w:rPr>
        <w:t xml:space="preserve">show beneficiaries’ commitment to international standards </w:t>
      </w:r>
      <w:r w:rsidR="00070773" w:rsidRPr="00C634BE">
        <w:rPr>
          <w:noProof/>
        </w:rPr>
        <w:t>beyond the formally established list of conventions listed in the GSP Regulation</w:t>
      </w:r>
      <w:r w:rsidR="00374D18" w:rsidRPr="00C634BE">
        <w:rPr>
          <w:noProof/>
        </w:rPr>
        <w:t>. F</w:t>
      </w:r>
      <w:r w:rsidR="00070773" w:rsidRPr="00C634BE">
        <w:rPr>
          <w:noProof/>
        </w:rPr>
        <w:t xml:space="preserve">or example, GSP+ beneficiaries have ratified the Convention on the Rights of People with Disabilities and the Paris Agreement, which are not listed in the GSP </w:t>
      </w:r>
      <w:r w:rsidR="00010953" w:rsidRPr="00C634BE">
        <w:rPr>
          <w:noProof/>
        </w:rPr>
        <w:t>R</w:t>
      </w:r>
      <w:r w:rsidR="00070773" w:rsidRPr="00C634BE">
        <w:rPr>
          <w:noProof/>
        </w:rPr>
        <w:t xml:space="preserve">egulation. </w:t>
      </w:r>
      <w:r w:rsidR="005405EA">
        <w:rPr>
          <w:noProof/>
        </w:rPr>
        <w:t xml:space="preserve">Moreover, </w:t>
      </w:r>
      <w:r w:rsidR="005401A3">
        <w:rPr>
          <w:noProof/>
        </w:rPr>
        <w:t>several</w:t>
      </w:r>
      <w:r w:rsidR="00070773" w:rsidRPr="00C634BE">
        <w:rPr>
          <w:noProof/>
        </w:rPr>
        <w:t xml:space="preserve"> GSP beneficiaries are advancing in ratification of the newly established fundamental ILO conventions relating to occupational safety and health, as well </w:t>
      </w:r>
      <w:r w:rsidR="00BC5565">
        <w:rPr>
          <w:noProof/>
        </w:rPr>
        <w:t xml:space="preserve">as </w:t>
      </w:r>
      <w:r w:rsidR="00635597" w:rsidRPr="00C634BE">
        <w:rPr>
          <w:noProof/>
        </w:rPr>
        <w:t xml:space="preserve">ILO conventions </w:t>
      </w:r>
      <w:r w:rsidR="00070773" w:rsidRPr="00C634BE">
        <w:rPr>
          <w:noProof/>
        </w:rPr>
        <w:t xml:space="preserve">on labour inspections and tripartite consultations, not listed in the GSP Regulation either. </w:t>
      </w:r>
    </w:p>
    <w:p w14:paraId="16102887" w14:textId="26E69FC9" w:rsidR="00635597" w:rsidRPr="009C7743" w:rsidRDefault="008950E7" w:rsidP="008C719C">
      <w:pPr>
        <w:pStyle w:val="Text1"/>
        <w:ind w:left="0"/>
        <w:rPr>
          <w:noProof/>
        </w:rPr>
      </w:pPr>
      <w:r>
        <w:rPr>
          <w:noProof/>
          <w:szCs w:val="24"/>
        </w:rPr>
        <w:t>Against the background of these incentives and monitoring, o</w:t>
      </w:r>
      <w:r w:rsidR="00635597" w:rsidRPr="00C634BE">
        <w:rPr>
          <w:noProof/>
          <w:szCs w:val="24"/>
        </w:rPr>
        <w:t xml:space="preserve">ver the last few years significant progress was achieved </w:t>
      </w:r>
      <w:r w:rsidR="007D191C">
        <w:rPr>
          <w:noProof/>
          <w:szCs w:val="24"/>
        </w:rPr>
        <w:t xml:space="preserve">in many beneficiary countries </w:t>
      </w:r>
      <w:r w:rsidR="00635597" w:rsidRPr="00C634BE">
        <w:rPr>
          <w:noProof/>
          <w:szCs w:val="24"/>
        </w:rPr>
        <w:t xml:space="preserve">in terms of efforts to advance women’s and children’s rights, the fight against torture and ill treatment, </w:t>
      </w:r>
      <w:r w:rsidR="00F410CB">
        <w:rPr>
          <w:noProof/>
          <w:szCs w:val="24"/>
        </w:rPr>
        <w:t>as well as labour rights and working cond</w:t>
      </w:r>
      <w:r w:rsidR="00BC7061">
        <w:rPr>
          <w:noProof/>
          <w:szCs w:val="24"/>
        </w:rPr>
        <w:t>i</w:t>
      </w:r>
      <w:r w:rsidR="00F410CB">
        <w:rPr>
          <w:noProof/>
          <w:szCs w:val="24"/>
        </w:rPr>
        <w:t xml:space="preserve">tions, including </w:t>
      </w:r>
      <w:r w:rsidR="00635597" w:rsidRPr="00C634BE">
        <w:rPr>
          <w:noProof/>
          <w:szCs w:val="24"/>
        </w:rPr>
        <w:t>eradication of child labour and forced labour</w:t>
      </w:r>
      <w:r w:rsidR="00374D18" w:rsidRPr="00C634BE">
        <w:rPr>
          <w:noProof/>
          <w:szCs w:val="24"/>
        </w:rPr>
        <w:t xml:space="preserve"> in GSP beneficiary countries</w:t>
      </w:r>
      <w:r w:rsidR="00635597" w:rsidRPr="00C634BE">
        <w:rPr>
          <w:noProof/>
          <w:szCs w:val="24"/>
        </w:rPr>
        <w:t xml:space="preserve">. Examples include Sri Lanka, which has made significant progress in the fight against child labour. Uzbekistan eradicated forced and child labour in its cotton harvest through sustained efforts since 2016. Beneficiary countries are making progress in addressing key </w:t>
      </w:r>
      <w:r w:rsidR="00635597" w:rsidRPr="00C634BE">
        <w:rPr>
          <w:bCs/>
          <w:noProof/>
          <w:szCs w:val="24"/>
        </w:rPr>
        <w:t>environmental and climate change</w:t>
      </w:r>
      <w:r w:rsidR="00635597" w:rsidRPr="00C634BE">
        <w:rPr>
          <w:noProof/>
          <w:szCs w:val="24"/>
        </w:rPr>
        <w:t xml:space="preserve"> challenges, as well as in deploying efforts towards drug control and anti-corruption </w:t>
      </w:r>
      <w:r w:rsidR="00635597" w:rsidRPr="009C7743">
        <w:rPr>
          <w:noProof/>
        </w:rPr>
        <w:t xml:space="preserve">measures. </w:t>
      </w:r>
    </w:p>
    <w:p w14:paraId="736E894B" w14:textId="4E49D4B9" w:rsidR="00D15EAA" w:rsidRDefault="00DE4BB8" w:rsidP="008C719C">
      <w:pPr>
        <w:pStyle w:val="Text1"/>
        <w:ind w:left="0"/>
        <w:rPr>
          <w:noProof/>
          <w:szCs w:val="24"/>
        </w:rPr>
      </w:pPr>
      <w:r w:rsidRPr="009C7743">
        <w:rPr>
          <w:noProof/>
        </w:rPr>
        <w:t>In conclusion, the</w:t>
      </w:r>
      <w:r w:rsidR="00D15EAA" w:rsidRPr="009C7743">
        <w:rPr>
          <w:noProof/>
        </w:rPr>
        <w:t xml:space="preserve"> EU GSP contributes to positive economic and sustainable development in</w:t>
      </w:r>
      <w:r w:rsidR="00D15EAA">
        <w:rPr>
          <w:noProof/>
          <w:szCs w:val="24"/>
        </w:rPr>
        <w:t xml:space="preserve"> beneficiary countries</w:t>
      </w:r>
      <w:r>
        <w:rPr>
          <w:noProof/>
          <w:szCs w:val="24"/>
        </w:rPr>
        <w:t xml:space="preserve"> by supporting GSP countries</w:t>
      </w:r>
      <w:r w:rsidR="00010953">
        <w:rPr>
          <w:noProof/>
          <w:szCs w:val="24"/>
        </w:rPr>
        <w:t>’</w:t>
      </w:r>
      <w:r>
        <w:rPr>
          <w:noProof/>
          <w:szCs w:val="24"/>
        </w:rPr>
        <w:t xml:space="preserve"> integration in </w:t>
      </w:r>
      <w:r w:rsidR="00286319">
        <w:rPr>
          <w:noProof/>
          <w:szCs w:val="24"/>
        </w:rPr>
        <w:t xml:space="preserve">the </w:t>
      </w:r>
      <w:r>
        <w:rPr>
          <w:noProof/>
          <w:szCs w:val="24"/>
        </w:rPr>
        <w:t>international global value chains and</w:t>
      </w:r>
      <w:r w:rsidR="00D15EAA">
        <w:rPr>
          <w:noProof/>
          <w:szCs w:val="24"/>
        </w:rPr>
        <w:t xml:space="preserve"> their compliance with the respective GSP obligations.</w:t>
      </w:r>
      <w:r w:rsidR="005C03AB">
        <w:rPr>
          <w:noProof/>
          <w:szCs w:val="24"/>
        </w:rPr>
        <w:t xml:space="preserve"> </w:t>
      </w:r>
      <w:r w:rsidR="00497B56">
        <w:rPr>
          <w:noProof/>
          <w:szCs w:val="24"/>
        </w:rPr>
        <w:t>The EU GSP’s incentive-based approach of engagement has proven successful</w:t>
      </w:r>
      <w:r w:rsidR="008C719C">
        <w:rPr>
          <w:noProof/>
          <w:szCs w:val="24"/>
        </w:rPr>
        <w:t>,</w:t>
      </w:r>
      <w:r w:rsidR="00497B56">
        <w:rPr>
          <w:noProof/>
          <w:szCs w:val="24"/>
        </w:rPr>
        <w:t xml:space="preserve"> and </w:t>
      </w:r>
      <w:r w:rsidR="00F410CB">
        <w:rPr>
          <w:noProof/>
          <w:szCs w:val="24"/>
        </w:rPr>
        <w:t>i</w:t>
      </w:r>
      <w:r w:rsidR="007D191C">
        <w:rPr>
          <w:noProof/>
          <w:szCs w:val="24"/>
        </w:rPr>
        <w:t>t should</w:t>
      </w:r>
      <w:r w:rsidR="00497B56">
        <w:rPr>
          <w:noProof/>
          <w:szCs w:val="24"/>
        </w:rPr>
        <w:t>,</w:t>
      </w:r>
      <w:r w:rsidR="007D191C">
        <w:rPr>
          <w:noProof/>
          <w:szCs w:val="24"/>
        </w:rPr>
        <w:t xml:space="preserve"> therefore</w:t>
      </w:r>
      <w:r w:rsidR="00497B56">
        <w:rPr>
          <w:noProof/>
          <w:szCs w:val="24"/>
        </w:rPr>
        <w:t>,</w:t>
      </w:r>
      <w:r w:rsidR="007D191C">
        <w:rPr>
          <w:noProof/>
          <w:szCs w:val="24"/>
        </w:rPr>
        <w:t xml:space="preserve"> continue</w:t>
      </w:r>
      <w:r w:rsidR="00497B56">
        <w:rPr>
          <w:noProof/>
          <w:szCs w:val="24"/>
        </w:rPr>
        <w:t>.</w:t>
      </w:r>
      <w:r w:rsidR="007D191C">
        <w:rPr>
          <w:noProof/>
          <w:szCs w:val="24"/>
        </w:rPr>
        <w:t xml:space="preserve"> </w:t>
      </w:r>
      <w:r w:rsidR="00D15EAA">
        <w:rPr>
          <w:noProof/>
          <w:szCs w:val="24"/>
        </w:rPr>
        <w:t xml:space="preserve">This implies establishing effective and trust-based interactions with </w:t>
      </w:r>
      <w:r>
        <w:rPr>
          <w:noProof/>
          <w:szCs w:val="24"/>
        </w:rPr>
        <w:t xml:space="preserve">GSP </w:t>
      </w:r>
      <w:r w:rsidR="00D15EAA">
        <w:rPr>
          <w:noProof/>
          <w:szCs w:val="24"/>
        </w:rPr>
        <w:t xml:space="preserve">governmental authorities over issues that are often politically sensitive and </w:t>
      </w:r>
      <w:r w:rsidR="00C16BF9">
        <w:rPr>
          <w:noProof/>
          <w:szCs w:val="24"/>
        </w:rPr>
        <w:t xml:space="preserve">that </w:t>
      </w:r>
      <w:r w:rsidR="00D15EAA">
        <w:rPr>
          <w:noProof/>
          <w:szCs w:val="24"/>
        </w:rPr>
        <w:t xml:space="preserve">require time to be tackled successfully. The EU GSP acts </w:t>
      </w:r>
      <w:r w:rsidR="009F41F2">
        <w:rPr>
          <w:noProof/>
          <w:szCs w:val="24"/>
        </w:rPr>
        <w:t xml:space="preserve">as </w:t>
      </w:r>
      <w:r w:rsidR="00D15EAA">
        <w:rPr>
          <w:noProof/>
          <w:szCs w:val="24"/>
        </w:rPr>
        <w:t>a facilitator to achieve progress on the ground, in a way that is sustainable over time</w:t>
      </w:r>
      <w:r w:rsidR="00C16BF9">
        <w:rPr>
          <w:noProof/>
          <w:szCs w:val="24"/>
        </w:rPr>
        <w:t xml:space="preserve">, through </w:t>
      </w:r>
      <w:r w:rsidR="00ED0CA8">
        <w:rPr>
          <w:noProof/>
          <w:szCs w:val="24"/>
        </w:rPr>
        <w:t>closer relations and positive engagement between the EU and beneficiary countries.</w:t>
      </w:r>
    </w:p>
    <w:p w14:paraId="7EC394B6" w14:textId="697C54EB" w:rsidR="00DC0C35" w:rsidRDefault="00AC5FB6" w:rsidP="008C719C">
      <w:pPr>
        <w:pStyle w:val="Text1"/>
        <w:ind w:left="0"/>
        <w:rPr>
          <w:noProof/>
          <w:color w:val="000000" w:themeColor="text1"/>
        </w:rPr>
      </w:pPr>
      <w:r>
        <w:rPr>
          <w:noProof/>
          <w:color w:val="000000" w:themeColor="text1"/>
        </w:rPr>
        <w:t xml:space="preserve">It is fundamental to provide continuity and legal certainty for GSP beneficiaries and business. </w:t>
      </w:r>
      <w:r w:rsidR="00C26244">
        <w:rPr>
          <w:noProof/>
          <w:color w:val="000000" w:themeColor="text1"/>
        </w:rPr>
        <w:t>In view of the upcoming expiry of the GSP Regulation</w:t>
      </w:r>
      <w:r w:rsidR="005F7C7C">
        <w:rPr>
          <w:noProof/>
          <w:color w:val="000000" w:themeColor="text1"/>
        </w:rPr>
        <w:t xml:space="preserve"> at the end of 2023</w:t>
      </w:r>
      <w:r w:rsidR="00C26244">
        <w:rPr>
          <w:noProof/>
          <w:color w:val="000000" w:themeColor="text1"/>
        </w:rPr>
        <w:t xml:space="preserve"> and the </w:t>
      </w:r>
      <w:r w:rsidR="005F7C7C">
        <w:rPr>
          <w:noProof/>
          <w:color w:val="000000" w:themeColor="text1"/>
        </w:rPr>
        <w:t xml:space="preserve">still on-going negotiations </w:t>
      </w:r>
      <w:r w:rsidR="003B5735">
        <w:rPr>
          <w:noProof/>
          <w:color w:val="000000" w:themeColor="text1"/>
        </w:rPr>
        <w:t xml:space="preserve">for </w:t>
      </w:r>
      <w:r w:rsidR="005F7C7C">
        <w:rPr>
          <w:noProof/>
          <w:color w:val="000000" w:themeColor="text1"/>
        </w:rPr>
        <w:t>a new Regulation</w:t>
      </w:r>
      <w:r w:rsidR="00C26244">
        <w:rPr>
          <w:noProof/>
          <w:color w:val="000000" w:themeColor="text1"/>
        </w:rPr>
        <w:t>, the Commission has proposed</w:t>
      </w:r>
      <w:r w:rsidR="005F7C7C">
        <w:rPr>
          <w:noProof/>
          <w:color w:val="000000" w:themeColor="text1"/>
        </w:rPr>
        <w:t xml:space="preserve"> an extension of the current rules</w:t>
      </w:r>
      <w:r w:rsidR="00233509">
        <w:rPr>
          <w:noProof/>
          <w:color w:val="000000" w:themeColor="text1"/>
        </w:rPr>
        <w:t>,</w:t>
      </w:r>
      <w:r w:rsidR="00233509" w:rsidRPr="00233509">
        <w:rPr>
          <w:noProof/>
        </w:rPr>
        <w:t xml:space="preserve"> </w:t>
      </w:r>
      <w:r w:rsidR="00233509" w:rsidRPr="00233509">
        <w:rPr>
          <w:noProof/>
          <w:color w:val="000000" w:themeColor="text1"/>
        </w:rPr>
        <w:t>which was welcomed by the European Parliament and the Council</w:t>
      </w:r>
      <w:r w:rsidR="005F7C7C">
        <w:rPr>
          <w:noProof/>
          <w:color w:val="000000" w:themeColor="text1"/>
        </w:rPr>
        <w:t xml:space="preserve">. </w:t>
      </w:r>
      <w:r w:rsidR="00CD4A0E">
        <w:rPr>
          <w:noProof/>
          <w:color w:val="000000" w:themeColor="text1"/>
        </w:rPr>
        <w:t xml:space="preserve">During </w:t>
      </w:r>
      <w:r w:rsidR="004B289C">
        <w:rPr>
          <w:noProof/>
          <w:color w:val="000000" w:themeColor="text1"/>
        </w:rPr>
        <w:t xml:space="preserve">the </w:t>
      </w:r>
      <w:r w:rsidR="00CD4A0E">
        <w:rPr>
          <w:noProof/>
          <w:color w:val="000000" w:themeColor="text1"/>
        </w:rPr>
        <w:t>period of prolongation of the current rules, monitoring and engagement will continue as usual</w:t>
      </w:r>
      <w:r w:rsidR="004B289C">
        <w:rPr>
          <w:noProof/>
          <w:color w:val="000000" w:themeColor="text1"/>
        </w:rPr>
        <w:t>,</w:t>
      </w:r>
      <w:r w:rsidR="004B289C" w:rsidRPr="00E86E29">
        <w:rPr>
          <w:noProof/>
        </w:rPr>
        <w:t xml:space="preserve"> </w:t>
      </w:r>
      <w:r w:rsidR="004B289C" w:rsidRPr="00E86E29">
        <w:rPr>
          <w:noProof/>
          <w:color w:val="000000" w:themeColor="text1"/>
        </w:rPr>
        <w:t xml:space="preserve">and beneficiary countries should </w:t>
      </w:r>
      <w:r w:rsidR="004B289C">
        <w:rPr>
          <w:noProof/>
          <w:color w:val="000000" w:themeColor="text1"/>
        </w:rPr>
        <w:t xml:space="preserve">continue to make reform </w:t>
      </w:r>
      <w:r w:rsidR="004B289C" w:rsidRPr="00E86E29">
        <w:rPr>
          <w:noProof/>
          <w:color w:val="000000" w:themeColor="text1"/>
        </w:rPr>
        <w:t>efforts</w:t>
      </w:r>
      <w:r w:rsidR="00CD4A0E">
        <w:rPr>
          <w:noProof/>
          <w:color w:val="000000" w:themeColor="text1"/>
        </w:rPr>
        <w:t xml:space="preserve">. </w:t>
      </w:r>
      <w:r w:rsidR="006F67B9">
        <w:rPr>
          <w:noProof/>
          <w:color w:val="000000" w:themeColor="text1"/>
        </w:rPr>
        <w:t xml:space="preserve">Beyond the extension, </w:t>
      </w:r>
      <w:r>
        <w:rPr>
          <w:noProof/>
          <w:color w:val="000000" w:themeColor="text1"/>
        </w:rPr>
        <w:t>a</w:t>
      </w:r>
      <w:r w:rsidRPr="00716891">
        <w:rPr>
          <w:noProof/>
          <w:color w:val="000000" w:themeColor="text1"/>
        </w:rPr>
        <w:t xml:space="preserve"> </w:t>
      </w:r>
      <w:r w:rsidR="00C26244">
        <w:rPr>
          <w:noProof/>
          <w:color w:val="000000" w:themeColor="text1"/>
        </w:rPr>
        <w:t>revised</w:t>
      </w:r>
      <w:r w:rsidR="00C26244" w:rsidRPr="00716891">
        <w:rPr>
          <w:noProof/>
          <w:color w:val="000000" w:themeColor="text1"/>
        </w:rPr>
        <w:t xml:space="preserve"> </w:t>
      </w:r>
      <w:r w:rsidR="00DE4BB8" w:rsidRPr="00716891">
        <w:rPr>
          <w:noProof/>
          <w:color w:val="000000" w:themeColor="text1"/>
        </w:rPr>
        <w:t xml:space="preserve">GSP Regulation </w:t>
      </w:r>
      <w:r w:rsidR="009F41F2">
        <w:rPr>
          <w:noProof/>
          <w:color w:val="000000" w:themeColor="text1"/>
        </w:rPr>
        <w:t xml:space="preserve">is expected to </w:t>
      </w:r>
      <w:r w:rsidR="00DE4BB8">
        <w:rPr>
          <w:noProof/>
          <w:color w:val="000000" w:themeColor="text1"/>
        </w:rPr>
        <w:t>provide</w:t>
      </w:r>
      <w:r w:rsidR="00DE4BB8" w:rsidRPr="00716891">
        <w:rPr>
          <w:noProof/>
          <w:color w:val="000000" w:themeColor="text1"/>
        </w:rPr>
        <w:t xml:space="preserve"> continuity and maintain the essential features of the sch</w:t>
      </w:r>
      <w:r w:rsidR="00DE4BB8">
        <w:rPr>
          <w:noProof/>
          <w:color w:val="000000" w:themeColor="text1"/>
        </w:rPr>
        <w:t xml:space="preserve">eme, while </w:t>
      </w:r>
      <w:r w:rsidR="00DB03CA">
        <w:rPr>
          <w:noProof/>
          <w:color w:val="000000" w:themeColor="text1"/>
        </w:rPr>
        <w:t>being</w:t>
      </w:r>
      <w:r w:rsidR="00DE4BB8">
        <w:rPr>
          <w:noProof/>
          <w:color w:val="000000" w:themeColor="text1"/>
        </w:rPr>
        <w:t xml:space="preserve"> flexible to </w:t>
      </w:r>
      <w:r w:rsidR="00DE4BB8" w:rsidRPr="00716891">
        <w:rPr>
          <w:noProof/>
          <w:color w:val="000000" w:themeColor="text1"/>
        </w:rPr>
        <w:t xml:space="preserve">respond to future </w:t>
      </w:r>
      <w:r w:rsidR="00A7364C">
        <w:rPr>
          <w:noProof/>
          <w:color w:val="000000" w:themeColor="text1"/>
        </w:rPr>
        <w:t xml:space="preserve">political </w:t>
      </w:r>
      <w:r w:rsidR="00DE4BB8" w:rsidRPr="00716891">
        <w:rPr>
          <w:noProof/>
          <w:color w:val="000000" w:themeColor="text1"/>
        </w:rPr>
        <w:t>challenges</w:t>
      </w:r>
      <w:r w:rsidR="00A7364C">
        <w:rPr>
          <w:noProof/>
          <w:color w:val="000000" w:themeColor="text1"/>
        </w:rPr>
        <w:t xml:space="preserve"> such as changes in the GSP countries</w:t>
      </w:r>
      <w:r w:rsidR="009C409D">
        <w:rPr>
          <w:noProof/>
          <w:color w:val="000000" w:themeColor="text1"/>
        </w:rPr>
        <w:t>’</w:t>
      </w:r>
      <w:r w:rsidR="00A7364C">
        <w:rPr>
          <w:noProof/>
          <w:color w:val="000000" w:themeColor="text1"/>
        </w:rPr>
        <w:t xml:space="preserve"> economic status, </w:t>
      </w:r>
      <w:r w:rsidR="00926614">
        <w:rPr>
          <w:noProof/>
          <w:color w:val="000000" w:themeColor="text1"/>
        </w:rPr>
        <w:t>new sustainability demands and improving communication and transparency of the GSP monitoring and reporting work.</w:t>
      </w:r>
    </w:p>
    <w:sectPr w:rsidR="00DC0C35" w:rsidSect="00A260E8">
      <w:headerReference w:type="even" r:id="rId31"/>
      <w:headerReference w:type="default" r:id="rId32"/>
      <w:footerReference w:type="even" r:id="rId33"/>
      <w:footerReference w:type="default" r:id="rId34"/>
      <w:headerReference w:type="first" r:id="rId35"/>
      <w:footerReference w:type="first" r:id="rId36"/>
      <w:pgSz w:w="11906" w:h="16838" w:code="9"/>
      <w:pgMar w:top="1021" w:right="1701" w:bottom="1021" w:left="1588" w:header="60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7C624" w14:textId="77777777" w:rsidR="00492211" w:rsidRDefault="00492211">
      <w:pPr>
        <w:spacing w:after="0"/>
      </w:pPr>
      <w:r>
        <w:separator/>
      </w:r>
    </w:p>
  </w:endnote>
  <w:endnote w:type="continuationSeparator" w:id="0">
    <w:p w14:paraId="2A38A5A2" w14:textId="77777777" w:rsidR="00492211" w:rsidRDefault="00492211">
      <w:pPr>
        <w:spacing w:after="0"/>
      </w:pPr>
      <w:r>
        <w:continuationSeparator/>
      </w:r>
    </w:p>
  </w:endnote>
  <w:endnote w:type="continuationNotice" w:id="1">
    <w:p w14:paraId="0E04C119" w14:textId="77777777" w:rsidR="00492211" w:rsidRDefault="004922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1C99" w14:textId="5C186A62" w:rsidR="0042000C" w:rsidRPr="00615CBF" w:rsidRDefault="0042000C" w:rsidP="0061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E353" w14:textId="1EE376F7" w:rsidR="0042000C" w:rsidRPr="00615CBF" w:rsidRDefault="00615CBF" w:rsidP="00615CBF">
    <w:pPr>
      <w:pStyle w:val="FooterCoverPage"/>
      <w:rPr>
        <w:rFonts w:ascii="Arial" w:hAnsi="Arial" w:cs="Arial"/>
        <w:b/>
        <w:sz w:val="48"/>
      </w:rPr>
    </w:pPr>
    <w:r w:rsidRPr="00615CBF">
      <w:rPr>
        <w:rFonts w:ascii="Arial" w:hAnsi="Arial" w:cs="Arial"/>
        <w:b/>
        <w:sz w:val="48"/>
      </w:rPr>
      <w:t>EN</w:t>
    </w:r>
    <w:r w:rsidRPr="00615CBF">
      <w:rPr>
        <w:rFonts w:ascii="Arial" w:hAnsi="Arial" w:cs="Arial"/>
        <w:b/>
        <w:sz w:val="48"/>
      </w:rPr>
      <w:tab/>
    </w:r>
    <w:r w:rsidRPr="00615CBF">
      <w:rPr>
        <w:rFonts w:ascii="Arial" w:hAnsi="Arial" w:cs="Arial"/>
        <w:b/>
        <w:sz w:val="48"/>
      </w:rPr>
      <w:tab/>
    </w:r>
    <w:r w:rsidRPr="00615CBF">
      <w:tab/>
    </w:r>
    <w:r w:rsidRPr="00615CB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58BF" w14:textId="77777777" w:rsidR="00615CBF" w:rsidRPr="00615CBF" w:rsidRDefault="00615CBF" w:rsidP="00615CB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0008" w14:textId="77777777" w:rsidR="00A260E8" w:rsidRDefault="00A260E8">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52F6" w14:textId="5F22F24D" w:rsidR="00A260E8" w:rsidRPr="00BA7B60" w:rsidRDefault="00A260E8" w:rsidP="00EC6C46">
    <w:pPr>
      <w:pStyle w:val="FooterLine"/>
      <w:tabs>
        <w:tab w:val="clear" w:pos="8646"/>
      </w:tabs>
      <w:ind w:right="-172"/>
      <w:jc w:val="right"/>
      <w:rPr>
        <w:color w:val="2F5496"/>
        <w:sz w:val="20"/>
      </w:rPr>
    </w:pPr>
    <w:r w:rsidRPr="00BA7B60">
      <w:rPr>
        <w:color w:val="2F5496"/>
        <w:sz w:val="20"/>
      </w:rPr>
      <w:t xml:space="preserve">Page | </w:t>
    </w:r>
    <w:r w:rsidRPr="00BA7B60">
      <w:rPr>
        <w:color w:val="2F5496"/>
        <w:sz w:val="20"/>
      </w:rPr>
      <w:fldChar w:fldCharType="begin"/>
    </w:r>
    <w:r w:rsidRPr="00BA7B60">
      <w:rPr>
        <w:color w:val="2F5496"/>
        <w:sz w:val="20"/>
      </w:rPr>
      <w:instrText>PAGE   \* MERGEFORMAT</w:instrText>
    </w:r>
    <w:r w:rsidRPr="00BA7B60">
      <w:rPr>
        <w:color w:val="2F5496"/>
        <w:sz w:val="20"/>
      </w:rPr>
      <w:fldChar w:fldCharType="separate"/>
    </w:r>
    <w:r w:rsidR="00615CBF">
      <w:rPr>
        <w:noProof/>
        <w:color w:val="2F5496"/>
        <w:sz w:val="20"/>
      </w:rPr>
      <w:t>19</w:t>
    </w:r>
    <w:r w:rsidRPr="00BA7B60">
      <w:rPr>
        <w:color w:val="2F5496"/>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09AD" w14:textId="77777777" w:rsidR="00A260E8" w:rsidRDefault="00A2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6E7DB" w14:textId="77777777" w:rsidR="00492211" w:rsidRDefault="00492211">
      <w:pPr>
        <w:spacing w:after="0"/>
      </w:pPr>
      <w:r>
        <w:separator/>
      </w:r>
    </w:p>
  </w:footnote>
  <w:footnote w:type="continuationSeparator" w:id="0">
    <w:p w14:paraId="2F152CD9" w14:textId="77777777" w:rsidR="00492211" w:rsidRDefault="00492211">
      <w:pPr>
        <w:spacing w:after="0"/>
      </w:pPr>
      <w:r>
        <w:continuationSeparator/>
      </w:r>
    </w:p>
  </w:footnote>
  <w:footnote w:type="continuationNotice" w:id="1">
    <w:p w14:paraId="1F8C99E1" w14:textId="77777777" w:rsidR="00492211" w:rsidRDefault="00492211">
      <w:pPr>
        <w:spacing w:after="0"/>
      </w:pPr>
    </w:p>
  </w:footnote>
  <w:footnote w:id="2">
    <w:p w14:paraId="144A3957" w14:textId="51C28DEA" w:rsidR="00EC6C46" w:rsidRDefault="009C7A94" w:rsidP="00FE7410">
      <w:pPr>
        <w:pStyle w:val="FootnoteText"/>
        <w:spacing w:after="0"/>
        <w:ind w:left="340" w:hanging="340"/>
      </w:pPr>
      <w:r w:rsidRPr="009C7A94">
        <w:rPr>
          <w:rStyle w:val="FootnoteReference"/>
          <w:vertAlign w:val="baseline"/>
        </w:rPr>
        <w:t>(</w:t>
      </w:r>
      <w:r w:rsidR="00EC6C46" w:rsidRPr="730E3F16">
        <w:rPr>
          <w:rStyle w:val="FootnoteReference"/>
        </w:rPr>
        <w:footnoteRef/>
      </w:r>
      <w:r w:rsidRPr="009C7A94">
        <w:rPr>
          <w:rStyle w:val="FootnoteReference"/>
          <w:vertAlign w:val="baseline"/>
        </w:rPr>
        <w:t>)</w:t>
      </w:r>
      <w:r w:rsidR="00EC6C46">
        <w:t xml:space="preserve"> </w:t>
      </w:r>
      <w:r w:rsidR="00EC6C46">
        <w:tab/>
      </w:r>
      <w:r w:rsidR="00EC6C46" w:rsidRPr="00E7475B">
        <w:t>Regulation (EU) No 978/2012 of the European Parliament and of the Council of 25 October 2012 applying a scheme of generalised tariff preferences and repealing Council Regulation (EC) No 732/2008</w:t>
      </w:r>
      <w:r w:rsidR="00EC6C46">
        <w:t>.</w:t>
      </w:r>
    </w:p>
  </w:footnote>
  <w:footnote w:id="3">
    <w:p w14:paraId="7E867560" w14:textId="22A3458B" w:rsidR="00EC6C46" w:rsidRPr="003D6FD7"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r w:rsidR="00EC6C46" w:rsidRPr="003D6FD7">
        <w:t>Report on the Generalised Scheme of Preferences covering the period 2018-2019, JOIN(2020) 3 final.</w:t>
      </w:r>
    </w:p>
  </w:footnote>
  <w:footnote w:id="4">
    <w:p w14:paraId="457184F3" w14:textId="77777777" w:rsidR="003D6FD7" w:rsidRPr="00E241B2" w:rsidRDefault="003D6FD7" w:rsidP="003D6FD7">
      <w:pPr>
        <w:pStyle w:val="FootnoteText"/>
      </w:pPr>
      <w:r w:rsidRPr="003D6FD7">
        <w:t>(</w:t>
      </w:r>
      <w:r w:rsidRPr="003D6FD7">
        <w:rPr>
          <w:rStyle w:val="FootnoteReference"/>
        </w:rPr>
        <w:footnoteRef/>
      </w:r>
      <w:r w:rsidRPr="003D6FD7">
        <w:t>)</w:t>
      </w:r>
      <w:r w:rsidRPr="003D6FD7">
        <w:tab/>
        <w:t>At the time of finalization of the GSP report, the European Parliament and the Council have voted in favour of the prolongation of the current rules. The legislative procedure is still ongoing.</w:t>
      </w:r>
      <w:r>
        <w:t xml:space="preserve">  </w:t>
      </w:r>
    </w:p>
  </w:footnote>
  <w:footnote w:id="5">
    <w:p w14:paraId="0751DB9D" w14:textId="2C1E457F" w:rsidR="00EC6C46" w:rsidRPr="00B22282"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t xml:space="preserve">Everything But Arms (EBA), standard GSP and GSP+ arrangement. </w:t>
      </w:r>
    </w:p>
  </w:footnote>
  <w:footnote w:id="6">
    <w:p w14:paraId="1709E385" w14:textId="77777777" w:rsidR="0076345D"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hyperlink r:id="rId1" w:history="1">
        <w:r w:rsidR="00EC6C46" w:rsidRPr="00067E2E">
          <w:rPr>
            <w:rStyle w:val="Hyperlink"/>
          </w:rPr>
          <w:t>https://policy.trade.ec.europa.eu/analysis-and-assessment/impact-assessments_en</w:t>
        </w:r>
      </w:hyperlink>
      <w:r w:rsidR="00EC6C46">
        <w:t xml:space="preserve"> </w:t>
      </w:r>
    </w:p>
    <w:p w14:paraId="6A62D3B3" w14:textId="71925D15" w:rsidR="00EC6C46" w:rsidRPr="00B537CB" w:rsidRDefault="0076345D" w:rsidP="0076345D">
      <w:pPr>
        <w:pStyle w:val="FootnoteText"/>
        <w:spacing w:after="0"/>
        <w:ind w:left="340" w:firstLine="0"/>
        <w:rPr>
          <w:lang w:val="en-US"/>
        </w:rPr>
      </w:pPr>
      <w:r w:rsidRPr="0076345D">
        <w:t>All links provided in this report were up to date as of</w:t>
      </w:r>
      <w:r>
        <w:t xml:space="preserve"> 20 October 2023</w:t>
      </w:r>
      <w:r w:rsidRPr="0076345D">
        <w:t>.</w:t>
      </w:r>
    </w:p>
  </w:footnote>
  <w:footnote w:id="7">
    <w:p w14:paraId="6C6066AC" w14:textId="40621EA6" w:rsidR="00EC6C46" w:rsidRPr="00462A84"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t xml:space="preserve">A 2022 World Bank report estimated that in 2020 alone, the number of people living below the extreme poverty line had risen by over 70 million. That is the largest one-year increase since global poverty monitoring began in 1990. Income losses of the poorest 40% of world’s population were twice as high as those of the richest 20%. Global median income declined by 4% in 2020 - the first decline since measurements of median income began in 1990. </w:t>
      </w:r>
      <w:hyperlink r:id="rId2" w:history="1">
        <w:r w:rsidR="00EC6C46" w:rsidRPr="00D00B70">
          <w:rPr>
            <w:rStyle w:val="Hyperlink"/>
          </w:rPr>
          <w:t>https://www.worldbank.org/en/publication/poverty-and-shared-prosperity</w:t>
        </w:r>
      </w:hyperlink>
      <w:r w:rsidR="00EC6C46">
        <w:t xml:space="preserve"> </w:t>
      </w:r>
    </w:p>
  </w:footnote>
  <w:footnote w:id="8">
    <w:p w14:paraId="494FBCDC" w14:textId="70647F2E" w:rsidR="00EC6C46" w:rsidRPr="00B537CB"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3" w:history="1">
        <w:r w:rsidR="00EC6C46" w:rsidRPr="00932BD4">
          <w:rPr>
            <w:rStyle w:val="Hyperlink"/>
          </w:rPr>
          <w:t>https://policy.trade.ec.europa.eu/eu-trade-relationships-country-and-region/eu-position-world-trade_en</w:t>
        </w:r>
      </w:hyperlink>
      <w:r w:rsidR="00EC6C46">
        <w:t xml:space="preserve"> </w:t>
      </w:r>
    </w:p>
  </w:footnote>
  <w:footnote w:id="9">
    <w:p w14:paraId="130D1ED0" w14:textId="153D4128" w:rsidR="00EC6C46" w:rsidRPr="00EA5A33"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hyperlink r:id="rId4" w:history="1">
        <w:r w:rsidR="00EC6C46" w:rsidRPr="0045749F">
          <w:rPr>
            <w:rStyle w:val="Hyperlink"/>
          </w:rPr>
          <w:t>https://www.undp.org/publications/dfs-avoiding-too-little-too-late-international-debt-relief</w:t>
        </w:r>
      </w:hyperlink>
      <w:r w:rsidR="00EC6C46">
        <w:t xml:space="preserve"> </w:t>
      </w:r>
    </w:p>
  </w:footnote>
  <w:footnote w:id="10">
    <w:p w14:paraId="7963D1B3" w14:textId="1DF99EA6" w:rsidR="00EC6C46" w:rsidRPr="00D148D9"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5" w:history="1">
        <w:r w:rsidR="00EC6C46" w:rsidRPr="00932BD4">
          <w:rPr>
            <w:rStyle w:val="Hyperlink"/>
          </w:rPr>
          <w:t>https://www.un.org/ohrlls/content/triennial-reviews-and-graduation-decisions</w:t>
        </w:r>
      </w:hyperlink>
      <w:r w:rsidR="00EC6C46">
        <w:t xml:space="preserve"> </w:t>
      </w:r>
    </w:p>
  </w:footnote>
  <w:footnote w:id="11">
    <w:p w14:paraId="0570AC74" w14:textId="42A4C40A" w:rsidR="00EC6C46" w:rsidRDefault="009C7A94" w:rsidP="00FE7410">
      <w:pPr>
        <w:pStyle w:val="FootnoteText"/>
        <w:spacing w:after="0"/>
        <w:ind w:left="340" w:hanging="340"/>
      </w:pPr>
      <w:r w:rsidRPr="009C7A94">
        <w:rPr>
          <w:rStyle w:val="FootnoteReference"/>
          <w:vertAlign w:val="baseline"/>
        </w:rPr>
        <w:t>(</w:t>
      </w:r>
      <w:r w:rsidR="00EC6C46" w:rsidRPr="00EC4BCE">
        <w:rPr>
          <w:rStyle w:val="FootnoteReference"/>
        </w:rPr>
        <w:footnoteRef/>
      </w:r>
      <w:r w:rsidRPr="009C7A94">
        <w:rPr>
          <w:rStyle w:val="FootnoteReference"/>
          <w:vertAlign w:val="baseline"/>
        </w:rPr>
        <w:t>)</w:t>
      </w:r>
      <w:r w:rsidR="00EC6C46" w:rsidRPr="00EC4BCE">
        <w:tab/>
      </w:r>
      <w:r w:rsidR="00EC6C46" w:rsidRPr="00386E46">
        <w:t xml:space="preserve">GSP+ eligible countries </w:t>
      </w:r>
      <w:r w:rsidR="00EC6C46">
        <w:t xml:space="preserve">need to apply for the scheme to gain access. They </w:t>
      </w:r>
      <w:r w:rsidR="00EC6C46" w:rsidRPr="00386E46">
        <w:t xml:space="preserve">must be considered vulnerable due to a lack of export diversification and insufficient integration within the international trading system. </w:t>
      </w:r>
      <w:r w:rsidR="00EC6C46">
        <w:t xml:space="preserve">Additionally, they should have ratified the 27 GSP-relevant conventions and show no serious failure of implementing them. </w:t>
      </w:r>
    </w:p>
  </w:footnote>
  <w:footnote w:id="12">
    <w:p w14:paraId="243C4834" w14:textId="62F1C0E4" w:rsidR="00302B92" w:rsidRPr="00302B92" w:rsidRDefault="00302B92">
      <w:pPr>
        <w:pStyle w:val="FootnoteText"/>
      </w:pPr>
      <w:r>
        <w:t>(</w:t>
      </w:r>
      <w:r>
        <w:rPr>
          <w:rStyle w:val="FootnoteReference"/>
        </w:rPr>
        <w:footnoteRef/>
      </w:r>
      <w:r>
        <w:t>)</w:t>
      </w:r>
      <w:r>
        <w:tab/>
        <w:t>As highlighted in section 4.2 below and also in the country specific SWDs accompanying the present report</w:t>
      </w:r>
      <w:r w:rsidR="007C1947">
        <w:t>.</w:t>
      </w:r>
    </w:p>
  </w:footnote>
  <w:footnote w:id="13">
    <w:p w14:paraId="4E948B52" w14:textId="60FC3E13" w:rsidR="00EC6C46" w:rsidRPr="000534A2"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EC6C46" w:rsidRPr="000534A2">
        <w:t>Commission Delegated Regulation (EU) 2020/128 of 25 November 2019 amending Annex II to Regulation (EU) No 978/2012 of the European Parliament and of the Council applying a scheme of generalised tariff preferences</w:t>
      </w:r>
      <w:r w:rsidR="00C91F92">
        <w:t>.</w:t>
      </w:r>
    </w:p>
  </w:footnote>
  <w:footnote w:id="14">
    <w:p w14:paraId="33B1B6EF" w14:textId="417F1487" w:rsidR="00EC6C46" w:rsidRPr="00324EB5"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EC6C46" w:rsidRPr="00324EB5">
        <w:t>Commission Delegated Regulation (EU) 2021/114 of 25 September 2020 amending Annexes II and III to Regulation (EU) No 978/2012 of the European Parliament and of the Council as regards Armenia and Vietnam</w:t>
      </w:r>
      <w:r w:rsidR="00C91F92">
        <w:t>.</w:t>
      </w:r>
    </w:p>
  </w:footnote>
  <w:footnote w:id="15">
    <w:p w14:paraId="43C3C91D" w14:textId="66473014" w:rsidR="00EC6C46" w:rsidRPr="00BB0E35"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EC6C46" w:rsidRPr="00BB0E35">
        <w:t>Commission Delegated Regulation (EU) 2021/2127 of 29 September 2021 amending Annex IV to Regulation (EU) No 978/2012 of the European Parliament and of the Council applying a scheme of generalised tariff preferences</w:t>
      </w:r>
      <w:r w:rsidR="00C91F92">
        <w:t>.</w:t>
      </w:r>
    </w:p>
  </w:footnote>
  <w:footnote w:id="16">
    <w:p w14:paraId="102444FC" w14:textId="31262503" w:rsidR="001B3714" w:rsidRPr="00232B8E" w:rsidRDefault="001B3714" w:rsidP="001B3714">
      <w:pPr>
        <w:pStyle w:val="FootnoteText"/>
        <w:spacing w:after="0"/>
        <w:ind w:left="340" w:hanging="340"/>
        <w:rPr>
          <w:lang w:val="en-IE"/>
        </w:rPr>
      </w:pPr>
      <w:r w:rsidRPr="000433A4">
        <w:rPr>
          <w:rStyle w:val="FootnoteReference"/>
          <w:vertAlign w:val="baseline"/>
        </w:rPr>
        <w:t>(</w:t>
      </w:r>
      <w:r w:rsidRPr="00232B8E">
        <w:rPr>
          <w:rStyle w:val="FootnoteReference"/>
        </w:rPr>
        <w:footnoteRef/>
      </w:r>
      <w:r w:rsidRPr="000433A4">
        <w:rPr>
          <w:rStyle w:val="FootnoteReference"/>
          <w:vertAlign w:val="baseline"/>
        </w:rPr>
        <w:t>)</w:t>
      </w:r>
      <w:r w:rsidRPr="00232B8E">
        <w:t xml:space="preserve"> </w:t>
      </w:r>
      <w:r>
        <w:tab/>
        <w:t>Commission Delegated Regulation (EU) 2021/576 of 30 November 2020 amending Annex III to Regulation (EU) No 978/2012 to include the Republic of Uzbekistan among the countries benefiting from tariff preferences under the GSP+</w:t>
      </w:r>
      <w:r w:rsidR="00C91F92">
        <w:t>.</w:t>
      </w:r>
    </w:p>
  </w:footnote>
  <w:footnote w:id="17">
    <w:p w14:paraId="490732A7" w14:textId="149FE3D9" w:rsidR="00EC6C46" w:rsidRPr="00732F6C"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EC6C46" w:rsidRPr="00732F6C">
        <w:t>Commission Implementing Regulation (EU) 2022/1039 of 29 June 2022 laying down rules for the application of Regulation (EU) No 978/2012 of the European Parliament and of the Council as regards the suspension for the year 2023 of certain tariff preferences granted to certain GSP beneficiary countries</w:t>
      </w:r>
      <w:r w:rsidR="00EC6C46">
        <w:t>.</w:t>
      </w:r>
    </w:p>
  </w:footnote>
  <w:footnote w:id="18">
    <w:p w14:paraId="342F17B2" w14:textId="4DEA0DD9" w:rsidR="00EC6C46" w:rsidRPr="008F4FEE"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6" w:history="1">
        <w:r w:rsidR="00EC6C46" w:rsidRPr="005A4C18">
          <w:rPr>
            <w:rStyle w:val="Hyperlink"/>
          </w:rPr>
          <w:t>https://policy.trade.ec.europa.eu/news/commission-proposes-new-eu-generalised-scheme-preferences-promote-sustainable-development-low-income-2021-09-22_en</w:t>
        </w:r>
      </w:hyperlink>
      <w:r w:rsidR="00EC6C46">
        <w:t xml:space="preserve"> </w:t>
      </w:r>
    </w:p>
  </w:footnote>
  <w:footnote w:id="19">
    <w:p w14:paraId="0DACD824" w14:textId="2D061AB9" w:rsidR="00EC6C46" w:rsidRPr="008F4FEE"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7" w:history="1">
        <w:r w:rsidR="001D5C6B" w:rsidRPr="00D9232E">
          <w:rPr>
            <w:rStyle w:val="Hyperlink"/>
          </w:rPr>
          <w:t>https://op.europa.eu/en/publication-detail/-/publication/5638e809-ebfb-11ea-b3c6-01aa75ed71a1/language-en</w:t>
        </w:r>
      </w:hyperlink>
      <w:r w:rsidR="001D5C6B">
        <w:t xml:space="preserve"> </w:t>
      </w:r>
    </w:p>
  </w:footnote>
  <w:footnote w:id="20">
    <w:p w14:paraId="3AEC93B4" w14:textId="77EE4435" w:rsidR="00EC6C46" w:rsidRPr="008F4FEE"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8" w:history="1">
        <w:r w:rsidR="00EC6C46" w:rsidRPr="005A4C18">
          <w:rPr>
            <w:rStyle w:val="Hyperlink"/>
          </w:rPr>
          <w:t>https://policy.trade.ec.europa.eu/analysis-and-assessment/impact-assessments_en</w:t>
        </w:r>
      </w:hyperlink>
      <w:r w:rsidR="00EC6C46">
        <w:t xml:space="preserve"> </w:t>
      </w:r>
    </w:p>
  </w:footnote>
  <w:footnote w:id="21">
    <w:p w14:paraId="20EB23D4" w14:textId="5829B4E4" w:rsidR="00EC6C46" w:rsidRPr="008F4FEE" w:rsidRDefault="009C7A94" w:rsidP="00656571">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9" w:history="1">
        <w:r w:rsidR="00EC6C46" w:rsidRPr="005A4C18">
          <w:rPr>
            <w:rStyle w:val="Hyperlink"/>
          </w:rPr>
          <w:t>https://ec.europa.eu/info/law/better-regulation/have-your-say/initiatives/2136-Towards-the-future-Generalised-Scheme-of-Preferences-legal-framework-granting-trade-advantages-to-developing-countries/public-consultation_en</w:t>
        </w:r>
      </w:hyperlink>
      <w:r w:rsidR="00EC6C46">
        <w:t xml:space="preserve"> </w:t>
      </w:r>
    </w:p>
  </w:footnote>
  <w:footnote w:id="22">
    <w:p w14:paraId="0375EE5E" w14:textId="5D26D6E7" w:rsidR="00653EE9" w:rsidRPr="00653EE9" w:rsidRDefault="00653EE9" w:rsidP="000433A4">
      <w:pPr>
        <w:pStyle w:val="FootnoteText"/>
        <w:spacing w:after="0"/>
        <w:ind w:left="340" w:hanging="340"/>
      </w:pPr>
      <w:r>
        <w:t>(</w:t>
      </w:r>
      <w:r>
        <w:rPr>
          <w:rStyle w:val="FootnoteReference"/>
        </w:rPr>
        <w:footnoteRef/>
      </w:r>
      <w:r>
        <w:t>)</w:t>
      </w:r>
      <w:r>
        <w:tab/>
      </w:r>
      <w:r w:rsidRPr="00F61BBA">
        <w:t xml:space="preserve">Commission </w:t>
      </w:r>
      <w:r w:rsidR="00F61BBA">
        <w:t xml:space="preserve">legislative </w:t>
      </w:r>
      <w:r w:rsidRPr="00F61BBA">
        <w:t xml:space="preserve">proposal of </w:t>
      </w:r>
      <w:r w:rsidR="0055677B" w:rsidRPr="00F61BBA">
        <w:t>4</w:t>
      </w:r>
      <w:r w:rsidRPr="00F61BBA">
        <w:t xml:space="preserve"> July 2023</w:t>
      </w:r>
      <w:r w:rsidR="0055677B" w:rsidRPr="00F61BBA">
        <w:t>:</w:t>
      </w:r>
      <w:r w:rsidRPr="00F61BBA">
        <w:t xml:space="preserve"> </w:t>
      </w:r>
      <w:r w:rsidR="0070781F" w:rsidRPr="0070781F">
        <w:rPr>
          <w:rStyle w:val="Hyperlink"/>
        </w:rPr>
        <w:t>https://ec.europa.eu/transparency/documents-register/detail?ref=COM(2023)426&amp;lang=en</w:t>
      </w:r>
    </w:p>
  </w:footnote>
  <w:footnote w:id="23">
    <w:p w14:paraId="77CA41C5" w14:textId="360F511B" w:rsidR="00EC6C46" w:rsidRPr="00393663"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t>Source for all statistics: Eurostat, own calculations</w:t>
      </w:r>
      <w:r w:rsidR="00154FE2">
        <w:t>, data as of September</w:t>
      </w:r>
      <w:r w:rsidR="00EC6C46">
        <w:t xml:space="preserve"> </w:t>
      </w:r>
      <w:r w:rsidR="00890E16">
        <w:t>2023</w:t>
      </w:r>
      <w:r w:rsidR="00EC6C46">
        <w:t>.</w:t>
      </w:r>
      <w:r w:rsidR="00EC6C46" w:rsidRPr="00872990">
        <w:t xml:space="preserve"> </w:t>
      </w:r>
      <w:r w:rsidR="00EC6C46">
        <w:t>Due to the aforementioned difficulties to fully isolate the impact of the simultaneous unfolding of the COVID-19 pandemic from other developments, all such data have to be interpreted with caution.</w:t>
      </w:r>
    </w:p>
  </w:footnote>
  <w:footnote w:id="24">
    <w:p w14:paraId="254A26E4" w14:textId="74F611D1" w:rsidR="00EC6C46" w:rsidRDefault="009C7A94" w:rsidP="00AA5B12">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AA5B12">
        <w:t xml:space="preserve">In the case of Vietnam </w:t>
      </w:r>
      <w:r w:rsidR="00AA5B12" w:rsidRPr="00581136">
        <w:t xml:space="preserve">(standard </w:t>
      </w:r>
      <w:r w:rsidR="00AA5B12">
        <w:t>GSP</w:t>
      </w:r>
      <w:r w:rsidR="00AA5B12" w:rsidRPr="00581136">
        <w:t>)</w:t>
      </w:r>
      <w:r w:rsidR="00EC3727">
        <w:t>,</w:t>
      </w:r>
      <w:r w:rsidR="00AA5B12" w:rsidRPr="00581136">
        <w:t xml:space="preserve"> </w:t>
      </w:r>
      <w:r w:rsidR="00AA5B12">
        <w:t xml:space="preserve">this decline </w:t>
      </w:r>
      <w:r w:rsidR="00AA5B12" w:rsidRPr="00581136">
        <w:t xml:space="preserve">by </w:t>
      </w:r>
      <w:r w:rsidR="00AA5B12">
        <w:t>about 15</w:t>
      </w:r>
      <w:r w:rsidR="00AA5B12" w:rsidRPr="00581136">
        <w:t xml:space="preserve">% per year on average </w:t>
      </w:r>
      <w:r w:rsidR="00AA5B12">
        <w:t xml:space="preserve">is due to the entry into force of the country’s FTA with the EU on 1 August 2020. For some part of its exports to the EU, Vietnam used FTA preferences rather than GSP preferences in the transition period lasting until </w:t>
      </w:r>
      <w:r w:rsidR="00EC3727">
        <w:t xml:space="preserve">the </w:t>
      </w:r>
      <w:r w:rsidR="00AA5B12">
        <w:t xml:space="preserve">end of 2022. Vietnam’s total exports to the EU under all preferences have actually increased from €8.7 billion to €14.4 billion between </w:t>
      </w:r>
      <w:r w:rsidR="00AA5B12" w:rsidRPr="00DF542A">
        <w:t>2019</w:t>
      </w:r>
      <w:r w:rsidR="00AA5B12" w:rsidRPr="00715F42">
        <w:t xml:space="preserve"> and </w:t>
      </w:r>
      <w:r w:rsidR="00AA5B12" w:rsidRPr="00DF542A">
        <w:t>202</w:t>
      </w:r>
      <w:r w:rsidR="00AA5B12">
        <w:t>2</w:t>
      </w:r>
      <w:r w:rsidR="00AA5B12" w:rsidRPr="00715F42">
        <w:t>.</w:t>
      </w:r>
    </w:p>
  </w:footnote>
  <w:footnote w:id="25">
    <w:p w14:paraId="47F2FB1A" w14:textId="207E5595" w:rsidR="000564A6" w:rsidRPr="00F61BBA" w:rsidRDefault="000564A6" w:rsidP="003656F4">
      <w:pPr>
        <w:pStyle w:val="FootnoteText"/>
        <w:spacing w:after="0"/>
        <w:ind w:left="340" w:hanging="340"/>
        <w:rPr>
          <w:lang w:val="en-IE"/>
        </w:rPr>
      </w:pPr>
      <w:r>
        <w:t>(</w:t>
      </w:r>
      <w:r>
        <w:rPr>
          <w:rStyle w:val="FootnoteReference"/>
        </w:rPr>
        <w:footnoteRef/>
      </w:r>
      <w:r>
        <w:t>)</w:t>
      </w:r>
      <w:r>
        <w:tab/>
      </w:r>
      <w:r w:rsidRPr="000564A6">
        <w:t>The category Agri-food in Figure 7 contains preparations of fish (but not fresh fish, which is in the orange category</w:t>
      </w:r>
      <w:r w:rsidR="009E3B32">
        <w:t>)</w:t>
      </w:r>
      <w:r w:rsidRPr="000564A6">
        <w:t>. Cereals, includ</w:t>
      </w:r>
      <w:r w:rsidR="004B6272">
        <w:t>ing</w:t>
      </w:r>
      <w:r w:rsidRPr="000564A6">
        <w:t xml:space="preserve"> rice, are about 7% of the agri-food category and about 0.5% of overall GSP imports in value terms.</w:t>
      </w:r>
    </w:p>
  </w:footnote>
  <w:footnote w:id="26">
    <w:p w14:paraId="28C2CA47" w14:textId="2C43F9CA" w:rsidR="00EC6C46" w:rsidRDefault="009C7A94" w:rsidP="00FE7410">
      <w:pPr>
        <w:pStyle w:val="FootnoteText"/>
        <w:spacing w:after="0"/>
        <w:ind w:left="340" w:hanging="340"/>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EC6C46" w:rsidRPr="00044117">
        <w:t>SWD(2021) 266</w:t>
      </w:r>
      <w:r w:rsidR="00EC6C46">
        <w:t>.</w:t>
      </w:r>
    </w:p>
  </w:footnote>
  <w:footnote w:id="27">
    <w:p w14:paraId="53D6CA47" w14:textId="17F49BBA" w:rsidR="00894833" w:rsidRDefault="009C7A94" w:rsidP="00894833">
      <w:pPr>
        <w:pStyle w:val="FootnoteText"/>
        <w:spacing w:after="0"/>
        <w:ind w:left="340" w:hanging="340"/>
      </w:pPr>
      <w:r w:rsidRPr="009C7A94">
        <w:rPr>
          <w:rStyle w:val="FootnoteReference"/>
          <w:vertAlign w:val="baseline"/>
        </w:rPr>
        <w:t>(</w:t>
      </w:r>
      <w:r w:rsidR="00894833">
        <w:rPr>
          <w:rStyle w:val="FootnoteReference"/>
        </w:rPr>
        <w:footnoteRef/>
      </w:r>
      <w:r w:rsidRPr="009C7A94">
        <w:rPr>
          <w:rStyle w:val="FootnoteReference"/>
          <w:vertAlign w:val="baseline"/>
        </w:rPr>
        <w:t>)</w:t>
      </w:r>
      <w:r w:rsidR="00894833">
        <w:t xml:space="preserve"> </w:t>
      </w:r>
      <w:r w:rsidR="00894833">
        <w:tab/>
      </w:r>
      <w:r w:rsidR="00894833" w:rsidRPr="0039486A">
        <w:t xml:space="preserve">The baseline was a continuation of the current regime, against which various scenarios were simulated. A scenario of the complete abolition of all three </w:t>
      </w:r>
      <w:r w:rsidR="00894833">
        <w:t>arrangements</w:t>
      </w:r>
      <w:r w:rsidR="00894833" w:rsidRPr="0039486A">
        <w:t>, which by comparison with the baseline would allow for a quantification of the overall impact</w:t>
      </w:r>
      <w:r w:rsidR="00894833">
        <w:t>,</w:t>
      </w:r>
      <w:r w:rsidR="00894833" w:rsidRPr="0039486A">
        <w:t xml:space="preserve"> was not simulated as such a policy option was never considered (the EBA arrangement being open-ended). However, an abolition of the </w:t>
      </w:r>
      <w:r w:rsidR="00894833">
        <w:t xml:space="preserve">standard </w:t>
      </w:r>
      <w:r w:rsidR="00894833" w:rsidRPr="0039486A">
        <w:t xml:space="preserve">GSP and GSP+ </w:t>
      </w:r>
      <w:r w:rsidR="00894833">
        <w:t>arrangements</w:t>
      </w:r>
      <w:r w:rsidR="00894833" w:rsidRPr="0039486A">
        <w:t xml:space="preserve"> was simulated.</w:t>
      </w:r>
    </w:p>
  </w:footnote>
  <w:footnote w:id="28">
    <w:p w14:paraId="352644E4" w14:textId="77777777" w:rsidR="0027744C" w:rsidRDefault="0027744C" w:rsidP="0027744C">
      <w:pPr>
        <w:pStyle w:val="FootnoteText"/>
      </w:pPr>
      <w:r>
        <w:t>(</w:t>
      </w:r>
      <w:r>
        <w:rPr>
          <w:rStyle w:val="FootnoteReference"/>
        </w:rPr>
        <w:footnoteRef/>
      </w:r>
      <w:r>
        <w:t>)</w:t>
      </w:r>
      <w:r>
        <w:tab/>
        <w:t>Note that the study made a number of assumptions about countries changing from one GSP category to the other by the end of the projection horizon in 2029. Bangladesh, e.g., which is assumed to be a standard GSP beneficiary by then, is not counted in these numbers.</w:t>
      </w:r>
    </w:p>
  </w:footnote>
  <w:footnote w:id="29">
    <w:p w14:paraId="5F9547C8" w14:textId="6DC24866" w:rsidR="00AB1E99" w:rsidRPr="00AB1E99" w:rsidRDefault="00AB1E99" w:rsidP="00557F59">
      <w:pPr>
        <w:pStyle w:val="FootnoteText"/>
      </w:pPr>
      <w:r>
        <w:t>(</w:t>
      </w:r>
      <w:r>
        <w:rPr>
          <w:rStyle w:val="FootnoteReference"/>
        </w:rPr>
        <w:footnoteRef/>
      </w:r>
      <w:r>
        <w:t>)</w:t>
      </w:r>
      <w:r>
        <w:tab/>
      </w:r>
      <w:r w:rsidR="00557F59">
        <w:t xml:space="preserve">Product graduation ensures that preferences are provided to those countries and products most in need and avoids competitive pressure among GSP beneficiaries. </w:t>
      </w:r>
    </w:p>
  </w:footnote>
  <w:footnote w:id="30">
    <w:p w14:paraId="0C1EDA3C" w14:textId="09CCF004" w:rsidR="00EC6C46" w:rsidRPr="003A6F9D"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ab/>
      </w:r>
      <w:r w:rsidR="00EC6C46" w:rsidRPr="003A6F9D">
        <w:t>Commission Delegated Regulation (EU) 2021/576 of 30 November 2020 amending Annex III to Regulation (EU) No 978/2012 to include the Republic of Uzbekistan among the countries benefiting from tariff preferences under the GSP+</w:t>
      </w:r>
      <w:r w:rsidR="00EC6C46">
        <w:t>.</w:t>
      </w:r>
    </w:p>
  </w:footnote>
  <w:footnote w:id="31">
    <w:p w14:paraId="16A6DFFB" w14:textId="4C152641" w:rsidR="00D36C9D" w:rsidRPr="00EF18DD" w:rsidRDefault="00D36C9D" w:rsidP="003656F4">
      <w:pPr>
        <w:pStyle w:val="FootnoteText"/>
        <w:spacing w:after="0"/>
        <w:rPr>
          <w:lang w:val="en-IE"/>
        </w:rPr>
      </w:pPr>
      <w:r w:rsidRPr="007A5B20">
        <w:t>(</w:t>
      </w:r>
      <w:r>
        <w:rPr>
          <w:rStyle w:val="FootnoteReference"/>
        </w:rPr>
        <w:footnoteRef/>
      </w:r>
      <w:r w:rsidRPr="007A5B20">
        <w:t>)</w:t>
      </w:r>
      <w:r w:rsidRPr="007A5B20">
        <w:tab/>
      </w:r>
      <w:r w:rsidR="00B35660" w:rsidRPr="007A5B20">
        <w:t>N</w:t>
      </w:r>
      <w:r w:rsidRPr="007A5B20">
        <w:t>ot in Bolivia, Cabo Verde</w:t>
      </w:r>
      <w:r w:rsidR="00E820ED">
        <w:t>,</w:t>
      </w:r>
      <w:r w:rsidRPr="007A5B20">
        <w:t xml:space="preserve"> and Mongolia.</w:t>
      </w:r>
    </w:p>
  </w:footnote>
  <w:footnote w:id="32">
    <w:p w14:paraId="70B269C6" w14:textId="3D7E5D4C" w:rsidR="00374D18" w:rsidRPr="00F61BBA" w:rsidRDefault="00374D18" w:rsidP="003656F4">
      <w:pPr>
        <w:pStyle w:val="FootnoteText"/>
        <w:spacing w:after="0"/>
        <w:rPr>
          <w:lang w:val="en-IE"/>
        </w:rPr>
      </w:pPr>
      <w:r>
        <w:t>(</w:t>
      </w:r>
      <w:r>
        <w:rPr>
          <w:rStyle w:val="FootnoteReference"/>
        </w:rPr>
        <w:footnoteRef/>
      </w:r>
      <w:r>
        <w:t>)</w:t>
      </w:r>
      <w:r>
        <w:tab/>
        <w:t xml:space="preserve">The remaining imports benefit from other preferential arrangements or MFN </w:t>
      </w:r>
      <w:r w:rsidR="00E820ED">
        <w:t>zero</w:t>
      </w:r>
      <w:r>
        <w:t xml:space="preserve"> duties. </w:t>
      </w:r>
    </w:p>
  </w:footnote>
  <w:footnote w:id="33">
    <w:p w14:paraId="1AEB4BCB" w14:textId="121B0F32" w:rsidR="00EC6C46" w:rsidRPr="00530C03" w:rsidRDefault="009C7A94" w:rsidP="00FE7410">
      <w:pPr>
        <w:pStyle w:val="FootnoteText"/>
        <w:spacing w:after="0"/>
        <w:ind w:left="340" w:hanging="340"/>
        <w:rPr>
          <w:lang w:val="fr-BE"/>
        </w:rPr>
      </w:pPr>
      <w:r w:rsidRPr="009C7A94">
        <w:rPr>
          <w:rStyle w:val="FootnoteReference"/>
          <w:vertAlign w:val="baseline"/>
          <w:lang w:val="fr-BE"/>
        </w:rPr>
        <w:t>(</w:t>
      </w:r>
      <w:r w:rsidR="00EC6C46">
        <w:rPr>
          <w:rStyle w:val="FootnoteReference"/>
        </w:rPr>
        <w:footnoteRef/>
      </w:r>
      <w:r w:rsidRPr="009C7A94">
        <w:rPr>
          <w:rStyle w:val="FootnoteReference"/>
          <w:vertAlign w:val="baseline"/>
          <w:lang w:val="fr-BE"/>
        </w:rPr>
        <w:t>)</w:t>
      </w:r>
      <w:r w:rsidR="00EC6C46" w:rsidRPr="00530C03">
        <w:rPr>
          <w:lang w:val="fr-BE"/>
        </w:rPr>
        <w:t xml:space="preserve"> </w:t>
      </w:r>
      <w:r w:rsidR="00EC6C46" w:rsidRPr="00530C03">
        <w:rPr>
          <w:lang w:val="fr-BE"/>
        </w:rPr>
        <w:tab/>
        <w:t xml:space="preserve">EU Regulation </w:t>
      </w:r>
      <w:r w:rsidR="00DF5F11" w:rsidRPr="00530C03">
        <w:rPr>
          <w:lang w:val="fr-BE"/>
        </w:rPr>
        <w:t>2020/</w:t>
      </w:r>
      <w:r w:rsidR="00EC6C46" w:rsidRPr="00530C03">
        <w:rPr>
          <w:lang w:val="fr-BE"/>
        </w:rPr>
        <w:t xml:space="preserve">550; </w:t>
      </w:r>
      <w:hyperlink r:id="rId10" w:history="1">
        <w:r w:rsidR="00EC6C46" w:rsidRPr="00530C03">
          <w:rPr>
            <w:rStyle w:val="Hyperlink"/>
            <w:lang w:val="fr-BE"/>
          </w:rPr>
          <w:t>https://ec.europa.eu/commission/presscorner/detail/en/IP_20_1469</w:t>
        </w:r>
      </w:hyperlink>
      <w:r w:rsidR="00EC6C46" w:rsidRPr="00530C03">
        <w:rPr>
          <w:lang w:val="fr-BE"/>
        </w:rPr>
        <w:t xml:space="preserve"> </w:t>
      </w:r>
    </w:p>
  </w:footnote>
  <w:footnote w:id="34">
    <w:p w14:paraId="4FC779A5" w14:textId="2FF5F832" w:rsidR="00EC6C46" w:rsidRPr="00F61BBA" w:rsidRDefault="009C7A94" w:rsidP="00FE7410">
      <w:pPr>
        <w:pStyle w:val="FootnoteText"/>
        <w:spacing w:after="0"/>
        <w:ind w:left="340" w:hanging="340"/>
        <w:rPr>
          <w:lang w:val="fr-BE"/>
        </w:rPr>
      </w:pPr>
      <w:r w:rsidRPr="009C7A94">
        <w:rPr>
          <w:rStyle w:val="FootnoteReference"/>
          <w:vertAlign w:val="baseline"/>
          <w:lang w:val="fr-BE"/>
        </w:rPr>
        <w:t>(</w:t>
      </w:r>
      <w:r w:rsidR="00EC6C46">
        <w:rPr>
          <w:rStyle w:val="FootnoteReference"/>
        </w:rPr>
        <w:footnoteRef/>
      </w:r>
      <w:r w:rsidRPr="009C7A94">
        <w:rPr>
          <w:rStyle w:val="FootnoteReference"/>
          <w:vertAlign w:val="baseline"/>
          <w:lang w:val="fr-BE"/>
        </w:rPr>
        <w:t>)</w:t>
      </w:r>
      <w:r w:rsidR="00EC6C46" w:rsidRPr="00F61BBA">
        <w:rPr>
          <w:lang w:val="fr-BE"/>
        </w:rPr>
        <w:t xml:space="preserve"> </w:t>
      </w:r>
      <w:r w:rsidR="00EC6C46" w:rsidRPr="00F61BBA">
        <w:rPr>
          <w:lang w:val="fr-BE"/>
        </w:rPr>
        <w:tab/>
      </w:r>
      <w:hyperlink r:id="rId11" w:history="1">
        <w:r w:rsidR="00EC6C46" w:rsidRPr="00F61BBA">
          <w:rPr>
            <w:rStyle w:val="Hyperlink"/>
            <w:lang w:val="fr-BE"/>
          </w:rPr>
          <w:t>https://ec.europa.eu/info/strategy/priorities-2019-2024/stronger-europe-world/global-gateway_en</w:t>
        </w:r>
      </w:hyperlink>
    </w:p>
  </w:footnote>
  <w:footnote w:id="35">
    <w:p w14:paraId="3292930C" w14:textId="7E579775" w:rsidR="00EC6C46" w:rsidRPr="00F61BBA" w:rsidRDefault="009C7A94" w:rsidP="00FE7410">
      <w:pPr>
        <w:pStyle w:val="FootnoteText"/>
        <w:spacing w:after="0"/>
        <w:ind w:left="340" w:hanging="340"/>
        <w:rPr>
          <w:lang w:val="fr-BE"/>
        </w:rPr>
      </w:pPr>
      <w:r w:rsidRPr="009C7A94">
        <w:rPr>
          <w:rStyle w:val="FootnoteReference"/>
          <w:vertAlign w:val="baseline"/>
          <w:lang w:val="fr-BE"/>
        </w:rPr>
        <w:t>(</w:t>
      </w:r>
      <w:r w:rsidR="00EC6C46">
        <w:rPr>
          <w:rStyle w:val="FootnoteReference"/>
        </w:rPr>
        <w:footnoteRef/>
      </w:r>
      <w:r w:rsidRPr="009C7A94">
        <w:rPr>
          <w:rStyle w:val="FootnoteReference"/>
          <w:vertAlign w:val="baseline"/>
          <w:lang w:val="fr-BE"/>
        </w:rPr>
        <w:t>)</w:t>
      </w:r>
      <w:r w:rsidR="00EC6C46" w:rsidRPr="00F61BBA">
        <w:rPr>
          <w:lang w:val="fr-BE"/>
        </w:rPr>
        <w:tab/>
      </w:r>
      <w:hyperlink r:id="rId12" w:history="1">
        <w:r w:rsidR="00EC6C46" w:rsidRPr="00F61BBA">
          <w:rPr>
            <w:rStyle w:val="Hyperlink"/>
            <w:lang w:val="fr-BE"/>
          </w:rPr>
          <w:t>http://socieux.eu/about/</w:t>
        </w:r>
      </w:hyperlink>
      <w:r w:rsidR="00EC6C46" w:rsidRPr="00F61BBA">
        <w:rPr>
          <w:lang w:val="fr-BE"/>
        </w:rPr>
        <w:t xml:space="preserve"> </w:t>
      </w:r>
    </w:p>
  </w:footnote>
  <w:footnote w:id="36">
    <w:p w14:paraId="3C20009C" w14:textId="00A4F704" w:rsidR="00EC6C46" w:rsidRPr="00F61BBA" w:rsidRDefault="009C7A94" w:rsidP="00FE7410">
      <w:pPr>
        <w:pStyle w:val="FootnoteText"/>
        <w:spacing w:after="0"/>
        <w:ind w:left="340" w:hanging="340"/>
        <w:rPr>
          <w:lang w:val="fr-BE"/>
        </w:rPr>
      </w:pPr>
      <w:r w:rsidRPr="009C7A94">
        <w:rPr>
          <w:rStyle w:val="FootnoteReference"/>
          <w:vertAlign w:val="baseline"/>
          <w:lang w:val="fr-BE"/>
        </w:rPr>
        <w:t>(</w:t>
      </w:r>
      <w:r w:rsidR="00EC6C46">
        <w:rPr>
          <w:rStyle w:val="FootnoteReference"/>
        </w:rPr>
        <w:footnoteRef/>
      </w:r>
      <w:r w:rsidRPr="009C7A94">
        <w:rPr>
          <w:rStyle w:val="FootnoteReference"/>
          <w:vertAlign w:val="baseline"/>
          <w:lang w:val="fr-BE"/>
        </w:rPr>
        <w:t>)</w:t>
      </w:r>
      <w:r w:rsidR="00EC6C46" w:rsidRPr="00F61BBA">
        <w:rPr>
          <w:lang w:val="fr-BE"/>
        </w:rPr>
        <w:tab/>
      </w:r>
      <w:hyperlink r:id="rId13" w:history="1">
        <w:r w:rsidR="00EC6C46" w:rsidRPr="00F61BBA">
          <w:rPr>
            <w:rStyle w:val="Hyperlink"/>
            <w:lang w:val="fr-BE"/>
          </w:rPr>
          <w:t>https://op.europa.eu/en/publication-detail/-/publication/9a6139af-d5f8-11ea-adf7-01aa75ed71a1/language-en</w:t>
        </w:r>
      </w:hyperlink>
      <w:r w:rsidR="00EC6C46" w:rsidRPr="00F61BBA">
        <w:rPr>
          <w:lang w:val="fr-BE"/>
        </w:rPr>
        <w:t xml:space="preserve"> </w:t>
      </w:r>
    </w:p>
  </w:footnote>
  <w:footnote w:id="37">
    <w:p w14:paraId="1B6A3344" w14:textId="7BC7915F" w:rsidR="008E0501" w:rsidRPr="00992D45" w:rsidRDefault="008E0501" w:rsidP="00992D45">
      <w:pPr>
        <w:autoSpaceDE w:val="0"/>
        <w:autoSpaceDN w:val="0"/>
        <w:spacing w:after="0"/>
        <w:rPr>
          <w:rStyle w:val="Hyperlink"/>
          <w:sz w:val="20"/>
          <w:lang w:val="fr-BE"/>
        </w:rPr>
      </w:pPr>
      <w:r w:rsidRPr="00381BFE">
        <w:rPr>
          <w:lang w:val="fr-BE"/>
        </w:rPr>
        <w:t>(</w:t>
      </w:r>
      <w:r w:rsidRPr="00381BFE">
        <w:rPr>
          <w:rStyle w:val="FootnoteReference"/>
          <w:sz w:val="20"/>
        </w:rPr>
        <w:footnoteRef/>
      </w:r>
      <w:r w:rsidRPr="00381BFE">
        <w:rPr>
          <w:sz w:val="20"/>
          <w:lang w:val="fr-BE"/>
        </w:rPr>
        <w:t>)</w:t>
      </w:r>
      <w:r w:rsidR="00381BFE">
        <w:rPr>
          <w:sz w:val="20"/>
          <w:lang w:val="fr-BE"/>
        </w:rPr>
        <w:t xml:space="preserve"> </w:t>
      </w:r>
      <w:r w:rsidRPr="00381BFE">
        <w:rPr>
          <w:rStyle w:val="Hyperlink"/>
          <w:sz w:val="20"/>
          <w:lang w:val="fr-BE"/>
        </w:rPr>
        <w:t xml:space="preserve">https://www.ilo.org/global/standards/WCMS_697996/lang--en/index.htm </w:t>
      </w:r>
    </w:p>
  </w:footnote>
  <w:footnote w:id="38">
    <w:p w14:paraId="32C444ED" w14:textId="7D986DD8" w:rsidR="00EC6C46" w:rsidRPr="00B22282" w:rsidRDefault="009C7A94" w:rsidP="00FE7410">
      <w:pPr>
        <w:pStyle w:val="FootnoteText"/>
        <w:spacing w:after="0"/>
        <w:ind w:left="340" w:hanging="340"/>
        <w:rPr>
          <w:lang w:val="en-IE"/>
        </w:rPr>
      </w:pPr>
      <w:r w:rsidRPr="009C7A94">
        <w:rPr>
          <w:rStyle w:val="FootnoteReference"/>
          <w:vertAlign w:val="baseline"/>
        </w:rPr>
        <w:t>(</w:t>
      </w:r>
      <w:r w:rsidR="00EC6C46">
        <w:rPr>
          <w:rStyle w:val="FootnoteReference"/>
        </w:rPr>
        <w:footnoteRef/>
      </w:r>
      <w:r w:rsidRPr="009C7A94">
        <w:rPr>
          <w:rStyle w:val="FootnoteReference"/>
          <w:vertAlign w:val="baseline"/>
        </w:rPr>
        <w:t>)</w:t>
      </w:r>
      <w:r w:rsidR="00EC6C46">
        <w:t xml:space="preserve"> </w:t>
      </w:r>
      <w:r w:rsidR="00EC6C46">
        <w:tab/>
      </w:r>
      <w:hyperlink r:id="rId14" w:history="1">
        <w:r w:rsidR="00EC6C46" w:rsidRPr="005A4C18">
          <w:rPr>
            <w:rStyle w:val="Hyperlink"/>
          </w:rPr>
          <w:t>https://gsphub.eu/</w:t>
        </w:r>
      </w:hyperlink>
      <w:r w:rsidR="00EC6C46">
        <w:t xml:space="preserve"> </w:t>
      </w:r>
    </w:p>
  </w:footnote>
  <w:footnote w:id="39">
    <w:p w14:paraId="62A6F2BA" w14:textId="3195A7E2" w:rsidR="009F41F2" w:rsidRPr="009F41F2" w:rsidRDefault="009F41F2">
      <w:pPr>
        <w:pStyle w:val="FootnoteText"/>
      </w:pPr>
      <w:r>
        <w:t>(</w:t>
      </w:r>
      <w:r>
        <w:rPr>
          <w:rStyle w:val="FootnoteReference"/>
        </w:rPr>
        <w:footnoteRef/>
      </w:r>
      <w:r>
        <w:t>)</w:t>
      </w:r>
      <w:r>
        <w:tab/>
      </w:r>
      <w:r w:rsidRPr="00CD0F42">
        <w:t>Regulation (EU) 2021/947 of the European Parliament and of the Council of 9 June 2021 establishing the Neighbourhood, Development and International Cooperation Instrument – Global Europe</w:t>
      </w:r>
      <w:r w:rsidR="005D0DB0">
        <w:t>.</w:t>
      </w:r>
    </w:p>
  </w:footnote>
  <w:footnote w:id="40">
    <w:p w14:paraId="5612E39C" w14:textId="46ABAFC0" w:rsidR="00E22389" w:rsidRPr="009F7C96" w:rsidRDefault="00E22389" w:rsidP="00E22389">
      <w:pPr>
        <w:pStyle w:val="FootnoteText"/>
        <w:rPr>
          <w:szCs w:val="16"/>
        </w:rPr>
      </w:pPr>
      <w:r w:rsidRPr="00615066">
        <w:rPr>
          <w:rStyle w:val="FootnoteReference"/>
          <w:szCs w:val="16"/>
        </w:rPr>
        <w:footnoteRef/>
      </w:r>
      <w:r w:rsidRPr="009F7C96">
        <w:rPr>
          <w:szCs w:val="16"/>
        </w:rPr>
        <w:t xml:space="preserve"> </w:t>
      </w:r>
      <w:hyperlink r:id="rId15" w:history="1">
        <w:r w:rsidRPr="009F7C96">
          <w:rPr>
            <w:rStyle w:val="Hyperlink"/>
            <w:szCs w:val="16"/>
          </w:rPr>
          <w:t>https://ec.europa.eu/info/strategy/priorities-2019-2024/stronger-europe-world/global-gateway_en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E18B" w14:textId="77777777" w:rsidR="00615CBF" w:rsidRPr="00615CBF" w:rsidRDefault="00615CBF" w:rsidP="00615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1578" w14:textId="77777777" w:rsidR="00615CBF" w:rsidRPr="00615CBF" w:rsidRDefault="00615CBF" w:rsidP="00615CB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C1D8" w14:textId="77777777" w:rsidR="00615CBF" w:rsidRPr="00615CBF" w:rsidRDefault="00615CBF" w:rsidP="00615CB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B9AF" w14:textId="77777777" w:rsidR="00A260E8" w:rsidRDefault="00A260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ADA6" w14:textId="77777777" w:rsidR="00A260E8" w:rsidRDefault="00A260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20CEC" w14:textId="77777777" w:rsidR="00A260E8" w:rsidRDefault="00A26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8D2C4E0E"/>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576C1DB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7E90EE2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E13AF6D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DD92C0A4"/>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E8F6A64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0068DCB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67467C1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8FC2A50E"/>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B5CA80E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4A22817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4293F3F"/>
    <w:multiLevelType w:val="singleLevel"/>
    <w:tmpl w:val="B074E4EC"/>
    <w:lvl w:ilvl="0">
      <w:start w:val="1"/>
      <w:numFmt w:val="bullet"/>
      <w:pStyle w:val="EurolookClassicOlive1"/>
      <w:lvlText w:val="–"/>
      <w:lvlJc w:val="left"/>
      <w:pPr>
        <w:tabs>
          <w:tab w:val="num" w:pos="283"/>
        </w:tabs>
        <w:ind w:left="283" w:hanging="283"/>
      </w:pPr>
      <w:rPr>
        <w:rFonts w:ascii="Times New Roman" w:hAnsi="Times New Roman"/>
      </w:rPr>
    </w:lvl>
  </w:abstractNum>
  <w:abstractNum w:abstractNumId="12" w15:restartNumberingAfterBreak="0">
    <w:nsid w:val="358B6119"/>
    <w:multiLevelType w:val="multilevel"/>
    <w:tmpl w:val="A8BA546C"/>
    <w:lvl w:ilvl="0">
      <w:start w:val="1"/>
      <w:numFmt w:val="decimal"/>
      <w:pStyle w:val="EurolookClassicPetrol3"/>
      <w:lvlText w:val="(%1)"/>
      <w:lvlJc w:val="left"/>
      <w:pPr>
        <w:tabs>
          <w:tab w:val="num" w:pos="1191"/>
        </w:tabs>
        <w:ind w:left="1191" w:hanging="709"/>
      </w:pPr>
    </w:lvl>
    <w:lvl w:ilvl="1">
      <w:start w:val="1"/>
      <w:numFmt w:val="lowerLetter"/>
      <w:pStyle w:val="EurolookClassicPetrol4"/>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6324F1E"/>
    <w:multiLevelType w:val="multilevel"/>
    <w:tmpl w:val="DB52919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7CB1E1C"/>
    <w:multiLevelType w:val="multilevel"/>
    <w:tmpl w:val="4DE23D8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A7730C4"/>
    <w:multiLevelType w:val="multilevel"/>
    <w:tmpl w:val="931AB90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D5F3441"/>
    <w:multiLevelType w:val="hybridMultilevel"/>
    <w:tmpl w:val="DB68B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9E662A"/>
    <w:multiLevelType w:val="multilevel"/>
    <w:tmpl w:val="1A407D1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4872A8D"/>
    <w:multiLevelType w:val="hybridMultilevel"/>
    <w:tmpl w:val="6D5E4926"/>
    <w:lvl w:ilvl="0" w:tplc="B48ACA54">
      <w:start w:val="6"/>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E1A63DF"/>
    <w:multiLevelType w:val="multilevel"/>
    <w:tmpl w:val="EB5A742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C34A62A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5F2AB3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F11C740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54A38CA"/>
    <w:multiLevelType w:val="hybridMultilevel"/>
    <w:tmpl w:val="7AD004FC"/>
    <w:lvl w:ilvl="0" w:tplc="F14EC20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5792BB8"/>
    <w:multiLevelType w:val="multilevel"/>
    <w:tmpl w:val="BA8E5A9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77472E"/>
    <w:multiLevelType w:val="multilevel"/>
    <w:tmpl w:val="9D10E908"/>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6EF44D91"/>
    <w:multiLevelType w:val="hybridMultilevel"/>
    <w:tmpl w:val="4B0C6438"/>
    <w:lvl w:ilvl="0" w:tplc="CD0022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805E7"/>
    <w:multiLevelType w:val="hybridMultilevel"/>
    <w:tmpl w:val="B6881DC4"/>
    <w:lvl w:ilvl="0" w:tplc="59A8D486">
      <w:start w:val="1"/>
      <w:numFmt w:val="bullet"/>
      <w:lvlText w:val=""/>
      <w:lvlJc w:val="left"/>
      <w:pPr>
        <w:ind w:left="360" w:hanging="360"/>
      </w:pPr>
      <w:rPr>
        <w:rFonts w:ascii="Symbol" w:hAnsi="Symbol" w:hint="default"/>
        <w:color w:val="365F91" w:themeColor="accent1" w:themeShade="BF"/>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C65145E"/>
    <w:multiLevelType w:val="multilevel"/>
    <w:tmpl w:val="8812A70E"/>
    <w:name w:val="EurolookHeading"/>
    <w:lvl w:ilvl="0">
      <w:start w:val="1"/>
      <w:numFmt w:val="decimal"/>
      <w:pStyle w:val="Heading1"/>
      <w:lvlText w:val="%1."/>
      <w:lvlJc w:val="left"/>
      <w:pPr>
        <w:tabs>
          <w:tab w:val="num" w:pos="2467"/>
        </w:tabs>
        <w:ind w:left="2467"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3"/>
  </w:num>
  <w:num w:numId="3">
    <w:abstractNumId w:val="7"/>
  </w:num>
  <w:num w:numId="4">
    <w:abstractNumId w:val="14"/>
  </w:num>
  <w:num w:numId="5">
    <w:abstractNumId w:val="21"/>
  </w:num>
  <w:num w:numId="6">
    <w:abstractNumId w:val="25"/>
  </w:num>
  <w:num w:numId="7">
    <w:abstractNumId w:val="1"/>
  </w:num>
  <w:num w:numId="8">
    <w:abstractNumId w:val="6"/>
  </w:num>
  <w:num w:numId="9">
    <w:abstractNumId w:val="17"/>
  </w:num>
  <w:num w:numId="10">
    <w:abstractNumId w:val="2"/>
  </w:num>
  <w:num w:numId="11">
    <w:abstractNumId w:val="4"/>
  </w:num>
  <w:num w:numId="12">
    <w:abstractNumId w:val="5"/>
  </w:num>
  <w:num w:numId="13">
    <w:abstractNumId w:val="8"/>
  </w:num>
  <w:num w:numId="14">
    <w:abstractNumId w:val="15"/>
  </w:num>
  <w:num w:numId="15">
    <w:abstractNumId w:val="20"/>
  </w:num>
  <w:num w:numId="16">
    <w:abstractNumId w:val="28"/>
  </w:num>
  <w:num w:numId="17">
    <w:abstractNumId w:val="9"/>
  </w:num>
  <w:num w:numId="18">
    <w:abstractNumId w:val="10"/>
  </w:num>
  <w:num w:numId="19">
    <w:abstractNumId w:val="29"/>
  </w:num>
  <w:num w:numId="20">
    <w:abstractNumId w:val="19"/>
  </w:num>
  <w:num w:numId="21">
    <w:abstractNumId w:val="22"/>
  </w:num>
  <w:num w:numId="22">
    <w:abstractNumId w:val="3"/>
  </w:num>
  <w:num w:numId="23">
    <w:abstractNumId w:val="28"/>
  </w:num>
  <w:num w:numId="24">
    <w:abstractNumId w:val="28"/>
  </w:num>
  <w:num w:numId="25">
    <w:abstractNumId w:val="28"/>
  </w:num>
  <w:num w:numId="26">
    <w:abstractNumId w:val="27"/>
  </w:num>
  <w:num w:numId="27">
    <w:abstractNumId w:val="11"/>
  </w:num>
  <w:num w:numId="28">
    <w:abstractNumId w:val="12"/>
  </w:num>
  <w:num w:numId="29">
    <w:abstractNumId w:val="23"/>
  </w:num>
  <w:num w:numId="30">
    <w:abstractNumId w:val="28"/>
  </w:num>
  <w:num w:numId="31">
    <w:abstractNumId w:val="28"/>
  </w:num>
  <w:num w:numId="32">
    <w:abstractNumId w:val="28"/>
  </w:num>
  <w:num w:numId="33">
    <w:abstractNumId w:val="28"/>
  </w:num>
  <w:num w:numId="34">
    <w:abstractNumId w:val="28"/>
  </w:num>
  <w:num w:numId="35">
    <w:abstractNumId w:val="24"/>
  </w:num>
  <w:num w:numId="36">
    <w:abstractNumId w:val="16"/>
  </w:num>
  <w:num w:numId="37">
    <w:abstractNumId w:val="26"/>
  </w:num>
  <w:num w:numId="38">
    <w:abstractNumId w:val="18"/>
  </w:num>
  <w:num w:numId="39">
    <w:abstractNumId w:val="28"/>
  </w:num>
  <w:num w:numId="40">
    <w:abstractNumId w:val="28"/>
  </w:num>
  <w:num w:numId="41">
    <w:abstractNumId w:val="28"/>
  </w:num>
  <w:num w:numId="42">
    <w:abstractNumId w:val="28"/>
  </w:num>
  <w:num w:numId="43">
    <w:abstractNumId w:val="2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pt-PT" w:vendorID="64" w:dllVersion="0" w:nlCheck="1" w:checkStyle="0"/>
  <w:activeWritingStyle w:appName="MSWord" w:lang="en-IE" w:vendorID="64" w:dllVersion="4096" w:nlCheck="1" w:checkStyle="0"/>
  <w:activeWritingStyle w:appName="MSWord" w:lang="pt-PT" w:vendorID="64" w:dllVersion="6" w:nlCheck="1" w:checkStyle="0"/>
  <w:activeWritingStyle w:appName="MSWord" w:lang="fr-BE" w:vendorID="64" w:dllVersion="0" w:nlCheck="1" w:checkStyle="0"/>
  <w:activeWritingStyle w:appName="MSWord" w:lang="fr-BE" w:vendorID="64" w:dllVersion="6" w:nlCheck="1" w:checkStyle="0"/>
  <w:activeWritingStyle w:appName="MSWord" w:lang="fr-FR" w:vendorID="64" w:dllVersion="0" w:nlCheck="1" w:checkStyle="0"/>
  <w:activeWritingStyle w:appName="MSWord" w:lang="es-E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7855D4B-FA39-4C8F-8FA3-2DD358DB4F6B"/>
    <w:docVar w:name="LW_COVERPAGE_TYPE" w:val="1"/>
    <w:docVar w:name="LW_CROSSREFERENCE" w:val="{SWD(2023) 359 final} - {SWD(2023) 360 final} - {SWD(2023) 361 final} - {SWD(2023) 362 final} - {SWD(2023) 363 final} - {SWD(2023) 364 final} - {SWD(2023) 365 final} - {SWD(2023) 366 final} - {SWD(2023) 367 final} - {SWD(2023) 368 final}"/>
    <w:docVar w:name="LW_DocType" w:val="EUROLOOK"/>
    <w:docVar w:name="LW_EMISSION" w:val="21.11.2023"/>
    <w:docVar w:name="LW_EMISSION_ISODATE" w:val="2023-11-21"/>
    <w:docVar w:name="LW_EMISSION_LOCATION" w:val="BRX"/>
    <w:docVar w:name="LW_EMISSION_PREFIX" w:val="Brussels, "/>
    <w:docVar w:name="LW_EMISSION_SUFFIX" w:val=" "/>
    <w:docVar w:name="LW_ID_DOCTYPE_NONLW" w:val="CP-018"/>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3) 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Generalised Scheme of Preferences covering the period 2020-2022_x000d__x000b__x000d__x000b_"/>
    <w:docVar w:name="LW_TYPE.DOC.CP" w:val="JOINT REPORT TO THE EUROPEAN PARLIAMENT AND THE COUNCIL"/>
    <w:docVar w:name="LwApiVersions" w:val="LW4CoDe 1.23.2.0; LW 8.0, Build 20211117"/>
  </w:docVars>
  <w:rsids>
    <w:rsidRoot w:val="00067BA2"/>
    <w:rsid w:val="00003A27"/>
    <w:rsid w:val="00004EDC"/>
    <w:rsid w:val="000070E0"/>
    <w:rsid w:val="000076AD"/>
    <w:rsid w:val="00010953"/>
    <w:rsid w:val="0001122C"/>
    <w:rsid w:val="000113E8"/>
    <w:rsid w:val="000118FB"/>
    <w:rsid w:val="00012BB5"/>
    <w:rsid w:val="00012C23"/>
    <w:rsid w:val="00013784"/>
    <w:rsid w:val="00013E51"/>
    <w:rsid w:val="000177EB"/>
    <w:rsid w:val="0002057E"/>
    <w:rsid w:val="00020AA9"/>
    <w:rsid w:val="00023C14"/>
    <w:rsid w:val="00025589"/>
    <w:rsid w:val="00033CF6"/>
    <w:rsid w:val="00036CD7"/>
    <w:rsid w:val="00037345"/>
    <w:rsid w:val="000421CB"/>
    <w:rsid w:val="000433A4"/>
    <w:rsid w:val="00044117"/>
    <w:rsid w:val="00044237"/>
    <w:rsid w:val="000464CC"/>
    <w:rsid w:val="00050B07"/>
    <w:rsid w:val="000534A2"/>
    <w:rsid w:val="00053C32"/>
    <w:rsid w:val="00055DC7"/>
    <w:rsid w:val="000564A6"/>
    <w:rsid w:val="000608E5"/>
    <w:rsid w:val="000611CA"/>
    <w:rsid w:val="0006164D"/>
    <w:rsid w:val="00062772"/>
    <w:rsid w:val="00067BA2"/>
    <w:rsid w:val="00067EAE"/>
    <w:rsid w:val="00070773"/>
    <w:rsid w:val="00070E10"/>
    <w:rsid w:val="00071148"/>
    <w:rsid w:val="0007205D"/>
    <w:rsid w:val="00073858"/>
    <w:rsid w:val="0007460E"/>
    <w:rsid w:val="00075070"/>
    <w:rsid w:val="000755CC"/>
    <w:rsid w:val="00077815"/>
    <w:rsid w:val="00080D07"/>
    <w:rsid w:val="0008143A"/>
    <w:rsid w:val="00084F21"/>
    <w:rsid w:val="000870DD"/>
    <w:rsid w:val="00094BAA"/>
    <w:rsid w:val="00097944"/>
    <w:rsid w:val="000A1BCE"/>
    <w:rsid w:val="000A25E0"/>
    <w:rsid w:val="000A31B9"/>
    <w:rsid w:val="000A49A1"/>
    <w:rsid w:val="000A7033"/>
    <w:rsid w:val="000A72D9"/>
    <w:rsid w:val="000A7705"/>
    <w:rsid w:val="000A7C43"/>
    <w:rsid w:val="000A7CCC"/>
    <w:rsid w:val="000B12DE"/>
    <w:rsid w:val="000B206C"/>
    <w:rsid w:val="000B6038"/>
    <w:rsid w:val="000B615A"/>
    <w:rsid w:val="000B6504"/>
    <w:rsid w:val="000C0058"/>
    <w:rsid w:val="000C09C6"/>
    <w:rsid w:val="000C0DB2"/>
    <w:rsid w:val="000C352E"/>
    <w:rsid w:val="000D0CF4"/>
    <w:rsid w:val="000D18C4"/>
    <w:rsid w:val="000D34C7"/>
    <w:rsid w:val="000D43DE"/>
    <w:rsid w:val="000D52CE"/>
    <w:rsid w:val="000D68BA"/>
    <w:rsid w:val="000E151C"/>
    <w:rsid w:val="000E20FC"/>
    <w:rsid w:val="000E2705"/>
    <w:rsid w:val="000E2760"/>
    <w:rsid w:val="000E3674"/>
    <w:rsid w:val="000F1550"/>
    <w:rsid w:val="000F1BDF"/>
    <w:rsid w:val="000F5DC9"/>
    <w:rsid w:val="00103B92"/>
    <w:rsid w:val="00104D0A"/>
    <w:rsid w:val="0010571A"/>
    <w:rsid w:val="00105C35"/>
    <w:rsid w:val="001060B2"/>
    <w:rsid w:val="0010661B"/>
    <w:rsid w:val="00107C73"/>
    <w:rsid w:val="001111F7"/>
    <w:rsid w:val="00111E9B"/>
    <w:rsid w:val="00115FCA"/>
    <w:rsid w:val="0012069D"/>
    <w:rsid w:val="0013051F"/>
    <w:rsid w:val="0013146F"/>
    <w:rsid w:val="0013226A"/>
    <w:rsid w:val="0013274E"/>
    <w:rsid w:val="0013480D"/>
    <w:rsid w:val="00135EBF"/>
    <w:rsid w:val="001360BC"/>
    <w:rsid w:val="00136906"/>
    <w:rsid w:val="00140A5E"/>
    <w:rsid w:val="0014174C"/>
    <w:rsid w:val="0014342B"/>
    <w:rsid w:val="0014392E"/>
    <w:rsid w:val="00144BA6"/>
    <w:rsid w:val="0015067F"/>
    <w:rsid w:val="00151C9C"/>
    <w:rsid w:val="00153C9D"/>
    <w:rsid w:val="00154FE2"/>
    <w:rsid w:val="00155AC5"/>
    <w:rsid w:val="00155BE9"/>
    <w:rsid w:val="00156907"/>
    <w:rsid w:val="001600C9"/>
    <w:rsid w:val="001606CC"/>
    <w:rsid w:val="00163875"/>
    <w:rsid w:val="00163CB4"/>
    <w:rsid w:val="001642A8"/>
    <w:rsid w:val="00164CC2"/>
    <w:rsid w:val="00164EED"/>
    <w:rsid w:val="00172099"/>
    <w:rsid w:val="00173078"/>
    <w:rsid w:val="00174A5C"/>
    <w:rsid w:val="001830B0"/>
    <w:rsid w:val="001836D4"/>
    <w:rsid w:val="00185350"/>
    <w:rsid w:val="00190391"/>
    <w:rsid w:val="0019072E"/>
    <w:rsid w:val="00190E26"/>
    <w:rsid w:val="00192898"/>
    <w:rsid w:val="00192B66"/>
    <w:rsid w:val="00193BDF"/>
    <w:rsid w:val="001941D0"/>
    <w:rsid w:val="00194AE7"/>
    <w:rsid w:val="00195135"/>
    <w:rsid w:val="00196F1F"/>
    <w:rsid w:val="00197D0E"/>
    <w:rsid w:val="001A0588"/>
    <w:rsid w:val="001A0C51"/>
    <w:rsid w:val="001A1845"/>
    <w:rsid w:val="001A4289"/>
    <w:rsid w:val="001B006A"/>
    <w:rsid w:val="001B00FA"/>
    <w:rsid w:val="001B0598"/>
    <w:rsid w:val="001B0646"/>
    <w:rsid w:val="001B1371"/>
    <w:rsid w:val="001B16A3"/>
    <w:rsid w:val="001B33B2"/>
    <w:rsid w:val="001B3714"/>
    <w:rsid w:val="001B66B4"/>
    <w:rsid w:val="001C28F0"/>
    <w:rsid w:val="001C5C59"/>
    <w:rsid w:val="001C726B"/>
    <w:rsid w:val="001D0341"/>
    <w:rsid w:val="001D04F7"/>
    <w:rsid w:val="001D14A4"/>
    <w:rsid w:val="001D1E66"/>
    <w:rsid w:val="001D21B5"/>
    <w:rsid w:val="001D2E64"/>
    <w:rsid w:val="001D46D7"/>
    <w:rsid w:val="001D52A3"/>
    <w:rsid w:val="001D574E"/>
    <w:rsid w:val="001D5C6B"/>
    <w:rsid w:val="001D6597"/>
    <w:rsid w:val="001D6912"/>
    <w:rsid w:val="001D7828"/>
    <w:rsid w:val="001D7CB8"/>
    <w:rsid w:val="001E0025"/>
    <w:rsid w:val="001E00C5"/>
    <w:rsid w:val="001E0186"/>
    <w:rsid w:val="001E0D35"/>
    <w:rsid w:val="001E2421"/>
    <w:rsid w:val="001E4001"/>
    <w:rsid w:val="001E7004"/>
    <w:rsid w:val="001F090C"/>
    <w:rsid w:val="001F1161"/>
    <w:rsid w:val="001F1BE4"/>
    <w:rsid w:val="001F336E"/>
    <w:rsid w:val="001F4683"/>
    <w:rsid w:val="001F63E0"/>
    <w:rsid w:val="001F6B6E"/>
    <w:rsid w:val="001F6C2C"/>
    <w:rsid w:val="001F7390"/>
    <w:rsid w:val="00200B8F"/>
    <w:rsid w:val="00201B55"/>
    <w:rsid w:val="002025E8"/>
    <w:rsid w:val="00202FA2"/>
    <w:rsid w:val="0020327D"/>
    <w:rsid w:val="00205293"/>
    <w:rsid w:val="002103B8"/>
    <w:rsid w:val="0021087A"/>
    <w:rsid w:val="002112CB"/>
    <w:rsid w:val="00211886"/>
    <w:rsid w:val="00214EE0"/>
    <w:rsid w:val="00215A93"/>
    <w:rsid w:val="0021773C"/>
    <w:rsid w:val="00224994"/>
    <w:rsid w:val="0022627D"/>
    <w:rsid w:val="002262CA"/>
    <w:rsid w:val="002316B1"/>
    <w:rsid w:val="00232BEA"/>
    <w:rsid w:val="002334E1"/>
    <w:rsid w:val="00233509"/>
    <w:rsid w:val="002343F3"/>
    <w:rsid w:val="0023448B"/>
    <w:rsid w:val="00236071"/>
    <w:rsid w:val="0023762C"/>
    <w:rsid w:val="00237D55"/>
    <w:rsid w:val="00240338"/>
    <w:rsid w:val="00240B41"/>
    <w:rsid w:val="002445B1"/>
    <w:rsid w:val="0024571C"/>
    <w:rsid w:val="002460F8"/>
    <w:rsid w:val="0024716E"/>
    <w:rsid w:val="00250F5A"/>
    <w:rsid w:val="00251423"/>
    <w:rsid w:val="00251EF9"/>
    <w:rsid w:val="00253AE7"/>
    <w:rsid w:val="002546D7"/>
    <w:rsid w:val="002558F4"/>
    <w:rsid w:val="00265078"/>
    <w:rsid w:val="00265BD4"/>
    <w:rsid w:val="002728CC"/>
    <w:rsid w:val="00275557"/>
    <w:rsid w:val="00276261"/>
    <w:rsid w:val="0027744C"/>
    <w:rsid w:val="00280B28"/>
    <w:rsid w:val="002813C7"/>
    <w:rsid w:val="00281471"/>
    <w:rsid w:val="00282EAA"/>
    <w:rsid w:val="0028326C"/>
    <w:rsid w:val="002836E7"/>
    <w:rsid w:val="00286319"/>
    <w:rsid w:val="002904D6"/>
    <w:rsid w:val="00290E2E"/>
    <w:rsid w:val="002912A9"/>
    <w:rsid w:val="0029268F"/>
    <w:rsid w:val="00293360"/>
    <w:rsid w:val="00293E49"/>
    <w:rsid w:val="002943B4"/>
    <w:rsid w:val="00295C65"/>
    <w:rsid w:val="002973E7"/>
    <w:rsid w:val="002975B9"/>
    <w:rsid w:val="002A0A1A"/>
    <w:rsid w:val="002A310F"/>
    <w:rsid w:val="002A3997"/>
    <w:rsid w:val="002A4BC2"/>
    <w:rsid w:val="002A52E1"/>
    <w:rsid w:val="002A6820"/>
    <w:rsid w:val="002A6C0C"/>
    <w:rsid w:val="002A7578"/>
    <w:rsid w:val="002B02F9"/>
    <w:rsid w:val="002B0D0F"/>
    <w:rsid w:val="002B31E2"/>
    <w:rsid w:val="002B4914"/>
    <w:rsid w:val="002B4974"/>
    <w:rsid w:val="002B5189"/>
    <w:rsid w:val="002B61DF"/>
    <w:rsid w:val="002C1AF6"/>
    <w:rsid w:val="002C3C0E"/>
    <w:rsid w:val="002C42AC"/>
    <w:rsid w:val="002C4B80"/>
    <w:rsid w:val="002C5784"/>
    <w:rsid w:val="002C6612"/>
    <w:rsid w:val="002C7BA1"/>
    <w:rsid w:val="002D09C3"/>
    <w:rsid w:val="002D0E65"/>
    <w:rsid w:val="002D173C"/>
    <w:rsid w:val="002D177B"/>
    <w:rsid w:val="002D27AE"/>
    <w:rsid w:val="002D3B71"/>
    <w:rsid w:val="002D54F0"/>
    <w:rsid w:val="002E791D"/>
    <w:rsid w:val="002F110E"/>
    <w:rsid w:val="002F1CA7"/>
    <w:rsid w:val="002F1CAF"/>
    <w:rsid w:val="002F298D"/>
    <w:rsid w:val="002F29CA"/>
    <w:rsid w:val="002F3FF3"/>
    <w:rsid w:val="002F4213"/>
    <w:rsid w:val="002F4CD2"/>
    <w:rsid w:val="002F4FF7"/>
    <w:rsid w:val="002F75B9"/>
    <w:rsid w:val="0030250C"/>
    <w:rsid w:val="00302B92"/>
    <w:rsid w:val="003050F0"/>
    <w:rsid w:val="00310618"/>
    <w:rsid w:val="003128E8"/>
    <w:rsid w:val="00312FAB"/>
    <w:rsid w:val="00315AA9"/>
    <w:rsid w:val="00315BB0"/>
    <w:rsid w:val="00316A5C"/>
    <w:rsid w:val="00317572"/>
    <w:rsid w:val="00320356"/>
    <w:rsid w:val="003210BC"/>
    <w:rsid w:val="00321189"/>
    <w:rsid w:val="00323131"/>
    <w:rsid w:val="003249F6"/>
    <w:rsid w:val="00324EB5"/>
    <w:rsid w:val="0033303B"/>
    <w:rsid w:val="00335649"/>
    <w:rsid w:val="00335A49"/>
    <w:rsid w:val="00335A8B"/>
    <w:rsid w:val="003410F2"/>
    <w:rsid w:val="0034131C"/>
    <w:rsid w:val="003428E3"/>
    <w:rsid w:val="0034304F"/>
    <w:rsid w:val="0034415E"/>
    <w:rsid w:val="00346D03"/>
    <w:rsid w:val="0034757C"/>
    <w:rsid w:val="00351299"/>
    <w:rsid w:val="00351303"/>
    <w:rsid w:val="00361056"/>
    <w:rsid w:val="00361255"/>
    <w:rsid w:val="00364FE4"/>
    <w:rsid w:val="003656F4"/>
    <w:rsid w:val="00367547"/>
    <w:rsid w:val="00367753"/>
    <w:rsid w:val="0037123C"/>
    <w:rsid w:val="003714A8"/>
    <w:rsid w:val="00371606"/>
    <w:rsid w:val="00371AA3"/>
    <w:rsid w:val="003737EF"/>
    <w:rsid w:val="00374D18"/>
    <w:rsid w:val="00377147"/>
    <w:rsid w:val="00377505"/>
    <w:rsid w:val="00381BFE"/>
    <w:rsid w:val="00385A0A"/>
    <w:rsid w:val="00386E46"/>
    <w:rsid w:val="00387CF6"/>
    <w:rsid w:val="00390A34"/>
    <w:rsid w:val="00392D6D"/>
    <w:rsid w:val="00393663"/>
    <w:rsid w:val="0039486A"/>
    <w:rsid w:val="00395EEF"/>
    <w:rsid w:val="003975E0"/>
    <w:rsid w:val="003A04C9"/>
    <w:rsid w:val="003A07C9"/>
    <w:rsid w:val="003A17B3"/>
    <w:rsid w:val="003A26DA"/>
    <w:rsid w:val="003A3ABE"/>
    <w:rsid w:val="003A6123"/>
    <w:rsid w:val="003A6F9D"/>
    <w:rsid w:val="003B34D0"/>
    <w:rsid w:val="003B3C78"/>
    <w:rsid w:val="003B4651"/>
    <w:rsid w:val="003B4BB0"/>
    <w:rsid w:val="003B5735"/>
    <w:rsid w:val="003B5C02"/>
    <w:rsid w:val="003B6B00"/>
    <w:rsid w:val="003B748C"/>
    <w:rsid w:val="003C5853"/>
    <w:rsid w:val="003C62F1"/>
    <w:rsid w:val="003C7315"/>
    <w:rsid w:val="003D6FD7"/>
    <w:rsid w:val="003E0A68"/>
    <w:rsid w:val="003E1612"/>
    <w:rsid w:val="003E1829"/>
    <w:rsid w:val="003E31CD"/>
    <w:rsid w:val="003E31D5"/>
    <w:rsid w:val="003E3452"/>
    <w:rsid w:val="003E4BB3"/>
    <w:rsid w:val="003E4D43"/>
    <w:rsid w:val="003F0BFA"/>
    <w:rsid w:val="003F28A5"/>
    <w:rsid w:val="003F4A4D"/>
    <w:rsid w:val="003F5290"/>
    <w:rsid w:val="003F5305"/>
    <w:rsid w:val="003F5A28"/>
    <w:rsid w:val="0040294A"/>
    <w:rsid w:val="00402AD5"/>
    <w:rsid w:val="0040470A"/>
    <w:rsid w:val="00404F03"/>
    <w:rsid w:val="0040578C"/>
    <w:rsid w:val="004100CA"/>
    <w:rsid w:val="004123DE"/>
    <w:rsid w:val="004151CF"/>
    <w:rsid w:val="00415356"/>
    <w:rsid w:val="00416C2A"/>
    <w:rsid w:val="00416F0A"/>
    <w:rsid w:val="00417389"/>
    <w:rsid w:val="0042000C"/>
    <w:rsid w:val="00420108"/>
    <w:rsid w:val="00420655"/>
    <w:rsid w:val="00421131"/>
    <w:rsid w:val="00422C36"/>
    <w:rsid w:val="00423FCD"/>
    <w:rsid w:val="00424BB9"/>
    <w:rsid w:val="00425EDA"/>
    <w:rsid w:val="004271E2"/>
    <w:rsid w:val="00436AF6"/>
    <w:rsid w:val="004372DD"/>
    <w:rsid w:val="0043793A"/>
    <w:rsid w:val="004440CA"/>
    <w:rsid w:val="004460EF"/>
    <w:rsid w:val="004479D0"/>
    <w:rsid w:val="00450D86"/>
    <w:rsid w:val="00452CB9"/>
    <w:rsid w:val="00455487"/>
    <w:rsid w:val="00457135"/>
    <w:rsid w:val="00460F88"/>
    <w:rsid w:val="00461C19"/>
    <w:rsid w:val="00462E7E"/>
    <w:rsid w:val="00462FBD"/>
    <w:rsid w:val="00462FFC"/>
    <w:rsid w:val="00463167"/>
    <w:rsid w:val="00463CBB"/>
    <w:rsid w:val="00467AB3"/>
    <w:rsid w:val="00472FBB"/>
    <w:rsid w:val="0047437E"/>
    <w:rsid w:val="00474CDD"/>
    <w:rsid w:val="0047794B"/>
    <w:rsid w:val="0048222E"/>
    <w:rsid w:val="00482361"/>
    <w:rsid w:val="00484AAD"/>
    <w:rsid w:val="00490793"/>
    <w:rsid w:val="004909EC"/>
    <w:rsid w:val="00492211"/>
    <w:rsid w:val="00492785"/>
    <w:rsid w:val="00493A64"/>
    <w:rsid w:val="00496825"/>
    <w:rsid w:val="00497B56"/>
    <w:rsid w:val="004A21A7"/>
    <w:rsid w:val="004A26B2"/>
    <w:rsid w:val="004A2F66"/>
    <w:rsid w:val="004A6161"/>
    <w:rsid w:val="004A65AB"/>
    <w:rsid w:val="004A6F51"/>
    <w:rsid w:val="004A78BD"/>
    <w:rsid w:val="004B07C9"/>
    <w:rsid w:val="004B0D8F"/>
    <w:rsid w:val="004B289C"/>
    <w:rsid w:val="004B4A56"/>
    <w:rsid w:val="004B6272"/>
    <w:rsid w:val="004C1C11"/>
    <w:rsid w:val="004C2C17"/>
    <w:rsid w:val="004C4EEC"/>
    <w:rsid w:val="004C620D"/>
    <w:rsid w:val="004C6849"/>
    <w:rsid w:val="004D205F"/>
    <w:rsid w:val="004D297A"/>
    <w:rsid w:val="004D3376"/>
    <w:rsid w:val="004D53ED"/>
    <w:rsid w:val="004D7B3C"/>
    <w:rsid w:val="004E054A"/>
    <w:rsid w:val="004E1577"/>
    <w:rsid w:val="004E5A27"/>
    <w:rsid w:val="004E71C8"/>
    <w:rsid w:val="004F237B"/>
    <w:rsid w:val="004F310C"/>
    <w:rsid w:val="00500255"/>
    <w:rsid w:val="005078F6"/>
    <w:rsid w:val="00510280"/>
    <w:rsid w:val="005105A0"/>
    <w:rsid w:val="005120D0"/>
    <w:rsid w:val="00512F11"/>
    <w:rsid w:val="00513749"/>
    <w:rsid w:val="00514B47"/>
    <w:rsid w:val="005165CA"/>
    <w:rsid w:val="00516671"/>
    <w:rsid w:val="00516C53"/>
    <w:rsid w:val="00517755"/>
    <w:rsid w:val="005254B6"/>
    <w:rsid w:val="00530737"/>
    <w:rsid w:val="00530C03"/>
    <w:rsid w:val="0053487F"/>
    <w:rsid w:val="0053586B"/>
    <w:rsid w:val="005364EB"/>
    <w:rsid w:val="00536ABF"/>
    <w:rsid w:val="005372EC"/>
    <w:rsid w:val="005401A3"/>
    <w:rsid w:val="005405EA"/>
    <w:rsid w:val="005407E6"/>
    <w:rsid w:val="0054176F"/>
    <w:rsid w:val="0054277E"/>
    <w:rsid w:val="00542AAE"/>
    <w:rsid w:val="00542B39"/>
    <w:rsid w:val="005430B4"/>
    <w:rsid w:val="005438D7"/>
    <w:rsid w:val="0054547E"/>
    <w:rsid w:val="00550455"/>
    <w:rsid w:val="00551367"/>
    <w:rsid w:val="00554111"/>
    <w:rsid w:val="005544AB"/>
    <w:rsid w:val="0055677B"/>
    <w:rsid w:val="00557AD7"/>
    <w:rsid w:val="00557F59"/>
    <w:rsid w:val="005635E3"/>
    <w:rsid w:val="00565110"/>
    <w:rsid w:val="00565A9F"/>
    <w:rsid w:val="00570D54"/>
    <w:rsid w:val="00572FF0"/>
    <w:rsid w:val="00573C44"/>
    <w:rsid w:val="005742EA"/>
    <w:rsid w:val="005748BB"/>
    <w:rsid w:val="00580AB9"/>
    <w:rsid w:val="00581082"/>
    <w:rsid w:val="00581136"/>
    <w:rsid w:val="0058227A"/>
    <w:rsid w:val="0058327E"/>
    <w:rsid w:val="00583984"/>
    <w:rsid w:val="00583F3C"/>
    <w:rsid w:val="00585887"/>
    <w:rsid w:val="00586988"/>
    <w:rsid w:val="00587978"/>
    <w:rsid w:val="0059323B"/>
    <w:rsid w:val="00593E7C"/>
    <w:rsid w:val="00594880"/>
    <w:rsid w:val="00594EDC"/>
    <w:rsid w:val="0059713C"/>
    <w:rsid w:val="005A03F4"/>
    <w:rsid w:val="005A0718"/>
    <w:rsid w:val="005A1450"/>
    <w:rsid w:val="005A73BA"/>
    <w:rsid w:val="005A778E"/>
    <w:rsid w:val="005A7C34"/>
    <w:rsid w:val="005B158D"/>
    <w:rsid w:val="005B358E"/>
    <w:rsid w:val="005B4895"/>
    <w:rsid w:val="005C03AB"/>
    <w:rsid w:val="005C27FD"/>
    <w:rsid w:val="005C6C4D"/>
    <w:rsid w:val="005C6EBE"/>
    <w:rsid w:val="005C7F47"/>
    <w:rsid w:val="005D0DB0"/>
    <w:rsid w:val="005D0FA5"/>
    <w:rsid w:val="005D4F9B"/>
    <w:rsid w:val="005D5E99"/>
    <w:rsid w:val="005D74A5"/>
    <w:rsid w:val="005E2762"/>
    <w:rsid w:val="005E3CA3"/>
    <w:rsid w:val="005E6C6B"/>
    <w:rsid w:val="005F151B"/>
    <w:rsid w:val="005F25BA"/>
    <w:rsid w:val="005F31B2"/>
    <w:rsid w:val="005F37D9"/>
    <w:rsid w:val="005F3D8A"/>
    <w:rsid w:val="005F6B56"/>
    <w:rsid w:val="005F7C7C"/>
    <w:rsid w:val="006014CE"/>
    <w:rsid w:val="00602F26"/>
    <w:rsid w:val="00604F2B"/>
    <w:rsid w:val="00605111"/>
    <w:rsid w:val="0060709F"/>
    <w:rsid w:val="00607581"/>
    <w:rsid w:val="00610AB2"/>
    <w:rsid w:val="00611F35"/>
    <w:rsid w:val="00615CBF"/>
    <w:rsid w:val="00616559"/>
    <w:rsid w:val="006204CE"/>
    <w:rsid w:val="00621F61"/>
    <w:rsid w:val="00622BD5"/>
    <w:rsid w:val="00625C95"/>
    <w:rsid w:val="00627EAB"/>
    <w:rsid w:val="00635597"/>
    <w:rsid w:val="006358DA"/>
    <w:rsid w:val="006371B4"/>
    <w:rsid w:val="00640306"/>
    <w:rsid w:val="006462C1"/>
    <w:rsid w:val="00647549"/>
    <w:rsid w:val="0064DACA"/>
    <w:rsid w:val="00653EE9"/>
    <w:rsid w:val="00656571"/>
    <w:rsid w:val="00657227"/>
    <w:rsid w:val="00660409"/>
    <w:rsid w:val="006611BD"/>
    <w:rsid w:val="006621C9"/>
    <w:rsid w:val="00666B54"/>
    <w:rsid w:val="00671992"/>
    <w:rsid w:val="0067427F"/>
    <w:rsid w:val="00674E28"/>
    <w:rsid w:val="006758D8"/>
    <w:rsid w:val="00676BE5"/>
    <w:rsid w:val="00681146"/>
    <w:rsid w:val="006819AF"/>
    <w:rsid w:val="0068259D"/>
    <w:rsid w:val="00685317"/>
    <w:rsid w:val="00687475"/>
    <w:rsid w:val="006911AB"/>
    <w:rsid w:val="006913E5"/>
    <w:rsid w:val="006923BD"/>
    <w:rsid w:val="00693652"/>
    <w:rsid w:val="006944BC"/>
    <w:rsid w:val="00694AD5"/>
    <w:rsid w:val="00694E93"/>
    <w:rsid w:val="0069620F"/>
    <w:rsid w:val="006978A2"/>
    <w:rsid w:val="006A1D11"/>
    <w:rsid w:val="006A4FA6"/>
    <w:rsid w:val="006A4FDD"/>
    <w:rsid w:val="006A5A9A"/>
    <w:rsid w:val="006A5C41"/>
    <w:rsid w:val="006A69CD"/>
    <w:rsid w:val="006B0D02"/>
    <w:rsid w:val="006B13A7"/>
    <w:rsid w:val="006B3772"/>
    <w:rsid w:val="006B5E57"/>
    <w:rsid w:val="006B5EBF"/>
    <w:rsid w:val="006B6109"/>
    <w:rsid w:val="006C143A"/>
    <w:rsid w:val="006C1676"/>
    <w:rsid w:val="006C178D"/>
    <w:rsid w:val="006C513A"/>
    <w:rsid w:val="006C586D"/>
    <w:rsid w:val="006C6138"/>
    <w:rsid w:val="006C7E55"/>
    <w:rsid w:val="006D3FF6"/>
    <w:rsid w:val="006D7C28"/>
    <w:rsid w:val="006E053C"/>
    <w:rsid w:val="006E1394"/>
    <w:rsid w:val="006E212D"/>
    <w:rsid w:val="006E3ED9"/>
    <w:rsid w:val="006E761B"/>
    <w:rsid w:val="006E7A5D"/>
    <w:rsid w:val="006F0896"/>
    <w:rsid w:val="006F0F96"/>
    <w:rsid w:val="006F1CFE"/>
    <w:rsid w:val="006F20EA"/>
    <w:rsid w:val="006F371C"/>
    <w:rsid w:val="006F542A"/>
    <w:rsid w:val="006F67B9"/>
    <w:rsid w:val="006F7EBA"/>
    <w:rsid w:val="00705730"/>
    <w:rsid w:val="0070781F"/>
    <w:rsid w:val="00713149"/>
    <w:rsid w:val="007137C4"/>
    <w:rsid w:val="00714694"/>
    <w:rsid w:val="00715F42"/>
    <w:rsid w:val="00717C86"/>
    <w:rsid w:val="007221A0"/>
    <w:rsid w:val="0072245B"/>
    <w:rsid w:val="00722F5D"/>
    <w:rsid w:val="00724E91"/>
    <w:rsid w:val="00731035"/>
    <w:rsid w:val="00732F6C"/>
    <w:rsid w:val="00733678"/>
    <w:rsid w:val="00734DB0"/>
    <w:rsid w:val="0073571B"/>
    <w:rsid w:val="0073581D"/>
    <w:rsid w:val="00741086"/>
    <w:rsid w:val="0074215B"/>
    <w:rsid w:val="00742991"/>
    <w:rsid w:val="0074353B"/>
    <w:rsid w:val="00744B5E"/>
    <w:rsid w:val="00744D90"/>
    <w:rsid w:val="007457CC"/>
    <w:rsid w:val="007465AF"/>
    <w:rsid w:val="007508A8"/>
    <w:rsid w:val="00751530"/>
    <w:rsid w:val="007517C2"/>
    <w:rsid w:val="00753C0C"/>
    <w:rsid w:val="00755E5F"/>
    <w:rsid w:val="00755FB4"/>
    <w:rsid w:val="00757340"/>
    <w:rsid w:val="00757353"/>
    <w:rsid w:val="00761F52"/>
    <w:rsid w:val="00762ADF"/>
    <w:rsid w:val="0076345D"/>
    <w:rsid w:val="007658A5"/>
    <w:rsid w:val="007713DF"/>
    <w:rsid w:val="00772BE1"/>
    <w:rsid w:val="00774263"/>
    <w:rsid w:val="00774B2B"/>
    <w:rsid w:val="00775A01"/>
    <w:rsid w:val="0077639A"/>
    <w:rsid w:val="0077740E"/>
    <w:rsid w:val="007838A2"/>
    <w:rsid w:val="00783F7C"/>
    <w:rsid w:val="00785628"/>
    <w:rsid w:val="00790513"/>
    <w:rsid w:val="00790C89"/>
    <w:rsid w:val="0079149C"/>
    <w:rsid w:val="007955AC"/>
    <w:rsid w:val="007A33A1"/>
    <w:rsid w:val="007A4A85"/>
    <w:rsid w:val="007A5015"/>
    <w:rsid w:val="007A509C"/>
    <w:rsid w:val="007A5B20"/>
    <w:rsid w:val="007B6045"/>
    <w:rsid w:val="007C0F3A"/>
    <w:rsid w:val="007C10E4"/>
    <w:rsid w:val="007C11F5"/>
    <w:rsid w:val="007C1947"/>
    <w:rsid w:val="007C28AF"/>
    <w:rsid w:val="007C4A86"/>
    <w:rsid w:val="007C6BAE"/>
    <w:rsid w:val="007C772C"/>
    <w:rsid w:val="007C79B8"/>
    <w:rsid w:val="007D12D5"/>
    <w:rsid w:val="007D191C"/>
    <w:rsid w:val="007D5B52"/>
    <w:rsid w:val="007D6943"/>
    <w:rsid w:val="007D6B33"/>
    <w:rsid w:val="007D79E8"/>
    <w:rsid w:val="007D7A5E"/>
    <w:rsid w:val="007E3478"/>
    <w:rsid w:val="007E4200"/>
    <w:rsid w:val="007E52A8"/>
    <w:rsid w:val="007E6689"/>
    <w:rsid w:val="007E6748"/>
    <w:rsid w:val="007F0349"/>
    <w:rsid w:val="007F345C"/>
    <w:rsid w:val="007F440D"/>
    <w:rsid w:val="007F4F10"/>
    <w:rsid w:val="007F7233"/>
    <w:rsid w:val="007F78F0"/>
    <w:rsid w:val="0080145A"/>
    <w:rsid w:val="008016D1"/>
    <w:rsid w:val="00801ED6"/>
    <w:rsid w:val="00804ADC"/>
    <w:rsid w:val="00804C3A"/>
    <w:rsid w:val="00805B0C"/>
    <w:rsid w:val="00810732"/>
    <w:rsid w:val="00811282"/>
    <w:rsid w:val="00814370"/>
    <w:rsid w:val="00815AC4"/>
    <w:rsid w:val="008173E0"/>
    <w:rsid w:val="00820C6E"/>
    <w:rsid w:val="00822A57"/>
    <w:rsid w:val="00823A9E"/>
    <w:rsid w:val="00826A19"/>
    <w:rsid w:val="00827260"/>
    <w:rsid w:val="00831CED"/>
    <w:rsid w:val="008325E8"/>
    <w:rsid w:val="008333EC"/>
    <w:rsid w:val="008348B8"/>
    <w:rsid w:val="00835208"/>
    <w:rsid w:val="00835B2F"/>
    <w:rsid w:val="0083673A"/>
    <w:rsid w:val="008401C4"/>
    <w:rsid w:val="0084026A"/>
    <w:rsid w:val="0084069A"/>
    <w:rsid w:val="00841044"/>
    <w:rsid w:val="00843D35"/>
    <w:rsid w:val="00844E20"/>
    <w:rsid w:val="008460AF"/>
    <w:rsid w:val="00850198"/>
    <w:rsid w:val="00850485"/>
    <w:rsid w:val="00851312"/>
    <w:rsid w:val="0085135C"/>
    <w:rsid w:val="00853236"/>
    <w:rsid w:val="008534A8"/>
    <w:rsid w:val="00854C0F"/>
    <w:rsid w:val="00855FEF"/>
    <w:rsid w:val="00856144"/>
    <w:rsid w:val="008571BB"/>
    <w:rsid w:val="00857DB9"/>
    <w:rsid w:val="008601C6"/>
    <w:rsid w:val="00860415"/>
    <w:rsid w:val="008614AA"/>
    <w:rsid w:val="0086378E"/>
    <w:rsid w:val="00864BD5"/>
    <w:rsid w:val="008656E6"/>
    <w:rsid w:val="00865A57"/>
    <w:rsid w:val="00866113"/>
    <w:rsid w:val="00866C55"/>
    <w:rsid w:val="00870715"/>
    <w:rsid w:val="008707ED"/>
    <w:rsid w:val="0087126D"/>
    <w:rsid w:val="0087230F"/>
    <w:rsid w:val="008726BE"/>
    <w:rsid w:val="00872990"/>
    <w:rsid w:val="00872A83"/>
    <w:rsid w:val="0087536D"/>
    <w:rsid w:val="00875AB9"/>
    <w:rsid w:val="00875C8A"/>
    <w:rsid w:val="00876EEE"/>
    <w:rsid w:val="008774B7"/>
    <w:rsid w:val="00882893"/>
    <w:rsid w:val="00883923"/>
    <w:rsid w:val="00883D8F"/>
    <w:rsid w:val="00884739"/>
    <w:rsid w:val="00886C36"/>
    <w:rsid w:val="00890E16"/>
    <w:rsid w:val="00891F88"/>
    <w:rsid w:val="00892B8D"/>
    <w:rsid w:val="00892C44"/>
    <w:rsid w:val="008933A8"/>
    <w:rsid w:val="00894833"/>
    <w:rsid w:val="008950E7"/>
    <w:rsid w:val="0089535A"/>
    <w:rsid w:val="0089610F"/>
    <w:rsid w:val="008A0E8D"/>
    <w:rsid w:val="008A305F"/>
    <w:rsid w:val="008A46B6"/>
    <w:rsid w:val="008A529C"/>
    <w:rsid w:val="008A52BD"/>
    <w:rsid w:val="008B1251"/>
    <w:rsid w:val="008B1985"/>
    <w:rsid w:val="008B2CAC"/>
    <w:rsid w:val="008B3D35"/>
    <w:rsid w:val="008B4093"/>
    <w:rsid w:val="008B6B4F"/>
    <w:rsid w:val="008C1B39"/>
    <w:rsid w:val="008C211A"/>
    <w:rsid w:val="008C40C0"/>
    <w:rsid w:val="008C4103"/>
    <w:rsid w:val="008C719C"/>
    <w:rsid w:val="008C7774"/>
    <w:rsid w:val="008D047F"/>
    <w:rsid w:val="008D382E"/>
    <w:rsid w:val="008D4C0E"/>
    <w:rsid w:val="008D503D"/>
    <w:rsid w:val="008D6328"/>
    <w:rsid w:val="008D7136"/>
    <w:rsid w:val="008E0501"/>
    <w:rsid w:val="008E1393"/>
    <w:rsid w:val="008E16F1"/>
    <w:rsid w:val="008E353B"/>
    <w:rsid w:val="008E51F1"/>
    <w:rsid w:val="008E6525"/>
    <w:rsid w:val="008E72B3"/>
    <w:rsid w:val="008E737C"/>
    <w:rsid w:val="008E739D"/>
    <w:rsid w:val="008E7AA0"/>
    <w:rsid w:val="008F2904"/>
    <w:rsid w:val="008F478F"/>
    <w:rsid w:val="008F4FEE"/>
    <w:rsid w:val="008F5132"/>
    <w:rsid w:val="008F7A18"/>
    <w:rsid w:val="00902039"/>
    <w:rsid w:val="00902ADC"/>
    <w:rsid w:val="009056BF"/>
    <w:rsid w:val="00905C7D"/>
    <w:rsid w:val="0090659D"/>
    <w:rsid w:val="0091073C"/>
    <w:rsid w:val="00911767"/>
    <w:rsid w:val="009123EE"/>
    <w:rsid w:val="009143E1"/>
    <w:rsid w:val="0091524D"/>
    <w:rsid w:val="00915836"/>
    <w:rsid w:val="009248D5"/>
    <w:rsid w:val="00925260"/>
    <w:rsid w:val="00926614"/>
    <w:rsid w:val="00926AC7"/>
    <w:rsid w:val="00927B93"/>
    <w:rsid w:val="00930748"/>
    <w:rsid w:val="00931DD8"/>
    <w:rsid w:val="00932BD4"/>
    <w:rsid w:val="00932E2D"/>
    <w:rsid w:val="009339D4"/>
    <w:rsid w:val="00934ECC"/>
    <w:rsid w:val="00936B9F"/>
    <w:rsid w:val="0094162E"/>
    <w:rsid w:val="00944B13"/>
    <w:rsid w:val="00945C67"/>
    <w:rsid w:val="0094618E"/>
    <w:rsid w:val="0094733F"/>
    <w:rsid w:val="00951204"/>
    <w:rsid w:val="00951906"/>
    <w:rsid w:val="00952928"/>
    <w:rsid w:val="00952E39"/>
    <w:rsid w:val="0095385F"/>
    <w:rsid w:val="00953D92"/>
    <w:rsid w:val="009540C0"/>
    <w:rsid w:val="00954357"/>
    <w:rsid w:val="00955FCE"/>
    <w:rsid w:val="00957274"/>
    <w:rsid w:val="00957517"/>
    <w:rsid w:val="00964C14"/>
    <w:rsid w:val="009657EA"/>
    <w:rsid w:val="0096590E"/>
    <w:rsid w:val="00966C76"/>
    <w:rsid w:val="00973852"/>
    <w:rsid w:val="00982694"/>
    <w:rsid w:val="009837B6"/>
    <w:rsid w:val="00983A7F"/>
    <w:rsid w:val="00983F1E"/>
    <w:rsid w:val="009849B4"/>
    <w:rsid w:val="00985510"/>
    <w:rsid w:val="0098784C"/>
    <w:rsid w:val="00990BBC"/>
    <w:rsid w:val="00991F79"/>
    <w:rsid w:val="00992662"/>
    <w:rsid w:val="00992B49"/>
    <w:rsid w:val="00992D45"/>
    <w:rsid w:val="00993220"/>
    <w:rsid w:val="00996192"/>
    <w:rsid w:val="009968CD"/>
    <w:rsid w:val="009A0477"/>
    <w:rsid w:val="009A2AA0"/>
    <w:rsid w:val="009A40F8"/>
    <w:rsid w:val="009A4313"/>
    <w:rsid w:val="009A452D"/>
    <w:rsid w:val="009A4835"/>
    <w:rsid w:val="009A60D2"/>
    <w:rsid w:val="009A661A"/>
    <w:rsid w:val="009A6C69"/>
    <w:rsid w:val="009B08C0"/>
    <w:rsid w:val="009B27D9"/>
    <w:rsid w:val="009B3D48"/>
    <w:rsid w:val="009B466D"/>
    <w:rsid w:val="009B6C3D"/>
    <w:rsid w:val="009B6E65"/>
    <w:rsid w:val="009C0F89"/>
    <w:rsid w:val="009C176C"/>
    <w:rsid w:val="009C1C34"/>
    <w:rsid w:val="009C1FB4"/>
    <w:rsid w:val="009C2B34"/>
    <w:rsid w:val="009C3ADB"/>
    <w:rsid w:val="009C3B02"/>
    <w:rsid w:val="009C3C28"/>
    <w:rsid w:val="009C409D"/>
    <w:rsid w:val="009C5EC3"/>
    <w:rsid w:val="009C688C"/>
    <w:rsid w:val="009C6BA6"/>
    <w:rsid w:val="009C6CDA"/>
    <w:rsid w:val="009C7641"/>
    <w:rsid w:val="009C7743"/>
    <w:rsid w:val="009C7945"/>
    <w:rsid w:val="009C7A94"/>
    <w:rsid w:val="009D0F34"/>
    <w:rsid w:val="009D2606"/>
    <w:rsid w:val="009D462E"/>
    <w:rsid w:val="009D608B"/>
    <w:rsid w:val="009D6300"/>
    <w:rsid w:val="009D6EEA"/>
    <w:rsid w:val="009E1482"/>
    <w:rsid w:val="009E34DA"/>
    <w:rsid w:val="009E3B32"/>
    <w:rsid w:val="009E4864"/>
    <w:rsid w:val="009E5ECB"/>
    <w:rsid w:val="009F1D86"/>
    <w:rsid w:val="009F1EF2"/>
    <w:rsid w:val="009F41F2"/>
    <w:rsid w:val="009F594F"/>
    <w:rsid w:val="009F62EE"/>
    <w:rsid w:val="009F6AA9"/>
    <w:rsid w:val="009F6CDC"/>
    <w:rsid w:val="009F897B"/>
    <w:rsid w:val="00A01C27"/>
    <w:rsid w:val="00A0200C"/>
    <w:rsid w:val="00A066A6"/>
    <w:rsid w:val="00A0A338"/>
    <w:rsid w:val="00A11FEA"/>
    <w:rsid w:val="00A12EC4"/>
    <w:rsid w:val="00A13731"/>
    <w:rsid w:val="00A20C51"/>
    <w:rsid w:val="00A20EF7"/>
    <w:rsid w:val="00A24583"/>
    <w:rsid w:val="00A24FF0"/>
    <w:rsid w:val="00A2553C"/>
    <w:rsid w:val="00A25A91"/>
    <w:rsid w:val="00A260E8"/>
    <w:rsid w:val="00A2665F"/>
    <w:rsid w:val="00A26BEE"/>
    <w:rsid w:val="00A3252C"/>
    <w:rsid w:val="00A348FA"/>
    <w:rsid w:val="00A350E2"/>
    <w:rsid w:val="00A35E35"/>
    <w:rsid w:val="00A373BF"/>
    <w:rsid w:val="00A3779B"/>
    <w:rsid w:val="00A40E79"/>
    <w:rsid w:val="00A4340A"/>
    <w:rsid w:val="00A51E76"/>
    <w:rsid w:val="00A54EAC"/>
    <w:rsid w:val="00A6042E"/>
    <w:rsid w:val="00A62448"/>
    <w:rsid w:val="00A62484"/>
    <w:rsid w:val="00A6255F"/>
    <w:rsid w:val="00A63755"/>
    <w:rsid w:val="00A63EE2"/>
    <w:rsid w:val="00A659EB"/>
    <w:rsid w:val="00A70F13"/>
    <w:rsid w:val="00A72D31"/>
    <w:rsid w:val="00A7364C"/>
    <w:rsid w:val="00A73D20"/>
    <w:rsid w:val="00A754CF"/>
    <w:rsid w:val="00A75CE8"/>
    <w:rsid w:val="00A769E7"/>
    <w:rsid w:val="00A771AD"/>
    <w:rsid w:val="00A80597"/>
    <w:rsid w:val="00A816CA"/>
    <w:rsid w:val="00A81E5D"/>
    <w:rsid w:val="00A843F1"/>
    <w:rsid w:val="00A84B23"/>
    <w:rsid w:val="00A85F01"/>
    <w:rsid w:val="00A86210"/>
    <w:rsid w:val="00A941A8"/>
    <w:rsid w:val="00A95455"/>
    <w:rsid w:val="00A979C4"/>
    <w:rsid w:val="00AA1D5C"/>
    <w:rsid w:val="00AA3F91"/>
    <w:rsid w:val="00AA5B12"/>
    <w:rsid w:val="00AB0519"/>
    <w:rsid w:val="00AB1E99"/>
    <w:rsid w:val="00AC0B2C"/>
    <w:rsid w:val="00AC4CEE"/>
    <w:rsid w:val="00AC5FB6"/>
    <w:rsid w:val="00AC6C35"/>
    <w:rsid w:val="00AC6FF1"/>
    <w:rsid w:val="00AD0220"/>
    <w:rsid w:val="00AD22F8"/>
    <w:rsid w:val="00AD4D73"/>
    <w:rsid w:val="00AD4EB6"/>
    <w:rsid w:val="00AD549E"/>
    <w:rsid w:val="00AD5894"/>
    <w:rsid w:val="00AD5D82"/>
    <w:rsid w:val="00AD7356"/>
    <w:rsid w:val="00AD7E3A"/>
    <w:rsid w:val="00AE1B91"/>
    <w:rsid w:val="00AE2643"/>
    <w:rsid w:val="00AE3C8A"/>
    <w:rsid w:val="00AE62A2"/>
    <w:rsid w:val="00AF1549"/>
    <w:rsid w:val="00AF23BC"/>
    <w:rsid w:val="00AF63E9"/>
    <w:rsid w:val="00AF71A4"/>
    <w:rsid w:val="00B0047E"/>
    <w:rsid w:val="00B04C8B"/>
    <w:rsid w:val="00B0737D"/>
    <w:rsid w:val="00B12125"/>
    <w:rsid w:val="00B1287C"/>
    <w:rsid w:val="00B12F20"/>
    <w:rsid w:val="00B1346C"/>
    <w:rsid w:val="00B14F3F"/>
    <w:rsid w:val="00B16EB3"/>
    <w:rsid w:val="00B174D5"/>
    <w:rsid w:val="00B22282"/>
    <w:rsid w:val="00B22CB8"/>
    <w:rsid w:val="00B22D17"/>
    <w:rsid w:val="00B237E3"/>
    <w:rsid w:val="00B24D76"/>
    <w:rsid w:val="00B26C0E"/>
    <w:rsid w:val="00B309B3"/>
    <w:rsid w:val="00B324E5"/>
    <w:rsid w:val="00B32A3D"/>
    <w:rsid w:val="00B35412"/>
    <w:rsid w:val="00B35660"/>
    <w:rsid w:val="00B42692"/>
    <w:rsid w:val="00B42DD0"/>
    <w:rsid w:val="00B44737"/>
    <w:rsid w:val="00B45940"/>
    <w:rsid w:val="00B45FE3"/>
    <w:rsid w:val="00B4770C"/>
    <w:rsid w:val="00B47ACD"/>
    <w:rsid w:val="00B51027"/>
    <w:rsid w:val="00B51663"/>
    <w:rsid w:val="00B518EF"/>
    <w:rsid w:val="00B51969"/>
    <w:rsid w:val="00B52A82"/>
    <w:rsid w:val="00B53443"/>
    <w:rsid w:val="00B537CB"/>
    <w:rsid w:val="00B53826"/>
    <w:rsid w:val="00B55DE6"/>
    <w:rsid w:val="00B60F51"/>
    <w:rsid w:val="00B626AB"/>
    <w:rsid w:val="00B6471F"/>
    <w:rsid w:val="00B70FA0"/>
    <w:rsid w:val="00B71B8B"/>
    <w:rsid w:val="00B7647A"/>
    <w:rsid w:val="00B77BFE"/>
    <w:rsid w:val="00B7F013"/>
    <w:rsid w:val="00B81114"/>
    <w:rsid w:val="00B83278"/>
    <w:rsid w:val="00B83D28"/>
    <w:rsid w:val="00B8486F"/>
    <w:rsid w:val="00B84B4E"/>
    <w:rsid w:val="00B9151F"/>
    <w:rsid w:val="00B92D6E"/>
    <w:rsid w:val="00B94F92"/>
    <w:rsid w:val="00B97269"/>
    <w:rsid w:val="00BB0E35"/>
    <w:rsid w:val="00BB3B77"/>
    <w:rsid w:val="00BB42F5"/>
    <w:rsid w:val="00BB4F70"/>
    <w:rsid w:val="00BB6325"/>
    <w:rsid w:val="00BB6E91"/>
    <w:rsid w:val="00BB7C4C"/>
    <w:rsid w:val="00BC10A2"/>
    <w:rsid w:val="00BC2D03"/>
    <w:rsid w:val="00BC31E3"/>
    <w:rsid w:val="00BC4DF6"/>
    <w:rsid w:val="00BC51A5"/>
    <w:rsid w:val="00BC5565"/>
    <w:rsid w:val="00BC559A"/>
    <w:rsid w:val="00BC57E8"/>
    <w:rsid w:val="00BC7061"/>
    <w:rsid w:val="00BD4F0B"/>
    <w:rsid w:val="00BD6169"/>
    <w:rsid w:val="00BD6D47"/>
    <w:rsid w:val="00BD742A"/>
    <w:rsid w:val="00BD7446"/>
    <w:rsid w:val="00BE1166"/>
    <w:rsid w:val="00BE234A"/>
    <w:rsid w:val="00BE2F98"/>
    <w:rsid w:val="00BE3224"/>
    <w:rsid w:val="00BE36C7"/>
    <w:rsid w:val="00BE3D54"/>
    <w:rsid w:val="00BE4E6D"/>
    <w:rsid w:val="00BF7401"/>
    <w:rsid w:val="00C01CD3"/>
    <w:rsid w:val="00C041B5"/>
    <w:rsid w:val="00C04F4A"/>
    <w:rsid w:val="00C07A85"/>
    <w:rsid w:val="00C10249"/>
    <w:rsid w:val="00C11917"/>
    <w:rsid w:val="00C12298"/>
    <w:rsid w:val="00C12516"/>
    <w:rsid w:val="00C13FE4"/>
    <w:rsid w:val="00C14E84"/>
    <w:rsid w:val="00C16BF9"/>
    <w:rsid w:val="00C258CC"/>
    <w:rsid w:val="00C26244"/>
    <w:rsid w:val="00C27239"/>
    <w:rsid w:val="00C27BFD"/>
    <w:rsid w:val="00C3093E"/>
    <w:rsid w:val="00C31885"/>
    <w:rsid w:val="00C31F02"/>
    <w:rsid w:val="00C323F2"/>
    <w:rsid w:val="00C333EC"/>
    <w:rsid w:val="00C356BF"/>
    <w:rsid w:val="00C35A93"/>
    <w:rsid w:val="00C40E4D"/>
    <w:rsid w:val="00C41684"/>
    <w:rsid w:val="00C434D7"/>
    <w:rsid w:val="00C52B3E"/>
    <w:rsid w:val="00C5330D"/>
    <w:rsid w:val="00C547AB"/>
    <w:rsid w:val="00C55236"/>
    <w:rsid w:val="00C56A4D"/>
    <w:rsid w:val="00C56ADC"/>
    <w:rsid w:val="00C57A70"/>
    <w:rsid w:val="00C606DE"/>
    <w:rsid w:val="00C6118A"/>
    <w:rsid w:val="00C634BE"/>
    <w:rsid w:val="00C642F0"/>
    <w:rsid w:val="00C64B0A"/>
    <w:rsid w:val="00C64DAC"/>
    <w:rsid w:val="00C65672"/>
    <w:rsid w:val="00C667D1"/>
    <w:rsid w:val="00C67CB5"/>
    <w:rsid w:val="00C72E23"/>
    <w:rsid w:val="00C72FBF"/>
    <w:rsid w:val="00C75F38"/>
    <w:rsid w:val="00C77114"/>
    <w:rsid w:val="00C80875"/>
    <w:rsid w:val="00C82749"/>
    <w:rsid w:val="00C82AEE"/>
    <w:rsid w:val="00C84F52"/>
    <w:rsid w:val="00C86677"/>
    <w:rsid w:val="00C8734C"/>
    <w:rsid w:val="00C8797A"/>
    <w:rsid w:val="00C90773"/>
    <w:rsid w:val="00C91EFE"/>
    <w:rsid w:val="00C91F92"/>
    <w:rsid w:val="00C9206A"/>
    <w:rsid w:val="00C9514E"/>
    <w:rsid w:val="00C95506"/>
    <w:rsid w:val="00C96CD2"/>
    <w:rsid w:val="00CA0240"/>
    <w:rsid w:val="00CA07C4"/>
    <w:rsid w:val="00CA1763"/>
    <w:rsid w:val="00CA1DCE"/>
    <w:rsid w:val="00CA2720"/>
    <w:rsid w:val="00CA3F2F"/>
    <w:rsid w:val="00CA4542"/>
    <w:rsid w:val="00CA6387"/>
    <w:rsid w:val="00CA6DB7"/>
    <w:rsid w:val="00CA71F6"/>
    <w:rsid w:val="00CB0579"/>
    <w:rsid w:val="00CB098D"/>
    <w:rsid w:val="00CB1907"/>
    <w:rsid w:val="00CB5CF4"/>
    <w:rsid w:val="00CB70AB"/>
    <w:rsid w:val="00CB71AF"/>
    <w:rsid w:val="00CB7D34"/>
    <w:rsid w:val="00CC20C8"/>
    <w:rsid w:val="00CC22D2"/>
    <w:rsid w:val="00CC25A0"/>
    <w:rsid w:val="00CC2627"/>
    <w:rsid w:val="00CC28A9"/>
    <w:rsid w:val="00CC5142"/>
    <w:rsid w:val="00CC54AE"/>
    <w:rsid w:val="00CD4A0E"/>
    <w:rsid w:val="00CD551A"/>
    <w:rsid w:val="00CE2AC7"/>
    <w:rsid w:val="00CF1098"/>
    <w:rsid w:val="00CF1227"/>
    <w:rsid w:val="00CF3C4B"/>
    <w:rsid w:val="00CF645C"/>
    <w:rsid w:val="00CF6886"/>
    <w:rsid w:val="00D00DAF"/>
    <w:rsid w:val="00D01B9D"/>
    <w:rsid w:val="00D148D9"/>
    <w:rsid w:val="00D157E1"/>
    <w:rsid w:val="00D15EAA"/>
    <w:rsid w:val="00D171AF"/>
    <w:rsid w:val="00D20274"/>
    <w:rsid w:val="00D220FB"/>
    <w:rsid w:val="00D264DC"/>
    <w:rsid w:val="00D305FF"/>
    <w:rsid w:val="00D36C9D"/>
    <w:rsid w:val="00D37568"/>
    <w:rsid w:val="00D40B7B"/>
    <w:rsid w:val="00D4228F"/>
    <w:rsid w:val="00D44895"/>
    <w:rsid w:val="00D466F5"/>
    <w:rsid w:val="00D46FE5"/>
    <w:rsid w:val="00D50144"/>
    <w:rsid w:val="00D535BC"/>
    <w:rsid w:val="00D54237"/>
    <w:rsid w:val="00D55E29"/>
    <w:rsid w:val="00D56569"/>
    <w:rsid w:val="00D618BF"/>
    <w:rsid w:val="00D622BD"/>
    <w:rsid w:val="00D62B1E"/>
    <w:rsid w:val="00D65429"/>
    <w:rsid w:val="00D65AFA"/>
    <w:rsid w:val="00D67DCC"/>
    <w:rsid w:val="00D714AF"/>
    <w:rsid w:val="00D7288A"/>
    <w:rsid w:val="00D74134"/>
    <w:rsid w:val="00D74151"/>
    <w:rsid w:val="00D742D1"/>
    <w:rsid w:val="00D776F5"/>
    <w:rsid w:val="00D83601"/>
    <w:rsid w:val="00D8384E"/>
    <w:rsid w:val="00D83FE8"/>
    <w:rsid w:val="00D857FA"/>
    <w:rsid w:val="00D86CE1"/>
    <w:rsid w:val="00D876C1"/>
    <w:rsid w:val="00D90ABE"/>
    <w:rsid w:val="00D90C58"/>
    <w:rsid w:val="00DA007B"/>
    <w:rsid w:val="00DA0BAC"/>
    <w:rsid w:val="00DA27A7"/>
    <w:rsid w:val="00DA2C22"/>
    <w:rsid w:val="00DA4706"/>
    <w:rsid w:val="00DA52C8"/>
    <w:rsid w:val="00DA6AE5"/>
    <w:rsid w:val="00DA7E10"/>
    <w:rsid w:val="00DB03CA"/>
    <w:rsid w:val="00DB3336"/>
    <w:rsid w:val="00DB3C0D"/>
    <w:rsid w:val="00DB5FDE"/>
    <w:rsid w:val="00DB613B"/>
    <w:rsid w:val="00DB68A8"/>
    <w:rsid w:val="00DC0C35"/>
    <w:rsid w:val="00DC1499"/>
    <w:rsid w:val="00DC1CD0"/>
    <w:rsid w:val="00DC2695"/>
    <w:rsid w:val="00DD04CB"/>
    <w:rsid w:val="00DD16FC"/>
    <w:rsid w:val="00DD1CCD"/>
    <w:rsid w:val="00DD26C4"/>
    <w:rsid w:val="00DD2C45"/>
    <w:rsid w:val="00DD5824"/>
    <w:rsid w:val="00DD59E1"/>
    <w:rsid w:val="00DD68D6"/>
    <w:rsid w:val="00DD74C0"/>
    <w:rsid w:val="00DE0235"/>
    <w:rsid w:val="00DE1488"/>
    <w:rsid w:val="00DE4BB8"/>
    <w:rsid w:val="00DE546E"/>
    <w:rsid w:val="00DE5E3C"/>
    <w:rsid w:val="00DE5F7C"/>
    <w:rsid w:val="00DE6157"/>
    <w:rsid w:val="00DE78B4"/>
    <w:rsid w:val="00DF0555"/>
    <w:rsid w:val="00DF1C9F"/>
    <w:rsid w:val="00DF32CD"/>
    <w:rsid w:val="00DF3433"/>
    <w:rsid w:val="00DF3891"/>
    <w:rsid w:val="00DF3C56"/>
    <w:rsid w:val="00DF542A"/>
    <w:rsid w:val="00DF5F11"/>
    <w:rsid w:val="00DF6176"/>
    <w:rsid w:val="00E0173E"/>
    <w:rsid w:val="00E02325"/>
    <w:rsid w:val="00E02F54"/>
    <w:rsid w:val="00E033AC"/>
    <w:rsid w:val="00E044B9"/>
    <w:rsid w:val="00E0506D"/>
    <w:rsid w:val="00E067AE"/>
    <w:rsid w:val="00E06944"/>
    <w:rsid w:val="00E0747E"/>
    <w:rsid w:val="00E11E48"/>
    <w:rsid w:val="00E12929"/>
    <w:rsid w:val="00E1429D"/>
    <w:rsid w:val="00E1579C"/>
    <w:rsid w:val="00E16A73"/>
    <w:rsid w:val="00E17BD1"/>
    <w:rsid w:val="00E209A0"/>
    <w:rsid w:val="00E20F80"/>
    <w:rsid w:val="00E222FB"/>
    <w:rsid w:val="00E22389"/>
    <w:rsid w:val="00E224A3"/>
    <w:rsid w:val="00E243AA"/>
    <w:rsid w:val="00E25B68"/>
    <w:rsid w:val="00E2771B"/>
    <w:rsid w:val="00E30C14"/>
    <w:rsid w:val="00E315C6"/>
    <w:rsid w:val="00E325A0"/>
    <w:rsid w:val="00E32795"/>
    <w:rsid w:val="00E33398"/>
    <w:rsid w:val="00E340D8"/>
    <w:rsid w:val="00E342F3"/>
    <w:rsid w:val="00E34E60"/>
    <w:rsid w:val="00E357D7"/>
    <w:rsid w:val="00E3587C"/>
    <w:rsid w:val="00E36025"/>
    <w:rsid w:val="00E3667D"/>
    <w:rsid w:val="00E37570"/>
    <w:rsid w:val="00E42C76"/>
    <w:rsid w:val="00E43543"/>
    <w:rsid w:val="00E450C9"/>
    <w:rsid w:val="00E451AC"/>
    <w:rsid w:val="00E46963"/>
    <w:rsid w:val="00E52701"/>
    <w:rsid w:val="00E549F6"/>
    <w:rsid w:val="00E55610"/>
    <w:rsid w:val="00E556D1"/>
    <w:rsid w:val="00E612AA"/>
    <w:rsid w:val="00E61D0C"/>
    <w:rsid w:val="00E62722"/>
    <w:rsid w:val="00E62DA4"/>
    <w:rsid w:val="00E64097"/>
    <w:rsid w:val="00E64416"/>
    <w:rsid w:val="00E6627F"/>
    <w:rsid w:val="00E66A3E"/>
    <w:rsid w:val="00E66B9B"/>
    <w:rsid w:val="00E67441"/>
    <w:rsid w:val="00E711C4"/>
    <w:rsid w:val="00E74725"/>
    <w:rsid w:val="00E7475B"/>
    <w:rsid w:val="00E7509B"/>
    <w:rsid w:val="00E76F2C"/>
    <w:rsid w:val="00E820ED"/>
    <w:rsid w:val="00E83363"/>
    <w:rsid w:val="00E837EC"/>
    <w:rsid w:val="00E86BF7"/>
    <w:rsid w:val="00E9002B"/>
    <w:rsid w:val="00E908DF"/>
    <w:rsid w:val="00E91148"/>
    <w:rsid w:val="00E929BF"/>
    <w:rsid w:val="00E93839"/>
    <w:rsid w:val="00E96D0E"/>
    <w:rsid w:val="00EA12C2"/>
    <w:rsid w:val="00EA54C2"/>
    <w:rsid w:val="00EA5A33"/>
    <w:rsid w:val="00EA646C"/>
    <w:rsid w:val="00EA64C4"/>
    <w:rsid w:val="00EA6679"/>
    <w:rsid w:val="00EA7C2C"/>
    <w:rsid w:val="00EA7ED3"/>
    <w:rsid w:val="00EB14B9"/>
    <w:rsid w:val="00EB2375"/>
    <w:rsid w:val="00EB2542"/>
    <w:rsid w:val="00EB40EC"/>
    <w:rsid w:val="00EC11B1"/>
    <w:rsid w:val="00EC12E7"/>
    <w:rsid w:val="00EC3727"/>
    <w:rsid w:val="00EC4BCE"/>
    <w:rsid w:val="00EC69BC"/>
    <w:rsid w:val="00EC6C46"/>
    <w:rsid w:val="00EC74EB"/>
    <w:rsid w:val="00ED0278"/>
    <w:rsid w:val="00ED0CA8"/>
    <w:rsid w:val="00ED2071"/>
    <w:rsid w:val="00ED2CF6"/>
    <w:rsid w:val="00ED2E06"/>
    <w:rsid w:val="00ED3B1B"/>
    <w:rsid w:val="00ED61B4"/>
    <w:rsid w:val="00ED6F9E"/>
    <w:rsid w:val="00ED72A1"/>
    <w:rsid w:val="00EE0429"/>
    <w:rsid w:val="00EE3053"/>
    <w:rsid w:val="00EE5198"/>
    <w:rsid w:val="00EE5EC1"/>
    <w:rsid w:val="00EE7D96"/>
    <w:rsid w:val="00EF18DD"/>
    <w:rsid w:val="00EF26C8"/>
    <w:rsid w:val="00EF328E"/>
    <w:rsid w:val="00EF4186"/>
    <w:rsid w:val="00EF5820"/>
    <w:rsid w:val="00EF7D65"/>
    <w:rsid w:val="00F00029"/>
    <w:rsid w:val="00F010CE"/>
    <w:rsid w:val="00F016BC"/>
    <w:rsid w:val="00F10156"/>
    <w:rsid w:val="00F12A59"/>
    <w:rsid w:val="00F13E33"/>
    <w:rsid w:val="00F14F36"/>
    <w:rsid w:val="00F1568D"/>
    <w:rsid w:val="00F2143A"/>
    <w:rsid w:val="00F2201A"/>
    <w:rsid w:val="00F22B49"/>
    <w:rsid w:val="00F22F0C"/>
    <w:rsid w:val="00F23490"/>
    <w:rsid w:val="00F239FE"/>
    <w:rsid w:val="00F242C1"/>
    <w:rsid w:val="00F32975"/>
    <w:rsid w:val="00F3512F"/>
    <w:rsid w:val="00F410CB"/>
    <w:rsid w:val="00F424E9"/>
    <w:rsid w:val="00F42808"/>
    <w:rsid w:val="00F42876"/>
    <w:rsid w:val="00F430F3"/>
    <w:rsid w:val="00F466B2"/>
    <w:rsid w:val="00F46B1C"/>
    <w:rsid w:val="00F47122"/>
    <w:rsid w:val="00F47BDF"/>
    <w:rsid w:val="00F50964"/>
    <w:rsid w:val="00F5096E"/>
    <w:rsid w:val="00F52255"/>
    <w:rsid w:val="00F5295C"/>
    <w:rsid w:val="00F52C9F"/>
    <w:rsid w:val="00F567B9"/>
    <w:rsid w:val="00F5740A"/>
    <w:rsid w:val="00F61BBA"/>
    <w:rsid w:val="00F62CAB"/>
    <w:rsid w:val="00F66E2D"/>
    <w:rsid w:val="00F701B6"/>
    <w:rsid w:val="00F70FE1"/>
    <w:rsid w:val="00F718EE"/>
    <w:rsid w:val="00F72109"/>
    <w:rsid w:val="00F75054"/>
    <w:rsid w:val="00F758DB"/>
    <w:rsid w:val="00F75DE0"/>
    <w:rsid w:val="00F77517"/>
    <w:rsid w:val="00F80C73"/>
    <w:rsid w:val="00F8159A"/>
    <w:rsid w:val="00F82C75"/>
    <w:rsid w:val="00F93508"/>
    <w:rsid w:val="00F94383"/>
    <w:rsid w:val="00F94C97"/>
    <w:rsid w:val="00F95DFE"/>
    <w:rsid w:val="00F97D9C"/>
    <w:rsid w:val="00FA1544"/>
    <w:rsid w:val="00FA1FDB"/>
    <w:rsid w:val="00FA230D"/>
    <w:rsid w:val="00FA3AED"/>
    <w:rsid w:val="00FA72BA"/>
    <w:rsid w:val="00FB529C"/>
    <w:rsid w:val="00FB53AA"/>
    <w:rsid w:val="00FB6E6A"/>
    <w:rsid w:val="00FB7608"/>
    <w:rsid w:val="00FB78C1"/>
    <w:rsid w:val="00FC0C0D"/>
    <w:rsid w:val="00FC0F88"/>
    <w:rsid w:val="00FC5E8D"/>
    <w:rsid w:val="00FC731A"/>
    <w:rsid w:val="00FD1BB5"/>
    <w:rsid w:val="00FD1D41"/>
    <w:rsid w:val="00FD45B2"/>
    <w:rsid w:val="00FD4D4E"/>
    <w:rsid w:val="00FD5C0D"/>
    <w:rsid w:val="00FE0172"/>
    <w:rsid w:val="00FE0722"/>
    <w:rsid w:val="00FE1C99"/>
    <w:rsid w:val="00FE26A1"/>
    <w:rsid w:val="00FE5440"/>
    <w:rsid w:val="00FE60C2"/>
    <w:rsid w:val="00FE7410"/>
    <w:rsid w:val="00FF1951"/>
    <w:rsid w:val="00FF279B"/>
    <w:rsid w:val="00FF4850"/>
    <w:rsid w:val="01142A2E"/>
    <w:rsid w:val="01E91E6E"/>
    <w:rsid w:val="02591CC0"/>
    <w:rsid w:val="03062EF1"/>
    <w:rsid w:val="041A11CF"/>
    <w:rsid w:val="041C41B3"/>
    <w:rsid w:val="04CDF318"/>
    <w:rsid w:val="05081720"/>
    <w:rsid w:val="051165CE"/>
    <w:rsid w:val="05188C21"/>
    <w:rsid w:val="0541E6B3"/>
    <w:rsid w:val="055FF2A8"/>
    <w:rsid w:val="05C730FE"/>
    <w:rsid w:val="06C6B43B"/>
    <w:rsid w:val="073207CE"/>
    <w:rsid w:val="0753E275"/>
    <w:rsid w:val="07D9678D"/>
    <w:rsid w:val="07DA5D26"/>
    <w:rsid w:val="081873FD"/>
    <w:rsid w:val="08420B12"/>
    <w:rsid w:val="086FC45F"/>
    <w:rsid w:val="089BB2B4"/>
    <w:rsid w:val="08CDD82F"/>
    <w:rsid w:val="08DA0A1E"/>
    <w:rsid w:val="08DD73C5"/>
    <w:rsid w:val="08FED1C0"/>
    <w:rsid w:val="090C7B9E"/>
    <w:rsid w:val="09248A3B"/>
    <w:rsid w:val="09E12391"/>
    <w:rsid w:val="0A998438"/>
    <w:rsid w:val="0ACEE73E"/>
    <w:rsid w:val="0B075DF6"/>
    <w:rsid w:val="0B897140"/>
    <w:rsid w:val="0BB63408"/>
    <w:rsid w:val="0BFDC60E"/>
    <w:rsid w:val="0C5572DF"/>
    <w:rsid w:val="0DB0E4E8"/>
    <w:rsid w:val="0DD57A1D"/>
    <w:rsid w:val="0DDFECC1"/>
    <w:rsid w:val="0DF61040"/>
    <w:rsid w:val="0E0BFCB2"/>
    <w:rsid w:val="0E1760F9"/>
    <w:rsid w:val="0E29A4DB"/>
    <w:rsid w:val="0E64BC1E"/>
    <w:rsid w:val="0E7727CC"/>
    <w:rsid w:val="0ECC371C"/>
    <w:rsid w:val="0EF8240A"/>
    <w:rsid w:val="0F669D7F"/>
    <w:rsid w:val="0F6CF55B"/>
    <w:rsid w:val="0F6FB99E"/>
    <w:rsid w:val="0FBF26F8"/>
    <w:rsid w:val="101A8ACF"/>
    <w:rsid w:val="10475F12"/>
    <w:rsid w:val="10A4BDAB"/>
    <w:rsid w:val="10B02249"/>
    <w:rsid w:val="10C40723"/>
    <w:rsid w:val="10D5F220"/>
    <w:rsid w:val="10DBB52C"/>
    <w:rsid w:val="113D5681"/>
    <w:rsid w:val="1220BD50"/>
    <w:rsid w:val="124784E4"/>
    <w:rsid w:val="124BF2AA"/>
    <w:rsid w:val="1271E238"/>
    <w:rsid w:val="129D01F0"/>
    <w:rsid w:val="12BB4F7C"/>
    <w:rsid w:val="12D1AADB"/>
    <w:rsid w:val="12DE5529"/>
    <w:rsid w:val="12E03FB0"/>
    <w:rsid w:val="131C1324"/>
    <w:rsid w:val="13607861"/>
    <w:rsid w:val="1387B3C6"/>
    <w:rsid w:val="13E7C30B"/>
    <w:rsid w:val="14762D7C"/>
    <w:rsid w:val="14868F19"/>
    <w:rsid w:val="150F0C9C"/>
    <w:rsid w:val="15100B64"/>
    <w:rsid w:val="15372A9C"/>
    <w:rsid w:val="1585B8EA"/>
    <w:rsid w:val="15F1DEEF"/>
    <w:rsid w:val="160AD637"/>
    <w:rsid w:val="16338E60"/>
    <w:rsid w:val="167AE4E3"/>
    <w:rsid w:val="16C02025"/>
    <w:rsid w:val="172E46CE"/>
    <w:rsid w:val="1791C1B7"/>
    <w:rsid w:val="17B406E4"/>
    <w:rsid w:val="17D51855"/>
    <w:rsid w:val="1806B6F1"/>
    <w:rsid w:val="182AC677"/>
    <w:rsid w:val="183B3B41"/>
    <w:rsid w:val="185FA335"/>
    <w:rsid w:val="189757CE"/>
    <w:rsid w:val="19D926BB"/>
    <w:rsid w:val="1A54C350"/>
    <w:rsid w:val="1A99E40C"/>
    <w:rsid w:val="1B28AF1E"/>
    <w:rsid w:val="1B300F38"/>
    <w:rsid w:val="1B3F257B"/>
    <w:rsid w:val="1B7763FD"/>
    <w:rsid w:val="1B7A11B3"/>
    <w:rsid w:val="1B85406C"/>
    <w:rsid w:val="1B9191C7"/>
    <w:rsid w:val="1B97E74D"/>
    <w:rsid w:val="1BD561B9"/>
    <w:rsid w:val="1BF05838"/>
    <w:rsid w:val="1C84DFCC"/>
    <w:rsid w:val="1C982381"/>
    <w:rsid w:val="1CA2CFE4"/>
    <w:rsid w:val="1CB471A7"/>
    <w:rsid w:val="1CBBBD9B"/>
    <w:rsid w:val="1CC11BF5"/>
    <w:rsid w:val="1CF8A7B5"/>
    <w:rsid w:val="1D196962"/>
    <w:rsid w:val="1D2886F9"/>
    <w:rsid w:val="1D2ACFF5"/>
    <w:rsid w:val="1D942517"/>
    <w:rsid w:val="1D968DD9"/>
    <w:rsid w:val="1DA7A67B"/>
    <w:rsid w:val="1DC36C26"/>
    <w:rsid w:val="1E2893D9"/>
    <w:rsid w:val="1EB40277"/>
    <w:rsid w:val="1EEDBEFE"/>
    <w:rsid w:val="1F373CE3"/>
    <w:rsid w:val="1F99FA65"/>
    <w:rsid w:val="1FBDC492"/>
    <w:rsid w:val="1FC18A34"/>
    <w:rsid w:val="1FD61DD9"/>
    <w:rsid w:val="20BBAAFB"/>
    <w:rsid w:val="20FFADAE"/>
    <w:rsid w:val="211A864C"/>
    <w:rsid w:val="2146CBED"/>
    <w:rsid w:val="21A525B4"/>
    <w:rsid w:val="2221F17B"/>
    <w:rsid w:val="2252DD10"/>
    <w:rsid w:val="22671103"/>
    <w:rsid w:val="229B7E0F"/>
    <w:rsid w:val="22C16A04"/>
    <w:rsid w:val="23145DC2"/>
    <w:rsid w:val="23693F4D"/>
    <w:rsid w:val="23857A8E"/>
    <w:rsid w:val="238CF8A7"/>
    <w:rsid w:val="23FE865B"/>
    <w:rsid w:val="240CD894"/>
    <w:rsid w:val="24801A85"/>
    <w:rsid w:val="24F5CC4C"/>
    <w:rsid w:val="251BB0C7"/>
    <w:rsid w:val="25D06843"/>
    <w:rsid w:val="2696473A"/>
    <w:rsid w:val="26D68912"/>
    <w:rsid w:val="26FDCFA2"/>
    <w:rsid w:val="2750DB03"/>
    <w:rsid w:val="27E9A50F"/>
    <w:rsid w:val="2865BD76"/>
    <w:rsid w:val="28EB21DA"/>
    <w:rsid w:val="291FF926"/>
    <w:rsid w:val="2952CB89"/>
    <w:rsid w:val="2A94137A"/>
    <w:rsid w:val="2C03547C"/>
    <w:rsid w:val="2CA7F7E3"/>
    <w:rsid w:val="2CA821DB"/>
    <w:rsid w:val="2CD08859"/>
    <w:rsid w:val="2D230E66"/>
    <w:rsid w:val="2D25B30A"/>
    <w:rsid w:val="2D572A7F"/>
    <w:rsid w:val="2EB1B71A"/>
    <w:rsid w:val="2EDBBF36"/>
    <w:rsid w:val="2EDD3256"/>
    <w:rsid w:val="2F049C08"/>
    <w:rsid w:val="2FC080E8"/>
    <w:rsid w:val="2FFCB6FE"/>
    <w:rsid w:val="3044B30A"/>
    <w:rsid w:val="305CE11C"/>
    <w:rsid w:val="306976EF"/>
    <w:rsid w:val="30797B0B"/>
    <w:rsid w:val="30DC8ACA"/>
    <w:rsid w:val="30E16C30"/>
    <w:rsid w:val="3193690A"/>
    <w:rsid w:val="31B174FF"/>
    <w:rsid w:val="31C0A5F4"/>
    <w:rsid w:val="31D94D36"/>
    <w:rsid w:val="320C393C"/>
    <w:rsid w:val="32AAD230"/>
    <w:rsid w:val="330B75EA"/>
    <w:rsid w:val="3355F386"/>
    <w:rsid w:val="33660F2B"/>
    <w:rsid w:val="3383662A"/>
    <w:rsid w:val="338FCEBF"/>
    <w:rsid w:val="339F5BD6"/>
    <w:rsid w:val="33D0CEB7"/>
    <w:rsid w:val="33E6FCE7"/>
    <w:rsid w:val="34305DEB"/>
    <w:rsid w:val="3453268B"/>
    <w:rsid w:val="345FB3C8"/>
    <w:rsid w:val="347CBCB0"/>
    <w:rsid w:val="34AFA590"/>
    <w:rsid w:val="34D18285"/>
    <w:rsid w:val="350FAEBC"/>
    <w:rsid w:val="3559D9B4"/>
    <w:rsid w:val="35755674"/>
    <w:rsid w:val="3586E389"/>
    <w:rsid w:val="358815B3"/>
    <w:rsid w:val="35A1574F"/>
    <w:rsid w:val="35A5A462"/>
    <w:rsid w:val="35D6C621"/>
    <w:rsid w:val="35D9AB36"/>
    <w:rsid w:val="3601ED9C"/>
    <w:rsid w:val="3627357B"/>
    <w:rsid w:val="363E70B3"/>
    <w:rsid w:val="365FF6E1"/>
    <w:rsid w:val="367AD0F4"/>
    <w:rsid w:val="3684E622"/>
    <w:rsid w:val="368950EA"/>
    <w:rsid w:val="36A3A0A2"/>
    <w:rsid w:val="36AB7F1D"/>
    <w:rsid w:val="36BEB858"/>
    <w:rsid w:val="36DAD519"/>
    <w:rsid w:val="37117DC9"/>
    <w:rsid w:val="3743D60F"/>
    <w:rsid w:val="37606018"/>
    <w:rsid w:val="37C0279F"/>
    <w:rsid w:val="37C305DC"/>
    <w:rsid w:val="3802AA8E"/>
    <w:rsid w:val="383E3E7F"/>
    <w:rsid w:val="3853FFC0"/>
    <w:rsid w:val="385FAD92"/>
    <w:rsid w:val="386E933F"/>
    <w:rsid w:val="38934B6F"/>
    <w:rsid w:val="38E8C8A8"/>
    <w:rsid w:val="390FA886"/>
    <w:rsid w:val="392F0309"/>
    <w:rsid w:val="399F8031"/>
    <w:rsid w:val="39EC004F"/>
    <w:rsid w:val="3A2EE12B"/>
    <w:rsid w:val="3AA651C8"/>
    <w:rsid w:val="3ADA7DB2"/>
    <w:rsid w:val="3B234877"/>
    <w:rsid w:val="3B7711C5"/>
    <w:rsid w:val="3B8DC2F0"/>
    <w:rsid w:val="3C0D4DDE"/>
    <w:rsid w:val="3C33D13B"/>
    <w:rsid w:val="3C87686A"/>
    <w:rsid w:val="3CB7A9F8"/>
    <w:rsid w:val="3CD62402"/>
    <w:rsid w:val="3D3C1D8A"/>
    <w:rsid w:val="3D9D3C8F"/>
    <w:rsid w:val="3DFAB35B"/>
    <w:rsid w:val="3E15E1D5"/>
    <w:rsid w:val="3E31AA1C"/>
    <w:rsid w:val="3E611672"/>
    <w:rsid w:val="3E647659"/>
    <w:rsid w:val="3ED59AF9"/>
    <w:rsid w:val="3F446EAC"/>
    <w:rsid w:val="3F45826F"/>
    <w:rsid w:val="3FB44B6E"/>
    <w:rsid w:val="3FF6E164"/>
    <w:rsid w:val="406AB57E"/>
    <w:rsid w:val="409635BE"/>
    <w:rsid w:val="40E94056"/>
    <w:rsid w:val="4123B940"/>
    <w:rsid w:val="417B4F44"/>
    <w:rsid w:val="42305801"/>
    <w:rsid w:val="43015E44"/>
    <w:rsid w:val="43171FA5"/>
    <w:rsid w:val="433140A9"/>
    <w:rsid w:val="43DA1706"/>
    <w:rsid w:val="44367B88"/>
    <w:rsid w:val="4446ABD0"/>
    <w:rsid w:val="44556CAE"/>
    <w:rsid w:val="44594ECD"/>
    <w:rsid w:val="446055A8"/>
    <w:rsid w:val="44A878D5"/>
    <w:rsid w:val="44A945CB"/>
    <w:rsid w:val="44F3A7FC"/>
    <w:rsid w:val="45270600"/>
    <w:rsid w:val="4528715E"/>
    <w:rsid w:val="454EF5DE"/>
    <w:rsid w:val="45E6B6C8"/>
    <w:rsid w:val="45EBDA0A"/>
    <w:rsid w:val="45F864E1"/>
    <w:rsid w:val="4646E79A"/>
    <w:rsid w:val="4668E16B"/>
    <w:rsid w:val="467AB9B6"/>
    <w:rsid w:val="467B202B"/>
    <w:rsid w:val="46DB1EFF"/>
    <w:rsid w:val="46F55AE2"/>
    <w:rsid w:val="4755BBAD"/>
    <w:rsid w:val="47A35630"/>
    <w:rsid w:val="47B565DA"/>
    <w:rsid w:val="47CB51B6"/>
    <w:rsid w:val="47DCE2D8"/>
    <w:rsid w:val="48747F32"/>
    <w:rsid w:val="4907B821"/>
    <w:rsid w:val="4919BB7D"/>
    <w:rsid w:val="49577AE9"/>
    <w:rsid w:val="4963D853"/>
    <w:rsid w:val="49EE50E6"/>
    <w:rsid w:val="4A135A8E"/>
    <w:rsid w:val="4A3253C8"/>
    <w:rsid w:val="4A61A811"/>
    <w:rsid w:val="4A9725CC"/>
    <w:rsid w:val="4A9D11EC"/>
    <w:rsid w:val="4B94AA8E"/>
    <w:rsid w:val="4BA5CFEA"/>
    <w:rsid w:val="4BB71269"/>
    <w:rsid w:val="4BCA9E54"/>
    <w:rsid w:val="4BFF3B1E"/>
    <w:rsid w:val="4C306E9E"/>
    <w:rsid w:val="4C58469A"/>
    <w:rsid w:val="4C6AC57D"/>
    <w:rsid w:val="4C9FBD70"/>
    <w:rsid w:val="4CEF00EE"/>
    <w:rsid w:val="4CFB2DA2"/>
    <w:rsid w:val="4D037D6D"/>
    <w:rsid w:val="4D299911"/>
    <w:rsid w:val="4D67E1B4"/>
    <w:rsid w:val="4D9B0B7F"/>
    <w:rsid w:val="4DE6C0F9"/>
    <w:rsid w:val="4E9373EC"/>
    <w:rsid w:val="4FD6A5EF"/>
    <w:rsid w:val="4FDA252F"/>
    <w:rsid w:val="502B946C"/>
    <w:rsid w:val="5035D190"/>
    <w:rsid w:val="508B7CBD"/>
    <w:rsid w:val="508D5D08"/>
    <w:rsid w:val="50ED3FFC"/>
    <w:rsid w:val="50FF6420"/>
    <w:rsid w:val="510CB4A0"/>
    <w:rsid w:val="517BB043"/>
    <w:rsid w:val="517C5C65"/>
    <w:rsid w:val="51822C63"/>
    <w:rsid w:val="51A91E6F"/>
    <w:rsid w:val="51B18369"/>
    <w:rsid w:val="51B7B0EE"/>
    <w:rsid w:val="51BB2453"/>
    <w:rsid w:val="51E57716"/>
    <w:rsid w:val="52046499"/>
    <w:rsid w:val="52488AF9"/>
    <w:rsid w:val="526E7CA2"/>
    <w:rsid w:val="5283485B"/>
    <w:rsid w:val="52880966"/>
    <w:rsid w:val="529B3481"/>
    <w:rsid w:val="52A24EED"/>
    <w:rsid w:val="52A6FD5A"/>
    <w:rsid w:val="52B57B42"/>
    <w:rsid w:val="52BE773E"/>
    <w:rsid w:val="52FE3784"/>
    <w:rsid w:val="52FF88BC"/>
    <w:rsid w:val="53835EB6"/>
    <w:rsid w:val="5393D11F"/>
    <w:rsid w:val="53976D8F"/>
    <w:rsid w:val="53A08F0A"/>
    <w:rsid w:val="53AB3E6E"/>
    <w:rsid w:val="53DDF092"/>
    <w:rsid w:val="5425C68C"/>
    <w:rsid w:val="5430F391"/>
    <w:rsid w:val="543E091B"/>
    <w:rsid w:val="547D3436"/>
    <w:rsid w:val="55188279"/>
    <w:rsid w:val="55537A61"/>
    <w:rsid w:val="558A2ECA"/>
    <w:rsid w:val="558E0953"/>
    <w:rsid w:val="558F6907"/>
    <w:rsid w:val="55CE1DA1"/>
    <w:rsid w:val="55DAB73C"/>
    <w:rsid w:val="55E1A9E7"/>
    <w:rsid w:val="56713FEF"/>
    <w:rsid w:val="56CAB23A"/>
    <w:rsid w:val="56EFD9C1"/>
    <w:rsid w:val="5732593B"/>
    <w:rsid w:val="57A4E4B8"/>
    <w:rsid w:val="57AA82CC"/>
    <w:rsid w:val="57B03FED"/>
    <w:rsid w:val="57BF34D4"/>
    <w:rsid w:val="57F1E8B9"/>
    <w:rsid w:val="586BDFD5"/>
    <w:rsid w:val="58A8FA2F"/>
    <w:rsid w:val="58C7653F"/>
    <w:rsid w:val="58CD5A08"/>
    <w:rsid w:val="590E7050"/>
    <w:rsid w:val="5910311F"/>
    <w:rsid w:val="59302028"/>
    <w:rsid w:val="59334B7E"/>
    <w:rsid w:val="593354A1"/>
    <w:rsid w:val="5935D65F"/>
    <w:rsid w:val="5954581D"/>
    <w:rsid w:val="59ADEDBE"/>
    <w:rsid w:val="5A00D358"/>
    <w:rsid w:val="5A20F331"/>
    <w:rsid w:val="5A331B33"/>
    <w:rsid w:val="5AF9F5E8"/>
    <w:rsid w:val="5B80E0FC"/>
    <w:rsid w:val="5B9932B4"/>
    <w:rsid w:val="5BBE791A"/>
    <w:rsid w:val="5BEC9B1B"/>
    <w:rsid w:val="5C18075C"/>
    <w:rsid w:val="5C1AA11B"/>
    <w:rsid w:val="5C491B00"/>
    <w:rsid w:val="5C6A4290"/>
    <w:rsid w:val="5C6CE661"/>
    <w:rsid w:val="5CA5E7A3"/>
    <w:rsid w:val="5CB81071"/>
    <w:rsid w:val="5CE5A432"/>
    <w:rsid w:val="5D21045B"/>
    <w:rsid w:val="5E5A25DD"/>
    <w:rsid w:val="5EDDEB00"/>
    <w:rsid w:val="5F2D05E5"/>
    <w:rsid w:val="5FA3E7EC"/>
    <w:rsid w:val="5FCA46B9"/>
    <w:rsid w:val="5FCE7C2D"/>
    <w:rsid w:val="5FFEBED3"/>
    <w:rsid w:val="601A494E"/>
    <w:rsid w:val="60700CF8"/>
    <w:rsid w:val="60BED2D4"/>
    <w:rsid w:val="60CFC57D"/>
    <w:rsid w:val="611574A4"/>
    <w:rsid w:val="611842E5"/>
    <w:rsid w:val="61798F27"/>
    <w:rsid w:val="620BDD59"/>
    <w:rsid w:val="621C66E5"/>
    <w:rsid w:val="622DD352"/>
    <w:rsid w:val="63851BA8"/>
    <w:rsid w:val="63EE03B5"/>
    <w:rsid w:val="63F1782B"/>
    <w:rsid w:val="640578EC"/>
    <w:rsid w:val="643D2A0C"/>
    <w:rsid w:val="6459B0F8"/>
    <w:rsid w:val="648640E1"/>
    <w:rsid w:val="64BA07A7"/>
    <w:rsid w:val="651CE3BE"/>
    <w:rsid w:val="65241E63"/>
    <w:rsid w:val="653B2928"/>
    <w:rsid w:val="658B0E56"/>
    <w:rsid w:val="658B9B33"/>
    <w:rsid w:val="65A1494D"/>
    <w:rsid w:val="65A2B79B"/>
    <w:rsid w:val="65AFDACF"/>
    <w:rsid w:val="662CC3BB"/>
    <w:rsid w:val="665C1F34"/>
    <w:rsid w:val="66994FC4"/>
    <w:rsid w:val="66B16F7F"/>
    <w:rsid w:val="66B8E740"/>
    <w:rsid w:val="66C393A3"/>
    <w:rsid w:val="66D5F910"/>
    <w:rsid w:val="66F01902"/>
    <w:rsid w:val="6847D42D"/>
    <w:rsid w:val="685F6404"/>
    <w:rsid w:val="68790F5E"/>
    <w:rsid w:val="687E619F"/>
    <w:rsid w:val="68ACFE7C"/>
    <w:rsid w:val="68D6FB0A"/>
    <w:rsid w:val="69339629"/>
    <w:rsid w:val="6A2FC381"/>
    <w:rsid w:val="6A59EDEF"/>
    <w:rsid w:val="6A707679"/>
    <w:rsid w:val="6AB4EE87"/>
    <w:rsid w:val="6AC0E7F5"/>
    <w:rsid w:val="6BAAD712"/>
    <w:rsid w:val="6BBD7E5B"/>
    <w:rsid w:val="6C14D2AE"/>
    <w:rsid w:val="6C50BEE8"/>
    <w:rsid w:val="6C6C68FC"/>
    <w:rsid w:val="6CBC41CE"/>
    <w:rsid w:val="6CC540A3"/>
    <w:rsid w:val="6CCBB7AC"/>
    <w:rsid w:val="6D88CD45"/>
    <w:rsid w:val="6DD17CF9"/>
    <w:rsid w:val="6DF5DD95"/>
    <w:rsid w:val="6E3EE9D2"/>
    <w:rsid w:val="6E673119"/>
    <w:rsid w:val="6ED5A9C1"/>
    <w:rsid w:val="6EDB6CB9"/>
    <w:rsid w:val="6F5ACE54"/>
    <w:rsid w:val="6FB1C0EF"/>
    <w:rsid w:val="6FFCB55C"/>
    <w:rsid w:val="705851C5"/>
    <w:rsid w:val="705F509B"/>
    <w:rsid w:val="70A34C37"/>
    <w:rsid w:val="70C116EE"/>
    <w:rsid w:val="710284B7"/>
    <w:rsid w:val="7110F97E"/>
    <w:rsid w:val="7179F3B5"/>
    <w:rsid w:val="717D73E0"/>
    <w:rsid w:val="718068FA"/>
    <w:rsid w:val="71DBE7E6"/>
    <w:rsid w:val="71EF7488"/>
    <w:rsid w:val="7229C0A0"/>
    <w:rsid w:val="72C65A6C"/>
    <w:rsid w:val="730E3F16"/>
    <w:rsid w:val="7372310D"/>
    <w:rsid w:val="73786129"/>
    <w:rsid w:val="737D1A71"/>
    <w:rsid w:val="739C5434"/>
    <w:rsid w:val="73C5BF0A"/>
    <w:rsid w:val="740EA563"/>
    <w:rsid w:val="7418E365"/>
    <w:rsid w:val="7442A870"/>
    <w:rsid w:val="7447858D"/>
    <w:rsid w:val="74AD886E"/>
    <w:rsid w:val="74D818F7"/>
    <w:rsid w:val="74DE80F8"/>
    <w:rsid w:val="7500C47E"/>
    <w:rsid w:val="7505D10E"/>
    <w:rsid w:val="75131754"/>
    <w:rsid w:val="7518EAD2"/>
    <w:rsid w:val="75B55AAA"/>
    <w:rsid w:val="75B86451"/>
    <w:rsid w:val="75C00AF3"/>
    <w:rsid w:val="7625BC87"/>
    <w:rsid w:val="766490AE"/>
    <w:rsid w:val="7693C715"/>
    <w:rsid w:val="76A6EC13"/>
    <w:rsid w:val="76B872DD"/>
    <w:rsid w:val="76FDBB2A"/>
    <w:rsid w:val="77966F37"/>
    <w:rsid w:val="78137E6C"/>
    <w:rsid w:val="7822499C"/>
    <w:rsid w:val="78281D0D"/>
    <w:rsid w:val="7863D12D"/>
    <w:rsid w:val="78A2DE96"/>
    <w:rsid w:val="7932CFDF"/>
    <w:rsid w:val="79399F45"/>
    <w:rsid w:val="7988485C"/>
    <w:rsid w:val="79C33494"/>
    <w:rsid w:val="79FC9AAD"/>
    <w:rsid w:val="7A384350"/>
    <w:rsid w:val="7AA46E46"/>
    <w:rsid w:val="7AAC4D4A"/>
    <w:rsid w:val="7AC66907"/>
    <w:rsid w:val="7B59BDF2"/>
    <w:rsid w:val="7B59EA5E"/>
    <w:rsid w:val="7B71A9DA"/>
    <w:rsid w:val="7B79B316"/>
    <w:rsid w:val="7B7A47DD"/>
    <w:rsid w:val="7B7EC668"/>
    <w:rsid w:val="7BF0F33E"/>
    <w:rsid w:val="7BF3CDDF"/>
    <w:rsid w:val="7C138E8D"/>
    <w:rsid w:val="7C5C146E"/>
    <w:rsid w:val="7C74A5D8"/>
    <w:rsid w:val="7C8026C0"/>
    <w:rsid w:val="7CEE14A0"/>
    <w:rsid w:val="7CFD6EFC"/>
    <w:rsid w:val="7D6AF9C4"/>
    <w:rsid w:val="7DB00B7F"/>
    <w:rsid w:val="7DC68D2D"/>
    <w:rsid w:val="7DD45D1E"/>
    <w:rsid w:val="7DEF284B"/>
    <w:rsid w:val="7E74A905"/>
    <w:rsid w:val="7E82A750"/>
    <w:rsid w:val="7E854269"/>
    <w:rsid w:val="7E96A5B7"/>
    <w:rsid w:val="7EEDB1FC"/>
    <w:rsid w:val="7EFBE59F"/>
    <w:rsid w:val="7F49F4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BEE6"/>
  <w15:docId w15:val="{A12A2400-F37B-4A4D-84D6-1922B377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lsdException w:name="header" w:uiPriority="2"/>
    <w:lsdException w:name="footer" w:uiPriority="2"/>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99"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rsid w:val="00FE7410"/>
    <w:pPr>
      <w:keepNext/>
      <w:keepLines/>
      <w:numPr>
        <w:numId w:val="16"/>
      </w:numPr>
      <w:pBdr>
        <w:bottom w:val="single" w:sz="18" w:space="6" w:color="365F91" w:themeColor="accent1" w:themeShade="BF"/>
      </w:pBdr>
      <w:spacing w:before="480" w:after="480"/>
      <w:jc w:val="center"/>
      <w:outlineLvl w:val="0"/>
    </w:pPr>
    <w:rPr>
      <w:b/>
      <w:smallCaps/>
      <w:color w:val="365F91" w:themeColor="accent1" w:themeShade="BF"/>
      <w:sz w:val="28"/>
      <w:szCs w:val="22"/>
    </w:rPr>
  </w:style>
  <w:style w:type="paragraph" w:styleId="Heading2">
    <w:name w:val="heading 2"/>
    <w:basedOn w:val="Normal"/>
    <w:next w:val="Text2"/>
    <w:uiPriority w:val="1"/>
    <w:qFormat/>
    <w:rsid w:val="00627EAB"/>
    <w:pPr>
      <w:keepNext/>
      <w:numPr>
        <w:ilvl w:val="1"/>
        <w:numId w:val="16"/>
      </w:numPr>
      <w:tabs>
        <w:tab w:val="clear" w:pos="1202"/>
      </w:tabs>
      <w:ind w:left="709"/>
      <w:outlineLvl w:val="1"/>
    </w:pPr>
    <w:rPr>
      <w:b/>
      <w:color w:val="365F91" w:themeColor="accent1" w:themeShade="BF"/>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qFormat/>
    <w:pPr>
      <w:keepNext/>
      <w:numPr>
        <w:ilvl w:val="4"/>
        <w:numId w:val="16"/>
      </w:numPr>
      <w:outlineLvl w:val="4"/>
    </w:pPr>
  </w:style>
  <w:style w:type="paragraph" w:styleId="Heading6">
    <w:name w:val="heading 6"/>
    <w:basedOn w:val="Normal"/>
    <w:next w:val="Normal"/>
    <w:semiHidden/>
    <w:qFormat/>
    <w:pPr>
      <w:keepNext/>
      <w:numPr>
        <w:ilvl w:val="5"/>
        <w:numId w:val="16"/>
      </w:numPr>
      <w:outlineLvl w:val="5"/>
    </w:pPr>
  </w:style>
  <w:style w:type="paragraph" w:styleId="Heading7">
    <w:name w:val="heading 7"/>
    <w:basedOn w:val="Normal"/>
    <w:next w:val="Normal"/>
    <w:semiHidden/>
    <w:qFormat/>
    <w:pPr>
      <w:keepNext/>
      <w:numPr>
        <w:ilvl w:val="6"/>
        <w:numId w:val="16"/>
      </w:numPr>
      <w:outlineLvl w:val="6"/>
    </w:pPr>
  </w:style>
  <w:style w:type="paragraph" w:styleId="Heading8">
    <w:name w:val="heading 8"/>
    <w:basedOn w:val="Normal"/>
    <w:next w:val="Normal"/>
    <w:semiHidden/>
    <w:qFormat/>
    <w:pPr>
      <w:keepNext/>
      <w:numPr>
        <w:ilvl w:val="7"/>
        <w:numId w:val="16"/>
      </w:numPr>
      <w:outlineLvl w:val="7"/>
    </w:pPr>
  </w:style>
  <w:style w:type="paragraph" w:styleId="Heading9">
    <w:name w:val="heading 9"/>
    <w:basedOn w:val="Normal"/>
    <w:next w:val="Normal"/>
    <w:semiHidden/>
    <w:qFormat/>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
    <w:basedOn w:val="Normal"/>
    <w:next w:val="Normal"/>
    <w:link w:val="CaptionChar"/>
    <w:uiPriority w:val="35"/>
    <w:qFormat/>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Char,Carattere,ft"/>
    <w:basedOn w:val="Normal"/>
    <w:link w:val="FootnoteTextChar"/>
    <w:uiPriority w:val="99"/>
    <w:unhideWhenUsed/>
    <w:qFormat/>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link w:val="Text1Char"/>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numPr>
        <w:numId w:val="27"/>
      </w:num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numPr>
        <w:numId w:val="28"/>
      </w:num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numPr>
        <w:ilvl w:val="1"/>
        <w:numId w:val="28"/>
      </w:num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tblCellMar>
        <w:left w:w="567" w:type="dxa"/>
      </w:tblCellMar>
    </w:tblPr>
  </w:style>
  <w:style w:type="table" w:styleId="TableGrid">
    <w:name w:val="Table Grid"/>
    <w:aliases w:val="Document Table,CV1"/>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sid w:val="00854C0F"/>
    <w:rPr>
      <w:sz w:val="16"/>
      <w:szCs w:val="16"/>
    </w:rPr>
  </w:style>
  <w:style w:type="paragraph" w:styleId="CommentText">
    <w:name w:val="annotation text"/>
    <w:basedOn w:val="Normal"/>
    <w:link w:val="CommentTextChar"/>
    <w:semiHidden/>
    <w:locked/>
    <w:rsid w:val="00854C0F"/>
    <w:rPr>
      <w:sz w:val="20"/>
    </w:rPr>
  </w:style>
  <w:style w:type="character" w:customStyle="1" w:styleId="CommentTextChar">
    <w:name w:val="Comment Text Char"/>
    <w:basedOn w:val="DefaultParagraphFont"/>
    <w:link w:val="CommentText"/>
    <w:semiHidden/>
    <w:rsid w:val="00854C0F"/>
    <w:rPr>
      <w:sz w:val="20"/>
    </w:rPr>
  </w:style>
  <w:style w:type="paragraph" w:styleId="CommentSubject">
    <w:name w:val="annotation subject"/>
    <w:basedOn w:val="CommentText"/>
    <w:next w:val="CommentText"/>
    <w:link w:val="CommentSubjectChar"/>
    <w:semiHidden/>
    <w:locked/>
    <w:rsid w:val="00854C0F"/>
    <w:rPr>
      <w:b/>
      <w:bCs/>
    </w:rPr>
  </w:style>
  <w:style w:type="character" w:customStyle="1" w:styleId="CommentSubjectChar">
    <w:name w:val="Comment Subject Char"/>
    <w:basedOn w:val="CommentTextChar"/>
    <w:link w:val="CommentSubject"/>
    <w:semiHidden/>
    <w:rsid w:val="00854C0F"/>
    <w:rPr>
      <w:b/>
      <w:bCs/>
      <w:sz w:val="20"/>
    </w:rPr>
  </w:style>
  <w:style w:type="paragraph" w:styleId="BalloonText">
    <w:name w:val="Balloon Text"/>
    <w:basedOn w:val="Normal"/>
    <w:link w:val="BalloonTextChar"/>
    <w:semiHidden/>
    <w:locked/>
    <w:rsid w:val="00854C0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54C0F"/>
    <w:rPr>
      <w:rFonts w:ascii="Segoe UI" w:hAnsi="Segoe UI" w:cs="Segoe UI"/>
      <w:sz w:val="18"/>
      <w:szCs w:val="18"/>
    </w:rPr>
  </w:style>
  <w:style w:type="character" w:styleId="FootnoteReference">
    <w:name w:val="footnote reference"/>
    <w:aliases w:val="Error-Fußnotenzeichen5,Error-Fußnotenzeichen6,Error-Fußnotenzeichen3,Nota,Footnote symbol,Footnote,Appel note de bas de p,SUPERS,BVI fnr,Footnotemark,FR,Footnotemark1,Footnotemark2,FR1,Footnotemark3,FR2,Footnotemark4,FR3,note TESI,Ref"/>
    <w:basedOn w:val="DefaultParagraphFont"/>
    <w:link w:val="FootnotesymbolCarZchn"/>
    <w:uiPriority w:val="99"/>
    <w:qFormat/>
    <w:locked/>
    <w:rsid w:val="00DD68D6"/>
    <w:rPr>
      <w:vertAlign w:val="superscript"/>
    </w:rPr>
  </w:style>
  <w:style w:type="character" w:customStyle="1" w:styleId="UnresolvedMention1">
    <w:name w:val="Unresolved Mention1"/>
    <w:basedOn w:val="DefaultParagraphFont"/>
    <w:uiPriority w:val="99"/>
    <w:unhideWhenUsed/>
    <w:rsid w:val="008E737C"/>
    <w:rPr>
      <w:color w:val="605E5C"/>
      <w:shd w:val="clear" w:color="auto" w:fill="E1DFDD"/>
    </w:rPr>
  </w:style>
  <w:style w:type="character" w:customStyle="1" w:styleId="Mention1">
    <w:name w:val="Mention1"/>
    <w:basedOn w:val="DefaultParagraphFont"/>
    <w:uiPriority w:val="99"/>
    <w:unhideWhenUsed/>
    <w:rsid w:val="008E737C"/>
    <w:rPr>
      <w:color w:val="2B579A"/>
      <w:shd w:val="clear" w:color="auto" w:fill="E1DFDD"/>
    </w:rPr>
  </w:style>
  <w:style w:type="paragraph" w:customStyle="1" w:styleId="Body">
    <w:name w:val="Body"/>
    <w:basedOn w:val="Normal"/>
    <w:link w:val="BodyChar"/>
    <w:qFormat/>
    <w:rsid w:val="00C91EFE"/>
    <w:rPr>
      <w:szCs w:val="24"/>
      <w:lang w:eastAsia="en-US"/>
    </w:rPr>
  </w:style>
  <w:style w:type="character" w:customStyle="1" w:styleId="BodyChar">
    <w:name w:val="Body Char"/>
    <w:link w:val="Body"/>
    <w:rsid w:val="00C91EFE"/>
    <w:rPr>
      <w:szCs w:val="24"/>
      <w:lang w:eastAsia="en-US"/>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link w:val="Caption"/>
    <w:uiPriority w:val="35"/>
    <w:rsid w:val="00C91EFE"/>
    <w:rPr>
      <w:i/>
      <w:sz w:val="22"/>
    </w:rPr>
  </w:style>
  <w:style w:type="table" w:customStyle="1" w:styleId="CV11">
    <w:name w:val="CV11"/>
    <w:basedOn w:val="TableNormal"/>
    <w:next w:val="TableGrid"/>
    <w:uiPriority w:val="39"/>
    <w:rsid w:val="007D6B33"/>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AD7E3A"/>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locked/>
    <w:rsid w:val="00892C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fr-FR" w:eastAsia="en-US"/>
    </w:rPr>
  </w:style>
  <w:style w:type="character" w:customStyle="1" w:styleId="MessageHeaderChar">
    <w:name w:val="Message Header Char"/>
    <w:basedOn w:val="DefaultParagraphFont"/>
    <w:link w:val="MessageHeader"/>
    <w:rsid w:val="00892C44"/>
    <w:rPr>
      <w:rFonts w:ascii="Arial" w:hAnsi="Arial"/>
      <w:shd w:val="pct20" w:color="auto" w:fill="auto"/>
      <w:lang w:val="fr-FR" w:eastAsia="en-US"/>
    </w:rPr>
  </w:style>
  <w:style w:type="character" w:styleId="Hyperlink">
    <w:name w:val="Hyperlink"/>
    <w:basedOn w:val="DefaultParagraphFont"/>
    <w:unhideWhenUsed/>
    <w:rPr>
      <w:color w:val="0000FF" w:themeColor="hyperlink"/>
      <w:u w:val="single"/>
    </w:rPr>
  </w:style>
  <w:style w:type="character" w:customStyle="1" w:styleId="UnresolvedMention2">
    <w:name w:val="Unresolved Mention2"/>
    <w:basedOn w:val="DefaultParagraphFont"/>
    <w:uiPriority w:val="99"/>
    <w:semiHidden/>
    <w:unhideWhenUsed/>
    <w:rsid w:val="00B0737D"/>
    <w:rPr>
      <w:color w:val="605E5C"/>
      <w:shd w:val="clear" w:color="auto" w:fill="E1DFDD"/>
    </w:rPr>
  </w:style>
  <w:style w:type="paragraph" w:styleId="Revision">
    <w:name w:val="Revision"/>
    <w:hidden/>
    <w:semiHidden/>
    <w:locked/>
    <w:rsid w:val="00420655"/>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qFormat/>
    <w:rsid w:val="00C95506"/>
    <w:rPr>
      <w:sz w:val="20"/>
    </w:rPr>
  </w:style>
  <w:style w:type="character" w:customStyle="1" w:styleId="UnresolvedMention3">
    <w:name w:val="Unresolved Mention3"/>
    <w:basedOn w:val="DefaultParagraphFont"/>
    <w:uiPriority w:val="99"/>
    <w:semiHidden/>
    <w:unhideWhenUsed/>
    <w:rsid w:val="00E02F54"/>
    <w:rPr>
      <w:color w:val="605E5C"/>
      <w:shd w:val="clear" w:color="auto" w:fill="E1DFDD"/>
    </w:rPr>
  </w:style>
  <w:style w:type="character" w:customStyle="1" w:styleId="UnresolvedMention4">
    <w:name w:val="Unresolved Mention4"/>
    <w:basedOn w:val="DefaultParagraphFont"/>
    <w:uiPriority w:val="99"/>
    <w:semiHidden/>
    <w:unhideWhenUsed/>
    <w:rsid w:val="00EC4BCE"/>
    <w:rPr>
      <w:color w:val="605E5C"/>
      <w:shd w:val="clear" w:color="auto" w:fill="E1DFDD"/>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locked/>
    <w:rsid w:val="00635597"/>
    <w:pPr>
      <w:spacing w:after="160" w:line="256" w:lineRule="auto"/>
      <w:ind w:left="720"/>
      <w:contextualSpacing/>
      <w:jc w:val="left"/>
    </w:pPr>
    <w:rPr>
      <w:rFonts w:asciiTheme="minorHAnsi" w:eastAsiaTheme="minorHAnsi" w:hAnsiTheme="minorHAnsi" w:cstheme="minorBidi"/>
      <w:sz w:val="22"/>
      <w:szCs w:val="22"/>
      <w:lang w:eastAsia="en-US"/>
    </w:rPr>
  </w:style>
  <w:style w:type="character" w:customStyle="1" w:styleId="NichtaufgelsteErwhnung1">
    <w:name w:val="Nicht aufgelöste Erwähnung1"/>
    <w:basedOn w:val="DefaultParagraphFont"/>
    <w:uiPriority w:val="99"/>
    <w:semiHidden/>
    <w:unhideWhenUsed/>
    <w:rsid w:val="00870715"/>
    <w:rPr>
      <w:color w:val="605E5C"/>
      <w:shd w:val="clear" w:color="auto" w:fill="E1DFDD"/>
    </w:rPr>
  </w:style>
  <w:style w:type="character" w:customStyle="1" w:styleId="Text1Char">
    <w:name w:val="Text 1 Char"/>
    <w:link w:val="Text1"/>
    <w:rsid w:val="00CB7D34"/>
  </w:style>
  <w:style w:type="character" w:customStyle="1" w:styleId="NichtaufgelsteErwhnung2">
    <w:name w:val="Nicht aufgelöste Erwähnung2"/>
    <w:basedOn w:val="DefaultParagraphFont"/>
    <w:uiPriority w:val="99"/>
    <w:semiHidden/>
    <w:unhideWhenUsed/>
    <w:rsid w:val="00932BD4"/>
    <w:rPr>
      <w:color w:val="605E5C"/>
      <w:shd w:val="clear" w:color="auto" w:fill="E1DFDD"/>
    </w:rPr>
  </w:style>
  <w:style w:type="paragraph" w:styleId="BodyText">
    <w:name w:val="Body Text"/>
    <w:basedOn w:val="Normal"/>
    <w:link w:val="BodyTextChar"/>
    <w:locked/>
    <w:rsid w:val="00627EAB"/>
    <w:pPr>
      <w:spacing w:before="120" w:after="120"/>
    </w:pPr>
    <w:rPr>
      <w:szCs w:val="24"/>
      <w:lang w:eastAsia="en-US"/>
    </w:rPr>
  </w:style>
  <w:style w:type="character" w:customStyle="1" w:styleId="BodyTextChar">
    <w:name w:val="Body Text Char"/>
    <w:basedOn w:val="DefaultParagraphFont"/>
    <w:link w:val="BodyText"/>
    <w:rsid w:val="00627EAB"/>
    <w:rPr>
      <w:szCs w:val="24"/>
      <w:lang w:eastAsia="en-US"/>
    </w:rPr>
  </w:style>
  <w:style w:type="character" w:customStyle="1" w:styleId="Marker">
    <w:name w:val="Marker"/>
    <w:basedOn w:val="DefaultParagraphFont"/>
    <w:rsid w:val="00A260E8"/>
    <w:rPr>
      <w:color w:val="0000FF"/>
      <w:shd w:val="clear" w:color="auto" w:fill="auto"/>
    </w:rPr>
  </w:style>
  <w:style w:type="paragraph" w:customStyle="1" w:styleId="Pagedecouverture">
    <w:name w:val="Page de couverture"/>
    <w:basedOn w:val="Normal"/>
    <w:next w:val="Normal"/>
    <w:link w:val="PagedecouvertureChar"/>
    <w:rsid w:val="00A260E8"/>
    <w:pPr>
      <w:spacing w:after="0"/>
    </w:pPr>
    <w:rPr>
      <w:rFonts w:eastAsiaTheme="minorHAnsi"/>
      <w:szCs w:val="22"/>
      <w:lang w:eastAsia="en-US"/>
    </w:rPr>
  </w:style>
  <w:style w:type="paragraph" w:customStyle="1" w:styleId="FooterCoverPage">
    <w:name w:val="Footer Cover Page"/>
    <w:basedOn w:val="Normal"/>
    <w:link w:val="FooterCoverPageChar"/>
    <w:rsid w:val="00A260E8"/>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A260E8"/>
    <w:rPr>
      <w:rFonts w:eastAsiaTheme="minorHAnsi"/>
      <w:szCs w:val="22"/>
      <w:lang w:eastAsia="en-US"/>
    </w:rPr>
  </w:style>
  <w:style w:type="character" w:customStyle="1" w:styleId="FooterCoverPageChar">
    <w:name w:val="Footer Cover Page Char"/>
    <w:basedOn w:val="PagedecouvertureChar"/>
    <w:link w:val="FooterCoverPage"/>
    <w:rsid w:val="00A260E8"/>
    <w:rPr>
      <w:rFonts w:eastAsiaTheme="minorHAnsi"/>
      <w:szCs w:val="22"/>
      <w:lang w:eastAsia="en-US"/>
    </w:rPr>
  </w:style>
  <w:style w:type="paragraph" w:customStyle="1" w:styleId="FooterSensitivity">
    <w:name w:val="Footer Sensitivity"/>
    <w:basedOn w:val="Normal"/>
    <w:link w:val="FooterSensitivityChar"/>
    <w:rsid w:val="00A260E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A260E8"/>
    <w:rPr>
      <w:rFonts w:eastAsiaTheme="minorHAnsi"/>
      <w:b/>
      <w:sz w:val="32"/>
      <w:szCs w:val="22"/>
      <w:lang w:eastAsia="en-US"/>
    </w:rPr>
  </w:style>
  <w:style w:type="paragraph" w:customStyle="1" w:styleId="HeaderCoverPage">
    <w:name w:val="Header Cover Page"/>
    <w:basedOn w:val="Normal"/>
    <w:link w:val="HeaderCoverPageChar"/>
    <w:rsid w:val="00A260E8"/>
    <w:pPr>
      <w:tabs>
        <w:tab w:val="center" w:pos="4535"/>
        <w:tab w:val="right" w:pos="9071"/>
      </w:tabs>
      <w:spacing w:after="120"/>
    </w:pPr>
  </w:style>
  <w:style w:type="character" w:customStyle="1" w:styleId="HeaderCoverPageChar">
    <w:name w:val="Header Cover Page Char"/>
    <w:basedOn w:val="PagedecouvertureChar"/>
    <w:link w:val="HeaderCoverPage"/>
    <w:rsid w:val="00A260E8"/>
    <w:rPr>
      <w:rFonts w:eastAsiaTheme="minorHAnsi"/>
      <w:szCs w:val="22"/>
      <w:lang w:eastAsia="en-US"/>
    </w:rPr>
  </w:style>
  <w:style w:type="paragraph" w:customStyle="1" w:styleId="HeaderSensitivity">
    <w:name w:val="Header Sensitivity"/>
    <w:basedOn w:val="Normal"/>
    <w:link w:val="HeaderSensitivityChar"/>
    <w:rsid w:val="00A260E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A260E8"/>
    <w:rPr>
      <w:rFonts w:eastAsiaTheme="minorHAnsi"/>
      <w:b/>
      <w:sz w:val="32"/>
      <w:szCs w:val="22"/>
      <w:lang w:eastAsia="en-US"/>
    </w:rPr>
  </w:style>
  <w:style w:type="paragraph" w:customStyle="1" w:styleId="HeaderSensitivityRight">
    <w:name w:val="Header Sensitivity Right"/>
    <w:basedOn w:val="Normal"/>
    <w:link w:val="HeaderSensitivityRightChar"/>
    <w:rsid w:val="00A260E8"/>
    <w:pPr>
      <w:spacing w:after="120"/>
      <w:jc w:val="right"/>
    </w:pPr>
    <w:rPr>
      <w:sz w:val="28"/>
    </w:rPr>
  </w:style>
  <w:style w:type="character" w:customStyle="1" w:styleId="HeaderSensitivityRightChar">
    <w:name w:val="Header Sensitivity Right Char"/>
    <w:basedOn w:val="PagedecouvertureChar"/>
    <w:link w:val="HeaderSensitivityRight"/>
    <w:rsid w:val="00A260E8"/>
    <w:rPr>
      <w:rFonts w:eastAsiaTheme="minorHAnsi"/>
      <w:sz w:val="28"/>
      <w:szCs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link w:val="ListParagraph"/>
    <w:uiPriority w:val="34"/>
    <w:qFormat/>
    <w:locked/>
    <w:rsid w:val="00E22389"/>
    <w:rPr>
      <w:rFonts w:asciiTheme="minorHAnsi" w:eastAsiaTheme="minorHAnsi" w:hAnsiTheme="minorHAnsi" w:cstheme="minorBidi"/>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E22389"/>
    <w:pPr>
      <w:spacing w:after="160" w:line="240" w:lineRule="exact"/>
      <w:jc w:val="left"/>
    </w:pPr>
    <w:rPr>
      <w:vertAlign w:val="superscript"/>
    </w:rPr>
  </w:style>
  <w:style w:type="character" w:styleId="FollowedHyperlink">
    <w:name w:val="FollowedHyperlink"/>
    <w:basedOn w:val="DefaultParagraphFont"/>
    <w:semiHidden/>
    <w:locked/>
    <w:rsid w:val="00774263"/>
    <w:rPr>
      <w:color w:val="800080" w:themeColor="followedHyperlink"/>
      <w:u w:val="single"/>
    </w:rPr>
  </w:style>
  <w:style w:type="paragraph" w:customStyle="1" w:styleId="BVIfnrCarCarCarCarCharCharCharChar">
    <w:name w:val="BVI fnr Car Car Car Car Char Char Char Char"/>
    <w:aliases w:val="BVI fnr Car Car Car Car Char Char,BVI fnr Car Car Car Car Char Char Char Char Char Char Char Char Char,BVI fnr Car Car Car Car Char Char Char"/>
    <w:basedOn w:val="Body"/>
    <w:uiPriority w:val="99"/>
    <w:rsid w:val="001B3714"/>
    <w:rPr>
      <w:szCs w:val="20"/>
      <w:vertAlign w:val="superscript"/>
    </w:rPr>
  </w:style>
  <w:style w:type="character" w:customStyle="1" w:styleId="UnresolvedMention">
    <w:name w:val="Unresolved Mention"/>
    <w:basedOn w:val="DefaultParagraphFont"/>
    <w:uiPriority w:val="99"/>
    <w:semiHidden/>
    <w:unhideWhenUsed/>
    <w:rsid w:val="001D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919">
      <w:bodyDiv w:val="1"/>
      <w:marLeft w:val="0"/>
      <w:marRight w:val="0"/>
      <w:marTop w:val="0"/>
      <w:marBottom w:val="0"/>
      <w:divBdr>
        <w:top w:val="none" w:sz="0" w:space="0" w:color="auto"/>
        <w:left w:val="none" w:sz="0" w:space="0" w:color="auto"/>
        <w:bottom w:val="none" w:sz="0" w:space="0" w:color="auto"/>
        <w:right w:val="none" w:sz="0" w:space="0" w:color="auto"/>
      </w:divBdr>
    </w:div>
    <w:div w:id="164320626">
      <w:bodyDiv w:val="1"/>
      <w:marLeft w:val="0"/>
      <w:marRight w:val="0"/>
      <w:marTop w:val="0"/>
      <w:marBottom w:val="0"/>
      <w:divBdr>
        <w:top w:val="none" w:sz="0" w:space="0" w:color="auto"/>
        <w:left w:val="none" w:sz="0" w:space="0" w:color="auto"/>
        <w:bottom w:val="none" w:sz="0" w:space="0" w:color="auto"/>
        <w:right w:val="none" w:sz="0" w:space="0" w:color="auto"/>
      </w:divBdr>
    </w:div>
    <w:div w:id="486896425">
      <w:bodyDiv w:val="1"/>
      <w:marLeft w:val="0"/>
      <w:marRight w:val="0"/>
      <w:marTop w:val="0"/>
      <w:marBottom w:val="0"/>
      <w:divBdr>
        <w:top w:val="none" w:sz="0" w:space="0" w:color="auto"/>
        <w:left w:val="none" w:sz="0" w:space="0" w:color="auto"/>
        <w:bottom w:val="none" w:sz="0" w:space="0" w:color="auto"/>
        <w:right w:val="none" w:sz="0" w:space="0" w:color="auto"/>
      </w:divBdr>
    </w:div>
    <w:div w:id="683243175">
      <w:bodyDiv w:val="1"/>
      <w:marLeft w:val="0"/>
      <w:marRight w:val="0"/>
      <w:marTop w:val="0"/>
      <w:marBottom w:val="0"/>
      <w:divBdr>
        <w:top w:val="none" w:sz="0" w:space="0" w:color="auto"/>
        <w:left w:val="none" w:sz="0" w:space="0" w:color="auto"/>
        <w:bottom w:val="none" w:sz="0" w:space="0" w:color="auto"/>
        <w:right w:val="none" w:sz="0" w:space="0" w:color="auto"/>
      </w:divBdr>
    </w:div>
    <w:div w:id="791364613">
      <w:bodyDiv w:val="1"/>
      <w:marLeft w:val="0"/>
      <w:marRight w:val="0"/>
      <w:marTop w:val="0"/>
      <w:marBottom w:val="0"/>
      <w:divBdr>
        <w:top w:val="none" w:sz="0" w:space="0" w:color="auto"/>
        <w:left w:val="none" w:sz="0" w:space="0" w:color="auto"/>
        <w:bottom w:val="none" w:sz="0" w:space="0" w:color="auto"/>
        <w:right w:val="none" w:sz="0" w:space="0" w:color="auto"/>
      </w:divBdr>
    </w:div>
    <w:div w:id="809906192">
      <w:bodyDiv w:val="1"/>
      <w:marLeft w:val="0"/>
      <w:marRight w:val="0"/>
      <w:marTop w:val="0"/>
      <w:marBottom w:val="0"/>
      <w:divBdr>
        <w:top w:val="none" w:sz="0" w:space="0" w:color="auto"/>
        <w:left w:val="none" w:sz="0" w:space="0" w:color="auto"/>
        <w:bottom w:val="none" w:sz="0" w:space="0" w:color="auto"/>
        <w:right w:val="none" w:sz="0" w:space="0" w:color="auto"/>
      </w:divBdr>
    </w:div>
    <w:div w:id="935208566">
      <w:bodyDiv w:val="1"/>
      <w:marLeft w:val="0"/>
      <w:marRight w:val="0"/>
      <w:marTop w:val="0"/>
      <w:marBottom w:val="0"/>
      <w:divBdr>
        <w:top w:val="none" w:sz="0" w:space="0" w:color="auto"/>
        <w:left w:val="none" w:sz="0" w:space="0" w:color="auto"/>
        <w:bottom w:val="none" w:sz="0" w:space="0" w:color="auto"/>
        <w:right w:val="none" w:sz="0" w:space="0" w:color="auto"/>
      </w:divBdr>
    </w:div>
    <w:div w:id="1007441262">
      <w:bodyDiv w:val="1"/>
      <w:marLeft w:val="0"/>
      <w:marRight w:val="0"/>
      <w:marTop w:val="0"/>
      <w:marBottom w:val="0"/>
      <w:divBdr>
        <w:top w:val="none" w:sz="0" w:space="0" w:color="auto"/>
        <w:left w:val="none" w:sz="0" w:space="0" w:color="auto"/>
        <w:bottom w:val="none" w:sz="0" w:space="0" w:color="auto"/>
        <w:right w:val="none" w:sz="0" w:space="0" w:color="auto"/>
      </w:divBdr>
    </w:div>
    <w:div w:id="1277297650">
      <w:bodyDiv w:val="1"/>
      <w:marLeft w:val="0"/>
      <w:marRight w:val="0"/>
      <w:marTop w:val="0"/>
      <w:marBottom w:val="0"/>
      <w:divBdr>
        <w:top w:val="none" w:sz="0" w:space="0" w:color="auto"/>
        <w:left w:val="none" w:sz="0" w:space="0" w:color="auto"/>
        <w:bottom w:val="none" w:sz="0" w:space="0" w:color="auto"/>
        <w:right w:val="none" w:sz="0" w:space="0" w:color="auto"/>
      </w:divBdr>
    </w:div>
    <w:div w:id="1739590990">
      <w:bodyDiv w:val="1"/>
      <w:marLeft w:val="0"/>
      <w:marRight w:val="0"/>
      <w:marTop w:val="0"/>
      <w:marBottom w:val="0"/>
      <w:divBdr>
        <w:top w:val="none" w:sz="0" w:space="0" w:color="auto"/>
        <w:left w:val="none" w:sz="0" w:space="0" w:color="auto"/>
        <w:bottom w:val="none" w:sz="0" w:space="0" w:color="auto"/>
        <w:right w:val="none" w:sz="0" w:space="0" w:color="auto"/>
      </w:divBdr>
    </w:div>
    <w:div w:id="1772510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hart" Target="charts/chart5.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chart" Target="charts/chart6.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chart" Target="charts/chart2.xml"/><Relationship Id="rId27" Type="http://schemas.openxmlformats.org/officeDocument/2006/relationships/image" Target="media/image3.png"/><Relationship Id="rId30" Type="http://schemas.openxmlformats.org/officeDocument/2006/relationships/chart" Target="charts/chart8.xm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policy.trade.ec.europa.eu/analysis-and-assessment/impact-assessments_en" TargetMode="External"/><Relationship Id="rId13" Type="http://schemas.openxmlformats.org/officeDocument/2006/relationships/hyperlink" Target="https://op.europa.eu/en/publication-detail/-/publication/9a6139af-d5f8-11ea-adf7-01aa75ed71a1/language-en" TargetMode="External"/><Relationship Id="rId3" Type="http://schemas.openxmlformats.org/officeDocument/2006/relationships/hyperlink" Target="https://policy.trade.ec.europa.eu/eu-trade-relationships-country-and-region/eu-position-world-trade_en" TargetMode="External"/><Relationship Id="rId7" Type="http://schemas.openxmlformats.org/officeDocument/2006/relationships/hyperlink" Target="https://op.europa.eu/en/publication-detail/-/publication/5638e809-ebfb-11ea-b3c6-01aa75ed71a1/language-en" TargetMode="External"/><Relationship Id="rId12" Type="http://schemas.openxmlformats.org/officeDocument/2006/relationships/hyperlink" Target="http://socieux.eu/about/" TargetMode="External"/><Relationship Id="rId2" Type="http://schemas.openxmlformats.org/officeDocument/2006/relationships/hyperlink" Target="https://www.worldbank.org/en/publication/poverty-and-shared-prosperity" TargetMode="External"/><Relationship Id="rId1" Type="http://schemas.openxmlformats.org/officeDocument/2006/relationships/hyperlink" Target="https://policy.trade.ec.europa.eu/analysis-and-assessment/impact-assessments_en" TargetMode="External"/><Relationship Id="rId6" Type="http://schemas.openxmlformats.org/officeDocument/2006/relationships/hyperlink" Target="https://policy.trade.ec.europa.eu/news/commission-proposes-new-eu-generalised-scheme-preferences-promote-sustainable-development-low-income-2021-09-22_en" TargetMode="External"/><Relationship Id="rId11" Type="http://schemas.openxmlformats.org/officeDocument/2006/relationships/hyperlink" Target="https://ec.europa.eu/info/strategy/priorities-2019-2024/stronger-europe-world/global-gateway_en" TargetMode="External"/><Relationship Id="rId5" Type="http://schemas.openxmlformats.org/officeDocument/2006/relationships/hyperlink" Target="https://www.un.org/ohrlls/content/triennial-reviews-and-graduation-decisions" TargetMode="External"/><Relationship Id="rId15" Type="http://schemas.openxmlformats.org/officeDocument/2006/relationships/hyperlink" Target="https://ec.europa.eu/info/strategy/priorities-2019-2024/stronger-europe-world/global-gateway_en" TargetMode="External"/><Relationship Id="rId10" Type="http://schemas.openxmlformats.org/officeDocument/2006/relationships/hyperlink" Target="https://ec.europa.eu/commission/presscorner/detail/en/IP_20_1469" TargetMode="External"/><Relationship Id="rId4" Type="http://schemas.openxmlformats.org/officeDocument/2006/relationships/hyperlink" Target="https://www.undp.org/publications/dfs-avoiding-too-little-too-late-international-debt-relief" TargetMode="External"/><Relationship Id="rId9" Type="http://schemas.openxmlformats.org/officeDocument/2006/relationships/hyperlink" Target="https://ec.europa.eu/info/law/better-regulation/have-your-say/initiatives/2136-Towards-the-future-Generalised-Scheme-of-Preferences-legal-framework-granting-trade-advantages-to-developing-countries/public-consultation_en" TargetMode="External"/><Relationship Id="rId14" Type="http://schemas.openxmlformats.org/officeDocument/2006/relationships/hyperlink" Target="https://gsphub.e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m\04_Ongoing%20Projects\DG%20TRADE%20-%20GSP%20study\Technical\2-3%20reports\2023-10-02\20230925-Overall%20report-figures_DGT_new.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1-3'!$R$20</c:f>
              <c:strCache>
                <c:ptCount val="1"/>
                <c:pt idx="0">
                  <c:v>Imports from GSP countries</c:v>
                </c:pt>
              </c:strCache>
            </c:strRef>
          </c:tx>
          <c:spPr>
            <a:solidFill>
              <a:schemeClr val="accent4"/>
            </a:solidFill>
            <a:ln>
              <a:noFill/>
            </a:ln>
            <a:effectLst/>
          </c:spPr>
          <c:invertIfNegative val="0"/>
          <c:dLbls>
            <c:dLbl>
              <c:idx val="0"/>
              <c:tx>
                <c:rich>
                  <a:bodyPr/>
                  <a:lstStyle/>
                  <a:p>
                    <a:fld id="{C04A080B-EB3D-4CB9-BCE9-80B0CDAAD700}" type="CELLRANGE">
                      <a:rPr lang="en-US"/>
                      <a:pPr/>
                      <a:t>[CELLRANGE]</a:t>
                    </a:fld>
                    <a:endParaRPr lang="en-US" baseline="0"/>
                  </a:p>
                  <a:p>
                    <a:fld id="{2AE2F204-B999-4F59-892A-59DF6F44B022}"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0-70DD-468E-9A7B-FB299DAF27BD}"/>
                </c:ext>
              </c:extLst>
            </c:dLbl>
            <c:dLbl>
              <c:idx val="1"/>
              <c:tx>
                <c:rich>
                  <a:bodyPr/>
                  <a:lstStyle/>
                  <a:p>
                    <a:fld id="{98F0EE0A-49FC-4F43-98C7-F6CF89B9BC5A}" type="CELLRANGE">
                      <a:rPr lang="en-US"/>
                      <a:pPr/>
                      <a:t>[CELLRANGE]</a:t>
                    </a:fld>
                    <a:endParaRPr lang="en-US" baseline="0"/>
                  </a:p>
                  <a:p>
                    <a:fld id="{C31A8D88-CA36-44FE-BBDC-833EEE1E576A}"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70DD-468E-9A7B-FB299DAF27BD}"/>
                </c:ext>
              </c:extLst>
            </c:dLbl>
            <c:dLbl>
              <c:idx val="2"/>
              <c:tx>
                <c:rich>
                  <a:bodyPr/>
                  <a:lstStyle/>
                  <a:p>
                    <a:fld id="{9DCFDF61-439A-4335-BD5F-93FB2A272637}" type="CELLRANGE">
                      <a:rPr lang="en-US"/>
                      <a:pPr/>
                      <a:t>[CELLRANGE]</a:t>
                    </a:fld>
                    <a:endParaRPr lang="en-US" baseline="0"/>
                  </a:p>
                  <a:p>
                    <a:fld id="{A1167685-414D-4B74-B2AD-C95259CA10E5}"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2-70DD-468E-9A7B-FB299DAF27BD}"/>
                </c:ext>
              </c:extLst>
            </c:dLbl>
            <c:dLbl>
              <c:idx val="3"/>
              <c:tx>
                <c:rich>
                  <a:bodyPr/>
                  <a:lstStyle/>
                  <a:p>
                    <a:fld id="{6FB0821A-C30B-4572-8D2C-5E8DEB90A1AE}" type="CELLRANGE">
                      <a:rPr lang="en-GB"/>
                      <a:pPr/>
                      <a:t>[CELLRANGE]</a:t>
                    </a:fld>
                    <a:r>
                      <a:rPr lang="en-GB" baseline="0"/>
                      <a:t>
</a:t>
                    </a:r>
                    <a:fld id="{C94024B8-421F-4FED-81EF-A87238EF012D}"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0DD-468E-9A7B-FB299DAF27B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 1-3'!$S$19:$V$19</c:f>
              <c:strCache>
                <c:ptCount val="4"/>
                <c:pt idx="0">
                  <c:v>2019</c:v>
                </c:pt>
                <c:pt idx="1">
                  <c:v>2020</c:v>
                </c:pt>
                <c:pt idx="2">
                  <c:v>2021</c:v>
                </c:pt>
                <c:pt idx="3">
                  <c:v>2022</c:v>
                </c:pt>
              </c:strCache>
            </c:strRef>
          </c:cat>
          <c:val>
            <c:numRef>
              <c:f>'Fig 1-3'!$S$20:$V$20</c:f>
              <c:numCache>
                <c:formatCode>#,##0</c:formatCode>
                <c:ptCount val="4"/>
                <c:pt idx="0">
                  <c:v>157.35482086000002</c:v>
                </c:pt>
                <c:pt idx="1">
                  <c:v>136.24412193999999</c:v>
                </c:pt>
                <c:pt idx="2">
                  <c:v>167.98456270999998</c:v>
                </c:pt>
                <c:pt idx="3">
                  <c:v>256.73496112599997</c:v>
                </c:pt>
              </c:numCache>
            </c:numRef>
          </c:val>
          <c:extLst>
            <c:ext xmlns:c15="http://schemas.microsoft.com/office/drawing/2012/chart" uri="{02D57815-91ED-43cb-92C2-25804820EDAC}">
              <c15:datalabelsRange>
                <c15:f>'Fig 1-3'!$S$22:$V$22</c15:f>
                <c15:dlblRangeCache>
                  <c:ptCount val="4"/>
                  <c:pt idx="0">
                    <c:v>8.8%</c:v>
                  </c:pt>
                  <c:pt idx="1">
                    <c:v>8.5%</c:v>
                  </c:pt>
                  <c:pt idx="2">
                    <c:v>8.6%</c:v>
                  </c:pt>
                  <c:pt idx="3">
                    <c:v>9.2%</c:v>
                  </c:pt>
                </c15:dlblRangeCache>
              </c15:datalabelsRange>
            </c:ext>
            <c:ext xmlns:c16="http://schemas.microsoft.com/office/drawing/2014/chart" uri="{C3380CC4-5D6E-409C-BE32-E72D297353CC}">
              <c16:uniqueId val="{00000004-70DD-468E-9A7B-FB299DAF27BD}"/>
            </c:ext>
          </c:extLst>
        </c:ser>
        <c:ser>
          <c:idx val="1"/>
          <c:order val="1"/>
          <c:tx>
            <c:strRef>
              <c:f>'Fig 1-3'!$R$21</c:f>
              <c:strCache>
                <c:ptCount val="1"/>
                <c:pt idx="0">
                  <c:v>Total imports from third countries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1-3'!$S$19:$V$19</c:f>
              <c:strCache>
                <c:ptCount val="4"/>
                <c:pt idx="0">
                  <c:v>2019</c:v>
                </c:pt>
                <c:pt idx="1">
                  <c:v>2020</c:v>
                </c:pt>
                <c:pt idx="2">
                  <c:v>2021</c:v>
                </c:pt>
                <c:pt idx="3">
                  <c:v>2022</c:v>
                </c:pt>
              </c:strCache>
            </c:strRef>
          </c:cat>
          <c:val>
            <c:numRef>
              <c:f>'Fig 1-3'!$S$21:$V$21</c:f>
              <c:numCache>
                <c:formatCode>#,##0</c:formatCode>
                <c:ptCount val="4"/>
                <c:pt idx="0">
                  <c:v>1790.9037089999999</c:v>
                </c:pt>
                <c:pt idx="1">
                  <c:v>1604.6155470000001</c:v>
                </c:pt>
                <c:pt idx="2">
                  <c:v>1957.278804</c:v>
                </c:pt>
                <c:pt idx="3">
                  <c:v>2804.2169223390001</c:v>
                </c:pt>
              </c:numCache>
            </c:numRef>
          </c:val>
          <c:extLst>
            <c:ext xmlns:c16="http://schemas.microsoft.com/office/drawing/2014/chart" uri="{C3380CC4-5D6E-409C-BE32-E72D297353CC}">
              <c16:uniqueId val="{00000005-70DD-468E-9A7B-FB299DAF27BD}"/>
            </c:ext>
          </c:extLst>
        </c:ser>
        <c:dLbls>
          <c:showLegendKey val="0"/>
          <c:showVal val="1"/>
          <c:showCatName val="0"/>
          <c:showSerName val="0"/>
          <c:showPercent val="0"/>
          <c:showBubbleSize val="0"/>
        </c:dLbls>
        <c:gapWidth val="219"/>
        <c:overlap val="-27"/>
        <c:axId val="132177600"/>
        <c:axId val="132190080"/>
      </c:barChart>
      <c:catAx>
        <c:axId val="1321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190080"/>
        <c:crosses val="autoZero"/>
        <c:auto val="1"/>
        <c:lblAlgn val="ctr"/>
        <c:lblOffset val="100"/>
        <c:noMultiLvlLbl val="0"/>
      </c:catAx>
      <c:valAx>
        <c:axId val="132190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17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 1-3'!$R$38</c:f>
              <c:strCache>
                <c:ptCount val="1"/>
                <c:pt idx="0">
                  <c:v>GSP - EBA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1-3'!$S$37:$V$37</c:f>
              <c:strCache>
                <c:ptCount val="4"/>
                <c:pt idx="0">
                  <c:v>2019</c:v>
                </c:pt>
                <c:pt idx="1">
                  <c:v>2020</c:v>
                </c:pt>
                <c:pt idx="2">
                  <c:v>2021</c:v>
                </c:pt>
                <c:pt idx="3">
                  <c:v>2022</c:v>
                </c:pt>
              </c:strCache>
            </c:strRef>
          </c:cat>
          <c:val>
            <c:numRef>
              <c:f>'Fig 1-3'!$S$38:$V$38</c:f>
              <c:numCache>
                <c:formatCode>0.0%</c:formatCode>
                <c:ptCount val="4"/>
                <c:pt idx="0">
                  <c:v>1.4051105133983504E-2</c:v>
                </c:pt>
                <c:pt idx="1">
                  <c:v>1.3292370630383778E-2</c:v>
                </c:pt>
                <c:pt idx="2">
                  <c:v>1.1392426349496197E-2</c:v>
                </c:pt>
                <c:pt idx="3">
                  <c:v>1.2626206926512512E-2</c:v>
                </c:pt>
              </c:numCache>
            </c:numRef>
          </c:val>
          <c:extLst>
            <c:ext xmlns:c16="http://schemas.microsoft.com/office/drawing/2014/chart" uri="{C3380CC4-5D6E-409C-BE32-E72D297353CC}">
              <c16:uniqueId val="{00000000-06FC-4D0D-93D4-146E513B26D9}"/>
            </c:ext>
          </c:extLst>
        </c:ser>
        <c:ser>
          <c:idx val="1"/>
          <c:order val="1"/>
          <c:tx>
            <c:strRef>
              <c:f>'Fig 1-3'!$R$39</c:f>
              <c:strCache>
                <c:ptCount val="1"/>
                <c:pt idx="0">
                  <c:v>GSP - standard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1-3'!$S$37:$V$37</c:f>
              <c:strCache>
                <c:ptCount val="4"/>
                <c:pt idx="0">
                  <c:v>2019</c:v>
                </c:pt>
                <c:pt idx="1">
                  <c:v>2020</c:v>
                </c:pt>
                <c:pt idx="2">
                  <c:v>2021</c:v>
                </c:pt>
                <c:pt idx="3">
                  <c:v>2022</c:v>
                </c:pt>
              </c:strCache>
            </c:strRef>
          </c:cat>
          <c:val>
            <c:numRef>
              <c:f>'Fig 1-3'!$S$39:$V$39</c:f>
              <c:numCache>
                <c:formatCode>0.0%</c:formatCode>
                <c:ptCount val="4"/>
                <c:pt idx="0">
                  <c:v>1.6006102866360193E-2</c:v>
                </c:pt>
                <c:pt idx="1">
                  <c:v>1.4726123365922991E-2</c:v>
                </c:pt>
                <c:pt idx="2">
                  <c:v>1.236710836010259E-2</c:v>
                </c:pt>
                <c:pt idx="3">
                  <c:v>1.1395279105301684E-2</c:v>
                </c:pt>
              </c:numCache>
            </c:numRef>
          </c:val>
          <c:extLst>
            <c:ext xmlns:c16="http://schemas.microsoft.com/office/drawing/2014/chart" uri="{C3380CC4-5D6E-409C-BE32-E72D297353CC}">
              <c16:uniqueId val="{00000001-06FC-4D0D-93D4-146E513B26D9}"/>
            </c:ext>
          </c:extLst>
        </c:ser>
        <c:ser>
          <c:idx val="2"/>
          <c:order val="2"/>
          <c:tx>
            <c:strRef>
              <c:f>'Fig 1-3'!$R$40</c:f>
              <c:strCache>
                <c:ptCount val="1"/>
                <c:pt idx="0">
                  <c:v>GSP - plus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1-3'!$S$37:$V$37</c:f>
              <c:strCache>
                <c:ptCount val="4"/>
                <c:pt idx="0">
                  <c:v>2019</c:v>
                </c:pt>
                <c:pt idx="1">
                  <c:v>2020</c:v>
                </c:pt>
                <c:pt idx="2">
                  <c:v>2021</c:v>
                </c:pt>
                <c:pt idx="3">
                  <c:v>2022</c:v>
                </c:pt>
              </c:strCache>
            </c:strRef>
          </c:cat>
          <c:val>
            <c:numRef>
              <c:f>'Fig 1-3'!$S$40:$V$40</c:f>
              <c:numCache>
                <c:formatCode>0.0%</c:formatCode>
                <c:ptCount val="4"/>
                <c:pt idx="0">
                  <c:v>4.6343312978196528E-3</c:v>
                </c:pt>
                <c:pt idx="1">
                  <c:v>4.7482021311862563E-3</c:v>
                </c:pt>
                <c:pt idx="2">
                  <c:v>4.7948835346402702E-3</c:v>
                </c:pt>
                <c:pt idx="3">
                  <c:v>4.7334840756659549E-3</c:v>
                </c:pt>
              </c:numCache>
            </c:numRef>
          </c:val>
          <c:extLst>
            <c:ext xmlns:c16="http://schemas.microsoft.com/office/drawing/2014/chart" uri="{C3380CC4-5D6E-409C-BE32-E72D297353CC}">
              <c16:uniqueId val="{00000002-06FC-4D0D-93D4-146E513B26D9}"/>
            </c:ext>
          </c:extLst>
        </c:ser>
        <c:dLbls>
          <c:dLblPos val="ctr"/>
          <c:showLegendKey val="0"/>
          <c:showVal val="1"/>
          <c:showCatName val="0"/>
          <c:showSerName val="0"/>
          <c:showPercent val="0"/>
          <c:showBubbleSize val="0"/>
        </c:dLbls>
        <c:gapWidth val="150"/>
        <c:overlap val="100"/>
        <c:axId val="980697120"/>
        <c:axId val="980702112"/>
      </c:barChart>
      <c:catAx>
        <c:axId val="98069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0702112"/>
        <c:crosses val="autoZero"/>
        <c:auto val="1"/>
        <c:lblAlgn val="ctr"/>
        <c:lblOffset val="100"/>
        <c:noMultiLvlLbl val="0"/>
      </c:catAx>
      <c:valAx>
        <c:axId val="980702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069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 1-3'!$S$53</c:f>
              <c:strCache>
                <c:ptCount val="1"/>
                <c:pt idx="0">
                  <c:v>GSP</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1-3'!$T$52:$W$52</c:f>
              <c:strCache>
                <c:ptCount val="4"/>
                <c:pt idx="0">
                  <c:v>2019</c:v>
                </c:pt>
                <c:pt idx="1">
                  <c:v>2020</c:v>
                </c:pt>
                <c:pt idx="2">
                  <c:v>2021</c:v>
                </c:pt>
                <c:pt idx="3">
                  <c:v>2022</c:v>
                </c:pt>
              </c:strCache>
            </c:strRef>
          </c:cat>
          <c:val>
            <c:numRef>
              <c:f>'Fig 1-3'!$T$53:$W$53</c:f>
              <c:numCache>
                <c:formatCode>0.0%</c:formatCode>
                <c:ptCount val="4"/>
                <c:pt idx="0">
                  <c:v>3.4691539298163356E-2</c:v>
                </c:pt>
                <c:pt idx="1">
                  <c:v>3.2766696127493021E-2</c:v>
                </c:pt>
                <c:pt idx="2">
                  <c:v>2.8554418244239058E-2</c:v>
                </c:pt>
                <c:pt idx="3">
                  <c:v>2.8754970104003977E-2</c:v>
                </c:pt>
              </c:numCache>
            </c:numRef>
          </c:val>
          <c:extLst>
            <c:ext xmlns:c16="http://schemas.microsoft.com/office/drawing/2014/chart" uri="{C3380CC4-5D6E-409C-BE32-E72D297353CC}">
              <c16:uniqueId val="{00000000-2B97-45EC-9785-4E0429AD25F4}"/>
            </c:ext>
          </c:extLst>
        </c:ser>
        <c:ser>
          <c:idx val="1"/>
          <c:order val="1"/>
          <c:tx>
            <c:strRef>
              <c:f>'Fig 1-3'!$S$54</c:f>
              <c:strCache>
                <c:ptCount val="1"/>
                <c:pt idx="0">
                  <c:v>Other Preferences</c:v>
                </c:pt>
              </c:strCache>
            </c:strRef>
          </c:tx>
          <c:spPr>
            <a:solidFill>
              <a:schemeClr val="tx1"/>
            </a:solidFill>
            <a:ln>
              <a:noFill/>
            </a:ln>
            <a:effectLst/>
          </c:spPr>
          <c:invertIfNegative val="0"/>
          <c:dLbls>
            <c:dLbl>
              <c:idx val="1"/>
              <c:layout>
                <c:manualLayout>
                  <c:x val="0"/>
                  <c:y val="-4.674445139681254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97-45EC-9785-4E0429AD25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1-3'!$T$52:$W$52</c:f>
              <c:strCache>
                <c:ptCount val="4"/>
                <c:pt idx="0">
                  <c:v>2019</c:v>
                </c:pt>
                <c:pt idx="1">
                  <c:v>2020</c:v>
                </c:pt>
                <c:pt idx="2">
                  <c:v>2021</c:v>
                </c:pt>
                <c:pt idx="3">
                  <c:v>2022</c:v>
                </c:pt>
              </c:strCache>
            </c:strRef>
          </c:cat>
          <c:val>
            <c:numRef>
              <c:f>'Fig 1-3'!$T$54:$W$54</c:f>
              <c:numCache>
                <c:formatCode>0.0%</c:formatCode>
                <c:ptCount val="4"/>
                <c:pt idx="0">
                  <c:v>9.7475166377021668E-4</c:v>
                </c:pt>
                <c:pt idx="1">
                  <c:v>1.7302129878964715E-3</c:v>
                </c:pt>
                <c:pt idx="2">
                  <c:v>3.3550704307325663E-3</c:v>
                </c:pt>
                <c:pt idx="3">
                  <c:v>3.9117849659256526E-3</c:v>
                </c:pt>
              </c:numCache>
            </c:numRef>
          </c:val>
          <c:extLst>
            <c:ext xmlns:c16="http://schemas.microsoft.com/office/drawing/2014/chart" uri="{C3380CC4-5D6E-409C-BE32-E72D297353CC}">
              <c16:uniqueId val="{00000002-2B97-45EC-9785-4E0429AD25F4}"/>
            </c:ext>
          </c:extLst>
        </c:ser>
        <c:ser>
          <c:idx val="2"/>
          <c:order val="2"/>
          <c:tx>
            <c:strRef>
              <c:f>'Fig 1-3'!$S$55</c:f>
              <c:strCache>
                <c:ptCount val="1"/>
                <c:pt idx="0">
                  <c:v>MFN zero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1-3'!$T$52:$W$52</c:f>
              <c:strCache>
                <c:ptCount val="4"/>
                <c:pt idx="0">
                  <c:v>2019</c:v>
                </c:pt>
                <c:pt idx="1">
                  <c:v>2020</c:v>
                </c:pt>
                <c:pt idx="2">
                  <c:v>2021</c:v>
                </c:pt>
                <c:pt idx="3">
                  <c:v>2022</c:v>
                </c:pt>
              </c:strCache>
            </c:strRef>
          </c:cat>
          <c:val>
            <c:numRef>
              <c:f>'Fig 1-3'!$T$55:$W$55</c:f>
              <c:numCache>
                <c:formatCode>0.0%</c:formatCode>
                <c:ptCount val="4"/>
                <c:pt idx="0">
                  <c:v>4.1113927331756957E-2</c:v>
                </c:pt>
                <c:pt idx="1">
                  <c:v>3.9000097965522201E-2</c:v>
                </c:pt>
                <c:pt idx="2">
                  <c:v>4.1377496274158806E-2</c:v>
                </c:pt>
                <c:pt idx="3">
                  <c:v>4.6606928199757952E-2</c:v>
                </c:pt>
              </c:numCache>
            </c:numRef>
          </c:val>
          <c:extLst>
            <c:ext xmlns:c16="http://schemas.microsoft.com/office/drawing/2014/chart" uri="{C3380CC4-5D6E-409C-BE32-E72D297353CC}">
              <c16:uniqueId val="{00000003-2B97-45EC-9785-4E0429AD25F4}"/>
            </c:ext>
          </c:extLst>
        </c:ser>
        <c:dLbls>
          <c:dLblPos val="ctr"/>
          <c:showLegendKey val="0"/>
          <c:showVal val="1"/>
          <c:showCatName val="0"/>
          <c:showSerName val="0"/>
          <c:showPercent val="0"/>
          <c:showBubbleSize val="0"/>
        </c:dLbls>
        <c:gapWidth val="150"/>
        <c:overlap val="100"/>
        <c:axId val="980697120"/>
        <c:axId val="980702112"/>
      </c:barChart>
      <c:catAx>
        <c:axId val="98069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702112"/>
        <c:crosses val="autoZero"/>
        <c:auto val="1"/>
        <c:lblAlgn val="ctr"/>
        <c:lblOffset val="100"/>
        <c:noMultiLvlLbl val="0"/>
      </c:catAx>
      <c:valAx>
        <c:axId val="980702112"/>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69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4-5'!$A$12</c:f>
              <c:strCache>
                <c:ptCount val="1"/>
                <c:pt idx="0">
                  <c:v>GSP - EBA</c:v>
                </c:pt>
              </c:strCache>
            </c:strRef>
          </c:tx>
          <c:spPr>
            <a:ln w="12700" cap="rnd">
              <a:solidFill>
                <a:schemeClr val="accent1"/>
              </a:solidFill>
              <a:round/>
            </a:ln>
            <a:effectLst/>
          </c:spPr>
          <c:marker>
            <c:symbol val="none"/>
          </c:marker>
          <c:dLbls>
            <c:dLbl>
              <c:idx val="0"/>
              <c:layout>
                <c:manualLayout>
                  <c:x val="-3.6652236652236651E-2"/>
                  <c:y val="-2.87769784172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58-4060-85DE-AB32A51BBE60}"/>
                </c:ext>
              </c:extLst>
            </c:dLbl>
            <c:dLbl>
              <c:idx val="1"/>
              <c:layout>
                <c:manualLayout>
                  <c:x val="-8.3993738691872158E-17"/>
                  <c:y val="-2.8776978417266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58-4060-85DE-AB32A51BBE60}"/>
                </c:ext>
              </c:extLst>
            </c:dLbl>
            <c:dLbl>
              <c:idx val="2"/>
              <c:layout>
                <c:manualLayout>
                  <c:x val="-3.0399398167145396E-2"/>
                  <c:y val="-2.3980815347721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58-4060-85DE-AB32A51BBE60}"/>
                </c:ext>
              </c:extLst>
            </c:dLbl>
            <c:spPr>
              <a:noFill/>
              <a:ln>
                <a:noFill/>
              </a:ln>
              <a:effectLst/>
            </c:spPr>
            <c:txPr>
              <a:bodyPr rot="0" spcFirstLastPara="1" vertOverflow="ellipsis" vert="horz" wrap="square" anchor="ctr" anchorCtr="1"/>
              <a:lstStyle/>
              <a:p>
                <a:pPr>
                  <a:defRPr sz="900" b="0"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 4-5'!$B$11:$E$11</c:f>
              <c:numCache>
                <c:formatCode>General</c:formatCode>
                <c:ptCount val="4"/>
                <c:pt idx="0">
                  <c:v>2019</c:v>
                </c:pt>
                <c:pt idx="1">
                  <c:v>2020</c:v>
                </c:pt>
                <c:pt idx="2">
                  <c:v>2021</c:v>
                </c:pt>
                <c:pt idx="3">
                  <c:v>2022</c:v>
                </c:pt>
              </c:numCache>
            </c:numRef>
          </c:cat>
          <c:val>
            <c:numRef>
              <c:f>'Fig 4-5'!$B$12:$E$12</c:f>
              <c:numCache>
                <c:formatCode>#,##0.0;;;</c:formatCode>
                <c:ptCount val="4"/>
                <c:pt idx="0">
                  <c:v>93.523392189999996</c:v>
                </c:pt>
                <c:pt idx="1">
                  <c:v>94.062573130000004</c:v>
                </c:pt>
                <c:pt idx="2">
                  <c:v>92.061060789999999</c:v>
                </c:pt>
                <c:pt idx="3">
                  <c:v>92.410935890000005</c:v>
                </c:pt>
              </c:numCache>
            </c:numRef>
          </c:val>
          <c:smooth val="0"/>
          <c:extLst>
            <c:ext xmlns:c16="http://schemas.microsoft.com/office/drawing/2014/chart" uri="{C3380CC4-5D6E-409C-BE32-E72D297353CC}">
              <c16:uniqueId val="{00000003-3958-4060-85DE-AB32A51BBE60}"/>
            </c:ext>
          </c:extLst>
        </c:ser>
        <c:ser>
          <c:idx val="1"/>
          <c:order val="1"/>
          <c:tx>
            <c:strRef>
              <c:f>'Fig 4-5'!$A$13</c:f>
              <c:strCache>
                <c:ptCount val="1"/>
                <c:pt idx="0">
                  <c:v>GSP - standard</c:v>
                </c:pt>
              </c:strCache>
            </c:strRef>
          </c:tx>
          <c:spPr>
            <a:ln w="12700" cap="rnd">
              <a:solidFill>
                <a:schemeClr val="accent2"/>
              </a:solidFill>
              <a:round/>
            </a:ln>
            <a:effectLst/>
          </c:spPr>
          <c:marker>
            <c:symbol val="none"/>
          </c:marker>
          <c:dLbls>
            <c:dLbl>
              <c:idx val="0"/>
              <c:layout>
                <c:manualLayout>
                  <c:x val="-4.5815295815295858E-2"/>
                  <c:y val="4.7961630695443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58-4060-85DE-AB32A51BBE60}"/>
                </c:ext>
              </c:extLst>
            </c:dLbl>
            <c:dLbl>
              <c:idx val="2"/>
              <c:layout>
                <c:manualLayout>
                  <c:x val="-3.0399398167145396E-2"/>
                  <c:y val="-1.9184652278177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58-4060-85DE-AB32A51BBE60}"/>
                </c:ext>
              </c:extLst>
            </c:dLbl>
            <c:spPr>
              <a:noFill/>
              <a:ln>
                <a:noFill/>
              </a:ln>
              <a:effectLst/>
            </c:spPr>
            <c:txPr>
              <a:bodyPr rot="0" spcFirstLastPara="1" vertOverflow="ellipsis" vert="horz" wrap="square" anchor="ctr" anchorCtr="1"/>
              <a:lstStyle/>
              <a:p>
                <a:pPr>
                  <a:defRPr sz="9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4-5'!$B$11:$E$11</c:f>
              <c:numCache>
                <c:formatCode>General</c:formatCode>
                <c:ptCount val="4"/>
                <c:pt idx="0">
                  <c:v>2019</c:v>
                </c:pt>
                <c:pt idx="1">
                  <c:v>2020</c:v>
                </c:pt>
                <c:pt idx="2">
                  <c:v>2021</c:v>
                </c:pt>
                <c:pt idx="3">
                  <c:v>2022</c:v>
                </c:pt>
              </c:numCache>
            </c:numRef>
          </c:cat>
          <c:val>
            <c:numRef>
              <c:f>'Fig 4-5'!$B$13:$E$13</c:f>
              <c:numCache>
                <c:formatCode>#,##0.0;;;</c:formatCode>
                <c:ptCount val="4"/>
                <c:pt idx="0">
                  <c:v>77.538471540000003</c:v>
                </c:pt>
                <c:pt idx="1">
                  <c:v>72.81039869</c:v>
                </c:pt>
                <c:pt idx="2">
                  <c:v>63.233540679999997</c:v>
                </c:pt>
                <c:pt idx="3">
                  <c:v>58.91682634</c:v>
                </c:pt>
              </c:numCache>
            </c:numRef>
          </c:val>
          <c:smooth val="0"/>
          <c:extLst>
            <c:ext xmlns:c16="http://schemas.microsoft.com/office/drawing/2014/chart" uri="{C3380CC4-5D6E-409C-BE32-E72D297353CC}">
              <c16:uniqueId val="{00000006-3958-4060-85DE-AB32A51BBE60}"/>
            </c:ext>
          </c:extLst>
        </c:ser>
        <c:ser>
          <c:idx val="2"/>
          <c:order val="2"/>
          <c:tx>
            <c:strRef>
              <c:f>'Fig 4-5'!$A$14</c:f>
              <c:strCache>
                <c:ptCount val="1"/>
                <c:pt idx="0">
                  <c:v>GSP - plus</c:v>
                </c:pt>
              </c:strCache>
            </c:strRef>
          </c:tx>
          <c:spPr>
            <a:ln w="12700" cap="rnd">
              <a:solidFill>
                <a:schemeClr val="accent3"/>
              </a:solidFill>
              <a:round/>
            </a:ln>
            <a:effectLst/>
          </c:spPr>
          <c:marker>
            <c:symbol val="none"/>
          </c:marker>
          <c:dLbls>
            <c:dLbl>
              <c:idx val="0"/>
              <c:layout>
                <c:manualLayout>
                  <c:x val="-9.1630591630591628E-3"/>
                  <c:y val="-3.8369304556354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58-4060-85DE-AB32A51BBE60}"/>
                </c:ext>
              </c:extLst>
            </c:dLbl>
            <c:dLbl>
              <c:idx val="1"/>
              <c:layout>
                <c:manualLayout>
                  <c:x val="-1.8326118326118326E-2"/>
                  <c:y val="-1.9184652278177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58-4060-85DE-AB32A51BBE60}"/>
                </c:ext>
              </c:extLst>
            </c:dLbl>
            <c:dLbl>
              <c:idx val="2"/>
              <c:layout>
                <c:manualLayout>
                  <c:x val="-3.4742169333880371E-2"/>
                  <c:y val="-3.3573141486810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58-4060-85DE-AB32A51BBE60}"/>
                </c:ext>
              </c:extLst>
            </c:dLbl>
            <c:spPr>
              <a:noFill/>
              <a:ln>
                <a:noFill/>
              </a:ln>
              <a:effectLst/>
            </c:spPr>
            <c:txPr>
              <a:bodyPr rot="0" spcFirstLastPara="1" vertOverflow="ellipsis" vert="horz" wrap="square" anchor="ctr" anchorCtr="1"/>
              <a:lstStyle/>
              <a:p>
                <a:pPr>
                  <a:defRPr sz="900" b="0"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 4-5'!$B$11:$E$11</c:f>
              <c:numCache>
                <c:formatCode>General</c:formatCode>
                <c:ptCount val="4"/>
                <c:pt idx="0">
                  <c:v>2019</c:v>
                </c:pt>
                <c:pt idx="1">
                  <c:v>2020</c:v>
                </c:pt>
                <c:pt idx="2">
                  <c:v>2021</c:v>
                </c:pt>
                <c:pt idx="3">
                  <c:v>2022</c:v>
                </c:pt>
              </c:numCache>
            </c:numRef>
          </c:cat>
          <c:val>
            <c:numRef>
              <c:f>'Fig 4-5'!$B$14:$E$14</c:f>
              <c:numCache>
                <c:formatCode>#,##0.0;;;</c:formatCode>
                <c:ptCount val="4"/>
                <c:pt idx="0">
                  <c:v>84.103376499999996</c:v>
                </c:pt>
                <c:pt idx="1">
                  <c:v>85.237100459999994</c:v>
                </c:pt>
                <c:pt idx="2">
                  <c:v>84.707794699999994</c:v>
                </c:pt>
                <c:pt idx="3">
                  <c:v>84.609459180000002</c:v>
                </c:pt>
              </c:numCache>
            </c:numRef>
          </c:val>
          <c:smooth val="0"/>
          <c:extLst>
            <c:ext xmlns:c16="http://schemas.microsoft.com/office/drawing/2014/chart" uri="{C3380CC4-5D6E-409C-BE32-E72D297353CC}">
              <c16:uniqueId val="{0000000A-3958-4060-85DE-AB32A51BBE60}"/>
            </c:ext>
          </c:extLst>
        </c:ser>
        <c:ser>
          <c:idx val="3"/>
          <c:order val="3"/>
          <c:tx>
            <c:strRef>
              <c:f>'Fig 4-5'!$A$15</c:f>
              <c:strCache>
                <c:ptCount val="1"/>
                <c:pt idx="0">
                  <c:v> All GSPs</c:v>
                </c:pt>
              </c:strCache>
            </c:strRef>
          </c:tx>
          <c:spPr>
            <a:ln w="28575" cap="rnd">
              <a:solidFill>
                <a:schemeClr val="accent4"/>
              </a:solidFill>
              <a:round/>
            </a:ln>
            <a:effectLst/>
          </c:spPr>
          <c:marker>
            <c:symbol val="none"/>
          </c:marker>
          <c:dLbls>
            <c:dLbl>
              <c:idx val="0"/>
              <c:layout>
                <c:manualLayout>
                  <c:x val="-2.748917748917749E-2"/>
                  <c:y val="2.3980815347721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958-4060-85DE-AB32A51BBE60}"/>
                </c:ext>
              </c:extLst>
            </c:dLbl>
            <c:dLbl>
              <c:idx val="1"/>
              <c:layout>
                <c:manualLayout>
                  <c:x val="-2.2907647907647991E-2"/>
                  <c:y val="4.7961630695443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58-4060-85DE-AB32A51BBE60}"/>
                </c:ext>
              </c:extLst>
            </c:dLbl>
            <c:dLbl>
              <c:idx val="2"/>
              <c:layout>
                <c:manualLayout>
                  <c:x val="-2.6056627000410341E-2"/>
                  <c:y val="-2.87769784172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58-4060-85DE-AB32A51BBE60}"/>
                </c:ext>
              </c:extLst>
            </c:dLbl>
            <c:spPr>
              <a:noFill/>
              <a:ln>
                <a:noFill/>
              </a:ln>
              <a:effectLst/>
            </c:spPr>
            <c:txPr>
              <a:bodyPr rot="0" spcFirstLastPara="1" vertOverflow="ellipsis" vert="horz" wrap="square" anchor="ctr" anchorCtr="1"/>
              <a:lstStyle/>
              <a:p>
                <a:pPr>
                  <a:defRPr sz="9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 4-5'!$B$11:$E$11</c:f>
              <c:numCache>
                <c:formatCode>General</c:formatCode>
                <c:ptCount val="4"/>
                <c:pt idx="0">
                  <c:v>2019</c:v>
                </c:pt>
                <c:pt idx="1">
                  <c:v>2020</c:v>
                </c:pt>
                <c:pt idx="2">
                  <c:v>2021</c:v>
                </c:pt>
                <c:pt idx="3">
                  <c:v>2022</c:v>
                </c:pt>
              </c:numCache>
            </c:numRef>
          </c:cat>
          <c:val>
            <c:numRef>
              <c:f>'Fig 4-5'!$B$15:$E$15</c:f>
              <c:numCache>
                <c:formatCode>#,##0.0;;;</c:formatCode>
                <c:ptCount val="4"/>
                <c:pt idx="0">
                  <c:v>84.248887940000003</c:v>
                </c:pt>
                <c:pt idx="1">
                  <c:v>82.066314129999995</c:v>
                </c:pt>
                <c:pt idx="2">
                  <c:v>75.977076519999997</c:v>
                </c:pt>
                <c:pt idx="3">
                  <c:v>74.496832139999995</c:v>
                </c:pt>
              </c:numCache>
            </c:numRef>
          </c:val>
          <c:smooth val="0"/>
          <c:extLst>
            <c:ext xmlns:c16="http://schemas.microsoft.com/office/drawing/2014/chart" uri="{C3380CC4-5D6E-409C-BE32-E72D297353CC}">
              <c16:uniqueId val="{0000000E-3958-4060-85DE-AB32A51BBE60}"/>
            </c:ext>
          </c:extLst>
        </c:ser>
        <c:dLbls>
          <c:showLegendKey val="0"/>
          <c:showVal val="0"/>
          <c:showCatName val="0"/>
          <c:showSerName val="0"/>
          <c:showPercent val="0"/>
          <c:showBubbleSize val="0"/>
        </c:dLbls>
        <c:smooth val="0"/>
        <c:axId val="628268415"/>
        <c:axId val="628266751"/>
      </c:lineChart>
      <c:catAx>
        <c:axId val="62826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266751"/>
        <c:crosses val="autoZero"/>
        <c:auto val="1"/>
        <c:lblAlgn val="ctr"/>
        <c:lblOffset val="100"/>
        <c:noMultiLvlLbl val="0"/>
      </c:catAx>
      <c:valAx>
        <c:axId val="628266751"/>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268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 4-5'!$A$33</c:f>
              <c:strCache>
                <c:ptCount val="1"/>
                <c:pt idx="0">
                  <c:v>GSP EBA</c:v>
                </c:pt>
              </c:strCache>
            </c:strRef>
          </c:tx>
          <c:spPr>
            <a:solidFill>
              <a:schemeClr val="accent1"/>
            </a:solidFill>
            <a:ln>
              <a:noFill/>
            </a:ln>
            <a:effectLst/>
          </c:spPr>
          <c:invertIfNegative val="0"/>
          <c:dLbls>
            <c:dLbl>
              <c:idx val="0"/>
              <c:tx>
                <c:rich>
                  <a:bodyPr/>
                  <a:lstStyle/>
                  <a:p>
                    <a:fld id="{65F1A604-1534-47DA-A502-E647E007793E}" type="CELLRANGE">
                      <a:rPr lang="en-US"/>
                      <a:pPr/>
                      <a:t>[CELLRANGE]</a:t>
                    </a:fld>
                    <a:endParaRPr lang="en-US" baseline="0"/>
                  </a:p>
                  <a:p>
                    <a:fld id="{17998AD7-4026-47D3-9C1D-9F7C20E3622B}"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0-07FC-46AC-A624-AE38A2171071}"/>
                </c:ext>
              </c:extLst>
            </c:dLbl>
            <c:dLbl>
              <c:idx val="1"/>
              <c:tx>
                <c:rich>
                  <a:bodyPr/>
                  <a:lstStyle/>
                  <a:p>
                    <a:fld id="{F1968FB8-75C8-4CA7-9FFF-504D60D7FFCE}" type="CELLRANGE">
                      <a:rPr lang="en-US"/>
                      <a:pPr/>
                      <a:t>[CELLRANGE]</a:t>
                    </a:fld>
                    <a:endParaRPr lang="en-US" baseline="0"/>
                  </a:p>
                  <a:p>
                    <a:fld id="{D2948359-0C42-4B8C-B0D9-3953B1BA92CE}"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07FC-46AC-A624-AE38A2171071}"/>
                </c:ext>
              </c:extLst>
            </c:dLbl>
            <c:dLbl>
              <c:idx val="2"/>
              <c:tx>
                <c:rich>
                  <a:bodyPr/>
                  <a:lstStyle/>
                  <a:p>
                    <a:fld id="{67E8F5FF-24B9-468C-8CD1-819533AAF4EC}" type="CELLRANGE">
                      <a:rPr lang="en-US"/>
                      <a:pPr/>
                      <a:t>[CELLRANGE]</a:t>
                    </a:fld>
                    <a:endParaRPr lang="en-US" baseline="0"/>
                  </a:p>
                  <a:p>
                    <a:fld id="{B4395D82-7ACB-477B-915F-0799CAD55C41}"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2-07FC-46AC-A624-AE38A2171071}"/>
                </c:ext>
              </c:extLst>
            </c:dLbl>
            <c:dLbl>
              <c:idx val="3"/>
              <c:tx>
                <c:rich>
                  <a:bodyPr/>
                  <a:lstStyle/>
                  <a:p>
                    <a:fld id="{091B8EE3-B373-46D6-ABAF-93E30E865412}" type="CELLRANGE">
                      <a:rPr lang="en-GB"/>
                      <a:pPr/>
                      <a:t>[CELLRANGE]</a:t>
                    </a:fld>
                    <a:r>
                      <a:rPr lang="en-GB" baseline="0"/>
                      <a:t>
</a:t>
                    </a:r>
                    <a:fld id="{EF3F0A50-6122-4FD3-B383-5679802B0D43}"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7FC-46AC-A624-AE38A217107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 4-5'!$B$32:$E$32</c:f>
              <c:numCache>
                <c:formatCode>General</c:formatCode>
                <c:ptCount val="4"/>
                <c:pt idx="0">
                  <c:v>2019</c:v>
                </c:pt>
                <c:pt idx="1">
                  <c:v>2020</c:v>
                </c:pt>
                <c:pt idx="2">
                  <c:v>2021</c:v>
                </c:pt>
                <c:pt idx="3">
                  <c:v>2022</c:v>
                </c:pt>
              </c:numCache>
            </c:numRef>
          </c:cat>
          <c:val>
            <c:numRef>
              <c:f>'Fig 4-5'!$B$33:$E$33</c:f>
              <c:numCache>
                <c:formatCode>#,##0.0,,</c:formatCode>
                <c:ptCount val="4"/>
                <c:pt idx="0">
                  <c:v>25164176.300000001</c:v>
                </c:pt>
                <c:pt idx="1">
                  <c:v>21329172.23</c:v>
                </c:pt>
                <c:pt idx="2">
                  <c:v>22299975.465</c:v>
                </c:pt>
                <c:pt idx="3">
                  <c:v>35406623.123999998</c:v>
                </c:pt>
              </c:numCache>
            </c:numRef>
          </c:val>
          <c:extLst>
            <c:ext xmlns:c15="http://schemas.microsoft.com/office/drawing/2012/chart" uri="{02D57815-91ED-43cb-92C2-25804820EDAC}">
              <c15:datalabelsRange>
                <c15:f>'Fig 4-5'!$F$33:$I$33</c15:f>
                <c15:dlblRangeCache>
                  <c:ptCount val="4"/>
                  <c:pt idx="0">
                    <c:v>40.4%</c:v>
                  </c:pt>
                  <c:pt idx="1">
                    <c:v>40.4%</c:v>
                  </c:pt>
                  <c:pt idx="2">
                    <c:v>39.7%</c:v>
                  </c:pt>
                  <c:pt idx="3">
                    <c:v>43.9%</c:v>
                  </c:pt>
                </c15:dlblRangeCache>
              </c15:datalabelsRange>
            </c:ext>
            <c:ext xmlns:c16="http://schemas.microsoft.com/office/drawing/2014/chart" uri="{C3380CC4-5D6E-409C-BE32-E72D297353CC}">
              <c16:uniqueId val="{00000004-07FC-46AC-A624-AE38A2171071}"/>
            </c:ext>
          </c:extLst>
        </c:ser>
        <c:ser>
          <c:idx val="1"/>
          <c:order val="1"/>
          <c:tx>
            <c:strRef>
              <c:f>'Fig 4-5'!$A$34</c:f>
              <c:strCache>
                <c:ptCount val="1"/>
                <c:pt idx="0">
                  <c:v>GSP General</c:v>
                </c:pt>
              </c:strCache>
            </c:strRef>
          </c:tx>
          <c:spPr>
            <a:solidFill>
              <a:schemeClr val="accent2"/>
            </a:solidFill>
            <a:ln>
              <a:noFill/>
            </a:ln>
            <a:effectLst/>
          </c:spPr>
          <c:invertIfNegative val="0"/>
          <c:dLbls>
            <c:dLbl>
              <c:idx val="0"/>
              <c:tx>
                <c:rich>
                  <a:bodyPr/>
                  <a:lstStyle/>
                  <a:p>
                    <a:fld id="{993C829D-4C05-483C-8800-B737F1F7A002}" type="CELLRANGE">
                      <a:rPr lang="en-US"/>
                      <a:pPr/>
                      <a:t>[CELLRANGE]</a:t>
                    </a:fld>
                    <a:endParaRPr lang="en-US" baseline="0"/>
                  </a:p>
                  <a:p>
                    <a:fld id="{57C330F6-9E01-4C0B-9049-1D145FA99165}"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5-07FC-46AC-A624-AE38A2171071}"/>
                </c:ext>
              </c:extLst>
            </c:dLbl>
            <c:dLbl>
              <c:idx val="1"/>
              <c:tx>
                <c:rich>
                  <a:bodyPr/>
                  <a:lstStyle/>
                  <a:p>
                    <a:fld id="{9F7C35B2-9346-44A7-89FC-AC35D0E56E11}" type="CELLRANGE">
                      <a:rPr lang="en-US"/>
                      <a:pPr/>
                      <a:t>[CELLRANGE]</a:t>
                    </a:fld>
                    <a:endParaRPr lang="en-US" baseline="0"/>
                  </a:p>
                  <a:p>
                    <a:fld id="{ABD04BBC-9898-4049-B556-AFF6E3D14C9D}"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6-07FC-46AC-A624-AE38A2171071}"/>
                </c:ext>
              </c:extLst>
            </c:dLbl>
            <c:dLbl>
              <c:idx val="2"/>
              <c:tx>
                <c:rich>
                  <a:bodyPr/>
                  <a:lstStyle/>
                  <a:p>
                    <a:fld id="{F3578130-77BF-48B5-8287-90AB59570BF9}" type="CELLRANGE">
                      <a:rPr lang="en-US"/>
                      <a:pPr/>
                      <a:t>[CELLRANGE]</a:t>
                    </a:fld>
                    <a:endParaRPr lang="en-US" baseline="0"/>
                  </a:p>
                  <a:p>
                    <a:fld id="{1F061B62-7177-477B-98B6-4CE5DCA1ABBB}"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7-07FC-46AC-A624-AE38A2171071}"/>
                </c:ext>
              </c:extLst>
            </c:dLbl>
            <c:dLbl>
              <c:idx val="3"/>
              <c:tx>
                <c:rich>
                  <a:bodyPr/>
                  <a:lstStyle/>
                  <a:p>
                    <a:fld id="{151F143E-B6EC-4D03-B1C3-78ABBBA5C7CE}" type="CELLRANGE">
                      <a:rPr lang="en-GB"/>
                      <a:pPr/>
                      <a:t>[CELLRANGE]</a:t>
                    </a:fld>
                    <a:r>
                      <a:rPr lang="en-GB" baseline="0"/>
                      <a:t>
</a:t>
                    </a:r>
                    <a:fld id="{874EE6E3-0AC1-4A4F-B7E9-87E2772C6DE2}"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7FC-46AC-A624-AE38A217107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 4-5'!$B$32:$E$32</c:f>
              <c:numCache>
                <c:formatCode>General</c:formatCode>
                <c:ptCount val="4"/>
                <c:pt idx="0">
                  <c:v>2019</c:v>
                </c:pt>
                <c:pt idx="1">
                  <c:v>2020</c:v>
                </c:pt>
                <c:pt idx="2">
                  <c:v>2021</c:v>
                </c:pt>
                <c:pt idx="3">
                  <c:v>2022</c:v>
                </c:pt>
              </c:numCache>
            </c:numRef>
          </c:cat>
          <c:val>
            <c:numRef>
              <c:f>'Fig 4-5'!$B$34:$E$34</c:f>
              <c:numCache>
                <c:formatCode>#,##0.0,,</c:formatCode>
                <c:ptCount val="4"/>
                <c:pt idx="0">
                  <c:v>28665209.140999999</c:v>
                </c:pt>
                <c:pt idx="1">
                  <c:v>23666457.291000001</c:v>
                </c:pt>
                <c:pt idx="2">
                  <c:v>24248863.91</c:v>
                </c:pt>
                <c:pt idx="3">
                  <c:v>31954834.498</c:v>
                </c:pt>
              </c:numCache>
            </c:numRef>
          </c:val>
          <c:extLst>
            <c:ext xmlns:c15="http://schemas.microsoft.com/office/drawing/2012/chart" uri="{02D57815-91ED-43cb-92C2-25804820EDAC}">
              <c15:datalabelsRange>
                <c15:f>'Fig 4-5'!$F$34:$I$34</c15:f>
                <c15:dlblRangeCache>
                  <c:ptCount val="4"/>
                  <c:pt idx="0">
                    <c:v>46.0%</c:v>
                  </c:pt>
                  <c:pt idx="1">
                    <c:v>44.9%</c:v>
                  </c:pt>
                  <c:pt idx="2">
                    <c:v>43.2%</c:v>
                  </c:pt>
                  <c:pt idx="3">
                    <c:v>39.6%</c:v>
                  </c:pt>
                </c15:dlblRangeCache>
              </c15:datalabelsRange>
            </c:ext>
            <c:ext xmlns:c16="http://schemas.microsoft.com/office/drawing/2014/chart" uri="{C3380CC4-5D6E-409C-BE32-E72D297353CC}">
              <c16:uniqueId val="{00000009-07FC-46AC-A624-AE38A2171071}"/>
            </c:ext>
          </c:extLst>
        </c:ser>
        <c:ser>
          <c:idx val="2"/>
          <c:order val="2"/>
          <c:tx>
            <c:strRef>
              <c:f>'Fig 4-5'!$A$35</c:f>
              <c:strCache>
                <c:ptCount val="1"/>
                <c:pt idx="0">
                  <c:v>GSP Plus</c:v>
                </c:pt>
              </c:strCache>
            </c:strRef>
          </c:tx>
          <c:spPr>
            <a:solidFill>
              <a:schemeClr val="accent3"/>
            </a:solidFill>
            <a:ln>
              <a:noFill/>
            </a:ln>
            <a:effectLst/>
          </c:spPr>
          <c:invertIfNegative val="0"/>
          <c:dLbls>
            <c:dLbl>
              <c:idx val="0"/>
              <c:tx>
                <c:rich>
                  <a:bodyPr/>
                  <a:lstStyle/>
                  <a:p>
                    <a:fld id="{6DB378EF-0585-4722-8CB4-4985DEBD2335}" type="CELLRANGE">
                      <a:rPr lang="en-US"/>
                      <a:pPr/>
                      <a:t>[CELLRANGE]</a:t>
                    </a:fld>
                    <a:endParaRPr lang="en-US" baseline="0"/>
                  </a:p>
                  <a:p>
                    <a:fld id="{82A074B7-A0A3-4F36-BB18-1C8511927526}"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A-07FC-46AC-A624-AE38A2171071}"/>
                </c:ext>
              </c:extLst>
            </c:dLbl>
            <c:dLbl>
              <c:idx val="1"/>
              <c:tx>
                <c:rich>
                  <a:bodyPr/>
                  <a:lstStyle/>
                  <a:p>
                    <a:fld id="{5DC75228-C998-4FC8-A2AC-8B50893FF1E4}" type="CELLRANGE">
                      <a:rPr lang="en-US"/>
                      <a:pPr/>
                      <a:t>[CELLRANGE]</a:t>
                    </a:fld>
                    <a:endParaRPr lang="en-US" baseline="0"/>
                  </a:p>
                  <a:p>
                    <a:fld id="{ADF4BB25-8E4C-4CFC-8210-CB3E6E22CC51}"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B-07FC-46AC-A624-AE38A2171071}"/>
                </c:ext>
              </c:extLst>
            </c:dLbl>
            <c:dLbl>
              <c:idx val="2"/>
              <c:tx>
                <c:rich>
                  <a:bodyPr/>
                  <a:lstStyle/>
                  <a:p>
                    <a:fld id="{2580CABA-6679-4512-BB1A-CEC85BE80307}" type="CELLRANGE">
                      <a:rPr lang="en-US"/>
                      <a:pPr/>
                      <a:t>[CELLRANGE]</a:t>
                    </a:fld>
                    <a:endParaRPr lang="en-US" baseline="0"/>
                  </a:p>
                  <a:p>
                    <a:fld id="{4EC9C022-1D2D-4AFD-9E57-D11B21328D7A}"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C-07FC-46AC-A624-AE38A2171071}"/>
                </c:ext>
              </c:extLst>
            </c:dLbl>
            <c:dLbl>
              <c:idx val="3"/>
              <c:tx>
                <c:rich>
                  <a:bodyPr/>
                  <a:lstStyle/>
                  <a:p>
                    <a:fld id="{7074479E-D0F0-4423-B028-746657BDC8D6}" type="CELLRANGE">
                      <a:rPr lang="en-GB"/>
                      <a:pPr/>
                      <a:t>[CELLRANGE]</a:t>
                    </a:fld>
                    <a:r>
                      <a:rPr lang="en-GB" baseline="0"/>
                      <a:t>
</a:t>
                    </a:r>
                    <a:fld id="{6E515680-2C15-46FD-A524-E6C227C035B4}"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7FC-46AC-A624-AE38A217107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 4-5'!$B$32:$E$32</c:f>
              <c:numCache>
                <c:formatCode>General</c:formatCode>
                <c:ptCount val="4"/>
                <c:pt idx="0">
                  <c:v>2019</c:v>
                </c:pt>
                <c:pt idx="1">
                  <c:v>2020</c:v>
                </c:pt>
                <c:pt idx="2">
                  <c:v>2021</c:v>
                </c:pt>
                <c:pt idx="3">
                  <c:v>2022</c:v>
                </c:pt>
              </c:numCache>
            </c:numRef>
          </c:cat>
          <c:val>
            <c:numRef>
              <c:f>'Fig 4-5'!$B$35:$E$35</c:f>
              <c:numCache>
                <c:formatCode>#,##0.0,,</c:formatCode>
                <c:ptCount val="4"/>
                <c:pt idx="0">
                  <c:v>8496294.9910000004</c:v>
                </c:pt>
                <c:pt idx="1">
                  <c:v>7751435.9029999999</c:v>
                </c:pt>
                <c:pt idx="2">
                  <c:v>9613752.8300000001</c:v>
                </c:pt>
                <c:pt idx="3">
                  <c:v>13273716.145</c:v>
                </c:pt>
              </c:numCache>
            </c:numRef>
          </c:val>
          <c:extLst>
            <c:ext xmlns:c15="http://schemas.microsoft.com/office/drawing/2012/chart" uri="{02D57815-91ED-43cb-92C2-25804820EDAC}">
              <c15:datalabelsRange>
                <c15:f>'Fig 4-5'!$F$35:$I$35</c15:f>
                <c15:dlblRangeCache>
                  <c:ptCount val="4"/>
                  <c:pt idx="0">
                    <c:v>13.6%</c:v>
                  </c:pt>
                  <c:pt idx="1">
                    <c:v>14.7%</c:v>
                  </c:pt>
                  <c:pt idx="2">
                    <c:v>17.1%</c:v>
                  </c:pt>
                  <c:pt idx="3">
                    <c:v>16.5%</c:v>
                  </c:pt>
                </c15:dlblRangeCache>
              </c15:datalabelsRange>
            </c:ext>
            <c:ext xmlns:c16="http://schemas.microsoft.com/office/drawing/2014/chart" uri="{C3380CC4-5D6E-409C-BE32-E72D297353CC}">
              <c16:uniqueId val="{0000000E-07FC-46AC-A624-AE38A2171071}"/>
            </c:ext>
          </c:extLst>
        </c:ser>
        <c:dLbls>
          <c:showLegendKey val="0"/>
          <c:showVal val="0"/>
          <c:showCatName val="0"/>
          <c:showSerName val="0"/>
          <c:showPercent val="0"/>
          <c:showBubbleSize val="0"/>
        </c:dLbls>
        <c:gapWidth val="150"/>
        <c:overlap val="100"/>
        <c:axId val="628268415"/>
        <c:axId val="628266751"/>
      </c:barChart>
      <c:catAx>
        <c:axId val="62826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266751"/>
        <c:crosses val="autoZero"/>
        <c:auto val="1"/>
        <c:lblAlgn val="ctr"/>
        <c:lblOffset val="100"/>
        <c:noMultiLvlLbl val="0"/>
      </c:catAx>
      <c:valAx>
        <c:axId val="62826675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268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8'!$A$3</c:f>
              <c:strCache>
                <c:ptCount val="1"/>
                <c:pt idx="0">
                  <c:v>EU</c:v>
                </c:pt>
              </c:strCache>
            </c:strRef>
          </c:tx>
          <c:spPr>
            <a:ln w="28575" cap="rnd">
              <a:solidFill>
                <a:schemeClr val="accent1"/>
              </a:solidFill>
              <a:round/>
            </a:ln>
            <a:effectLst/>
          </c:spPr>
          <c:marker>
            <c:symbol val="none"/>
          </c:marker>
          <c:dLbls>
            <c:spPr>
              <a:solidFill>
                <a:schemeClr val="bg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8'!$B$3:$J$3</c:f>
            </c:numRef>
          </c:val>
          <c:smooth val="0"/>
          <c:extLst>
            <c:ext xmlns:c16="http://schemas.microsoft.com/office/drawing/2014/chart" uri="{C3380CC4-5D6E-409C-BE32-E72D297353CC}">
              <c16:uniqueId val="{00000000-9040-4CD3-9BD5-1B8EAF12373C}"/>
            </c:ext>
          </c:extLst>
        </c:ser>
        <c:ser>
          <c:idx val="1"/>
          <c:order val="1"/>
          <c:tx>
            <c:strRef>
              <c:f>'Fig 8'!$A$4</c:f>
              <c:strCache>
                <c:ptCount val="1"/>
                <c:pt idx="0">
                  <c:v>EBACountries</c:v>
                </c:pt>
              </c:strCache>
            </c:strRef>
          </c:tx>
          <c:spPr>
            <a:ln w="28575" cap="rnd">
              <a:solidFill>
                <a:schemeClr val="accent2"/>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8'!$B$4:$J$4</c:f>
            </c:numRef>
          </c:val>
          <c:smooth val="0"/>
          <c:extLst>
            <c:ext xmlns:c16="http://schemas.microsoft.com/office/drawing/2014/chart" uri="{C3380CC4-5D6E-409C-BE32-E72D297353CC}">
              <c16:uniqueId val="{00000001-9040-4CD3-9BD5-1B8EAF12373C}"/>
            </c:ext>
          </c:extLst>
        </c:ser>
        <c:ser>
          <c:idx val="2"/>
          <c:order val="2"/>
          <c:tx>
            <c:strRef>
              <c:f>'Fig 8'!$A$5</c:f>
              <c:strCache>
                <c:ptCount val="1"/>
                <c:pt idx="0">
                  <c:v>EU_EXTRA</c:v>
                </c:pt>
              </c:strCache>
            </c:strRef>
          </c:tx>
          <c:spPr>
            <a:ln w="28575" cap="rnd">
              <a:solidFill>
                <a:schemeClr val="accent3"/>
              </a:solidFill>
              <a:round/>
            </a:ln>
            <a:effectLst/>
          </c:spPr>
          <c:marker>
            <c:symbol val="none"/>
          </c:marker>
          <c:dLbls>
            <c:spPr>
              <a:solidFill>
                <a:schemeClr val="bg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8'!$B$5:$J$5</c:f>
            </c:numRef>
          </c:val>
          <c:smooth val="0"/>
          <c:extLst>
            <c:ext xmlns:c16="http://schemas.microsoft.com/office/drawing/2014/chart" uri="{C3380CC4-5D6E-409C-BE32-E72D297353CC}">
              <c16:uniqueId val="{00000002-9040-4CD3-9BD5-1B8EAF12373C}"/>
            </c:ext>
          </c:extLst>
        </c:ser>
        <c:ser>
          <c:idx val="3"/>
          <c:order val="3"/>
          <c:tx>
            <c:strRef>
              <c:f>'Fig 8'!$A$6</c:f>
              <c:strCache>
                <c:ptCount val="1"/>
                <c:pt idx="0">
                  <c:v>GSPPlusCountries</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8'!$B$6:$J$6</c:f>
            </c:numRef>
          </c:val>
          <c:smooth val="0"/>
          <c:extLst>
            <c:ext xmlns:c16="http://schemas.microsoft.com/office/drawing/2014/chart" uri="{C3380CC4-5D6E-409C-BE32-E72D297353CC}">
              <c16:uniqueId val="{00000003-9040-4CD3-9BD5-1B8EAF12373C}"/>
            </c:ext>
          </c:extLst>
        </c:ser>
        <c:ser>
          <c:idx val="4"/>
          <c:order val="4"/>
          <c:tx>
            <c:strRef>
              <c:f>'Fig 8'!$A$7</c:f>
              <c:strCache>
                <c:ptCount val="1"/>
                <c:pt idx="0">
                  <c:v>GSPStandCountries</c:v>
                </c:pt>
              </c:strCache>
            </c:strRef>
          </c:tx>
          <c:spPr>
            <a:ln w="28575" cap="rnd">
              <a:solidFill>
                <a:schemeClr val="accent5"/>
              </a:solidFill>
              <a:round/>
            </a:ln>
            <a:effectLst/>
          </c:spPr>
          <c:marker>
            <c:symbol val="none"/>
          </c:marker>
          <c:dLbls>
            <c:spPr>
              <a:solidFill>
                <a:schemeClr val="bg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8'!$B$7:$J$7</c:f>
            </c:numRef>
          </c:val>
          <c:smooth val="0"/>
          <c:extLst>
            <c:ext xmlns:c16="http://schemas.microsoft.com/office/drawing/2014/chart" uri="{C3380CC4-5D6E-409C-BE32-E72D297353CC}">
              <c16:uniqueId val="{00000004-9040-4CD3-9BD5-1B8EAF12373C}"/>
            </c:ext>
          </c:extLst>
        </c:ser>
        <c:ser>
          <c:idx val="5"/>
          <c:order val="5"/>
          <c:tx>
            <c:strRef>
              <c:f>'Fig 8'!$A$8</c:f>
              <c:strCache>
                <c:ptCount val="1"/>
                <c:pt idx="0">
                  <c:v>GB</c:v>
                </c:pt>
              </c:strCache>
            </c:strRef>
          </c:tx>
          <c:spPr>
            <a:ln w="28575" cap="rnd">
              <a:solidFill>
                <a:schemeClr val="accent6"/>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8'!$B$8:$J$8</c:f>
            </c:numRef>
          </c:val>
          <c:smooth val="0"/>
          <c:extLst>
            <c:ext xmlns:c16="http://schemas.microsoft.com/office/drawing/2014/chart" uri="{C3380CC4-5D6E-409C-BE32-E72D297353CC}">
              <c16:uniqueId val="{00000005-9040-4CD3-9BD5-1B8EAF12373C}"/>
            </c:ext>
          </c:extLst>
        </c:ser>
        <c:ser>
          <c:idx val="6"/>
          <c:order val="6"/>
          <c:tx>
            <c:strRef>
              <c:f>'Fig 8'!$A$9</c:f>
              <c:strCache>
                <c:ptCount val="1"/>
                <c:pt idx="0">
                  <c:v>EBACountries</c:v>
                </c:pt>
              </c:strCache>
            </c:strRef>
          </c:tx>
          <c:spPr>
            <a:ln w="28575" cap="rnd">
              <a:solidFill>
                <a:schemeClr val="accent1">
                  <a:lumMod val="60000"/>
                </a:schemeClr>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8'!$B$9:$J$9</c:f>
            </c:numRef>
          </c:val>
          <c:smooth val="0"/>
          <c:extLst>
            <c:ext xmlns:c16="http://schemas.microsoft.com/office/drawing/2014/chart" uri="{C3380CC4-5D6E-409C-BE32-E72D297353CC}">
              <c16:uniqueId val="{00000006-9040-4CD3-9BD5-1B8EAF12373C}"/>
            </c:ext>
          </c:extLst>
        </c:ser>
        <c:ser>
          <c:idx val="7"/>
          <c:order val="7"/>
          <c:tx>
            <c:strRef>
              <c:f>'Fig 8'!$A$10</c:f>
              <c:strCache>
                <c:ptCount val="1"/>
                <c:pt idx="0">
                  <c:v>EU_EXTRA</c:v>
                </c:pt>
              </c:strCache>
            </c:strRef>
          </c:tx>
          <c:spPr>
            <a:ln w="28575" cap="rnd">
              <a:solidFill>
                <a:schemeClr val="accent2">
                  <a:lumMod val="60000"/>
                </a:schemeClr>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8'!$B$10:$J$10</c:f>
            </c:numRef>
          </c:val>
          <c:smooth val="0"/>
          <c:extLst>
            <c:ext xmlns:c16="http://schemas.microsoft.com/office/drawing/2014/chart" uri="{C3380CC4-5D6E-409C-BE32-E72D297353CC}">
              <c16:uniqueId val="{00000007-9040-4CD3-9BD5-1B8EAF12373C}"/>
            </c:ext>
          </c:extLst>
        </c:ser>
        <c:ser>
          <c:idx val="8"/>
          <c:order val="8"/>
          <c:tx>
            <c:strRef>
              <c:f>'Fig 8'!$A$11</c:f>
              <c:strCache>
                <c:ptCount val="1"/>
                <c:pt idx="0">
                  <c:v>GSPPlusCountries</c:v>
                </c:pt>
              </c:strCache>
            </c:strRef>
          </c:tx>
          <c:spPr>
            <a:ln w="28575" cap="rnd">
              <a:solidFill>
                <a:schemeClr val="accent3">
                  <a:lumMod val="60000"/>
                </a:schemeClr>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8'!$B$11:$J$11</c:f>
            </c:numRef>
          </c:val>
          <c:smooth val="0"/>
          <c:extLst>
            <c:ext xmlns:c16="http://schemas.microsoft.com/office/drawing/2014/chart" uri="{C3380CC4-5D6E-409C-BE32-E72D297353CC}">
              <c16:uniqueId val="{00000008-9040-4CD3-9BD5-1B8EAF12373C}"/>
            </c:ext>
          </c:extLst>
        </c:ser>
        <c:ser>
          <c:idx val="9"/>
          <c:order val="9"/>
          <c:tx>
            <c:strRef>
              <c:f>'Fig 8'!$A$12</c:f>
              <c:strCache>
                <c:ptCount val="1"/>
                <c:pt idx="0">
                  <c:v>GSPStandCountries</c:v>
                </c:pt>
              </c:strCache>
            </c:strRef>
          </c:tx>
          <c:spPr>
            <a:ln w="28575" cap="rnd">
              <a:solidFill>
                <a:schemeClr val="accent4">
                  <a:lumMod val="60000"/>
                </a:schemeClr>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8'!$B$12:$J$12</c:f>
            </c:numRef>
          </c:val>
          <c:smooth val="0"/>
          <c:extLst>
            <c:ext xmlns:c16="http://schemas.microsoft.com/office/drawing/2014/chart" uri="{C3380CC4-5D6E-409C-BE32-E72D297353CC}">
              <c16:uniqueId val="{00000009-9040-4CD3-9BD5-1B8EAF12373C}"/>
            </c:ext>
          </c:extLst>
        </c:ser>
        <c:ser>
          <c:idx val="11"/>
          <c:order val="11"/>
          <c:tx>
            <c:strRef>
              <c:f>'Fig 8'!$A$14</c:f>
              <c:strCache>
                <c:ptCount val="1"/>
                <c:pt idx="0">
                  <c:v>EBA</c:v>
                </c:pt>
              </c:strCache>
            </c:strRef>
          </c:tx>
          <c:spPr>
            <a:ln w="12700" cap="rnd">
              <a:solidFill>
                <a:schemeClr val="accent5"/>
              </a:solidFill>
              <a:round/>
            </a:ln>
            <a:effectLst/>
          </c:spPr>
          <c:marker>
            <c:symbol val="none"/>
          </c:marker>
          <c:dLbls>
            <c:spPr>
              <a:solidFill>
                <a:schemeClr val="bg1">
                  <a:alpha val="50000"/>
                </a:schemeClr>
              </a:solidFill>
              <a:ln>
                <a:noFill/>
              </a:ln>
              <a:effectLst/>
            </c:spPr>
            <c:txPr>
              <a:bodyPr rot="0" spcFirstLastPara="1" vertOverflow="ellipsis" vert="horz" wrap="square" anchor="ctr" anchorCtr="1"/>
              <a:lstStyle/>
              <a:p>
                <a:pPr>
                  <a:defRPr sz="900" b="0"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8'!$B$14:$J$14</c:f>
              <c:numCache>
                <c:formatCode>#,##0.0,,,</c:formatCode>
                <c:ptCount val="9"/>
                <c:pt idx="0">
                  <c:v>13931453586</c:v>
                </c:pt>
                <c:pt idx="1">
                  <c:v>17986615243</c:v>
                </c:pt>
                <c:pt idx="2">
                  <c:v>19606394505</c:v>
                </c:pt>
                <c:pt idx="3">
                  <c:v>21022737751</c:v>
                </c:pt>
                <c:pt idx="4">
                  <c:v>23010164271</c:v>
                </c:pt>
                <c:pt idx="5">
                  <c:v>25164176300</c:v>
                </c:pt>
                <c:pt idx="6">
                  <c:v>21329111719</c:v>
                </c:pt>
                <c:pt idx="7">
                  <c:v>22300233441</c:v>
                </c:pt>
                <c:pt idx="8">
                  <c:v>35406623124</c:v>
                </c:pt>
              </c:numCache>
            </c:numRef>
          </c:val>
          <c:smooth val="0"/>
          <c:extLst>
            <c:ext xmlns:c16="http://schemas.microsoft.com/office/drawing/2014/chart" uri="{C3380CC4-5D6E-409C-BE32-E72D297353CC}">
              <c16:uniqueId val="{0000000A-9040-4CD3-9BD5-1B8EAF12373C}"/>
            </c:ext>
          </c:extLst>
        </c:ser>
        <c:ser>
          <c:idx val="12"/>
          <c:order val="12"/>
          <c:tx>
            <c:strRef>
              <c:f>'Fig 8'!$A$15</c:f>
              <c:strCache>
                <c:ptCount val="1"/>
                <c:pt idx="0">
                  <c:v>EU_EXTRA</c:v>
                </c:pt>
              </c:strCache>
            </c:strRef>
          </c:tx>
          <c:spPr>
            <a:ln w="28575" cap="rnd">
              <a:solidFill>
                <a:schemeClr val="accent1">
                  <a:lumMod val="80000"/>
                  <a:lumOff val="20000"/>
                </a:schemeClr>
              </a:solidFill>
              <a:round/>
            </a:ln>
            <a:effectLst/>
          </c:spPr>
          <c:marker>
            <c:symbol val="none"/>
          </c:marker>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8'!$B$15:$J$15</c:f>
            </c:numRef>
          </c:val>
          <c:smooth val="0"/>
          <c:extLst>
            <c:ext xmlns:c16="http://schemas.microsoft.com/office/drawing/2014/chart" uri="{C3380CC4-5D6E-409C-BE32-E72D297353CC}">
              <c16:uniqueId val="{0000000B-9040-4CD3-9BD5-1B8EAF12373C}"/>
            </c:ext>
          </c:extLst>
        </c:ser>
        <c:ser>
          <c:idx val="13"/>
          <c:order val="13"/>
          <c:tx>
            <c:strRef>
              <c:f>'Fig 8'!$A$16</c:f>
              <c:strCache>
                <c:ptCount val="1"/>
                <c:pt idx="0">
                  <c:v>GSP+</c:v>
                </c:pt>
              </c:strCache>
            </c:strRef>
          </c:tx>
          <c:spPr>
            <a:ln w="12700" cap="rnd">
              <a:solidFill>
                <a:schemeClr val="accent3"/>
              </a:solidFill>
              <a:round/>
            </a:ln>
            <a:effectLst/>
          </c:spPr>
          <c:marker>
            <c:symbol val="none"/>
          </c:marker>
          <c:dLbls>
            <c:spPr>
              <a:solidFill>
                <a:schemeClr val="bg1">
                  <a:alpha val="50000"/>
                </a:schemeClr>
              </a:solidFill>
              <a:ln>
                <a:noFill/>
              </a:ln>
              <a:effectLst/>
            </c:spPr>
            <c:txPr>
              <a:bodyPr rot="0" spcFirstLastPara="1" vertOverflow="ellipsis" vert="horz" wrap="square" anchor="ctr" anchorCtr="1"/>
              <a:lstStyle/>
              <a:p>
                <a:pPr>
                  <a:defRPr sz="900" b="0"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8'!$B$16:$J$16</c:f>
              <c:numCache>
                <c:formatCode>#,##0.0,,,</c:formatCode>
                <c:ptCount val="9"/>
                <c:pt idx="0">
                  <c:v>5613112040</c:v>
                </c:pt>
                <c:pt idx="1">
                  <c:v>6450151464</c:v>
                </c:pt>
                <c:pt idx="2">
                  <c:v>6892613177</c:v>
                </c:pt>
                <c:pt idx="3">
                  <c:v>7527842247</c:v>
                </c:pt>
                <c:pt idx="4">
                  <c:v>7621147688</c:v>
                </c:pt>
                <c:pt idx="5">
                  <c:v>8496294991</c:v>
                </c:pt>
                <c:pt idx="6">
                  <c:v>7746940542</c:v>
                </c:pt>
                <c:pt idx="7">
                  <c:v>9616546400</c:v>
                </c:pt>
                <c:pt idx="8">
                  <c:v>13273716145</c:v>
                </c:pt>
              </c:numCache>
            </c:numRef>
          </c:val>
          <c:smooth val="0"/>
          <c:extLst>
            <c:ext xmlns:c16="http://schemas.microsoft.com/office/drawing/2014/chart" uri="{C3380CC4-5D6E-409C-BE32-E72D297353CC}">
              <c16:uniqueId val="{0000000C-9040-4CD3-9BD5-1B8EAF12373C}"/>
            </c:ext>
          </c:extLst>
        </c:ser>
        <c:ser>
          <c:idx val="14"/>
          <c:order val="14"/>
          <c:tx>
            <c:strRef>
              <c:f>'Fig 8'!$A$17</c:f>
              <c:strCache>
                <c:ptCount val="1"/>
                <c:pt idx="0">
                  <c:v>Standard GSP</c:v>
                </c:pt>
              </c:strCache>
            </c:strRef>
          </c:tx>
          <c:spPr>
            <a:ln w="12700" cap="rnd">
              <a:solidFill>
                <a:schemeClr val="accent2"/>
              </a:solidFill>
              <a:round/>
            </a:ln>
            <a:effectLst/>
          </c:spPr>
          <c:marker>
            <c:symbol val="none"/>
          </c:marker>
          <c:dLbls>
            <c:dLbl>
              <c:idx val="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040-4CD3-9BD5-1B8EAF12373C}"/>
                </c:ext>
              </c:extLst>
            </c:dLbl>
            <c:spPr>
              <a:noFill/>
              <a:ln>
                <a:noFill/>
              </a:ln>
              <a:effectLst/>
            </c:spPr>
            <c:txPr>
              <a:bodyPr rot="0" spcFirstLastPara="1" vertOverflow="ellipsis" vert="horz" wrap="square" anchor="ctr" anchorCtr="1"/>
              <a:lstStyle/>
              <a:p>
                <a:pPr>
                  <a:defRPr sz="9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8'!$B$17:$J$17</c:f>
              <c:numCache>
                <c:formatCode>#,##0.0,,,</c:formatCode>
                <c:ptCount val="9"/>
                <c:pt idx="0">
                  <c:v>20362406596</c:v>
                </c:pt>
                <c:pt idx="1">
                  <c:v>22868205304</c:v>
                </c:pt>
                <c:pt idx="2">
                  <c:v>23804412310</c:v>
                </c:pt>
                <c:pt idx="3">
                  <c:v>26150993784</c:v>
                </c:pt>
                <c:pt idx="4">
                  <c:v>27204417671</c:v>
                </c:pt>
                <c:pt idx="5">
                  <c:v>28665209141</c:v>
                </c:pt>
                <c:pt idx="6">
                  <c:v>23630600955</c:v>
                </c:pt>
                <c:pt idx="7">
                  <c:v>24246768385</c:v>
                </c:pt>
                <c:pt idx="8">
                  <c:v>31954834498</c:v>
                </c:pt>
              </c:numCache>
            </c:numRef>
          </c:val>
          <c:smooth val="0"/>
          <c:extLst>
            <c:ext xmlns:c16="http://schemas.microsoft.com/office/drawing/2014/chart" uri="{C3380CC4-5D6E-409C-BE32-E72D297353CC}">
              <c16:uniqueId val="{0000000E-9040-4CD3-9BD5-1B8EAF12373C}"/>
            </c:ext>
          </c:extLst>
        </c:ser>
        <c:ser>
          <c:idx val="15"/>
          <c:order val="15"/>
          <c:tx>
            <c:strRef>
              <c:f>'Fig 8'!$A$18</c:f>
              <c:strCache>
                <c:ptCount val="1"/>
                <c:pt idx="0">
                  <c:v>GSP total</c:v>
                </c:pt>
              </c:strCache>
            </c:strRef>
          </c:tx>
          <c:spPr>
            <a:ln w="28575" cap="rnd">
              <a:solidFill>
                <a:schemeClr val="accent4"/>
              </a:solidFill>
              <a:round/>
            </a:ln>
            <a:effectLst/>
          </c:spPr>
          <c:marker>
            <c:symbol val="none"/>
          </c:marker>
          <c:dLbls>
            <c:spPr>
              <a:solidFill>
                <a:schemeClr val="bg1">
                  <a:alpha val="50000"/>
                </a:schemeClr>
              </a:solidFill>
              <a:ln>
                <a:noFill/>
              </a:ln>
              <a:effectLst/>
            </c:spPr>
            <c:txPr>
              <a:bodyPr rot="0" spcFirstLastPara="1" vertOverflow="ellipsis" vert="horz" wrap="square" anchor="ctr" anchorCtr="1"/>
              <a:lstStyle/>
              <a:p>
                <a:pPr>
                  <a:defRPr sz="9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8'!$B$2:$J$2</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 8'!$B$18:$J$18</c:f>
              <c:numCache>
                <c:formatCode>#,##0.0,,,</c:formatCode>
                <c:ptCount val="9"/>
                <c:pt idx="0">
                  <c:v>39906972222</c:v>
                </c:pt>
                <c:pt idx="1">
                  <c:v>47304972011</c:v>
                </c:pt>
                <c:pt idx="2">
                  <c:v>50303419992</c:v>
                </c:pt>
                <c:pt idx="3">
                  <c:v>54701573782</c:v>
                </c:pt>
                <c:pt idx="4">
                  <c:v>57835729630</c:v>
                </c:pt>
                <c:pt idx="5">
                  <c:v>62325680432</c:v>
                </c:pt>
                <c:pt idx="6">
                  <c:v>52706653216</c:v>
                </c:pt>
                <c:pt idx="7">
                  <c:v>56163548226</c:v>
                </c:pt>
                <c:pt idx="8">
                  <c:v>80635173767</c:v>
                </c:pt>
              </c:numCache>
            </c:numRef>
          </c:val>
          <c:smooth val="0"/>
          <c:extLst>
            <c:ext xmlns:c16="http://schemas.microsoft.com/office/drawing/2014/chart" uri="{C3380CC4-5D6E-409C-BE32-E72D297353CC}">
              <c16:uniqueId val="{0000000F-9040-4CD3-9BD5-1B8EAF12373C}"/>
            </c:ext>
          </c:extLst>
        </c:ser>
        <c:dLbls>
          <c:showLegendKey val="0"/>
          <c:showVal val="0"/>
          <c:showCatName val="0"/>
          <c:showSerName val="0"/>
          <c:showPercent val="0"/>
          <c:showBubbleSize val="0"/>
        </c:dLbls>
        <c:smooth val="0"/>
        <c:axId val="1989154127"/>
        <c:axId val="1989145391"/>
        <c:extLst>
          <c:ext xmlns:c15="http://schemas.microsoft.com/office/drawing/2012/chart" uri="{02D57815-91ED-43cb-92C2-25804820EDAC}">
            <c15:filteredLineSeries>
              <c15:ser>
                <c:idx val="10"/>
                <c:order val="10"/>
                <c:tx>
                  <c:strRef>
                    <c:extLst>
                      <c:ext uri="{02D57815-91ED-43cb-92C2-25804820EDAC}">
                        <c15:formulaRef>
                          <c15:sqref>'Fig 8'!$A$13</c15:sqref>
                        </c15:formulaRef>
                      </c:ext>
                    </c:extLst>
                    <c:strCache>
                      <c:ptCount val="1"/>
                      <c:pt idx="0">
                        <c:v>EU27</c:v>
                      </c:pt>
                    </c:strCache>
                  </c:strRef>
                </c:tx>
                <c:spPr>
                  <a:ln w="28575" cap="rnd">
                    <a:solidFill>
                      <a:schemeClr val="accent5">
                        <a:lumMod val="60000"/>
                      </a:schemeClr>
                    </a:solidFill>
                    <a:round/>
                  </a:ln>
                  <a:effectLst/>
                </c:spPr>
                <c:marker>
                  <c:symbol val="none"/>
                </c:marker>
                <c:cat>
                  <c:numRef>
                    <c:extLst>
                      <c:ext uri="{02D57815-91ED-43cb-92C2-25804820EDAC}">
                        <c15:formulaRef>
                          <c15:sqref>'Fig 8'!$B$2:$J$2</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c:ext uri="{02D57815-91ED-43cb-92C2-25804820EDAC}">
                        <c15:formulaRef>
                          <c15:sqref>'Fig 8'!$B$13:$J$13</c15:sqref>
                        </c15:formulaRef>
                      </c:ext>
                    </c:extLst>
                    <c:numCache>
                      <c:formatCode>General</c:formatCode>
                      <c:ptCount val="9"/>
                    </c:numCache>
                  </c:numRef>
                </c:val>
                <c:smooth val="0"/>
                <c:extLst>
                  <c:ext xmlns:c16="http://schemas.microsoft.com/office/drawing/2014/chart" uri="{C3380CC4-5D6E-409C-BE32-E72D297353CC}">
                    <c16:uniqueId val="{00000010-9040-4CD3-9BD5-1B8EAF12373C}"/>
                  </c:ext>
                </c:extLst>
              </c15:ser>
            </c15:filteredLineSeries>
          </c:ext>
        </c:extLst>
      </c:lineChart>
      <c:catAx>
        <c:axId val="198915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89145391"/>
        <c:crosses val="autoZero"/>
        <c:auto val="1"/>
        <c:lblAlgn val="ctr"/>
        <c:lblOffset val="100"/>
        <c:noMultiLvlLbl val="0"/>
      </c:catAx>
      <c:valAx>
        <c:axId val="1989145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89154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'Fig 9'!$A$3</c:f>
              <c:strCache>
                <c:ptCount val="1"/>
                <c:pt idx="0">
                  <c:v>India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9'!$B$2:$E$2</c:f>
              <c:numCache>
                <c:formatCode>General</c:formatCode>
                <c:ptCount val="4"/>
                <c:pt idx="0">
                  <c:v>2019</c:v>
                </c:pt>
                <c:pt idx="1">
                  <c:v>2020</c:v>
                </c:pt>
                <c:pt idx="2">
                  <c:v>2021</c:v>
                </c:pt>
                <c:pt idx="3">
                  <c:v>2022</c:v>
                </c:pt>
              </c:numCache>
            </c:numRef>
          </c:cat>
          <c:val>
            <c:numRef>
              <c:f>'Fig 9'!$B$3:$E$3</c:f>
              <c:numCache>
                <c:formatCode>#,##0,</c:formatCode>
                <c:ptCount val="4"/>
                <c:pt idx="0">
                  <c:v>13825279.857000001</c:v>
                </c:pt>
                <c:pt idx="1">
                  <c:v>11540998.238</c:v>
                </c:pt>
                <c:pt idx="2">
                  <c:v>14347951.515000001</c:v>
                </c:pt>
                <c:pt idx="3">
                  <c:v>18844940.664000001</c:v>
                </c:pt>
              </c:numCache>
            </c:numRef>
          </c:val>
          <c:extLst>
            <c:ext xmlns:c16="http://schemas.microsoft.com/office/drawing/2014/chart" uri="{C3380CC4-5D6E-409C-BE32-E72D297353CC}">
              <c16:uniqueId val="{00000000-81F3-4688-B6DA-6BD593625F89}"/>
            </c:ext>
          </c:extLst>
        </c:ser>
        <c:ser>
          <c:idx val="1"/>
          <c:order val="1"/>
          <c:tx>
            <c:strRef>
              <c:f>'Fig 9'!$A$4</c:f>
              <c:strCache>
                <c:ptCount val="1"/>
                <c:pt idx="0">
                  <c:v>Indonesia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9'!$B$2:$E$2</c:f>
              <c:numCache>
                <c:formatCode>General</c:formatCode>
                <c:ptCount val="4"/>
                <c:pt idx="0">
                  <c:v>2019</c:v>
                </c:pt>
                <c:pt idx="1">
                  <c:v>2020</c:v>
                </c:pt>
                <c:pt idx="2">
                  <c:v>2021</c:v>
                </c:pt>
                <c:pt idx="3">
                  <c:v>2022</c:v>
                </c:pt>
              </c:numCache>
            </c:numRef>
          </c:cat>
          <c:val>
            <c:numRef>
              <c:f>'Fig 9'!$B$4:$E$4</c:f>
              <c:numCache>
                <c:formatCode>#,##0,</c:formatCode>
                <c:ptCount val="4"/>
                <c:pt idx="0">
                  <c:v>5959400.8499999996</c:v>
                </c:pt>
                <c:pt idx="1">
                  <c:v>4879841.5870000003</c:v>
                </c:pt>
                <c:pt idx="2">
                  <c:v>5432860.5520000001</c:v>
                </c:pt>
                <c:pt idx="3">
                  <c:v>7635404.1359999999</c:v>
                </c:pt>
              </c:numCache>
            </c:numRef>
          </c:val>
          <c:extLst>
            <c:ext xmlns:c16="http://schemas.microsoft.com/office/drawing/2014/chart" uri="{C3380CC4-5D6E-409C-BE32-E72D297353CC}">
              <c16:uniqueId val="{00000001-81F3-4688-B6DA-6BD593625F89}"/>
            </c:ext>
          </c:extLst>
        </c:ser>
        <c:ser>
          <c:idx val="2"/>
          <c:order val="2"/>
          <c:tx>
            <c:strRef>
              <c:f>'Fig 9'!$A$5</c:f>
              <c:strCache>
                <c:ptCount val="1"/>
                <c:pt idx="0">
                  <c:v>Vietnam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9'!$B$2:$E$2</c:f>
              <c:numCache>
                <c:formatCode>General</c:formatCode>
                <c:ptCount val="4"/>
                <c:pt idx="0">
                  <c:v>2019</c:v>
                </c:pt>
                <c:pt idx="1">
                  <c:v>2020</c:v>
                </c:pt>
                <c:pt idx="2">
                  <c:v>2021</c:v>
                </c:pt>
                <c:pt idx="3">
                  <c:v>2022</c:v>
                </c:pt>
              </c:numCache>
            </c:numRef>
          </c:cat>
          <c:val>
            <c:numRef>
              <c:f>'Fig 9'!$B$5:$E$5</c:f>
              <c:numCache>
                <c:formatCode>#,##0,</c:formatCode>
                <c:ptCount val="4"/>
                <c:pt idx="0">
                  <c:v>8729091.9110000003</c:v>
                </c:pt>
                <c:pt idx="1">
                  <c:v>7110490.9850000003</c:v>
                </c:pt>
                <c:pt idx="2">
                  <c:v>4304613.6809999999</c:v>
                </c:pt>
                <c:pt idx="3">
                  <c:v>5267858.7280000001</c:v>
                </c:pt>
              </c:numCache>
            </c:numRef>
          </c:val>
          <c:extLst>
            <c:ext xmlns:c16="http://schemas.microsoft.com/office/drawing/2014/chart" uri="{C3380CC4-5D6E-409C-BE32-E72D297353CC}">
              <c16:uniqueId val="{00000002-81F3-4688-B6DA-6BD593625F89}"/>
            </c:ext>
          </c:extLst>
        </c:ser>
        <c:ser>
          <c:idx val="3"/>
          <c:order val="3"/>
          <c:tx>
            <c:strRef>
              <c:f>'Fig 9'!$A$6</c:f>
              <c:strCache>
                <c:ptCount val="1"/>
                <c:pt idx="0">
                  <c:v>Nigeria</c:v>
                </c:pt>
              </c:strCache>
            </c:strRef>
          </c:tx>
          <c:spPr>
            <a:solidFill>
              <a:schemeClr val="accent4"/>
            </a:solidFill>
            <a:ln>
              <a:noFill/>
            </a:ln>
            <a:effectLst/>
          </c:spPr>
          <c:invertIfNegative val="0"/>
          <c:cat>
            <c:numRef>
              <c:f>'Fig 9'!$B$2:$E$2</c:f>
              <c:numCache>
                <c:formatCode>General</c:formatCode>
                <c:ptCount val="4"/>
                <c:pt idx="0">
                  <c:v>2019</c:v>
                </c:pt>
                <c:pt idx="1">
                  <c:v>2020</c:v>
                </c:pt>
                <c:pt idx="2">
                  <c:v>2021</c:v>
                </c:pt>
                <c:pt idx="3">
                  <c:v>2022</c:v>
                </c:pt>
              </c:numCache>
            </c:numRef>
          </c:cat>
          <c:val>
            <c:numRef>
              <c:f>'Fig 9'!$B$6:$D$6</c:f>
            </c:numRef>
          </c:val>
          <c:extLst>
            <c:ext xmlns:c16="http://schemas.microsoft.com/office/drawing/2014/chart" uri="{C3380CC4-5D6E-409C-BE32-E72D297353CC}">
              <c16:uniqueId val="{00000003-81F3-4688-B6DA-6BD593625F89}"/>
            </c:ext>
          </c:extLst>
        </c:ser>
        <c:ser>
          <c:idx val="4"/>
          <c:order val="4"/>
          <c:tx>
            <c:strRef>
              <c:f>'Fig 9'!$A$7</c:f>
              <c:strCache>
                <c:ptCount val="1"/>
                <c:pt idx="0">
                  <c:v>Tadjikistan</c:v>
                </c:pt>
              </c:strCache>
            </c:strRef>
          </c:tx>
          <c:spPr>
            <a:solidFill>
              <a:schemeClr val="accent5"/>
            </a:solidFill>
            <a:ln>
              <a:noFill/>
            </a:ln>
            <a:effectLst/>
          </c:spPr>
          <c:invertIfNegative val="0"/>
          <c:cat>
            <c:numRef>
              <c:f>'Fig 9'!$B$2:$E$2</c:f>
              <c:numCache>
                <c:formatCode>General</c:formatCode>
                <c:ptCount val="4"/>
                <c:pt idx="0">
                  <c:v>2019</c:v>
                </c:pt>
                <c:pt idx="1">
                  <c:v>2020</c:v>
                </c:pt>
                <c:pt idx="2">
                  <c:v>2021</c:v>
                </c:pt>
                <c:pt idx="3">
                  <c:v>2022</c:v>
                </c:pt>
              </c:numCache>
            </c:numRef>
          </c:cat>
          <c:val>
            <c:numRef>
              <c:f>'Fig 9'!$B$7:$D$7</c:f>
            </c:numRef>
          </c:val>
          <c:extLst>
            <c:ext xmlns:c16="http://schemas.microsoft.com/office/drawing/2014/chart" uri="{C3380CC4-5D6E-409C-BE32-E72D297353CC}">
              <c16:uniqueId val="{00000004-81F3-4688-B6DA-6BD593625F89}"/>
            </c:ext>
          </c:extLst>
        </c:ser>
        <c:ser>
          <c:idx val="5"/>
          <c:order val="5"/>
          <c:tx>
            <c:strRef>
              <c:f>'Fig 10'!$A$8</c:f>
              <c:strCache>
                <c:ptCount val="1"/>
                <c:pt idx="0">
                  <c:v>Cabo Verde</c:v>
                </c:pt>
              </c:strCache>
            </c:strRef>
          </c:tx>
          <c:spPr>
            <a:solidFill>
              <a:schemeClr val="accent6"/>
            </a:solidFill>
            <a:ln>
              <a:noFill/>
            </a:ln>
            <a:effectLst/>
          </c:spPr>
          <c:invertIfNegative val="0"/>
          <c:cat>
            <c:numRef>
              <c:f>'Fig 9'!$B$2:$E$2</c:f>
              <c:numCache>
                <c:formatCode>General</c:formatCode>
                <c:ptCount val="4"/>
                <c:pt idx="0">
                  <c:v>2019</c:v>
                </c:pt>
                <c:pt idx="1">
                  <c:v>2020</c:v>
                </c:pt>
                <c:pt idx="2">
                  <c:v>2021</c:v>
                </c:pt>
                <c:pt idx="3">
                  <c:v>2022</c:v>
                </c:pt>
              </c:numCache>
            </c:numRef>
          </c:cat>
          <c:val>
            <c:numRef>
              <c:f>'Fig 10'!$B$8:$E$8</c:f>
              <c:numCache>
                <c:formatCode>#,##0,</c:formatCode>
                <c:ptCount val="4"/>
                <c:pt idx="0">
                  <c:v>61239.96</c:v>
                </c:pt>
                <c:pt idx="1">
                  <c:v>53756.919000000002</c:v>
                </c:pt>
                <c:pt idx="2">
                  <c:v>56399.097999999998</c:v>
                </c:pt>
                <c:pt idx="3">
                  <c:v>55653.841999999997</c:v>
                </c:pt>
              </c:numCache>
            </c:numRef>
          </c:val>
          <c:extLst>
            <c:ext xmlns:c16="http://schemas.microsoft.com/office/drawing/2014/chart" uri="{C3380CC4-5D6E-409C-BE32-E72D297353CC}">
              <c16:uniqueId val="{00000005-81F3-4688-B6DA-6BD593625F89}"/>
            </c:ext>
          </c:extLst>
        </c:ser>
        <c:ser>
          <c:idx val="6"/>
          <c:order val="6"/>
          <c:tx>
            <c:strRef>
              <c:f>'Fig 10'!$A$9</c:f>
              <c:strCache>
                <c:ptCount val="1"/>
                <c:pt idx="0">
                  <c:v>Bolivia</c:v>
                </c:pt>
              </c:strCache>
            </c:strRef>
          </c:tx>
          <c:spPr>
            <a:solidFill>
              <a:schemeClr val="accent1">
                <a:lumMod val="60000"/>
              </a:schemeClr>
            </a:solidFill>
            <a:ln>
              <a:noFill/>
            </a:ln>
            <a:effectLst/>
          </c:spPr>
          <c:invertIfNegative val="0"/>
          <c:cat>
            <c:numRef>
              <c:f>'Fig 9'!$B$2:$E$2</c:f>
              <c:numCache>
                <c:formatCode>General</c:formatCode>
                <c:ptCount val="4"/>
                <c:pt idx="0">
                  <c:v>2019</c:v>
                </c:pt>
                <c:pt idx="1">
                  <c:v>2020</c:v>
                </c:pt>
                <c:pt idx="2">
                  <c:v>2021</c:v>
                </c:pt>
                <c:pt idx="3">
                  <c:v>2022</c:v>
                </c:pt>
              </c:numCache>
            </c:numRef>
          </c:cat>
          <c:val>
            <c:numRef>
              <c:f>'Fig 10'!$B$9:$E$9</c:f>
              <c:numCache>
                <c:formatCode>#,##0,</c:formatCode>
                <c:ptCount val="4"/>
                <c:pt idx="0">
                  <c:v>78202.914000000004</c:v>
                </c:pt>
                <c:pt idx="1">
                  <c:v>38120.934999999998</c:v>
                </c:pt>
                <c:pt idx="2">
                  <c:v>50263.919000000002</c:v>
                </c:pt>
                <c:pt idx="3">
                  <c:v>58641.582000000002</c:v>
                </c:pt>
              </c:numCache>
            </c:numRef>
          </c:val>
          <c:extLst>
            <c:ext xmlns:c16="http://schemas.microsoft.com/office/drawing/2014/chart" uri="{C3380CC4-5D6E-409C-BE32-E72D297353CC}">
              <c16:uniqueId val="{00000006-81F3-4688-B6DA-6BD593625F89}"/>
            </c:ext>
          </c:extLst>
        </c:ser>
        <c:ser>
          <c:idx val="7"/>
          <c:order val="7"/>
          <c:tx>
            <c:strRef>
              <c:f>'Fig 10'!$A$10</c:f>
              <c:strCache>
                <c:ptCount val="1"/>
                <c:pt idx="0">
                  <c:v>Mongolia</c:v>
                </c:pt>
              </c:strCache>
            </c:strRef>
          </c:tx>
          <c:spPr>
            <a:solidFill>
              <a:schemeClr val="accent2">
                <a:lumMod val="60000"/>
              </a:schemeClr>
            </a:solidFill>
            <a:ln>
              <a:noFill/>
            </a:ln>
            <a:effectLst/>
          </c:spPr>
          <c:invertIfNegative val="0"/>
          <c:cat>
            <c:numRef>
              <c:f>'Fig 9'!$B$2:$E$2</c:f>
              <c:numCache>
                <c:formatCode>General</c:formatCode>
                <c:ptCount val="4"/>
                <c:pt idx="0">
                  <c:v>2019</c:v>
                </c:pt>
                <c:pt idx="1">
                  <c:v>2020</c:v>
                </c:pt>
                <c:pt idx="2">
                  <c:v>2021</c:v>
                </c:pt>
                <c:pt idx="3">
                  <c:v>2022</c:v>
                </c:pt>
              </c:numCache>
            </c:numRef>
          </c:cat>
          <c:val>
            <c:numRef>
              <c:f>'Fig 10'!$B$10:$E$10</c:f>
              <c:numCache>
                <c:formatCode>#,##0,</c:formatCode>
                <c:ptCount val="4"/>
                <c:pt idx="0">
                  <c:v>14060.21</c:v>
                </c:pt>
                <c:pt idx="1">
                  <c:v>14055.706</c:v>
                </c:pt>
                <c:pt idx="2">
                  <c:v>12962.645</c:v>
                </c:pt>
                <c:pt idx="3">
                  <c:v>23523.144</c:v>
                </c:pt>
              </c:numCache>
            </c:numRef>
          </c:val>
          <c:extLst>
            <c:ext xmlns:c16="http://schemas.microsoft.com/office/drawing/2014/chart" uri="{C3380CC4-5D6E-409C-BE32-E72D297353CC}">
              <c16:uniqueId val="{00000007-81F3-4688-B6DA-6BD593625F89}"/>
            </c:ext>
          </c:extLst>
        </c:ser>
        <c:ser>
          <c:idx val="8"/>
          <c:order val="8"/>
          <c:tx>
            <c:strRef>
              <c:f>'Fig 10'!$A$11</c:f>
              <c:strCache>
                <c:ptCount val="1"/>
                <c:pt idx="0">
                  <c:v>Kyrgyz Republic</c:v>
                </c:pt>
              </c:strCache>
            </c:strRef>
          </c:tx>
          <c:spPr>
            <a:solidFill>
              <a:schemeClr val="accent3">
                <a:lumMod val="60000"/>
              </a:schemeClr>
            </a:solidFill>
            <a:ln>
              <a:noFill/>
            </a:ln>
            <a:effectLst/>
          </c:spPr>
          <c:invertIfNegative val="0"/>
          <c:cat>
            <c:numRef>
              <c:f>'Fig 9'!$B$2:$E$2</c:f>
              <c:numCache>
                <c:formatCode>General</c:formatCode>
                <c:ptCount val="4"/>
                <c:pt idx="0">
                  <c:v>2019</c:v>
                </c:pt>
                <c:pt idx="1">
                  <c:v>2020</c:v>
                </c:pt>
                <c:pt idx="2">
                  <c:v>2021</c:v>
                </c:pt>
                <c:pt idx="3">
                  <c:v>2022</c:v>
                </c:pt>
              </c:numCache>
            </c:numRef>
          </c:cat>
          <c:val>
            <c:numRef>
              <c:f>'Fig 10'!$B$11:$E$11</c:f>
              <c:numCache>
                <c:formatCode>#,##0,</c:formatCode>
                <c:ptCount val="4"/>
                <c:pt idx="0">
                  <c:v>4527.1080000000002</c:v>
                </c:pt>
                <c:pt idx="1">
                  <c:v>3536.9409999999998</c:v>
                </c:pt>
                <c:pt idx="2">
                  <c:v>3068.8139999999999</c:v>
                </c:pt>
                <c:pt idx="3">
                  <c:v>7682.12</c:v>
                </c:pt>
              </c:numCache>
            </c:numRef>
          </c:val>
          <c:extLst>
            <c:ext xmlns:c16="http://schemas.microsoft.com/office/drawing/2014/chart" uri="{C3380CC4-5D6E-409C-BE32-E72D297353CC}">
              <c16:uniqueId val="{00000008-81F3-4688-B6DA-6BD593625F89}"/>
            </c:ext>
          </c:extLst>
        </c:ser>
        <c:ser>
          <c:idx val="9"/>
          <c:order val="9"/>
          <c:tx>
            <c:strRef>
              <c:f>'Fig 9'!$A$12</c:f>
              <c:strCache>
                <c:ptCount val="1"/>
                <c:pt idx="0">
                  <c:v>Cook Islands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9'!$B$2:$E$2</c:f>
              <c:numCache>
                <c:formatCode>General</c:formatCode>
                <c:ptCount val="4"/>
                <c:pt idx="0">
                  <c:v>2019</c:v>
                </c:pt>
                <c:pt idx="1">
                  <c:v>2020</c:v>
                </c:pt>
                <c:pt idx="2">
                  <c:v>2021</c:v>
                </c:pt>
                <c:pt idx="3">
                  <c:v>2022</c:v>
                </c:pt>
              </c:numCache>
            </c:numRef>
          </c:cat>
          <c:val>
            <c:numRef>
              <c:f>'Fig 9'!$B$12:$D$12</c:f>
            </c:numRef>
          </c:val>
          <c:extLst>
            <c:ext xmlns:c16="http://schemas.microsoft.com/office/drawing/2014/chart" uri="{C3380CC4-5D6E-409C-BE32-E72D297353CC}">
              <c16:uniqueId val="{00000009-81F3-4688-B6DA-6BD593625F89}"/>
            </c:ext>
          </c:extLst>
        </c:ser>
        <c:ser>
          <c:idx val="10"/>
          <c:order val="10"/>
          <c:tx>
            <c:strRef>
              <c:f>'Fig 9'!$A$14</c:f>
              <c:strCache>
                <c:ptCount val="1"/>
                <c:pt idx="0">
                  <c:v>Others</c:v>
                </c:pt>
              </c:strCache>
            </c:strRef>
          </c:tx>
          <c:spPr>
            <a:solidFill>
              <a:schemeClr val="accent5">
                <a:lumMod val="60000"/>
              </a:schemeClr>
            </a:solidFill>
            <a:ln>
              <a:noFill/>
            </a:ln>
            <a:effectLst/>
          </c:spPr>
          <c:invertIfNegative val="0"/>
          <c:cat>
            <c:numRef>
              <c:f>'Fig 9'!$B$2:$E$2</c:f>
              <c:numCache>
                <c:formatCode>General</c:formatCode>
                <c:ptCount val="4"/>
                <c:pt idx="0">
                  <c:v>2019</c:v>
                </c:pt>
                <c:pt idx="1">
                  <c:v>2020</c:v>
                </c:pt>
                <c:pt idx="2">
                  <c:v>2021</c:v>
                </c:pt>
                <c:pt idx="3">
                  <c:v>2022</c:v>
                </c:pt>
              </c:numCache>
            </c:numRef>
          </c:cat>
          <c:val>
            <c:numRef>
              <c:f>'Fig 9'!$B$14:$E$14</c:f>
              <c:numCache>
                <c:formatCode>#,##0,</c:formatCode>
                <c:ptCount val="4"/>
                <c:pt idx="0">
                  <c:v>151436.52300000004</c:v>
                </c:pt>
                <c:pt idx="1">
                  <c:v>135126.48099999997</c:v>
                </c:pt>
                <c:pt idx="2">
                  <c:v>130603.001</c:v>
                </c:pt>
                <c:pt idx="3">
                  <c:v>206630.96999999997</c:v>
                </c:pt>
              </c:numCache>
            </c:numRef>
          </c:val>
          <c:extLst>
            <c:ext xmlns:c16="http://schemas.microsoft.com/office/drawing/2014/chart" uri="{C3380CC4-5D6E-409C-BE32-E72D297353CC}">
              <c16:uniqueId val="{0000000A-81F3-4688-B6DA-6BD593625F89}"/>
            </c:ext>
          </c:extLst>
        </c:ser>
        <c:dLbls>
          <c:showLegendKey val="0"/>
          <c:showVal val="0"/>
          <c:showCatName val="0"/>
          <c:showSerName val="0"/>
          <c:showPercent val="0"/>
          <c:showBubbleSize val="0"/>
        </c:dLbls>
        <c:gapWidth val="50"/>
        <c:overlap val="100"/>
        <c:axId val="655973200"/>
        <c:axId val="655973680"/>
      </c:barChart>
      <c:catAx>
        <c:axId val="6559732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5973680"/>
        <c:crosses val="autoZero"/>
        <c:auto val="1"/>
        <c:lblAlgn val="ctr"/>
        <c:lblOffset val="100"/>
        <c:noMultiLvlLbl val="0"/>
      </c:catAx>
      <c:valAx>
        <c:axId val="655973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597320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'Fig 10'!$A$3</c:f>
              <c:strCache>
                <c:ptCount val="1"/>
                <c:pt idx="0">
                  <c:v>Pakistan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10'!$B$2:$E$2</c:f>
              <c:numCache>
                <c:formatCode>General</c:formatCode>
                <c:ptCount val="4"/>
                <c:pt idx="0">
                  <c:v>2019</c:v>
                </c:pt>
                <c:pt idx="1">
                  <c:v>2020</c:v>
                </c:pt>
                <c:pt idx="2">
                  <c:v>2021</c:v>
                </c:pt>
                <c:pt idx="3">
                  <c:v>2022</c:v>
                </c:pt>
              </c:numCache>
            </c:numRef>
          </c:cat>
          <c:val>
            <c:numRef>
              <c:f>'Fig 10'!$B$3:$E$3</c:f>
              <c:numCache>
                <c:formatCode>#,##0,</c:formatCode>
                <c:ptCount val="4"/>
                <c:pt idx="0">
                  <c:v>5116771.2180000003</c:v>
                </c:pt>
                <c:pt idx="1">
                  <c:v>4695432.1359999999</c:v>
                </c:pt>
                <c:pt idx="2">
                  <c:v>5555728.9199999999</c:v>
                </c:pt>
                <c:pt idx="3">
                  <c:v>7975558.8990000002</c:v>
                </c:pt>
              </c:numCache>
            </c:numRef>
          </c:val>
          <c:extLst>
            <c:ext xmlns:c16="http://schemas.microsoft.com/office/drawing/2014/chart" uri="{C3380CC4-5D6E-409C-BE32-E72D297353CC}">
              <c16:uniqueId val="{00000000-2B58-46A3-B685-0A11942FEC0B}"/>
            </c:ext>
          </c:extLst>
        </c:ser>
        <c:ser>
          <c:idx val="1"/>
          <c:order val="1"/>
          <c:tx>
            <c:strRef>
              <c:f>'Fig 10'!$A$4</c:f>
              <c:strCache>
                <c:ptCount val="1"/>
                <c:pt idx="0">
                  <c:v>Philippines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10'!$B$2:$E$2</c:f>
              <c:numCache>
                <c:formatCode>General</c:formatCode>
                <c:ptCount val="4"/>
                <c:pt idx="0">
                  <c:v>2019</c:v>
                </c:pt>
                <c:pt idx="1">
                  <c:v>2020</c:v>
                </c:pt>
                <c:pt idx="2">
                  <c:v>2021</c:v>
                </c:pt>
                <c:pt idx="3">
                  <c:v>2022</c:v>
                </c:pt>
              </c:numCache>
            </c:numRef>
          </c:cat>
          <c:val>
            <c:numRef>
              <c:f>'Fig 10'!$B$4:$E$4</c:f>
              <c:numCache>
                <c:formatCode>#,##0,</c:formatCode>
                <c:ptCount val="4"/>
                <c:pt idx="0">
                  <c:v>1763465.1159999999</c:v>
                </c:pt>
                <c:pt idx="1">
                  <c:v>1603747.605</c:v>
                </c:pt>
                <c:pt idx="2">
                  <c:v>2046899.379</c:v>
                </c:pt>
                <c:pt idx="3">
                  <c:v>2949828.3160000001</c:v>
                </c:pt>
              </c:numCache>
            </c:numRef>
          </c:val>
          <c:extLst>
            <c:ext xmlns:c16="http://schemas.microsoft.com/office/drawing/2014/chart" uri="{C3380CC4-5D6E-409C-BE32-E72D297353CC}">
              <c16:uniqueId val="{00000001-2B58-46A3-B685-0A11942FEC0B}"/>
            </c:ext>
          </c:extLst>
        </c:ser>
        <c:ser>
          <c:idx val="2"/>
          <c:order val="2"/>
          <c:tx>
            <c:strRef>
              <c:f>'Fig 10'!$A$5</c:f>
              <c:strCache>
                <c:ptCount val="1"/>
                <c:pt idx="0">
                  <c:v>Sri Lanka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10'!$B$2:$E$2</c:f>
              <c:numCache>
                <c:formatCode>General</c:formatCode>
                <c:ptCount val="4"/>
                <c:pt idx="0">
                  <c:v>2019</c:v>
                </c:pt>
                <c:pt idx="1">
                  <c:v>2020</c:v>
                </c:pt>
                <c:pt idx="2">
                  <c:v>2021</c:v>
                </c:pt>
                <c:pt idx="3">
                  <c:v>2022</c:v>
                </c:pt>
              </c:numCache>
            </c:numRef>
          </c:cat>
          <c:val>
            <c:numRef>
              <c:f>'Fig 10'!$B$5:$E$5</c:f>
              <c:numCache>
                <c:formatCode>#,##0,</c:formatCode>
                <c:ptCount val="4"/>
                <c:pt idx="0">
                  <c:v>1167779.9180000001</c:v>
                </c:pt>
                <c:pt idx="1">
                  <c:v>1106409.7709999999</c:v>
                </c:pt>
                <c:pt idx="2">
                  <c:v>1414519.3740000001</c:v>
                </c:pt>
                <c:pt idx="3">
                  <c:v>1748872.4240000001</c:v>
                </c:pt>
              </c:numCache>
            </c:numRef>
          </c:val>
          <c:extLst>
            <c:ext xmlns:c16="http://schemas.microsoft.com/office/drawing/2014/chart" uri="{C3380CC4-5D6E-409C-BE32-E72D297353CC}">
              <c16:uniqueId val="{00000002-2B58-46A3-B685-0A11942FEC0B}"/>
            </c:ext>
          </c:extLst>
        </c:ser>
        <c:ser>
          <c:idx val="3"/>
          <c:order val="3"/>
          <c:tx>
            <c:strRef>
              <c:f>'Fig 10'!$A$6</c:f>
              <c:strCache>
                <c:ptCount val="1"/>
                <c:pt idx="0">
                  <c:v>Uzbekistan</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10'!$B$2:$E$2</c:f>
              <c:numCache>
                <c:formatCode>General</c:formatCode>
                <c:ptCount val="4"/>
                <c:pt idx="0">
                  <c:v>2019</c:v>
                </c:pt>
                <c:pt idx="1">
                  <c:v>2020</c:v>
                </c:pt>
                <c:pt idx="2">
                  <c:v>2021</c:v>
                </c:pt>
                <c:pt idx="3">
                  <c:v>2022</c:v>
                </c:pt>
              </c:numCache>
            </c:numRef>
          </c:cat>
          <c:val>
            <c:numRef>
              <c:f>'Fig 10'!$B$6:$E$6</c:f>
              <c:numCache>
                <c:formatCode>#,##0,</c:formatCode>
                <c:ptCount val="4"/>
                <c:pt idx="0">
                  <c:v>93594.668999999994</c:v>
                </c:pt>
                <c:pt idx="1">
                  <c:v>108465.863</c:v>
                </c:pt>
                <c:pt idx="2">
                  <c:v>239906.34299999999</c:v>
                </c:pt>
                <c:pt idx="3">
                  <c:v>453955.81800000003</c:v>
                </c:pt>
              </c:numCache>
            </c:numRef>
          </c:val>
          <c:extLst>
            <c:ext xmlns:c16="http://schemas.microsoft.com/office/drawing/2014/chart" uri="{C3380CC4-5D6E-409C-BE32-E72D297353CC}">
              <c16:uniqueId val="{00000003-2B58-46A3-B685-0A11942FEC0B}"/>
            </c:ext>
          </c:extLst>
        </c:ser>
        <c:ser>
          <c:idx val="4"/>
          <c:order val="4"/>
          <c:tx>
            <c:strRef>
              <c:f>'Fig 10'!$A$7</c:f>
              <c:strCache>
                <c:ptCount val="1"/>
                <c:pt idx="0">
                  <c:v>Armenia</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10'!$B$2:$E$2</c:f>
              <c:numCache>
                <c:formatCode>General</c:formatCode>
                <c:ptCount val="4"/>
                <c:pt idx="0">
                  <c:v>2019</c:v>
                </c:pt>
                <c:pt idx="1">
                  <c:v>2020</c:v>
                </c:pt>
                <c:pt idx="2">
                  <c:v>2021</c:v>
                </c:pt>
                <c:pt idx="3">
                  <c:v>2022</c:v>
                </c:pt>
              </c:numCache>
            </c:numRef>
          </c:cat>
          <c:val>
            <c:numRef>
              <c:f>'Fig 10'!$B$7:$E$7</c:f>
              <c:numCache>
                <c:formatCode>#,##0,</c:formatCode>
                <c:ptCount val="4"/>
                <c:pt idx="0">
                  <c:v>196653.878</c:v>
                </c:pt>
                <c:pt idx="1">
                  <c:v>127910.027</c:v>
                </c:pt>
                <c:pt idx="2">
                  <c:v>234004.33799999999</c:v>
                </c:pt>
              </c:numCache>
            </c:numRef>
          </c:val>
          <c:extLst>
            <c:ext xmlns:c16="http://schemas.microsoft.com/office/drawing/2014/chart" uri="{C3380CC4-5D6E-409C-BE32-E72D297353CC}">
              <c16:uniqueId val="{00000004-2B58-46A3-B685-0A11942FEC0B}"/>
            </c:ext>
          </c:extLst>
        </c:ser>
        <c:ser>
          <c:idx val="5"/>
          <c:order val="5"/>
          <c:tx>
            <c:strRef>
              <c:f>'Fig 10'!$A$8</c:f>
              <c:strCache>
                <c:ptCount val="1"/>
                <c:pt idx="0">
                  <c:v>Cabo Verde</c:v>
                </c:pt>
              </c:strCache>
            </c:strRef>
          </c:tx>
          <c:spPr>
            <a:solidFill>
              <a:schemeClr val="accent6"/>
            </a:solidFill>
            <a:ln>
              <a:noFill/>
            </a:ln>
            <a:effectLst/>
          </c:spPr>
          <c:invertIfNegative val="0"/>
          <c:cat>
            <c:numRef>
              <c:f>'Fig 10'!$B$2:$E$2</c:f>
              <c:numCache>
                <c:formatCode>General</c:formatCode>
                <c:ptCount val="4"/>
                <c:pt idx="0">
                  <c:v>2019</c:v>
                </c:pt>
                <c:pt idx="1">
                  <c:v>2020</c:v>
                </c:pt>
                <c:pt idx="2">
                  <c:v>2021</c:v>
                </c:pt>
                <c:pt idx="3">
                  <c:v>2022</c:v>
                </c:pt>
              </c:numCache>
            </c:numRef>
          </c:cat>
          <c:val>
            <c:numRef>
              <c:f>'Fig 10'!$B$8:$E$8</c:f>
              <c:numCache>
                <c:formatCode>#,##0,</c:formatCode>
                <c:ptCount val="4"/>
                <c:pt idx="0">
                  <c:v>61239.96</c:v>
                </c:pt>
                <c:pt idx="1">
                  <c:v>53756.919000000002</c:v>
                </c:pt>
                <c:pt idx="2">
                  <c:v>56399.097999999998</c:v>
                </c:pt>
                <c:pt idx="3">
                  <c:v>55653.841999999997</c:v>
                </c:pt>
              </c:numCache>
            </c:numRef>
          </c:val>
          <c:extLst>
            <c:ext xmlns:c16="http://schemas.microsoft.com/office/drawing/2014/chart" uri="{C3380CC4-5D6E-409C-BE32-E72D297353CC}">
              <c16:uniqueId val="{00000005-2B58-46A3-B685-0A11942FEC0B}"/>
            </c:ext>
          </c:extLst>
        </c:ser>
        <c:ser>
          <c:idx val="6"/>
          <c:order val="6"/>
          <c:tx>
            <c:strRef>
              <c:f>'Fig 10'!$A$9</c:f>
              <c:strCache>
                <c:ptCount val="1"/>
                <c:pt idx="0">
                  <c:v>Bolivia</c:v>
                </c:pt>
              </c:strCache>
            </c:strRef>
          </c:tx>
          <c:spPr>
            <a:solidFill>
              <a:schemeClr val="accent1">
                <a:lumMod val="60000"/>
              </a:schemeClr>
            </a:solidFill>
            <a:ln>
              <a:noFill/>
            </a:ln>
            <a:effectLst/>
          </c:spPr>
          <c:invertIfNegative val="0"/>
          <c:cat>
            <c:numRef>
              <c:f>'Fig 10'!$B$2:$E$2</c:f>
              <c:numCache>
                <c:formatCode>General</c:formatCode>
                <c:ptCount val="4"/>
                <c:pt idx="0">
                  <c:v>2019</c:v>
                </c:pt>
                <c:pt idx="1">
                  <c:v>2020</c:v>
                </c:pt>
                <c:pt idx="2">
                  <c:v>2021</c:v>
                </c:pt>
                <c:pt idx="3">
                  <c:v>2022</c:v>
                </c:pt>
              </c:numCache>
            </c:numRef>
          </c:cat>
          <c:val>
            <c:numRef>
              <c:f>'Fig 10'!$B$9:$E$9</c:f>
              <c:numCache>
                <c:formatCode>#,##0,</c:formatCode>
                <c:ptCount val="4"/>
                <c:pt idx="0">
                  <c:v>78202.914000000004</c:v>
                </c:pt>
                <c:pt idx="1">
                  <c:v>38120.934999999998</c:v>
                </c:pt>
                <c:pt idx="2">
                  <c:v>50263.919000000002</c:v>
                </c:pt>
                <c:pt idx="3">
                  <c:v>58641.582000000002</c:v>
                </c:pt>
              </c:numCache>
            </c:numRef>
          </c:val>
          <c:extLst>
            <c:ext xmlns:c16="http://schemas.microsoft.com/office/drawing/2014/chart" uri="{C3380CC4-5D6E-409C-BE32-E72D297353CC}">
              <c16:uniqueId val="{00000006-2B58-46A3-B685-0A11942FEC0B}"/>
            </c:ext>
          </c:extLst>
        </c:ser>
        <c:ser>
          <c:idx val="7"/>
          <c:order val="7"/>
          <c:tx>
            <c:strRef>
              <c:f>'Fig 10'!$A$10</c:f>
              <c:strCache>
                <c:ptCount val="1"/>
                <c:pt idx="0">
                  <c:v>Mongolia</c:v>
                </c:pt>
              </c:strCache>
            </c:strRef>
          </c:tx>
          <c:spPr>
            <a:solidFill>
              <a:schemeClr val="accent2">
                <a:lumMod val="60000"/>
              </a:schemeClr>
            </a:solidFill>
            <a:ln>
              <a:noFill/>
            </a:ln>
            <a:effectLst/>
          </c:spPr>
          <c:invertIfNegative val="0"/>
          <c:cat>
            <c:numRef>
              <c:f>'Fig 10'!$B$2:$E$2</c:f>
              <c:numCache>
                <c:formatCode>General</c:formatCode>
                <c:ptCount val="4"/>
                <c:pt idx="0">
                  <c:v>2019</c:v>
                </c:pt>
                <c:pt idx="1">
                  <c:v>2020</c:v>
                </c:pt>
                <c:pt idx="2">
                  <c:v>2021</c:v>
                </c:pt>
                <c:pt idx="3">
                  <c:v>2022</c:v>
                </c:pt>
              </c:numCache>
            </c:numRef>
          </c:cat>
          <c:val>
            <c:numRef>
              <c:f>'Fig 10'!$B$10:$E$10</c:f>
              <c:numCache>
                <c:formatCode>#,##0,</c:formatCode>
                <c:ptCount val="4"/>
                <c:pt idx="0">
                  <c:v>14060.21</c:v>
                </c:pt>
                <c:pt idx="1">
                  <c:v>14055.706</c:v>
                </c:pt>
                <c:pt idx="2">
                  <c:v>12962.645</c:v>
                </c:pt>
                <c:pt idx="3">
                  <c:v>23523.144</c:v>
                </c:pt>
              </c:numCache>
            </c:numRef>
          </c:val>
          <c:extLst>
            <c:ext xmlns:c16="http://schemas.microsoft.com/office/drawing/2014/chart" uri="{C3380CC4-5D6E-409C-BE32-E72D297353CC}">
              <c16:uniqueId val="{00000007-2B58-46A3-B685-0A11942FEC0B}"/>
            </c:ext>
          </c:extLst>
        </c:ser>
        <c:ser>
          <c:idx val="8"/>
          <c:order val="8"/>
          <c:tx>
            <c:strRef>
              <c:f>'Fig 10'!$A$11</c:f>
              <c:strCache>
                <c:ptCount val="1"/>
                <c:pt idx="0">
                  <c:v>Kyrgyz Republic</c:v>
                </c:pt>
              </c:strCache>
            </c:strRef>
          </c:tx>
          <c:spPr>
            <a:solidFill>
              <a:schemeClr val="accent3">
                <a:lumMod val="60000"/>
              </a:schemeClr>
            </a:solidFill>
            <a:ln>
              <a:noFill/>
            </a:ln>
            <a:effectLst/>
          </c:spPr>
          <c:invertIfNegative val="0"/>
          <c:cat>
            <c:numRef>
              <c:f>'Fig 10'!$B$2:$E$2</c:f>
              <c:numCache>
                <c:formatCode>General</c:formatCode>
                <c:ptCount val="4"/>
                <c:pt idx="0">
                  <c:v>2019</c:v>
                </c:pt>
                <c:pt idx="1">
                  <c:v>2020</c:v>
                </c:pt>
                <c:pt idx="2">
                  <c:v>2021</c:v>
                </c:pt>
                <c:pt idx="3">
                  <c:v>2022</c:v>
                </c:pt>
              </c:numCache>
            </c:numRef>
          </c:cat>
          <c:val>
            <c:numRef>
              <c:f>'Fig 10'!$B$11:$E$11</c:f>
              <c:numCache>
                <c:formatCode>#,##0,</c:formatCode>
                <c:ptCount val="4"/>
                <c:pt idx="0">
                  <c:v>4527.1080000000002</c:v>
                </c:pt>
                <c:pt idx="1">
                  <c:v>3536.9409999999998</c:v>
                </c:pt>
                <c:pt idx="2">
                  <c:v>3068.8139999999999</c:v>
                </c:pt>
                <c:pt idx="3">
                  <c:v>7682.12</c:v>
                </c:pt>
              </c:numCache>
            </c:numRef>
          </c:val>
          <c:extLst>
            <c:ext xmlns:c16="http://schemas.microsoft.com/office/drawing/2014/chart" uri="{C3380CC4-5D6E-409C-BE32-E72D297353CC}">
              <c16:uniqueId val="{00000008-2B58-46A3-B685-0A11942FEC0B}"/>
            </c:ext>
          </c:extLst>
        </c:ser>
        <c:ser>
          <c:idx val="9"/>
          <c:order val="9"/>
          <c:tx>
            <c:strRef>
              <c:f>'Fig 10'!$A$12</c:f>
              <c:strCache>
                <c:ptCount val="1"/>
                <c:pt idx="0">
                  <c:v>Others</c:v>
                </c:pt>
              </c:strCache>
            </c:strRef>
          </c:tx>
          <c:spPr>
            <a:solidFill>
              <a:schemeClr val="accent4">
                <a:lumMod val="60000"/>
              </a:schemeClr>
            </a:solidFill>
            <a:ln>
              <a:noFill/>
            </a:ln>
            <a:effectLst/>
          </c:spPr>
          <c:invertIfNegative val="0"/>
          <c:cat>
            <c:numRef>
              <c:f>'Fig 10'!$B$2:$E$2</c:f>
              <c:numCache>
                <c:formatCode>General</c:formatCode>
                <c:ptCount val="4"/>
                <c:pt idx="0">
                  <c:v>2019</c:v>
                </c:pt>
                <c:pt idx="1">
                  <c:v>2020</c:v>
                </c:pt>
                <c:pt idx="2">
                  <c:v>2021</c:v>
                </c:pt>
                <c:pt idx="3">
                  <c:v>2022</c:v>
                </c:pt>
              </c:numCache>
            </c:numRef>
          </c:cat>
          <c:val>
            <c:numRef>
              <c:f>'Fig 10'!$B$12:$E$12</c:f>
              <c:numCache>
                <c:formatCode>#,##0,</c:formatCode>
                <c:ptCount val="4"/>
                <c:pt idx="0">
                  <c:v>158030.19200000001</c:v>
                </c:pt>
                <c:pt idx="1">
                  <c:v>109470.501</c:v>
                </c:pt>
                <c:pt idx="2">
                  <c:v>122694.476</c:v>
                </c:pt>
                <c:pt idx="3">
                  <c:v>145500.68799999999</c:v>
                </c:pt>
              </c:numCache>
            </c:numRef>
          </c:val>
          <c:extLst>
            <c:ext xmlns:c16="http://schemas.microsoft.com/office/drawing/2014/chart" uri="{C3380CC4-5D6E-409C-BE32-E72D297353CC}">
              <c16:uniqueId val="{00000009-2B58-46A3-B685-0A11942FEC0B}"/>
            </c:ext>
          </c:extLst>
        </c:ser>
        <c:dLbls>
          <c:showLegendKey val="0"/>
          <c:showVal val="0"/>
          <c:showCatName val="0"/>
          <c:showSerName val="0"/>
          <c:showPercent val="0"/>
          <c:showBubbleSize val="0"/>
        </c:dLbls>
        <c:gapWidth val="150"/>
        <c:overlap val="100"/>
        <c:axId val="655973200"/>
        <c:axId val="655973680"/>
      </c:barChart>
      <c:catAx>
        <c:axId val="6559732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5973680"/>
        <c:crosses val="autoZero"/>
        <c:auto val="1"/>
        <c:lblAlgn val="ctr"/>
        <c:lblOffset val="100"/>
        <c:noMultiLvlLbl val="0"/>
      </c:catAx>
      <c:valAx>
        <c:axId val="65597368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597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3411946e-871e-4dff-9769-69ab50c1b020</Id>
  <Names>
    <Latin>
      <FirstName>Sabine</FirstName>
      <LastName>WEYAND</LastName>
    </Latin>
    <Greek>
      <FirstName/>
      <LastName/>
    </Greek>
    <Cyrillic>
      <FirstName/>
      <LastName/>
    </Cyrillic>
    <DocumentScript>
      <FirstName>Sabine</FirstName>
      <LastName>WEYAND</LastName>
      <FullName>Sabine WEYAND</FullName>
    </DocumentScript>
  </Names>
  <Initials>SW</Initials>
  <Gender>f</Gender>
  <Email>Sabine.Weyand@ec.europa.eu</Email>
  <Service>TRADE</Service>
  <Function ADCode="25" ShowInSignature="false" ShowInHeader="true" HeaderText="The Director-General">Director-General</Function>
  <WebAddress/>
  <FunctionalMailbox/>
  <InheritedWebAddress>http://europa.eu</InheritedWebAddress>
  <OrgaEntity1>
    <Id>d81a88b7-4665-4b16-8f66-68a5ae34d04d</Id>
    <LogicalLevel>1</LogicalLevel>
    <Name>TRADE</Name>
    <HeadLine1>DIRECTORATE-GENERAL FOR TRADE</HeadLine1>
    <HeadLine2/>
    <PrimaryAddressId>f03b5801-04c9-4931-aa17-c6d6c70bc579</PrimaryAddressId>
    <SecondaryAddressId/>
    <WebAddress/>
    <InheritedWebAddress>http://europa.eu</InheritedWebAddress>
    <ShowInHeader>true</ShowInHeader>
  </OrgaEntity1>
  <OrgaEntity2/>
  <OrgaEntity3/>
  <Hierarchy>
    <OrgaEntity>
      <Id>d81a88b7-4665-4b16-8f66-68a5ae34d04d</Id>
      <LogicalLevel>1</LogicalLevel>
      <Name>TRADE</Name>
      <HeadLine1>DIRECTORATE-GENERAL FOR TRADE</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+32 229-60143</Phone>
    <Office>CHAR 07/067</Office>
  </MainWorkplace>
  <Workplaces>
    <Workplace IsMain="true">
      <AddressId>f03b5801-04c9-4931-aa17-c6d6c70bc579</AddressId>
      <Fax/>
      <Phone>+32 229-60143</Phone>
      <Office>CHAR 07/067</Office>
    </Workplace>
    <Workplace IsMain="false">
      <AddressId>1264fb81-f6bb-475e-9f9d-a937d3be6ee2</AddressId>
      <Fax/>
      <Phone/>
      <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69AEFECD58E12647A8A9709A2BFC770E" ma:contentTypeVersion="1" ma:contentTypeDescription="Create a new document." ma:contentTypeScope="" ma:versionID="561dfa2353453e03240b4b885fe90888">
  <xsd:schema xmlns:xsd="http://www.w3.org/2001/XMLSchema" xmlns:xs="http://www.w3.org/2001/XMLSchema" xmlns:p="http://schemas.microsoft.com/office/2006/metadata/properties" xmlns:ns2="a88de467-00bc-41ba-b51a-f4e5f608e1eb" targetNamespace="http://schemas.microsoft.com/office/2006/metadata/properties" ma:root="true" ma:fieldsID="8c46b906f381744ee07578e83f1bb5b2" ns2:_="">
    <xsd:import namespace="a88de467-00bc-41ba-b51a-f4e5f608e1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e467-00bc-41ba-b51a-f4e5f608e1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EurolookProperties>
  <ProductCustomizationId>EC</ProductCustomizationId>
  <Created>
    <Version>10.0.43517.0</Version>
    <Date>2022-09-29T16:53:25</Date>
    <Language>EN</Language>
    <Note/>
  </Created>
  <Edited>
    <Version/>
    <Date/>
  </Edited>
  <DocumentModel>
    <Id>6cbda13a-4db2-46c6-876a-ef72275827ef</Id>
    <Name>Report</Name>
  </DocumentModel>
  <DocumentDate>2022-09-29T16:53:25</DocumentDate>
  <DocumentVersion>0.1</DocumentVersion>
  <CompatibilityMode>Eurolook10</CompatibilityMode>
  <DocumentMetadata>
    <EC_SecurityMarking MetadataSerializationType="SimpleValue"/>
    <EC_SecurityDateMarkingDate MetadataSerializationType="SimpleValue"/>
    <EC_SecurityDateMarkingEvent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E7B3-3AA8-44AE-9C93-C57F75C5E834}">
  <ds:schemaRefs>
    <ds:schemaRef ds:uri="http://schemas.microsoft.com/sharepoint/v3/contenttype/forms"/>
  </ds:schemaRefs>
</ds:datastoreItem>
</file>

<file path=customXml/itemProps2.xml><?xml version="1.0" encoding="utf-8"?>
<ds:datastoreItem xmlns:ds="http://schemas.openxmlformats.org/officeDocument/2006/customXml" ds:itemID="{131777F9-7637-4F48-8506-B489B6632CBA}">
  <ds:schemaRefs/>
</ds:datastoreItem>
</file>

<file path=customXml/itemProps3.xml><?xml version="1.0" encoding="utf-8"?>
<ds:datastoreItem xmlns:ds="http://schemas.openxmlformats.org/officeDocument/2006/customXml" ds:itemID="{15173145-FC36-4B75-85AB-11A9605B5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e467-00bc-41ba-b51a-f4e5f608e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830EE-35FB-45A9-BE44-34A404525A1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49038974-D2E7-40FE-BAB1-3637BBE4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7901</Words>
  <Characters>44325</Characters>
  <Application>Microsoft Office Word</Application>
  <DocSecurity>0</DocSecurity>
  <PresentationFormat>Microsoft Word 14.0</PresentationFormat>
  <Lines>681</Lines>
  <Paragraphs>130</Paragraphs>
  <ScaleCrop>true</ScaleCrop>
  <HeadingPairs>
    <vt:vector size="4" baseType="variant">
      <vt:variant>
        <vt:lpstr>Titel</vt:lpstr>
      </vt:variant>
      <vt:variant>
        <vt:i4>1</vt:i4>
      </vt:variant>
      <vt:variant>
        <vt:lpstr>Title</vt:lpstr>
      </vt:variant>
      <vt:variant>
        <vt:i4>1</vt:i4>
      </vt:variant>
    </vt:vector>
  </HeadingPairs>
  <TitlesOfParts>
    <vt:vector size="2" baseType="lpstr">
      <vt:lpstr>JOINT REPORT TO THE EUROPEAN PARLIAMENT AND THE COUNCIL</vt:lpstr>
      <vt:lpstr>JOINT REPORT TO THE EUROPEAN PARLIAMENT AND THE COUNCIL</vt:lpstr>
    </vt:vector>
  </TitlesOfParts>
  <Manager/>
  <Company/>
  <LinksUpToDate>false</LinksUpToDate>
  <CharactersWithSpaces>52096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REPORT TO THE EUROPEAN PARLIAMENT AND THE COUNCIL</dc:title>
  <dc:subject>REPORT ON THE GENERALISED SCHEME OF PREFERENCES COVERING THE PERIOD 2020-2022</dc:subject>
  <dc:creator/>
  <cp:keywords/>
  <dc:description/>
  <cp:lastModifiedBy>EC CoDe</cp:lastModifiedBy>
  <cp:revision>33</cp:revision>
  <dcterms:created xsi:type="dcterms:W3CDTF">2023-10-18T16:24:00Z</dcterms:created>
  <dcterms:modified xsi:type="dcterms:W3CDTF">2023-11-17T10:21:00Z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2022-09-29T14:53:26Z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b711b5d1-c4e7-4eef-a3f4-096402308d5a</vt:lpwstr>
  </property>
  <property fmtid="{D5CDD505-2E9C-101B-9397-08002B2CF9AE}" pid="8" name="MSIP_Label_6bd9ddd1-4d20-43f6-abfa-fc3c07406f94_ContentBits">
    <vt:lpwstr>0</vt:lpwstr>
  </property>
  <property fmtid="{D5CDD505-2E9C-101B-9397-08002B2CF9AE}" pid="9" name="ContentTypeId">
    <vt:lpwstr>0x01010069AEFECD58E12647A8A9709A2BFC770E</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CP-018</vt:lpwstr>
  </property>
  <property fmtid="{D5CDD505-2E9C-101B-9397-08002B2CF9AE}" pid="17" name="Last edited using">
    <vt:lpwstr>LW 9.0, Build 20230317</vt:lpwstr>
  </property>
  <property fmtid="{D5CDD505-2E9C-101B-9397-08002B2CF9AE}" pid="18" name="Created using">
    <vt:lpwstr>LW 9.0, Build 20230317</vt:lpwstr>
  </property>
</Properties>
</file>