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E723A" w14:textId="48103374" w:rsidR="00235E11" w:rsidRDefault="00A66332" w:rsidP="00A66332">
      <w:pPr>
        <w:pStyle w:val="Pagedecouverture"/>
        <w:rPr>
          <w:noProof/>
        </w:rPr>
      </w:pPr>
      <w:bookmarkStart w:id="0" w:name="LW_BM_COVERPAGE"/>
      <w:r>
        <w:rPr>
          <w:noProof/>
        </w:rPr>
        <w:pict w14:anchorId="449CA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5E60FC8B-4EBA-43BB-AD45-25AC9DEA4E8C" style="width:455.25pt;height:410.25pt">
            <v:imagedata r:id="rId11" o:title=""/>
          </v:shape>
        </w:pict>
      </w:r>
    </w:p>
    <w:bookmarkEnd w:id="0"/>
    <w:p w14:paraId="2D1AB8EF" w14:textId="77777777" w:rsidR="00235E11" w:rsidRDefault="00235E11">
      <w:pPr>
        <w:rPr>
          <w:noProof/>
        </w:rPr>
        <w:sectPr w:rsidR="00235E11" w:rsidSect="00A6633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DE9C509" w14:textId="29D19D35" w:rsidR="00235E11" w:rsidRDefault="00F837E4">
      <w:pPr>
        <w:pStyle w:val="Heading1"/>
        <w:tabs>
          <w:tab w:val="clear" w:pos="850"/>
        </w:tabs>
        <w:spacing w:before="120"/>
        <w:ind w:left="0" w:firstLine="0"/>
        <w:jc w:val="center"/>
        <w:rPr>
          <w:noProof/>
        </w:rPr>
      </w:pPr>
      <w:bookmarkStart w:id="1" w:name="_GoBack"/>
      <w:bookmarkEnd w:id="1"/>
      <w:r>
        <w:rPr>
          <w:noProof/>
        </w:rPr>
        <w:lastRenderedPageBreak/>
        <w:t>ПРИЛОЖЕНИЕ</w:t>
      </w:r>
    </w:p>
    <w:p w14:paraId="6988C27C" w14:textId="77777777" w:rsidR="00235E11" w:rsidRDefault="00235E11">
      <w:pPr>
        <w:pStyle w:val="Text1"/>
        <w:rPr>
          <w:noProof/>
        </w:rPr>
      </w:pPr>
    </w:p>
    <w:p w14:paraId="3821781D" w14:textId="72C36AEC" w:rsidR="00235E11" w:rsidRDefault="00F837E4">
      <w:pPr>
        <w:pStyle w:val="Heading1"/>
        <w:tabs>
          <w:tab w:val="clear" w:pos="850"/>
        </w:tabs>
        <w:spacing w:before="120"/>
        <w:ind w:left="0" w:firstLine="0"/>
        <w:rPr>
          <w:b w:val="0"/>
          <w:noProof/>
        </w:rPr>
      </w:pPr>
      <w:r>
        <w:rPr>
          <w:noProof/>
        </w:rPr>
        <w:t>РАЗДЕЛ 1: РЕФОРМИ И ИНВЕСТИЦИИ В РАМКИТЕ НА ПЛАНА ЗА ВЪЗСТАНОВЯВАНЕ И УСТОЙЧИВОСТ</w:t>
      </w:r>
    </w:p>
    <w:p w14:paraId="4D43DAF2" w14:textId="4F72D440" w:rsidR="00235E11" w:rsidRDefault="00F837E4">
      <w:pPr>
        <w:pStyle w:val="Heading1"/>
        <w:numPr>
          <w:ilvl w:val="0"/>
          <w:numId w:val="39"/>
        </w:numPr>
        <w:rPr>
          <w:noProof/>
        </w:rPr>
      </w:pPr>
      <w:r>
        <w:rPr>
          <w:noProof/>
        </w:rPr>
        <w:t>Описание на реформите и инвестициите</w:t>
      </w:r>
    </w:p>
    <w:p w14:paraId="3F3341F7" w14:textId="6E613914" w:rsidR="00235E11" w:rsidRDefault="00F837E4">
      <w:pPr>
        <w:pStyle w:val="ManualHeading1"/>
        <w:spacing w:before="120"/>
        <w:ind w:left="0" w:firstLine="0"/>
        <w:rPr>
          <w:noProof/>
        </w:rPr>
      </w:pPr>
      <w:r>
        <w:rPr>
          <w:noProof/>
        </w:rPr>
        <w:t>А. КОМПОНЕНТ 1.1: Обновяване</w:t>
      </w:r>
    </w:p>
    <w:p w14:paraId="2C768895" w14:textId="77777777" w:rsidR="00235E11" w:rsidRDefault="00F837E4">
      <w:pPr>
        <w:pStyle w:val="Text1"/>
        <w:ind w:left="0"/>
        <w:rPr>
          <w:noProof/>
        </w:rPr>
      </w:pPr>
      <w:r>
        <w:rPr>
          <w:noProof/>
        </w:rPr>
        <w:t xml:space="preserve">Този компонент на белгийския план за възстановяване и устойчивост е съсредоточен върху санирането на частни и обществени сгради. Основната цел на компонента е да се санира съществуващият сграден фонд и той да стане по-ефективен по отношение на енергията и ресурсите. Те включват по-специално обществените сгради, социалната инфраструктура и жилищното настаняване, както и по-общо сградите с по-ниски енергийни характеристики по отношение на енергийната ефективност. Поради това този компонент допринася за намаляване на емисиите на парникови газове, увеличаване на възможностите за работни места и растеж в устойчивото строителство, както и за социалната устойчивост чрез намаляване на сметките за енергия. </w:t>
      </w:r>
    </w:p>
    <w:p w14:paraId="5A628C87" w14:textId="77777777" w:rsidR="00235E11" w:rsidRDefault="00F837E4">
      <w:pPr>
        <w:pStyle w:val="Text1"/>
        <w:ind w:left="0"/>
        <w:rPr>
          <w:noProof/>
        </w:rPr>
      </w:pPr>
      <w:r>
        <w:rPr>
          <w:noProof/>
        </w:rPr>
        <w:t xml:space="preserve">Компонентът допринася за изпълнението на специфична за всяка държава препоръка 2019.3, в която Белгия се призовава да съсредоточи свързаната с инвестициите икономическа политика върху, </w:t>
      </w:r>
      <w:r>
        <w:rPr>
          <w:i/>
          <w:noProof/>
        </w:rPr>
        <w:t>наред с другото</w:t>
      </w:r>
      <w:r>
        <w:rPr>
          <w:noProof/>
        </w:rPr>
        <w:t>, прехода към ниски въглеродни емисии и енергийния преход.</w:t>
      </w:r>
    </w:p>
    <w:p w14:paraId="11B5ED10"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0B54465F" w14:textId="77777777" w:rsidR="00235E11" w:rsidRDefault="00F837E4">
      <w:pPr>
        <w:pStyle w:val="P68B1DB1-Normal1"/>
        <w:spacing w:before="120" w:after="120"/>
        <w:rPr>
          <w:noProof/>
        </w:rPr>
      </w:pPr>
      <w:r>
        <w:rPr>
          <w:noProof/>
        </w:rPr>
        <w:t xml:space="preserve">А.1. </w:t>
      </w:r>
      <w:r>
        <w:rPr>
          <w:noProof/>
        </w:rPr>
        <w:tab/>
        <w:t>Описание на реформите и инвестициите за безвъзмездна финансова подкрепа</w:t>
      </w:r>
    </w:p>
    <w:p w14:paraId="3B1C6FE5" w14:textId="77777777" w:rsidR="00235E11" w:rsidRDefault="00F837E4">
      <w:pPr>
        <w:pStyle w:val="P68B1DB1-Text12"/>
        <w:tabs>
          <w:tab w:val="left" w:pos="6525"/>
        </w:tabs>
        <w:ind w:left="0"/>
        <w:rPr>
          <w:noProof/>
        </w:rPr>
      </w:pPr>
      <w:r>
        <w:rPr>
          <w:noProof/>
        </w:rPr>
        <w:t>Реформа R-1.01: „Подобрена схема за енергийни субсидии“ на Фламандския регион</w:t>
      </w:r>
    </w:p>
    <w:p w14:paraId="4CFD85AC" w14:textId="72BBF887" w:rsidR="00235E11" w:rsidRDefault="00F837E4">
      <w:pPr>
        <w:pStyle w:val="P68B1DB1-Text13"/>
        <w:tabs>
          <w:tab w:val="left" w:pos="6525"/>
        </w:tabs>
        <w:ind w:left="0"/>
        <w:rPr>
          <w:noProof/>
        </w:rPr>
      </w:pPr>
      <w:r>
        <w:rPr>
          <w:noProof/>
        </w:rPr>
        <w:t>Мярката се състои от три подреформи и три подинвестиции, чиято обща цел е да се осигурят по-ефективни стимули за саниране и да се ускорят частните инвестиции в енергийна ефективност във Фландрия. Първата подреформа се състои от i) създаването на единна схема, която позволява предоставянето на субсидии за енергийна ефективност и възобновяема енергия. В резултат на тази подреформа ще бъде създадено обслужване на едно гише, което ще бъде на разположение от октомври 2022 г. Подреформа ii) съдържа преразглеждане на схемата за енергийно етикетиране в подкрепа на енергийно ефективното саниране. Подреформа iii) съдържа преразглеждане на схемата за подпомагане на санирането с цел интелигентно управление на термопомпи, електрически котли, отопление и битови батерии за акумулиране на електроенергия. Трите подреформи влизат в сила до 1 април 2022 г. Реформата се придружава от три подинвестиции като част от инвестиция 1А: I) субсидии за енергийна ефективност и енергия от възобновяеми източници, както и субсидии по целеви групи за частни жилища, съпътстващи подинвестициите, съпътстващи подинвестицията (i); II) подкрепа чрез схемата за енергийно етикетиране за енергийно ефективно саниране на частни жилища, придружаваща подреформа ii); III) подкрепа за схема за безвъзмездни средства за домашни акумулаторни батерии за частни жилища, придружаваща подреформа (iii).</w:t>
      </w:r>
    </w:p>
    <w:p w14:paraId="34FDFD63" w14:textId="77777777" w:rsidR="00235E11" w:rsidRDefault="00F837E4">
      <w:pPr>
        <w:pStyle w:val="P68B1DB1-Text12"/>
        <w:ind w:left="0"/>
        <w:rPr>
          <w:noProof/>
        </w:rPr>
      </w:pPr>
      <w:r>
        <w:rPr>
          <w:noProof/>
        </w:rPr>
        <w:t>Реформа R-1.02: „Подобрена схема за енергийни субсидии“ на регион Брюксел-столица</w:t>
      </w:r>
    </w:p>
    <w:p w14:paraId="7296E670" w14:textId="60CE0972" w:rsidR="00235E11" w:rsidRDefault="00F837E4">
      <w:pPr>
        <w:pStyle w:val="P68B1DB1-Bodytext214"/>
        <w:shd w:val="clear" w:color="auto" w:fill="auto"/>
        <w:spacing w:before="120" w:after="120" w:line="240" w:lineRule="auto"/>
        <w:ind w:firstLine="0"/>
        <w:rPr>
          <w:noProof/>
        </w:rPr>
      </w:pPr>
      <w:r>
        <w:rPr>
          <w:noProof/>
        </w:rPr>
        <w:t>Тази реформа се състои в реформиране и сливане на енергийните премии и премиите за обновяване на жилищата в единен регионален механизъм за физическите лица, считано от 2022 г. Благодарение на единната система гражданите ще имат по-ясна представа за сумата, на която имат право за ремонтните си дейности, и ще се стремят към опростяване на административните процедури за получаване на финансова подкрепа чрез регионални премии. Само един регионален уеб портал информира кандидатите за наличните премии и има само една цифровизирана процедура за гражданите. Съпътстващата инвестиция като част от инвестиция 1А подпомага санирането с цел повишаване на енергийната ефективност. Регламентът за реформиране на схемите за отпускане на безвъзмездни средства в областта на енергетиката за жилищно и частно саниране в регион Брюксел-столица влиза в сила до 31 март 2022 г.</w:t>
      </w:r>
    </w:p>
    <w:p w14:paraId="22133ADE" w14:textId="77777777" w:rsidR="00235E11" w:rsidRDefault="00F837E4">
      <w:pPr>
        <w:pStyle w:val="P68B1DB1-Text12"/>
        <w:ind w:left="0"/>
        <w:rPr>
          <w:noProof/>
        </w:rPr>
      </w:pPr>
      <w:r>
        <w:rPr>
          <w:noProof/>
        </w:rPr>
        <w:t>Реформа R-1.03: „Подобрена схема за енергийни субсидии“ на немскоезичната общност</w:t>
      </w:r>
    </w:p>
    <w:p w14:paraId="56C62AF1" w14:textId="1A3E8F12" w:rsidR="00235E11" w:rsidRDefault="00F837E4">
      <w:pPr>
        <w:pStyle w:val="Text1"/>
        <w:ind w:left="0"/>
        <w:rPr>
          <w:noProof/>
          <w:color w:val="000000" w:themeColor="text1"/>
        </w:rPr>
      </w:pPr>
      <w:r>
        <w:rPr>
          <w:noProof/>
          <w:color w:val="000000" w:themeColor="text1"/>
        </w:rPr>
        <w:t>Мярката въвежда нова система за енергийни премии в немскоезичната общност, считано от юли 2021 г.</w:t>
      </w:r>
      <w:r>
        <w:rPr>
          <w:noProof/>
        </w:rPr>
        <w:t xml:space="preserve"> Целта на </w:t>
      </w:r>
      <w:r>
        <w:rPr>
          <w:noProof/>
          <w:color w:val="000000" w:themeColor="text1"/>
        </w:rPr>
        <w:t>проекта „бонус“ е по-специално да се създадат стимули за прилагане на мерки за енергоспестяване и намаляване на емисиите на въглероден диоксид за съществуващи жилищни сгради в немскоезичната общност. Целта на</w:t>
      </w:r>
      <w:r w:rsidR="00B22925">
        <w:rPr>
          <w:noProof/>
          <w:color w:val="000000" w:themeColor="text1"/>
          <w:lang w:val="en-US"/>
        </w:rPr>
        <w:t xml:space="preserve"> </w:t>
      </w:r>
      <w:r>
        <w:rPr>
          <w:noProof/>
        </w:rPr>
        <w:t xml:space="preserve">реформата е да се направи разграничение между малки произведения, като се даде възможност за опростен достъп до бонуси, и големи строителни работи, което изисква по-подробни административни процедури. </w:t>
      </w:r>
      <w:r>
        <w:rPr>
          <w:noProof/>
          <w:color w:val="000000" w:themeColor="text1"/>
        </w:rPr>
        <w:t>Регламентът за реформиране на схемите за отпускане на безвъзмездни средства в областта на енергетиката за жилищно и частно саниране в немскоезичната общност влиза в сила до 31 март 2022 г.</w:t>
      </w:r>
    </w:p>
    <w:p w14:paraId="0B6A46A8" w14:textId="77777777" w:rsidR="00235E11" w:rsidRDefault="00235E11">
      <w:pPr>
        <w:pStyle w:val="Text1"/>
        <w:ind w:left="0"/>
        <w:rPr>
          <w:noProof/>
          <w:color w:val="000000" w:themeColor="text1"/>
        </w:rPr>
      </w:pPr>
    </w:p>
    <w:p w14:paraId="07254C1D" w14:textId="77777777" w:rsidR="00235E11" w:rsidRDefault="00F837E4">
      <w:pPr>
        <w:pStyle w:val="P68B1DB1-Text12"/>
        <w:ind w:left="0"/>
        <w:rPr>
          <w:noProof/>
        </w:rPr>
      </w:pPr>
      <w:r>
        <w:rPr>
          <w:noProof/>
        </w:rPr>
        <w:t>Инвестиция 1А в „реновиране на частни и социални жилища“ (I-1A)</w:t>
      </w:r>
    </w:p>
    <w:p w14:paraId="3CE5A70A" w14:textId="1874F2E4" w:rsidR="00235E11" w:rsidRDefault="00F837E4">
      <w:pPr>
        <w:pStyle w:val="P68B1DB1-Text13"/>
        <w:ind w:left="0"/>
        <w:rPr>
          <w:noProof/>
        </w:rPr>
      </w:pPr>
      <w:r>
        <w:rPr>
          <w:noProof/>
        </w:rPr>
        <w:t xml:space="preserve">Целта на инвестицията е да се стимулира енергийно ефективното саниране на частните и социалните жилища. Изпълнението на инвестицията трябва да приключи до 30 юни 2025 г. Инвестицията се състои от следните седем подмерки: </w:t>
      </w:r>
    </w:p>
    <w:p w14:paraId="5145EE71" w14:textId="77777777" w:rsidR="00235E11" w:rsidRDefault="00F837E4">
      <w:pPr>
        <w:pStyle w:val="P68B1DB1-Text13"/>
        <w:numPr>
          <w:ilvl w:val="0"/>
          <w:numId w:val="41"/>
        </w:numPr>
        <w:contextualSpacing/>
        <w:rPr>
          <w:noProof/>
        </w:rPr>
      </w:pPr>
      <w:r>
        <w:rPr>
          <w:noProof/>
        </w:rPr>
        <w:t>Подинвестиция i), свързана с реформа R-1.01 i): субсидии за енергийна ефективност и възобновяема енергия, както и субсидии по целеви групи за частни жилища</w:t>
      </w:r>
    </w:p>
    <w:p w14:paraId="02D94DA8" w14:textId="46632153" w:rsidR="00235E11" w:rsidRDefault="00F837E4">
      <w:pPr>
        <w:pStyle w:val="P68B1DB1-Text13"/>
        <w:numPr>
          <w:ilvl w:val="0"/>
          <w:numId w:val="41"/>
        </w:numPr>
        <w:contextualSpacing/>
        <w:rPr>
          <w:noProof/>
        </w:rPr>
      </w:pPr>
      <w:r>
        <w:rPr>
          <w:rFonts w:eastAsia="Calibri"/>
          <w:noProof/>
        </w:rPr>
        <w:t xml:space="preserve">Подинвестиция ii), свързана с реформа R-101 ii): </w:t>
      </w:r>
      <w:r>
        <w:rPr>
          <w:noProof/>
        </w:rPr>
        <w:t>Подкрепа чрез схемата за енергийно етикетиране за енергийно ефективно саниране на частни жилища</w:t>
      </w:r>
    </w:p>
    <w:p w14:paraId="6584C905" w14:textId="640255E6" w:rsidR="00235E11" w:rsidRDefault="00F837E4">
      <w:pPr>
        <w:pStyle w:val="P68B1DB1-Text15"/>
        <w:numPr>
          <w:ilvl w:val="0"/>
          <w:numId w:val="41"/>
        </w:numPr>
        <w:contextualSpacing/>
        <w:rPr>
          <w:noProof/>
        </w:rPr>
      </w:pPr>
      <w:r>
        <w:rPr>
          <w:noProof/>
        </w:rPr>
        <w:t>Подинвестиция iii), свързана с реформа R-101 iii): Подкрепа за схема за безвъзмездни средства за домашни акумулаторни батерии за частни жилища.</w:t>
      </w:r>
    </w:p>
    <w:p w14:paraId="3220BE5B" w14:textId="77777777" w:rsidR="00235E11" w:rsidRDefault="00F837E4">
      <w:pPr>
        <w:pStyle w:val="P68B1DB1-Text13"/>
        <w:numPr>
          <w:ilvl w:val="0"/>
          <w:numId w:val="41"/>
        </w:numPr>
        <w:contextualSpacing/>
        <w:rPr>
          <w:noProof/>
        </w:rPr>
      </w:pPr>
      <w:r>
        <w:rPr>
          <w:noProof/>
        </w:rPr>
        <w:t>Подинвестиция, свързана с реформа R-1.02: „Подобрена схема за енергийни субсидии“ на регион Брюксел-столица</w:t>
      </w:r>
    </w:p>
    <w:p w14:paraId="27B696D4" w14:textId="6AE926E0" w:rsidR="00235E11" w:rsidRDefault="00F837E4">
      <w:pPr>
        <w:pStyle w:val="P68B1DB1-Text13"/>
        <w:numPr>
          <w:ilvl w:val="0"/>
          <w:numId w:val="41"/>
        </w:numPr>
        <w:contextualSpacing/>
        <w:rPr>
          <w:noProof/>
        </w:rPr>
      </w:pPr>
      <w:r>
        <w:rPr>
          <w:noProof/>
        </w:rPr>
        <w:t>Инвестиция I-1.01: „Обновяване на социални жилища“ на Фламандския регион</w:t>
      </w:r>
    </w:p>
    <w:p w14:paraId="7E13792F" w14:textId="758020C5" w:rsidR="00235E11" w:rsidRDefault="00F837E4">
      <w:pPr>
        <w:pStyle w:val="P68B1DB1-Text13"/>
        <w:numPr>
          <w:ilvl w:val="0"/>
          <w:numId w:val="41"/>
        </w:numPr>
        <w:contextualSpacing/>
        <w:rPr>
          <w:noProof/>
        </w:rPr>
      </w:pPr>
      <w:r>
        <w:rPr>
          <w:noProof/>
        </w:rPr>
        <w:t>Инвестиция I-1.02: „Обновяване на социални жилища“ на регион Брюксел-столица</w:t>
      </w:r>
    </w:p>
    <w:p w14:paraId="4C1D0A3E" w14:textId="77777777" w:rsidR="00235E11" w:rsidRDefault="00F837E4">
      <w:pPr>
        <w:pStyle w:val="P68B1DB1-Text13"/>
        <w:numPr>
          <w:ilvl w:val="0"/>
          <w:numId w:val="41"/>
        </w:numPr>
        <w:contextualSpacing/>
        <w:rPr>
          <w:noProof/>
        </w:rPr>
      </w:pPr>
      <w:r>
        <w:rPr>
          <w:noProof/>
        </w:rPr>
        <w:t>Инвестиция I-1.03: „Обновяване на социални жилища“ на немскоговорящата общност</w:t>
      </w:r>
    </w:p>
    <w:p w14:paraId="111EC445" w14:textId="77777777" w:rsidR="00235E11" w:rsidRDefault="00235E11">
      <w:pPr>
        <w:pStyle w:val="Text1"/>
        <w:ind w:left="0"/>
        <w:rPr>
          <w:noProof/>
          <w:color w:val="000000" w:themeColor="text1"/>
        </w:rPr>
      </w:pPr>
    </w:p>
    <w:p w14:paraId="645C3314" w14:textId="77777777" w:rsidR="00235E11" w:rsidRDefault="00F837E4">
      <w:pPr>
        <w:pStyle w:val="P68B1DB1-Text12"/>
        <w:ind w:left="0"/>
        <w:rPr>
          <w:noProof/>
        </w:rPr>
      </w:pPr>
      <w:r>
        <w:rPr>
          <w:noProof/>
        </w:rPr>
        <w:t>Инвестиция I-1.01: „Обновяване на социални жилища“ на Фламандския регион</w:t>
      </w:r>
    </w:p>
    <w:p w14:paraId="40205FF5" w14:textId="437A998B" w:rsidR="00235E11" w:rsidRDefault="00F837E4">
      <w:pPr>
        <w:pStyle w:val="P68B1DB1-Text13"/>
        <w:ind w:left="0"/>
        <w:rPr>
          <w:noProof/>
          <w:color w:val="000000"/>
        </w:rPr>
      </w:pPr>
      <w:r>
        <w:rPr>
          <w:noProof/>
        </w:rPr>
        <w:t>Целта на мярката е да се стимулира и ускори енергийното саниране на социалните жилища чрез увеличаване на подкрепата от Фламандския фонд за климата за дружествата за социално жилищно настаняване и Фламандския жилищен фонд. Санирането на социални жилища намалява средно най-малко 30 % от потреблението на първична енергия, както е определено в Препоръка (ЕС) 2019/786 на Комисията относно санирането на сгради.</w:t>
      </w:r>
    </w:p>
    <w:p w14:paraId="350DFDBD" w14:textId="77777777" w:rsidR="00235E11" w:rsidRDefault="00F837E4">
      <w:pPr>
        <w:pStyle w:val="P68B1DB1-Text12"/>
        <w:ind w:left="0"/>
        <w:rPr>
          <w:noProof/>
        </w:rPr>
      </w:pPr>
      <w:r>
        <w:rPr>
          <w:noProof/>
        </w:rPr>
        <w:t>Инвестиция I-1.02: „Обновяване на социални жилища“ на регион Брюксел-столица</w:t>
      </w:r>
    </w:p>
    <w:p w14:paraId="74CC1D4A" w14:textId="07CD15F0" w:rsidR="00235E11" w:rsidRDefault="00F837E4">
      <w:pPr>
        <w:pStyle w:val="Text1"/>
        <w:ind w:left="0"/>
        <w:rPr>
          <w:noProof/>
        </w:rPr>
      </w:pPr>
      <w:r>
        <w:rPr>
          <w:noProof/>
          <w:color w:val="000000" w:themeColor="text1"/>
        </w:rPr>
        <w:t>Тази мярка допринася за финансирането на санирането на социални жилища в Брюксел.</w:t>
      </w:r>
      <w:r>
        <w:rPr>
          <w:noProof/>
        </w:rPr>
        <w:t xml:space="preserve"> </w:t>
      </w:r>
      <w:r>
        <w:rPr>
          <w:noProof/>
          <w:color w:val="000000" w:themeColor="text1"/>
        </w:rPr>
        <w:t>Санирането на социални жилища намалява средно най-малко 30 % от потреблението на първична енергия, както е определено в Препоръка (ЕС) 2019/786 на Комисията относно санирането на сгради.</w:t>
      </w:r>
    </w:p>
    <w:p w14:paraId="558C93B9" w14:textId="77777777" w:rsidR="00235E11" w:rsidRDefault="00F837E4">
      <w:pPr>
        <w:pStyle w:val="P68B1DB1-Text12"/>
        <w:ind w:left="0"/>
        <w:rPr>
          <w:noProof/>
        </w:rPr>
      </w:pPr>
      <w:r>
        <w:rPr>
          <w:noProof/>
        </w:rPr>
        <w:t>Инвестиция I-1.03: „Обновяване на социални жилища“ на немскоговорящата общност</w:t>
      </w:r>
    </w:p>
    <w:p w14:paraId="1C8D2795" w14:textId="6D037569" w:rsidR="00235E11" w:rsidRDefault="00F837E4">
      <w:pPr>
        <w:pStyle w:val="Text1"/>
        <w:tabs>
          <w:tab w:val="left" w:pos="6525"/>
        </w:tabs>
        <w:ind w:left="0"/>
        <w:rPr>
          <w:noProof/>
        </w:rPr>
      </w:pPr>
      <w:r>
        <w:rPr>
          <w:noProof/>
        </w:rPr>
        <w:t>Мярката</w:t>
      </w:r>
      <w:r w:rsidR="00B22925">
        <w:rPr>
          <w:noProof/>
          <w:lang w:val="en-US"/>
        </w:rPr>
        <w:t xml:space="preserve"> </w:t>
      </w:r>
      <w:r>
        <w:rPr>
          <w:noProof/>
          <w:color w:val="000000" w:themeColor="text1"/>
        </w:rPr>
        <w:t xml:space="preserve">се състои в подкрепа на многогодишна програма за саниране в немскоезичната общност. Мярката подкрепя дяловото участие </w:t>
      </w:r>
      <w:r>
        <w:rPr>
          <w:noProof/>
        </w:rPr>
        <w:t>на немскоезичната общност в дружеството за социално жилищно настаняване „Öffentliche Wohnungsbaugesellschaft Ostbelgien“, което позволява осъществяването на програмата за инвестиции в социално жилищно настаняване. Санирането на социални жилища намалява средно най-малко 30 % от потреблението на първична енергия, както е определено в Препоръка (ЕС) 2019/786 на Комисията относно санирането на сгради.</w:t>
      </w:r>
    </w:p>
    <w:p w14:paraId="1E7BFBEE" w14:textId="77777777" w:rsidR="00235E11" w:rsidRDefault="00235E11">
      <w:pPr>
        <w:spacing w:before="120" w:after="120" w:line="240" w:lineRule="auto"/>
        <w:jc w:val="both"/>
        <w:rPr>
          <w:rFonts w:ascii="Times New Roman" w:hAnsi="Times New Roman" w:cs="Times New Roman"/>
          <w:noProof/>
          <w:sz w:val="24"/>
        </w:rPr>
      </w:pPr>
    </w:p>
    <w:p w14:paraId="157CAE5C" w14:textId="77777777" w:rsidR="00235E11" w:rsidRDefault="00F837E4">
      <w:pPr>
        <w:pStyle w:val="P68B1DB1-Text12"/>
        <w:tabs>
          <w:tab w:val="left" w:pos="6525"/>
        </w:tabs>
        <w:ind w:left="0"/>
        <w:rPr>
          <w:noProof/>
        </w:rPr>
      </w:pPr>
      <w:r>
        <w:rPr>
          <w:noProof/>
        </w:rPr>
        <w:t>Инвестиция 1Б „Обновяване на обществени сгради“ (I-1Б)</w:t>
      </w:r>
    </w:p>
    <w:p w14:paraId="6B39AB2D" w14:textId="77777777" w:rsidR="00235E11" w:rsidRDefault="00F837E4">
      <w:pPr>
        <w:pStyle w:val="P68B1DB1-Text13"/>
        <w:ind w:left="0"/>
        <w:rPr>
          <w:noProof/>
        </w:rPr>
      </w:pPr>
      <w:r>
        <w:rPr>
          <w:noProof/>
        </w:rPr>
        <w:t>Целта на инвестицията е да се санира и подобри енергийната ефективност на обществените сгради. Изпълнението на инвестицията трябва да приключи до 30 юни 2026 г. Инвестицията се състои от следните девет подмерки:</w:t>
      </w:r>
    </w:p>
    <w:p w14:paraId="1E68E08D" w14:textId="77777777" w:rsidR="00235E11" w:rsidRDefault="00F837E4">
      <w:pPr>
        <w:pStyle w:val="P68B1DB1-Text13"/>
        <w:numPr>
          <w:ilvl w:val="0"/>
          <w:numId w:val="37"/>
        </w:numPr>
        <w:ind w:left="0" w:firstLine="0"/>
        <w:contextualSpacing/>
        <w:rPr>
          <w:noProof/>
        </w:rPr>
      </w:pPr>
      <w:r>
        <w:rPr>
          <w:noProof/>
        </w:rPr>
        <w:t>Инвестиция I-1.04: „Обновяване на обществени сгради“ на федералната държава</w:t>
      </w:r>
    </w:p>
    <w:p w14:paraId="387B36CC" w14:textId="77777777" w:rsidR="00235E11" w:rsidRDefault="00F837E4">
      <w:pPr>
        <w:pStyle w:val="P68B1DB1-Text13"/>
        <w:numPr>
          <w:ilvl w:val="0"/>
          <w:numId w:val="37"/>
        </w:numPr>
        <w:ind w:left="0" w:firstLine="0"/>
        <w:contextualSpacing/>
        <w:rPr>
          <w:noProof/>
        </w:rPr>
      </w:pPr>
      <w:r>
        <w:rPr>
          <w:noProof/>
        </w:rPr>
        <w:t>Инвестиция I-1.05: „Обновяване на обществени сгради“ на Фламандския регион</w:t>
      </w:r>
    </w:p>
    <w:p w14:paraId="04B9A95C" w14:textId="77777777" w:rsidR="00235E11" w:rsidRDefault="00F837E4">
      <w:pPr>
        <w:pStyle w:val="P68B1DB1-Text13"/>
        <w:numPr>
          <w:ilvl w:val="0"/>
          <w:numId w:val="37"/>
        </w:numPr>
        <w:ind w:left="0" w:firstLine="0"/>
        <w:contextualSpacing/>
        <w:rPr>
          <w:noProof/>
        </w:rPr>
      </w:pPr>
      <w:r>
        <w:rPr>
          <w:noProof/>
        </w:rPr>
        <w:t>Инвестиция I-1.07: „Обновяване на обществени сгради — местни власти — спорт“ на Валонския регион</w:t>
      </w:r>
    </w:p>
    <w:p w14:paraId="61A2E0C6" w14:textId="77777777" w:rsidR="00235E11" w:rsidRDefault="00F837E4">
      <w:pPr>
        <w:pStyle w:val="P68B1DB1-Text13"/>
        <w:numPr>
          <w:ilvl w:val="0"/>
          <w:numId w:val="37"/>
        </w:numPr>
        <w:ind w:left="0" w:firstLine="0"/>
        <w:contextualSpacing/>
        <w:rPr>
          <w:noProof/>
        </w:rPr>
      </w:pPr>
      <w:r>
        <w:rPr>
          <w:noProof/>
        </w:rPr>
        <w:t>Инвестиция I-1.08: „Обновяване на обществени сгради“ на регион Брюксел-столица</w:t>
      </w:r>
    </w:p>
    <w:p w14:paraId="4095E82B" w14:textId="77777777" w:rsidR="00235E11" w:rsidRDefault="00F837E4">
      <w:pPr>
        <w:pStyle w:val="P68B1DB1-Text13"/>
        <w:numPr>
          <w:ilvl w:val="0"/>
          <w:numId w:val="37"/>
        </w:numPr>
        <w:ind w:left="0" w:firstLine="0"/>
        <w:contextualSpacing/>
        <w:rPr>
          <w:noProof/>
        </w:rPr>
      </w:pPr>
      <w:r>
        <w:rPr>
          <w:noProof/>
        </w:rPr>
        <w:t>Инвестиция I-1.09: „Обновяване на обществени сгради — училища“ на френската общност</w:t>
      </w:r>
    </w:p>
    <w:p w14:paraId="51F88419" w14:textId="77777777" w:rsidR="00235E11" w:rsidRDefault="00F837E4">
      <w:pPr>
        <w:pStyle w:val="P68B1DB1-Text13"/>
        <w:numPr>
          <w:ilvl w:val="0"/>
          <w:numId w:val="37"/>
        </w:numPr>
        <w:ind w:left="0" w:firstLine="0"/>
        <w:contextualSpacing/>
        <w:rPr>
          <w:noProof/>
        </w:rPr>
      </w:pPr>
      <w:r>
        <w:rPr>
          <w:noProof/>
        </w:rPr>
        <w:t>Инвестиция I-1.10: „Обновяване на обществени сгради — спорт — IPPJ“ на Френската общност</w:t>
      </w:r>
    </w:p>
    <w:p w14:paraId="45F0A20D" w14:textId="77777777" w:rsidR="00235E11" w:rsidRDefault="00F837E4">
      <w:pPr>
        <w:pStyle w:val="P68B1DB1-Text13"/>
        <w:numPr>
          <w:ilvl w:val="0"/>
          <w:numId w:val="37"/>
        </w:numPr>
        <w:ind w:left="0" w:firstLine="0"/>
        <w:contextualSpacing/>
        <w:rPr>
          <w:noProof/>
        </w:rPr>
      </w:pPr>
      <w:r>
        <w:rPr>
          <w:noProof/>
        </w:rPr>
        <w:t>Инвестиция I-1.11: „Обновяване на обществени сгради — университети“ на Френската общност</w:t>
      </w:r>
    </w:p>
    <w:p w14:paraId="3B85A6F0" w14:textId="77777777" w:rsidR="00235E11" w:rsidRDefault="00F837E4">
      <w:pPr>
        <w:pStyle w:val="P68B1DB1-Text13"/>
        <w:numPr>
          <w:ilvl w:val="0"/>
          <w:numId w:val="37"/>
        </w:numPr>
        <w:ind w:left="0" w:firstLine="0"/>
        <w:contextualSpacing/>
        <w:rPr>
          <w:noProof/>
        </w:rPr>
      </w:pPr>
      <w:r>
        <w:rPr>
          <w:noProof/>
        </w:rPr>
        <w:t>Инвестиция I-1.12: „Обновяване на обществени сгради — култура“ на Френската общност</w:t>
      </w:r>
    </w:p>
    <w:p w14:paraId="11621357" w14:textId="77777777" w:rsidR="00235E11" w:rsidRDefault="00235E11">
      <w:pPr>
        <w:pStyle w:val="Text1"/>
        <w:ind w:left="0"/>
        <w:rPr>
          <w:noProof/>
          <w:color w:val="000000" w:themeColor="text1"/>
        </w:rPr>
      </w:pPr>
    </w:p>
    <w:p w14:paraId="7A8CB563" w14:textId="77777777" w:rsidR="00235E11" w:rsidRDefault="00F837E4">
      <w:pPr>
        <w:pStyle w:val="P68B1DB1-Text12"/>
        <w:ind w:left="0"/>
        <w:rPr>
          <w:noProof/>
        </w:rPr>
      </w:pPr>
      <w:r>
        <w:rPr>
          <w:noProof/>
        </w:rPr>
        <w:t>Инвестиция I-1.04: „Обновяване на обществени сгради“ на федералната държава</w:t>
      </w:r>
    </w:p>
    <w:p w14:paraId="03178D6E" w14:textId="2FEFBABF" w:rsidR="00235E11" w:rsidRDefault="00F837E4">
      <w:pPr>
        <w:pStyle w:val="P68B1DB1-Text13"/>
        <w:ind w:left="0"/>
        <w:rPr>
          <w:noProof/>
        </w:rPr>
      </w:pPr>
      <w:r>
        <w:rPr>
          <w:noProof/>
        </w:rPr>
        <w:t>Инвестиционната мярка се състои в енергийно ефективно саниране на сградата на Брюкселската фондова борса. Това саниране може да бъде подкрепено и от други фондове на ЕС. Дейностите по енергийно ефективно саниране, подкрепени от МВУ и посочени в заявката за покупка, намаляват средно най-малко 30 % от потреблението на първична енергия, както е определено в Препоръка (ЕС) 2019/786 на Комисията относно санирането на сгради. Изпълнението на мярката трябва да приключи до 30 юни 2024 г.</w:t>
      </w:r>
    </w:p>
    <w:p w14:paraId="39996F2E" w14:textId="77777777" w:rsidR="00235E11" w:rsidRDefault="00F837E4">
      <w:pPr>
        <w:pStyle w:val="P68B1DB1-Text12"/>
        <w:ind w:left="0"/>
        <w:rPr>
          <w:noProof/>
        </w:rPr>
      </w:pPr>
      <w:r>
        <w:rPr>
          <w:noProof/>
        </w:rPr>
        <w:t>Инвестиция I-1.05: „Обновяване на обществени сгради“ на Фламандския регион</w:t>
      </w:r>
    </w:p>
    <w:p w14:paraId="4E4B16B9" w14:textId="1ADBF859" w:rsidR="00235E11" w:rsidRDefault="00F837E4">
      <w:pPr>
        <w:pStyle w:val="Text1"/>
        <w:ind w:left="0"/>
        <w:rPr>
          <w:noProof/>
          <w:color w:val="000000" w:themeColor="text1"/>
        </w:rPr>
      </w:pPr>
      <w:r>
        <w:rPr>
          <w:noProof/>
          <w:color w:val="000000" w:themeColor="text1"/>
        </w:rPr>
        <w:t xml:space="preserve">Инвестиционната мярка </w:t>
      </w:r>
      <w:r>
        <w:rPr>
          <w:noProof/>
        </w:rPr>
        <w:t>се състои в увеличаване на инвестициите в саниране на сградния фонд с цел ускоряване на енергийното саниране на обществените сгради. Подпомагането се предоставя чрез фламандската енергийна компания (Vlaams Energiebedrijf), която действа като централен орган за покупки и доставчик на услуги за други обществени услуги (по-специално централната администрация) в областта на свързаните с енергетиката услуги. Мярката включва i) действия за пряко подпомагане под формата на енергийно ефективни дейности и ii) непреки действия за подпомагане като енергийни обследвания. Изпълнението на мярката трябва да приключи до 30 юни 2026 г.</w:t>
      </w:r>
    </w:p>
    <w:p w14:paraId="389455C7" w14:textId="261F3832" w:rsidR="00235E11" w:rsidRDefault="00F837E4">
      <w:pPr>
        <w:pStyle w:val="P68B1DB1-Text12"/>
        <w:ind w:left="0"/>
        <w:rPr>
          <w:noProof/>
        </w:rPr>
      </w:pPr>
      <w:r>
        <w:rPr>
          <w:noProof/>
        </w:rPr>
        <w:t>Инвестиция I-1.07: „Обновяване на обществени сгради — местни власти — спорт“ на Валонския регион</w:t>
      </w:r>
    </w:p>
    <w:p w14:paraId="2DAB9886" w14:textId="21DF3C9C" w:rsidR="00235E11" w:rsidRDefault="00F837E4">
      <w:pPr>
        <w:pStyle w:val="P68B1DB1-Text13"/>
        <w:ind w:left="0"/>
        <w:rPr>
          <w:noProof/>
        </w:rPr>
      </w:pPr>
      <w:r>
        <w:rPr>
          <w:noProof/>
        </w:rPr>
        <w:t>Мярката има за цел да подобри енергийните характеристики на i) обществените сгради на местните органи и ii) спортната инфраструктура във Валонския регион. Подкрепата се предоставя чрез покана за представяне на кандидатури, отворена за местните органи и отговарящите на условията спортни структури. Санирането на обществени сгради на местните органи намалява потреблението на първична енергия средно с най-малко 30 %, както е определено в Препоръка (ЕС) 2019/786 на Комисията относно санирането на сгради. Изпълнението на мярката трябва да приключи до 30 юни 2026 г.</w:t>
      </w:r>
    </w:p>
    <w:p w14:paraId="2B070F5E" w14:textId="77777777" w:rsidR="00235E11" w:rsidRDefault="00F837E4">
      <w:pPr>
        <w:pStyle w:val="P68B1DB1-Text12"/>
        <w:ind w:left="0"/>
        <w:rPr>
          <w:noProof/>
        </w:rPr>
      </w:pPr>
      <w:r>
        <w:rPr>
          <w:noProof/>
        </w:rPr>
        <w:t>Инвестиция I-1.08: „Обновяване на обществени сгради“ на регион Брюксел-столица</w:t>
      </w:r>
    </w:p>
    <w:p w14:paraId="48E555F3" w14:textId="12B5E8CB" w:rsidR="00235E11" w:rsidRDefault="00F837E4">
      <w:pPr>
        <w:pStyle w:val="Text1"/>
        <w:ind w:left="0"/>
        <w:rPr>
          <w:noProof/>
          <w:color w:val="000000"/>
        </w:rPr>
      </w:pPr>
      <w:r>
        <w:rPr>
          <w:noProof/>
        </w:rPr>
        <w:t xml:space="preserve">Инвестиционната мярка </w:t>
      </w:r>
      <w:r>
        <w:rPr>
          <w:noProof/>
          <w:color w:val="000000" w:themeColor="text1"/>
        </w:rPr>
        <w:t>се състои от две части. Първо, разработването на обслужване на едно гише (управлявано от SIBELGA, оператор на електроразпределителната и газоразпределителната мрежа в регион Брюксел, в рамките на задължение за обществена услуга), за да се улесни и ускори основното енергийно саниране на обществените сгради на местните и регионалните власти в Брюксел. Наредбата за електроенергията, определяща мисията за обществена услуга на Sibelga, включително обслужването на едно гише за обществени ремонти в Брюксел, влиза в сила до 1 февруари 2022 г. Второ, енергийни субсидии за избраните обществени ремонтни дейности. Мярката намалява потреблението на първична енергия средно с най-малко 30 %, както е определено в Препоръка (ЕС) 2019/786 на Комисията относно санирането на сгради. Изпълнението на мярката трябва да приключи до 30 юни 2026 г.</w:t>
      </w:r>
    </w:p>
    <w:p w14:paraId="211F2C16" w14:textId="77777777" w:rsidR="00235E11" w:rsidRDefault="00F837E4">
      <w:pPr>
        <w:pStyle w:val="P68B1DB1-Text12"/>
        <w:ind w:left="0"/>
        <w:rPr>
          <w:noProof/>
        </w:rPr>
      </w:pPr>
      <w:r>
        <w:rPr>
          <w:noProof/>
        </w:rPr>
        <w:t>Инвестиция I-1.09: „Обновяване на обществени сгради — училища“ на френската общност</w:t>
      </w:r>
    </w:p>
    <w:p w14:paraId="43EB158B" w14:textId="3322989C" w:rsidR="00235E11" w:rsidRDefault="00F837E4">
      <w:pPr>
        <w:pStyle w:val="Text1"/>
        <w:ind w:left="0"/>
        <w:rPr>
          <w:noProof/>
          <w:color w:val="000000" w:themeColor="text1"/>
        </w:rPr>
      </w:pPr>
      <w:r>
        <w:rPr>
          <w:noProof/>
          <w:color w:val="000000" w:themeColor="text1"/>
        </w:rPr>
        <w:t>Инвестиционната мярка i) подкрепя инвестиционен план в училищни сгради, собственост на Френската общност, и ii) чрез покана за представяне на проекти за предоставяне на помощ за обновяване на училищни сгради в образователни мрежи, субсидирани от Френската общност.</w:t>
      </w:r>
      <w:r>
        <w:rPr>
          <w:noProof/>
        </w:rPr>
        <w:t xml:space="preserve"> При най-малко 85 % от строежа на нови сгради трябва да се постигне търсене на първична енергия (PED), което е с най-малко 20 % по-ниско от изискването за СБННПЕ (сгради с близко до нулево нетно потребление на енергия, национални директиви). Изпълнението на мярката трябва да приключи до 30 юни 2026 г. </w:t>
      </w:r>
    </w:p>
    <w:p w14:paraId="2CA64F43" w14:textId="77777777" w:rsidR="00235E11" w:rsidRDefault="00F837E4">
      <w:pPr>
        <w:pStyle w:val="P68B1DB1-Text12"/>
        <w:ind w:left="0"/>
        <w:rPr>
          <w:noProof/>
        </w:rPr>
      </w:pPr>
      <w:r>
        <w:rPr>
          <w:noProof/>
        </w:rPr>
        <w:t>Инвестиция I-1.10: „Обновяване на обществени сгради — спорт — IPPJ“ на Френската общност</w:t>
      </w:r>
    </w:p>
    <w:p w14:paraId="033B880C" w14:textId="1BE4F21A" w:rsidR="00235E11" w:rsidRDefault="00F837E4">
      <w:pPr>
        <w:pStyle w:val="Text1"/>
        <w:ind w:left="0"/>
        <w:rPr>
          <w:noProof/>
          <w:color w:val="000000" w:themeColor="text1"/>
        </w:rPr>
      </w:pPr>
      <w:r>
        <w:rPr>
          <w:noProof/>
        </w:rPr>
        <w:t>Тази</w:t>
      </w:r>
      <w:r>
        <w:rPr>
          <w:noProof/>
          <w:color w:val="000000" w:themeColor="text1"/>
        </w:rPr>
        <w:t xml:space="preserve"> инвестиционна мярка подкрепя i) санирането на спортни инфраструктури и ii) обновяването на съоръжения, предназначени за младите хора (Институции за публикации в областта на защитата на Jeunesse — IPPJ). При строителството на нови сгради трябва да се постигне търсене на първична енергия (PED), което е с най-малко 20 % по-ниско от изискването за СБННПЕ (сгради с близко до нулево нетно потребление на енергия, национални директиви). Санирането на съществуващи сгради намалява средно най-малко 30 % от потреблението на първична енергия, както е определено в Препоръка (ЕС) 2019/786 на Комисията относно санирането на сгради. Изпълнението на мярката трябва да приключи до 30 юни 2026 г.</w:t>
      </w:r>
    </w:p>
    <w:p w14:paraId="1DDEEB82" w14:textId="77777777" w:rsidR="00235E11" w:rsidRDefault="00F837E4">
      <w:pPr>
        <w:pStyle w:val="P68B1DB1-Text12"/>
        <w:ind w:left="0"/>
        <w:rPr>
          <w:noProof/>
        </w:rPr>
      </w:pPr>
      <w:r>
        <w:rPr>
          <w:noProof/>
        </w:rPr>
        <w:t>Инвестиция I-1.11: „Обновяване на обществени сгради — университети“ на Френската общност</w:t>
      </w:r>
    </w:p>
    <w:p w14:paraId="0BFDA815" w14:textId="718B3CF4" w:rsidR="00235E11" w:rsidRDefault="00F837E4">
      <w:pPr>
        <w:pStyle w:val="P68B1DB1-Text13"/>
        <w:ind w:left="0"/>
        <w:rPr>
          <w:noProof/>
        </w:rPr>
      </w:pPr>
      <w:r>
        <w:rPr>
          <w:noProof/>
        </w:rPr>
        <w:t>Инвестиционната мярка предоставя подкрепа чрез покана за представяне на проекти за енергийно ефективно саниране на сгради на университети, субсидирани от Френската общност. Най-малко половината от ремонтните работи, измерени в m², намаляват средно най-малко 30 % от потреблението на първична енергия, както е определено в Препоръка (ЕС) 2019/786 на Комисията относно санирането на сгради. Изпълнението на мярката трябва да приключи до 30 юни 2026 г.</w:t>
      </w:r>
    </w:p>
    <w:p w14:paraId="1D25ED8C" w14:textId="77777777" w:rsidR="00235E11" w:rsidRDefault="00F837E4">
      <w:pPr>
        <w:pStyle w:val="P68B1DB1-Text12"/>
        <w:ind w:left="0"/>
        <w:rPr>
          <w:noProof/>
        </w:rPr>
      </w:pPr>
      <w:r>
        <w:rPr>
          <w:noProof/>
        </w:rPr>
        <w:t>Инвестиция I-1.12: „Обновяване на обществени сгради — култура“ на Френската общност</w:t>
      </w:r>
    </w:p>
    <w:p w14:paraId="5316C503" w14:textId="72FD2C65" w:rsidR="00235E11" w:rsidRDefault="00F837E4">
      <w:pPr>
        <w:pStyle w:val="P68B1DB1-Text13"/>
        <w:ind w:left="0"/>
        <w:rPr>
          <w:noProof/>
        </w:rPr>
      </w:pPr>
      <w:r>
        <w:rPr>
          <w:noProof/>
        </w:rPr>
        <w:t>Инвестиционната мярка е насочена към енергийно ефективно саниране на обществени културни сгради във Френската общност. Мярката се състои от две части: I) енергийно обновяване на културната инфраструктура, принадлежаща на Френската общност, и ii) безвъзмездни средства за проекти за енергийно обновяване на културна инфраструктура, която не е собственост на Френската общност (като например инфраструктура, притежавана от местните органи), отпуснати чрез покана за представяне на проекти. Най-малко половината от ремонтните работи, измерени в m², намаляват потреблението на първична енергия средно с най-малко 30 %, както е определено в Препоръка (ЕС) 2019/786 на Комисията относно санирането на сгради. Изпълнението на мярката трябва да приключи до 30 юни 2026 г.</w:t>
      </w:r>
    </w:p>
    <w:p w14:paraId="2EFE99FF" w14:textId="77777777" w:rsidR="00235E11" w:rsidRDefault="00235E11">
      <w:pPr>
        <w:spacing w:before="120" w:after="120"/>
        <w:rPr>
          <w:rFonts w:ascii="Times New Roman" w:hAnsi="Times New Roman" w:cs="Times New Roman"/>
          <w:noProof/>
        </w:rPr>
      </w:pPr>
    </w:p>
    <w:p w14:paraId="7866918B" w14:textId="77777777" w:rsidR="00235E11" w:rsidRDefault="00F837E4">
      <w:pPr>
        <w:pStyle w:val="P68B1DB1-Text16"/>
        <w:ind w:left="0"/>
        <w:rPr>
          <w:noProof/>
        </w:rPr>
      </w:pPr>
      <w:r>
        <w:rPr>
          <w:noProof/>
        </w:rPr>
        <w:t xml:space="preserve">А.2. </w:t>
      </w:r>
      <w:r>
        <w:rPr>
          <w:noProof/>
        </w:rPr>
        <w:tab/>
        <w:t>Ключови етапи, цели, показатели и график за мониторинг и изпълнение на безвъзмездната финансова подкрепа</w:t>
      </w:r>
    </w:p>
    <w:p w14:paraId="697384BF" w14:textId="77777777" w:rsidR="00235E11" w:rsidRDefault="00235E11">
      <w:pPr>
        <w:pStyle w:val="Text1"/>
        <w:ind w:left="0"/>
        <w:rPr>
          <w:noProof/>
        </w:rPr>
        <w:sectPr w:rsidR="00235E11" w:rsidSect="00243DE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p>
    <w:tbl>
      <w:tblPr>
        <w:tblW w:w="16046" w:type="dxa"/>
        <w:tblInd w:w="-601" w:type="dxa"/>
        <w:tblLayout w:type="fixed"/>
        <w:tblLook w:val="04A0" w:firstRow="1" w:lastRow="0" w:firstColumn="1" w:lastColumn="0" w:noHBand="0" w:noVBand="1"/>
      </w:tblPr>
      <w:tblGrid>
        <w:gridCol w:w="714"/>
        <w:gridCol w:w="1731"/>
        <w:gridCol w:w="1128"/>
        <w:gridCol w:w="1672"/>
        <w:gridCol w:w="1163"/>
        <w:gridCol w:w="1134"/>
        <w:gridCol w:w="1134"/>
        <w:gridCol w:w="992"/>
        <w:gridCol w:w="709"/>
        <w:gridCol w:w="709"/>
        <w:gridCol w:w="4960"/>
      </w:tblGrid>
      <w:tr w:rsidR="00235E11" w14:paraId="4D7D04F5" w14:textId="77777777">
        <w:trPr>
          <w:trHeight w:val="939"/>
          <w:tblHeader/>
        </w:trPr>
        <w:tc>
          <w:tcPr>
            <w:tcW w:w="7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FB8710D" w14:textId="6A44E1D5" w:rsidR="00235E11" w:rsidRDefault="00F837E4">
            <w:pPr>
              <w:pStyle w:val="P68B1DB1-Normal7"/>
              <w:spacing w:after="0"/>
              <w:jc w:val="center"/>
              <w:rPr>
                <w:noProof/>
              </w:rPr>
            </w:pPr>
            <w:r>
              <w:rPr>
                <w:noProof/>
              </w:rPr>
              <w:t>Следващи Брой</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D5B526" w14:textId="77777777" w:rsidR="00235E11" w:rsidRDefault="00F837E4">
            <w:pPr>
              <w:pStyle w:val="P68B1DB1-Normal7"/>
              <w:spacing w:after="0"/>
              <w:jc w:val="center"/>
              <w:rPr>
                <w:noProof/>
              </w:rPr>
            </w:pPr>
            <w:r>
              <w:rPr>
                <w:noProof/>
              </w:rPr>
              <w:t>Свързана мярка (реформа или инвестиции)</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9339D6" w14:textId="756BE0E2" w:rsidR="00235E11" w:rsidRDefault="00F837E4">
            <w:pPr>
              <w:pStyle w:val="P68B1DB1-Normal7"/>
              <w:spacing w:after="0"/>
              <w:jc w:val="center"/>
              <w:rPr>
                <w:noProof/>
              </w:rPr>
            </w:pPr>
            <w:r>
              <w:rPr>
                <w:noProof/>
              </w:rPr>
              <w:t>Ключов етап/Цел</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1EA814" w14:textId="77777777" w:rsidR="00235E11" w:rsidRDefault="00F837E4">
            <w:pPr>
              <w:pStyle w:val="P68B1DB1-Normal7"/>
              <w:spacing w:after="0"/>
              <w:jc w:val="center"/>
              <w:rPr>
                <w:noProof/>
              </w:rPr>
            </w:pPr>
            <w:r>
              <w:rPr>
                <w:noProof/>
              </w:rPr>
              <w:t>Име</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22B8F2"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326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F1DDFCD"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8" w:type="dxa"/>
            <w:gridSpan w:val="2"/>
            <w:tcBorders>
              <w:top w:val="single" w:sz="4" w:space="0" w:color="auto"/>
              <w:left w:val="nil"/>
              <w:bottom w:val="single" w:sz="4" w:space="0" w:color="auto"/>
              <w:right w:val="single" w:sz="4" w:space="0" w:color="auto"/>
            </w:tcBorders>
            <w:shd w:val="clear" w:color="auto" w:fill="BDD7EE"/>
            <w:vAlign w:val="center"/>
            <w:hideMark/>
          </w:tcPr>
          <w:p w14:paraId="781F84AD" w14:textId="77777777" w:rsidR="00235E11" w:rsidRDefault="00F837E4">
            <w:pPr>
              <w:pStyle w:val="P68B1DB1-Normal7"/>
              <w:spacing w:after="0"/>
              <w:jc w:val="center"/>
              <w:rPr>
                <w:noProof/>
              </w:rPr>
            </w:pPr>
            <w:r>
              <w:rPr>
                <w:noProof/>
              </w:rPr>
              <w:t xml:space="preserve">Примерен график за приключване </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C31CC71" w14:textId="77777777" w:rsidR="00235E11" w:rsidRDefault="00F837E4">
            <w:pPr>
              <w:pStyle w:val="P68B1DB1-Normal7"/>
              <w:spacing w:after="0"/>
              <w:jc w:val="center"/>
              <w:rPr>
                <w:noProof/>
              </w:rPr>
            </w:pPr>
            <w:r>
              <w:rPr>
                <w:noProof/>
              </w:rPr>
              <w:t>Описание на всеки ключов етап и цел</w:t>
            </w:r>
          </w:p>
        </w:tc>
      </w:tr>
      <w:tr w:rsidR="00235E11" w14:paraId="65055AAA" w14:textId="77777777">
        <w:trPr>
          <w:trHeight w:val="1027"/>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0341939" w14:textId="77777777" w:rsidR="00235E11" w:rsidRDefault="00235E11">
            <w:pPr>
              <w:spacing w:after="0"/>
              <w:rPr>
                <w:rFonts w:ascii="Times New Roman" w:eastAsia="Times New Roman" w:hAnsi="Times New Roman" w:cs="Times New Roman"/>
                <w:b/>
                <w:noProof/>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9B880F6" w14:textId="77777777" w:rsidR="00235E11" w:rsidRDefault="00235E11">
            <w:pPr>
              <w:spacing w:after="0"/>
              <w:rPr>
                <w:rFonts w:ascii="Times New Roman" w:eastAsia="Times New Roman" w:hAnsi="Times New Roman" w:cs="Times New Roman"/>
                <w:b/>
                <w:noProof/>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363854BB" w14:textId="77777777" w:rsidR="00235E11" w:rsidRDefault="00235E11">
            <w:pPr>
              <w:spacing w:after="0"/>
              <w:rPr>
                <w:rFonts w:ascii="Times New Roman" w:eastAsia="Times New Roman" w:hAnsi="Times New Roman" w:cs="Times New Roman"/>
                <w:b/>
                <w:noProof/>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A174B0C" w14:textId="77777777" w:rsidR="00235E11" w:rsidRDefault="00235E11">
            <w:pPr>
              <w:spacing w:after="0"/>
              <w:rPr>
                <w:rFonts w:ascii="Times New Roman" w:eastAsia="Times New Roman" w:hAnsi="Times New Roman" w:cs="Times New Roman"/>
                <w:b/>
                <w:noProof/>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5AA6DF47" w14:textId="77777777" w:rsidR="00235E11" w:rsidRDefault="00235E11">
            <w:pPr>
              <w:spacing w:after="0"/>
              <w:rPr>
                <w:rFonts w:ascii="Times New Roman" w:eastAsia="Times New Roman" w:hAnsi="Times New Roman" w:cs="Times New Roman"/>
                <w:b/>
                <w:noProof/>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ED0916A" w14:textId="77777777" w:rsidR="00235E11" w:rsidRDefault="00F837E4">
            <w:pPr>
              <w:pStyle w:val="P68B1DB1-Normal7"/>
              <w:spacing w:after="0"/>
              <w:jc w:val="center"/>
              <w:rPr>
                <w:noProof/>
              </w:rPr>
            </w:pPr>
            <w:r>
              <w:rPr>
                <w:noProof/>
              </w:rPr>
              <w:t>Единица мярка</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32677B8E" w14:textId="77777777" w:rsidR="00235E11" w:rsidRDefault="00F837E4">
            <w:pPr>
              <w:pStyle w:val="P68B1DB1-Normal7"/>
              <w:spacing w:after="0"/>
              <w:jc w:val="center"/>
              <w:rPr>
                <w:noProof/>
              </w:rPr>
            </w:pPr>
            <w:r>
              <w:rPr>
                <w:noProof/>
              </w:rPr>
              <w:t xml:space="preserve">Базова линия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46FBCD94" w14:textId="77777777" w:rsidR="00235E11" w:rsidRDefault="00F837E4">
            <w:pPr>
              <w:pStyle w:val="P68B1DB1-Normal7"/>
              <w:spacing w:after="0"/>
              <w:jc w:val="center"/>
              <w:rPr>
                <w:noProof/>
              </w:rPr>
            </w:pPr>
            <w:r>
              <w:rPr>
                <w:noProof/>
              </w:rPr>
              <w:t xml:space="preserve">Цел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450A7C2F" w14:textId="77777777" w:rsidR="00235E11" w:rsidRDefault="00F837E4">
            <w:pPr>
              <w:pStyle w:val="P68B1DB1-Normal7"/>
              <w:spacing w:after="0"/>
              <w:jc w:val="center"/>
              <w:rPr>
                <w:noProof/>
              </w:rPr>
            </w:pPr>
            <w:r>
              <w:rPr>
                <w:noProof/>
              </w:rPr>
              <w:t>Тримесечие</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3E4AF39C" w14:textId="77777777" w:rsidR="00235E11" w:rsidRDefault="00F837E4">
            <w:pPr>
              <w:pStyle w:val="P68B1DB1-Normal7"/>
              <w:spacing w:after="0"/>
              <w:jc w:val="center"/>
              <w:rPr>
                <w:noProof/>
              </w:rPr>
            </w:pPr>
            <w:r>
              <w:rPr>
                <w:noProof/>
              </w:rPr>
              <w:t>Година</w:t>
            </w:r>
          </w:p>
        </w:tc>
        <w:tc>
          <w:tcPr>
            <w:tcW w:w="4960" w:type="dxa"/>
            <w:vMerge/>
            <w:tcBorders>
              <w:top w:val="single" w:sz="4" w:space="0" w:color="auto"/>
              <w:bottom w:val="single" w:sz="4" w:space="0" w:color="auto"/>
              <w:right w:val="single" w:sz="4" w:space="0" w:color="auto"/>
            </w:tcBorders>
            <w:vAlign w:val="center"/>
            <w:hideMark/>
          </w:tcPr>
          <w:p w14:paraId="5C708E06" w14:textId="77777777" w:rsidR="00235E11" w:rsidRDefault="00235E11">
            <w:pPr>
              <w:spacing w:after="0"/>
              <w:rPr>
                <w:rFonts w:ascii="Times New Roman" w:eastAsia="Times New Roman" w:hAnsi="Times New Roman" w:cs="Times New Roman"/>
                <w:b/>
                <w:noProof/>
              </w:rPr>
            </w:pPr>
          </w:p>
        </w:tc>
      </w:tr>
      <w:tr w:rsidR="00235E11" w14:paraId="75559E65" w14:textId="7777777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740779" w14:textId="77777777" w:rsidR="00235E11" w:rsidRDefault="00F837E4">
            <w:pPr>
              <w:pStyle w:val="P68B1DB1-Normal9"/>
              <w:spacing w:after="0"/>
              <w:jc w:val="center"/>
              <w:rPr>
                <w:rFonts w:eastAsia="Times New Roman"/>
                <w:noProof/>
              </w:rPr>
            </w:pPr>
            <w:r>
              <w:rPr>
                <w:noProof/>
              </w:rPr>
              <w:t>1</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134F6D06" w14:textId="79A07F23" w:rsidR="00235E11" w:rsidRDefault="00F837E4">
            <w:pPr>
              <w:pStyle w:val="P68B1DB1-Normal9"/>
              <w:spacing w:after="0"/>
              <w:rPr>
                <w:noProof/>
              </w:rPr>
            </w:pPr>
            <w:r>
              <w:rPr>
                <w:noProof/>
              </w:rPr>
              <w:t>Подобрена схема за отпускане на безвъзмездни средства в областта на енергетиката във Фламандския регион (R-1.01)</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69163E44" w14:textId="2971996A" w:rsidR="00235E11" w:rsidRDefault="00F837E4">
            <w:pPr>
              <w:pStyle w:val="P68B1DB1-Normal9"/>
              <w:spacing w:after="0"/>
              <w:rPr>
                <w:rFonts w:eastAsia="Times New Roman"/>
                <w:noProof/>
              </w:rPr>
            </w:pPr>
            <w:r>
              <w:rPr>
                <w:noProof/>
              </w:rPr>
              <w:t>M</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155FB4A9" w14:textId="77777777" w:rsidR="00235E11" w:rsidRDefault="00F837E4">
            <w:pPr>
              <w:pStyle w:val="P68B1DB1-Normal9"/>
              <w:spacing w:after="0"/>
              <w:rPr>
                <w:rFonts w:eastAsia="Times New Roman"/>
                <w:noProof/>
              </w:rPr>
            </w:pPr>
            <w:r>
              <w:rPr>
                <w:noProof/>
              </w:rPr>
              <w:t>Подобрени схеми за отпускане на безвъзмездни средства в областта на енергетиката във Фландрия</w:t>
            </w:r>
          </w:p>
        </w:tc>
        <w:tc>
          <w:tcPr>
            <w:tcW w:w="1163" w:type="dxa"/>
            <w:tcBorders>
              <w:top w:val="single" w:sz="4" w:space="0" w:color="auto"/>
              <w:left w:val="nil"/>
              <w:bottom w:val="single" w:sz="4" w:space="0" w:color="auto"/>
              <w:right w:val="single" w:sz="4" w:space="0" w:color="auto"/>
            </w:tcBorders>
            <w:shd w:val="clear" w:color="auto" w:fill="C6EFCE"/>
            <w:noWrap/>
            <w:vAlign w:val="center"/>
          </w:tcPr>
          <w:p w14:paraId="13A277D6" w14:textId="77777777" w:rsidR="00235E11" w:rsidRDefault="00F837E4">
            <w:pPr>
              <w:pStyle w:val="P68B1DB1-Normal10"/>
              <w:spacing w:after="0"/>
              <w:rPr>
                <w:noProof/>
              </w:rPr>
            </w:pPr>
            <w:r>
              <w:rPr>
                <w:noProof/>
              </w:rPr>
              <w:t>Публикуване в Официален вестник</w:t>
            </w:r>
          </w:p>
        </w:tc>
        <w:tc>
          <w:tcPr>
            <w:tcW w:w="1134" w:type="dxa"/>
            <w:tcBorders>
              <w:top w:val="nil"/>
              <w:left w:val="nil"/>
              <w:bottom w:val="single" w:sz="4" w:space="0" w:color="auto"/>
              <w:right w:val="single" w:sz="4" w:space="0" w:color="auto"/>
            </w:tcBorders>
            <w:shd w:val="clear" w:color="auto" w:fill="C6EFCE"/>
            <w:noWrap/>
            <w:vAlign w:val="center"/>
          </w:tcPr>
          <w:p w14:paraId="5ADC084F" w14:textId="1D3A5435" w:rsidR="00235E11" w:rsidRDefault="00F837E4">
            <w:pPr>
              <w:pStyle w:val="P68B1DB1-Normal9"/>
              <w:spacing w:after="0"/>
              <w:jc w:val="center"/>
              <w:rPr>
                <w:rFonts w:eastAsia="Times New Roman"/>
                <w:noProof/>
              </w:rPr>
            </w:pPr>
            <w:r>
              <w:rPr>
                <w:noProof/>
              </w:rPr>
              <w:t>—</w:t>
            </w:r>
          </w:p>
        </w:tc>
        <w:tc>
          <w:tcPr>
            <w:tcW w:w="1134" w:type="dxa"/>
            <w:tcBorders>
              <w:top w:val="nil"/>
              <w:left w:val="nil"/>
              <w:bottom w:val="single" w:sz="4" w:space="0" w:color="auto"/>
              <w:right w:val="single" w:sz="4" w:space="0" w:color="auto"/>
            </w:tcBorders>
            <w:shd w:val="clear" w:color="auto" w:fill="C6EFCE"/>
            <w:noWrap/>
            <w:vAlign w:val="center"/>
          </w:tcPr>
          <w:p w14:paraId="4637A80C" w14:textId="61BD3DB5" w:rsidR="00235E11" w:rsidRDefault="00F837E4">
            <w:pPr>
              <w:pStyle w:val="P68B1DB1-Normal9"/>
              <w:spacing w:after="0"/>
              <w:jc w:val="center"/>
              <w:rPr>
                <w:rFonts w:eastAsia="Times New Roman"/>
                <w:noProof/>
              </w:rPr>
            </w:pPr>
            <w:r>
              <w:rPr>
                <w:noProof/>
              </w:rPr>
              <w:t>—</w:t>
            </w:r>
          </w:p>
        </w:tc>
        <w:tc>
          <w:tcPr>
            <w:tcW w:w="992" w:type="dxa"/>
            <w:tcBorders>
              <w:top w:val="nil"/>
              <w:left w:val="nil"/>
              <w:bottom w:val="single" w:sz="4" w:space="0" w:color="auto"/>
              <w:right w:val="single" w:sz="4" w:space="0" w:color="auto"/>
            </w:tcBorders>
            <w:shd w:val="clear" w:color="auto" w:fill="C6EFCE"/>
            <w:noWrap/>
            <w:vAlign w:val="center"/>
          </w:tcPr>
          <w:p w14:paraId="6036BD08" w14:textId="33F53B65" w:rsidR="00235E11" w:rsidRDefault="00F837E4">
            <w:pPr>
              <w:pStyle w:val="P68B1DB1-Normal9"/>
              <w:spacing w:after="0"/>
              <w:jc w:val="center"/>
              <w:rPr>
                <w:rFonts w:eastAsia="Times New Roman"/>
                <w:noProof/>
              </w:rPr>
            </w:pPr>
            <w:r>
              <w:rPr>
                <w:noProof/>
              </w:rPr>
              <w:t>—</w:t>
            </w:r>
          </w:p>
        </w:tc>
        <w:tc>
          <w:tcPr>
            <w:tcW w:w="709" w:type="dxa"/>
            <w:tcBorders>
              <w:top w:val="nil"/>
              <w:left w:val="nil"/>
              <w:bottom w:val="single" w:sz="4" w:space="0" w:color="auto"/>
              <w:right w:val="single" w:sz="4" w:space="0" w:color="auto"/>
            </w:tcBorders>
            <w:shd w:val="clear" w:color="auto" w:fill="C6EFCE"/>
            <w:noWrap/>
            <w:vAlign w:val="center"/>
          </w:tcPr>
          <w:p w14:paraId="2EFED298" w14:textId="3046208C" w:rsidR="00235E11" w:rsidRDefault="00F837E4">
            <w:pPr>
              <w:pStyle w:val="P68B1DB1-Normal9"/>
              <w:spacing w:after="0"/>
              <w:jc w:val="center"/>
              <w:rPr>
                <w:rFonts w:eastAsia="Times New Roman"/>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00E1E046" w14:textId="77777777" w:rsidR="00235E11" w:rsidRDefault="00F837E4">
            <w:pPr>
              <w:pStyle w:val="P68B1DB1-Normal9"/>
              <w:spacing w:after="0"/>
              <w:jc w:val="center"/>
              <w:rPr>
                <w:rFonts w:eastAsia="Times New Roman"/>
                <w:noProof/>
              </w:rPr>
            </w:pPr>
            <w:r>
              <w:rPr>
                <w:noProof/>
              </w:rPr>
              <w:t>2022</w:t>
            </w:r>
          </w:p>
        </w:tc>
        <w:tc>
          <w:tcPr>
            <w:tcW w:w="49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6582BE" w14:textId="458037B5" w:rsidR="00235E11" w:rsidRDefault="00F837E4">
            <w:pPr>
              <w:pStyle w:val="P68B1DB1-Normal9"/>
              <w:spacing w:after="0"/>
              <w:rPr>
                <w:rFonts w:eastAsia="Times New Roman"/>
                <w:noProof/>
              </w:rPr>
            </w:pPr>
            <w:r>
              <w:rPr>
                <w:noProof/>
              </w:rPr>
              <w:t>Приемане от фламандското правителство/парламент на нов регламент за предоставяне на по-ефективни стимули за ускоряване на частните инвестиции в енергийна ефективност: I) създаване на единна схема за субсидиране на жилищни и частни ремонти, ii) преразглеждане на схемата за безвъзмездни средства в областта на енергетиката и iii) въвеждане на схема за интелигентно регулиране и битови батерии.</w:t>
            </w:r>
          </w:p>
        </w:tc>
      </w:tr>
      <w:tr w:rsidR="00235E11" w14:paraId="0BFE5EF1" w14:textId="7777777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hideMark/>
          </w:tcPr>
          <w:p w14:paraId="70AA794E" w14:textId="77777777" w:rsidR="00235E11" w:rsidRDefault="00F837E4">
            <w:pPr>
              <w:pStyle w:val="P68B1DB1-Normal9"/>
              <w:spacing w:after="0"/>
              <w:jc w:val="center"/>
              <w:rPr>
                <w:rFonts w:eastAsia="Times New Roman"/>
                <w:noProof/>
              </w:rPr>
            </w:pPr>
            <w:r>
              <w:rPr>
                <w:noProof/>
              </w:rPr>
              <w:t>2</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56FCA5D6" w14:textId="61F46815" w:rsidR="00235E11" w:rsidRDefault="00F837E4">
            <w:pPr>
              <w:pStyle w:val="P68B1DB1-Normal9"/>
              <w:spacing w:after="0"/>
              <w:rPr>
                <w:rFonts w:eastAsia="Times New Roman"/>
                <w:noProof/>
              </w:rPr>
            </w:pPr>
            <w:r>
              <w:rPr>
                <w:noProof/>
              </w:rPr>
              <w:t>Подобрена схема за отпускане на безвъзмездни средства в областта на енергетиката в регион Брюксел-столица (R-1.02)</w:t>
            </w:r>
          </w:p>
        </w:tc>
        <w:tc>
          <w:tcPr>
            <w:tcW w:w="1128" w:type="dxa"/>
            <w:tcBorders>
              <w:top w:val="nil"/>
              <w:left w:val="nil"/>
              <w:bottom w:val="single" w:sz="4" w:space="0" w:color="auto"/>
              <w:right w:val="single" w:sz="4" w:space="0" w:color="auto"/>
            </w:tcBorders>
            <w:shd w:val="clear" w:color="auto" w:fill="C6EFCE"/>
            <w:noWrap/>
            <w:vAlign w:val="center"/>
          </w:tcPr>
          <w:p w14:paraId="3572F05D" w14:textId="5A9068B7" w:rsidR="00235E11" w:rsidRDefault="00F837E4">
            <w:pPr>
              <w:pStyle w:val="P68B1DB1-Normal9"/>
              <w:spacing w:after="0"/>
              <w:rPr>
                <w:rFonts w:eastAsia="Times New Roman"/>
                <w:noProof/>
              </w:rPr>
            </w:pPr>
            <w:r>
              <w:rPr>
                <w:noProof/>
              </w:rPr>
              <w:t>M</w:t>
            </w:r>
          </w:p>
        </w:tc>
        <w:tc>
          <w:tcPr>
            <w:tcW w:w="1672" w:type="dxa"/>
            <w:tcBorders>
              <w:top w:val="nil"/>
              <w:left w:val="nil"/>
              <w:bottom w:val="single" w:sz="4" w:space="0" w:color="auto"/>
              <w:right w:val="single" w:sz="4" w:space="0" w:color="auto"/>
            </w:tcBorders>
            <w:shd w:val="clear" w:color="auto" w:fill="C6EFCE"/>
            <w:noWrap/>
            <w:vAlign w:val="center"/>
          </w:tcPr>
          <w:p w14:paraId="157BEFA9" w14:textId="77777777" w:rsidR="00235E11" w:rsidRDefault="00F837E4">
            <w:pPr>
              <w:pStyle w:val="P68B1DB1-Normal9"/>
              <w:spacing w:after="0"/>
              <w:rPr>
                <w:rFonts w:eastAsia="Times New Roman"/>
                <w:noProof/>
              </w:rPr>
            </w:pPr>
            <w:r>
              <w:rPr>
                <w:noProof/>
              </w:rPr>
              <w:t>Влизане в сила в Брюксел на нов регламент относно схемите за безвъзмездни средства в областта на енергетиката</w:t>
            </w:r>
          </w:p>
        </w:tc>
        <w:tc>
          <w:tcPr>
            <w:tcW w:w="1163" w:type="dxa"/>
            <w:tcBorders>
              <w:top w:val="single" w:sz="4" w:space="0" w:color="auto"/>
              <w:left w:val="nil"/>
              <w:bottom w:val="single" w:sz="4" w:space="0" w:color="auto"/>
              <w:right w:val="single" w:sz="4" w:space="0" w:color="auto"/>
            </w:tcBorders>
            <w:shd w:val="clear" w:color="auto" w:fill="C6EFCE"/>
            <w:noWrap/>
            <w:vAlign w:val="center"/>
          </w:tcPr>
          <w:p w14:paraId="4EA5F1FF" w14:textId="77777777" w:rsidR="00235E11" w:rsidRDefault="00F837E4">
            <w:pPr>
              <w:pStyle w:val="P68B1DB1-Normal9"/>
              <w:spacing w:after="0"/>
              <w:rPr>
                <w:rFonts w:eastAsia="Times New Roman"/>
                <w:noProof/>
              </w:rPr>
            </w:pPr>
            <w:r>
              <w:rPr>
                <w:noProof/>
              </w:rPr>
              <w:t>Законова разпоредба, указваща влизането в сила на новия регламент</w:t>
            </w:r>
          </w:p>
        </w:tc>
        <w:tc>
          <w:tcPr>
            <w:tcW w:w="1134" w:type="dxa"/>
            <w:tcBorders>
              <w:top w:val="nil"/>
              <w:left w:val="nil"/>
              <w:bottom w:val="single" w:sz="4" w:space="0" w:color="auto"/>
              <w:right w:val="single" w:sz="4" w:space="0" w:color="auto"/>
            </w:tcBorders>
            <w:shd w:val="clear" w:color="auto" w:fill="C6EFCE"/>
            <w:noWrap/>
            <w:vAlign w:val="center"/>
          </w:tcPr>
          <w:p w14:paraId="4F41A80A" w14:textId="7849D806" w:rsidR="00235E11" w:rsidRDefault="00F837E4">
            <w:pPr>
              <w:pStyle w:val="P68B1DB1-Normal9"/>
              <w:spacing w:after="0"/>
              <w:jc w:val="center"/>
              <w:rPr>
                <w:rFonts w:eastAsia="Times New Roman"/>
                <w:noProof/>
              </w:rPr>
            </w:pPr>
            <w:r>
              <w:rPr>
                <w:noProof/>
              </w:rPr>
              <w:t>—</w:t>
            </w:r>
          </w:p>
        </w:tc>
        <w:tc>
          <w:tcPr>
            <w:tcW w:w="1134" w:type="dxa"/>
            <w:tcBorders>
              <w:top w:val="nil"/>
              <w:left w:val="nil"/>
              <w:bottom w:val="single" w:sz="4" w:space="0" w:color="auto"/>
              <w:right w:val="single" w:sz="4" w:space="0" w:color="auto"/>
            </w:tcBorders>
            <w:shd w:val="clear" w:color="auto" w:fill="C6EFCE"/>
            <w:noWrap/>
            <w:vAlign w:val="center"/>
          </w:tcPr>
          <w:p w14:paraId="24D870C2" w14:textId="43F15BAF" w:rsidR="00235E11" w:rsidRDefault="00F837E4">
            <w:pPr>
              <w:pStyle w:val="P68B1DB1-Normal9"/>
              <w:spacing w:after="0"/>
              <w:jc w:val="center"/>
              <w:rPr>
                <w:rFonts w:eastAsia="Times New Roman"/>
                <w:noProof/>
              </w:rPr>
            </w:pPr>
            <w:r>
              <w:rPr>
                <w:noProof/>
              </w:rPr>
              <w:t>—</w:t>
            </w:r>
          </w:p>
        </w:tc>
        <w:tc>
          <w:tcPr>
            <w:tcW w:w="992" w:type="dxa"/>
            <w:tcBorders>
              <w:top w:val="nil"/>
              <w:left w:val="nil"/>
              <w:bottom w:val="single" w:sz="4" w:space="0" w:color="auto"/>
              <w:right w:val="single" w:sz="4" w:space="0" w:color="auto"/>
            </w:tcBorders>
            <w:shd w:val="clear" w:color="auto" w:fill="C6EFCE"/>
            <w:noWrap/>
            <w:vAlign w:val="center"/>
          </w:tcPr>
          <w:p w14:paraId="1E6A9640" w14:textId="1D572C02" w:rsidR="00235E11" w:rsidRDefault="00F837E4">
            <w:pPr>
              <w:pStyle w:val="P68B1DB1-Normal9"/>
              <w:spacing w:after="0"/>
              <w:jc w:val="center"/>
              <w:rPr>
                <w:rFonts w:eastAsia="Times New Roman"/>
                <w:noProof/>
              </w:rPr>
            </w:pPr>
            <w:r>
              <w:rPr>
                <w:noProof/>
              </w:rPr>
              <w:t>—</w:t>
            </w:r>
          </w:p>
        </w:tc>
        <w:tc>
          <w:tcPr>
            <w:tcW w:w="709" w:type="dxa"/>
            <w:tcBorders>
              <w:top w:val="nil"/>
              <w:left w:val="nil"/>
              <w:bottom w:val="single" w:sz="4" w:space="0" w:color="auto"/>
              <w:right w:val="single" w:sz="4" w:space="0" w:color="auto"/>
            </w:tcBorders>
            <w:shd w:val="clear" w:color="auto" w:fill="C6EFCE"/>
            <w:noWrap/>
            <w:vAlign w:val="center"/>
          </w:tcPr>
          <w:p w14:paraId="7A12CB92" w14:textId="77777777" w:rsidR="00235E11" w:rsidRDefault="00F837E4">
            <w:pPr>
              <w:pStyle w:val="P68B1DB1-Normal9"/>
              <w:spacing w:after="0"/>
              <w:jc w:val="center"/>
              <w:rPr>
                <w:rFonts w:eastAsia="Times New Roman"/>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3E189454" w14:textId="77777777" w:rsidR="00235E11" w:rsidRDefault="00F837E4">
            <w:pPr>
              <w:pStyle w:val="P68B1DB1-Normal9"/>
              <w:spacing w:after="0"/>
              <w:jc w:val="center"/>
              <w:rPr>
                <w:rFonts w:eastAsia="Times New Roman"/>
                <w:noProof/>
              </w:rPr>
            </w:pPr>
            <w:r>
              <w:rPr>
                <w:noProof/>
              </w:rPr>
              <w:t>2022</w:t>
            </w:r>
          </w:p>
        </w:tc>
        <w:tc>
          <w:tcPr>
            <w:tcW w:w="4960" w:type="dxa"/>
            <w:tcBorders>
              <w:top w:val="nil"/>
              <w:left w:val="single" w:sz="4" w:space="0" w:color="auto"/>
              <w:bottom w:val="single" w:sz="4" w:space="0" w:color="auto"/>
              <w:right w:val="single" w:sz="4" w:space="0" w:color="auto"/>
            </w:tcBorders>
            <w:shd w:val="clear" w:color="auto" w:fill="C6EFCE"/>
            <w:noWrap/>
            <w:vAlign w:val="center"/>
          </w:tcPr>
          <w:p w14:paraId="4FFF30C2" w14:textId="343FFDA1" w:rsidR="00235E11" w:rsidRDefault="00F837E4">
            <w:pPr>
              <w:pStyle w:val="P68B1DB1-Normal9"/>
              <w:spacing w:after="0"/>
              <w:rPr>
                <w:rFonts w:eastAsia="Times New Roman"/>
                <w:noProof/>
                <w:highlight w:val="cyan"/>
              </w:rPr>
            </w:pPr>
            <w:r>
              <w:rPr>
                <w:noProof/>
              </w:rPr>
              <w:t xml:space="preserve">Влизане в сила на регламент за реформа на схемите за отпускане на безвъзмездни средства в областта на енергетиката за жилищно и частно саниране в регион Брюксел-столица </w:t>
            </w:r>
          </w:p>
        </w:tc>
      </w:tr>
      <w:tr w:rsidR="00235E11" w14:paraId="7B24A0E6" w14:textId="7777777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tcPr>
          <w:p w14:paraId="388CFC92" w14:textId="77777777" w:rsidR="00235E11" w:rsidRDefault="00F837E4">
            <w:pPr>
              <w:pStyle w:val="P68B1DB1-Normal9"/>
              <w:spacing w:after="0"/>
              <w:jc w:val="center"/>
              <w:rPr>
                <w:noProof/>
              </w:rPr>
            </w:pPr>
            <w:r>
              <w:rPr>
                <w:noProof/>
              </w:rPr>
              <w:t>3</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13C24FA6" w14:textId="45DCE311" w:rsidR="00235E11" w:rsidRDefault="00F837E4">
            <w:pPr>
              <w:pStyle w:val="P68B1DB1-Normal9"/>
              <w:spacing w:after="0"/>
              <w:rPr>
                <w:noProof/>
              </w:rPr>
            </w:pPr>
            <w:r>
              <w:rPr>
                <w:noProof/>
              </w:rPr>
              <w:t>Подобрена схема за отпускане на безвъзмездни средства в областта на енергетиката на немскоезичната общност (R-1.03)</w:t>
            </w:r>
          </w:p>
        </w:tc>
        <w:tc>
          <w:tcPr>
            <w:tcW w:w="1128" w:type="dxa"/>
            <w:tcBorders>
              <w:top w:val="nil"/>
              <w:left w:val="nil"/>
              <w:bottom w:val="single" w:sz="4" w:space="0" w:color="auto"/>
              <w:right w:val="single" w:sz="4" w:space="0" w:color="auto"/>
            </w:tcBorders>
            <w:shd w:val="clear" w:color="auto" w:fill="C6EFCE"/>
            <w:noWrap/>
            <w:vAlign w:val="center"/>
          </w:tcPr>
          <w:p w14:paraId="20764848" w14:textId="41923A42" w:rsidR="00235E11" w:rsidRDefault="00F837E4">
            <w:pPr>
              <w:pStyle w:val="P68B1DB1-Normal9"/>
              <w:spacing w:after="0"/>
              <w:rPr>
                <w:noProof/>
              </w:rPr>
            </w:pPr>
            <w:r>
              <w:rPr>
                <w:noProof/>
              </w:rPr>
              <w:t>M</w:t>
            </w:r>
          </w:p>
        </w:tc>
        <w:tc>
          <w:tcPr>
            <w:tcW w:w="1672" w:type="dxa"/>
            <w:tcBorders>
              <w:top w:val="nil"/>
              <w:left w:val="nil"/>
              <w:bottom w:val="single" w:sz="4" w:space="0" w:color="auto"/>
              <w:right w:val="single" w:sz="4" w:space="0" w:color="auto"/>
            </w:tcBorders>
            <w:shd w:val="clear" w:color="auto" w:fill="C6EFCE"/>
            <w:noWrap/>
            <w:vAlign w:val="center"/>
          </w:tcPr>
          <w:p w14:paraId="74BFB5BD" w14:textId="7749D19F" w:rsidR="00235E11" w:rsidRDefault="00F837E4">
            <w:pPr>
              <w:pStyle w:val="P68B1DB1-Normal9"/>
              <w:spacing w:after="0"/>
              <w:rPr>
                <w:noProof/>
              </w:rPr>
            </w:pPr>
            <w:r>
              <w:rPr>
                <w:noProof/>
              </w:rPr>
              <w:t>Влизане в сила на нов регламент относно схемите за енергийни субсидии в немскоезичната общност.</w:t>
            </w:r>
          </w:p>
        </w:tc>
        <w:tc>
          <w:tcPr>
            <w:tcW w:w="1163" w:type="dxa"/>
            <w:tcBorders>
              <w:top w:val="single" w:sz="4" w:space="0" w:color="auto"/>
              <w:left w:val="nil"/>
              <w:bottom w:val="single" w:sz="4" w:space="0" w:color="auto"/>
              <w:right w:val="single" w:sz="4" w:space="0" w:color="auto"/>
            </w:tcBorders>
            <w:shd w:val="clear" w:color="auto" w:fill="C6EFCE"/>
            <w:noWrap/>
            <w:vAlign w:val="center"/>
          </w:tcPr>
          <w:p w14:paraId="79AC0DB7" w14:textId="77777777" w:rsidR="00235E11" w:rsidRDefault="00F837E4">
            <w:pPr>
              <w:pStyle w:val="P68B1DB1-Normal9"/>
              <w:spacing w:after="0"/>
              <w:rPr>
                <w:noProof/>
              </w:rPr>
            </w:pPr>
            <w:r>
              <w:rPr>
                <w:noProof/>
              </w:rPr>
              <w:t>Законова разпоредба, указваща влизането в сила на новия регламент</w:t>
            </w:r>
          </w:p>
        </w:tc>
        <w:tc>
          <w:tcPr>
            <w:tcW w:w="1134" w:type="dxa"/>
            <w:tcBorders>
              <w:top w:val="nil"/>
              <w:left w:val="nil"/>
              <w:bottom w:val="single" w:sz="4" w:space="0" w:color="auto"/>
              <w:right w:val="single" w:sz="4" w:space="0" w:color="auto"/>
            </w:tcBorders>
            <w:shd w:val="clear" w:color="auto" w:fill="C6EFCE"/>
            <w:noWrap/>
            <w:vAlign w:val="center"/>
          </w:tcPr>
          <w:p w14:paraId="589721A3" w14:textId="65FBBC77" w:rsidR="00235E11" w:rsidRDefault="00F837E4">
            <w:pPr>
              <w:pStyle w:val="P68B1DB1-Normal9"/>
              <w:spacing w:after="0"/>
              <w:jc w:val="center"/>
              <w:rPr>
                <w:noProof/>
              </w:rPr>
            </w:pPr>
            <w:r>
              <w:rPr>
                <w:noProof/>
              </w:rPr>
              <w:t>—</w:t>
            </w:r>
          </w:p>
        </w:tc>
        <w:tc>
          <w:tcPr>
            <w:tcW w:w="1134" w:type="dxa"/>
            <w:tcBorders>
              <w:top w:val="nil"/>
              <w:left w:val="nil"/>
              <w:bottom w:val="single" w:sz="4" w:space="0" w:color="auto"/>
              <w:right w:val="single" w:sz="4" w:space="0" w:color="auto"/>
            </w:tcBorders>
            <w:shd w:val="clear" w:color="auto" w:fill="C6EFCE"/>
            <w:noWrap/>
            <w:vAlign w:val="center"/>
          </w:tcPr>
          <w:p w14:paraId="38F2434E" w14:textId="057A1D3E" w:rsidR="00235E11" w:rsidRDefault="00F837E4">
            <w:pPr>
              <w:pStyle w:val="P68B1DB1-Normal9"/>
              <w:spacing w:after="0"/>
              <w:jc w:val="center"/>
              <w:rPr>
                <w:noProof/>
              </w:rPr>
            </w:pPr>
            <w:r>
              <w:rPr>
                <w:noProof/>
              </w:rPr>
              <w:t>—</w:t>
            </w:r>
          </w:p>
        </w:tc>
        <w:tc>
          <w:tcPr>
            <w:tcW w:w="992" w:type="dxa"/>
            <w:tcBorders>
              <w:top w:val="nil"/>
              <w:left w:val="nil"/>
              <w:bottom w:val="single" w:sz="4" w:space="0" w:color="auto"/>
              <w:right w:val="single" w:sz="4" w:space="0" w:color="auto"/>
            </w:tcBorders>
            <w:shd w:val="clear" w:color="auto" w:fill="C6EFCE"/>
            <w:noWrap/>
            <w:vAlign w:val="center"/>
          </w:tcPr>
          <w:p w14:paraId="410CE00D" w14:textId="38C0783D" w:rsidR="00235E11" w:rsidRDefault="00F837E4">
            <w:pPr>
              <w:pStyle w:val="P68B1DB1-Normal9"/>
              <w:spacing w:after="0"/>
              <w:jc w:val="center"/>
              <w:rPr>
                <w:noProof/>
              </w:rPr>
            </w:pPr>
            <w:r>
              <w:rPr>
                <w:noProof/>
              </w:rPr>
              <w:t>—</w:t>
            </w:r>
          </w:p>
        </w:tc>
        <w:tc>
          <w:tcPr>
            <w:tcW w:w="709" w:type="dxa"/>
            <w:tcBorders>
              <w:top w:val="nil"/>
              <w:left w:val="nil"/>
              <w:bottom w:val="single" w:sz="4" w:space="0" w:color="auto"/>
              <w:right w:val="single" w:sz="4" w:space="0" w:color="auto"/>
            </w:tcBorders>
            <w:shd w:val="clear" w:color="auto" w:fill="C6EFCE"/>
            <w:noWrap/>
            <w:vAlign w:val="center"/>
          </w:tcPr>
          <w:p w14:paraId="25FC2EF6" w14:textId="77777777" w:rsidR="00235E11" w:rsidRDefault="00F837E4">
            <w:pPr>
              <w:pStyle w:val="P68B1DB1-Normal9"/>
              <w:spacing w:after="0"/>
              <w:jc w:val="center"/>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56A25DD8" w14:textId="77777777" w:rsidR="00235E11" w:rsidRDefault="00F837E4">
            <w:pPr>
              <w:pStyle w:val="P68B1DB1-Normal9"/>
              <w:spacing w:after="0"/>
              <w:jc w:val="center"/>
              <w:rPr>
                <w:noProof/>
              </w:rPr>
            </w:pPr>
            <w:r>
              <w:rPr>
                <w:noProof/>
              </w:rPr>
              <w:t>2022</w:t>
            </w:r>
          </w:p>
        </w:tc>
        <w:tc>
          <w:tcPr>
            <w:tcW w:w="4960" w:type="dxa"/>
            <w:tcBorders>
              <w:top w:val="nil"/>
              <w:left w:val="single" w:sz="4" w:space="0" w:color="auto"/>
              <w:bottom w:val="single" w:sz="4" w:space="0" w:color="auto"/>
              <w:right w:val="single" w:sz="4" w:space="0" w:color="auto"/>
            </w:tcBorders>
            <w:shd w:val="clear" w:color="auto" w:fill="C6EFCE"/>
            <w:noWrap/>
            <w:vAlign w:val="center"/>
          </w:tcPr>
          <w:p w14:paraId="2DF71670" w14:textId="1E83AF92" w:rsidR="00235E11" w:rsidRDefault="00F837E4">
            <w:pPr>
              <w:pStyle w:val="P68B1DB1-Normal9"/>
              <w:spacing w:after="0"/>
              <w:rPr>
                <w:noProof/>
              </w:rPr>
            </w:pPr>
            <w:r>
              <w:rPr>
                <w:noProof/>
              </w:rPr>
              <w:t>Влизане в сила на регламент за реформиране на схемите за отпускане на безвъзмездни средства в областта на енергетиката за жилищно и частно саниране в немскоезичната общност.</w:t>
            </w:r>
          </w:p>
        </w:tc>
      </w:tr>
      <w:tr w:rsidR="00235E11" w14:paraId="369B5905" w14:textId="77777777">
        <w:trPr>
          <w:trHeight w:val="284"/>
        </w:trPr>
        <w:tc>
          <w:tcPr>
            <w:tcW w:w="714" w:type="dxa"/>
            <w:tcBorders>
              <w:top w:val="nil"/>
              <w:left w:val="single" w:sz="4" w:space="0" w:color="auto"/>
              <w:bottom w:val="single" w:sz="4" w:space="0" w:color="auto"/>
              <w:right w:val="single" w:sz="4" w:space="0" w:color="auto"/>
            </w:tcBorders>
            <w:shd w:val="clear" w:color="auto" w:fill="C6EFCE"/>
            <w:noWrap/>
            <w:vAlign w:val="center"/>
            <w:hideMark/>
          </w:tcPr>
          <w:p w14:paraId="433D1B89" w14:textId="77777777" w:rsidR="00235E11" w:rsidRDefault="00F837E4">
            <w:pPr>
              <w:pStyle w:val="P68B1DB1-Normal10"/>
              <w:spacing w:after="0"/>
              <w:jc w:val="center"/>
              <w:rPr>
                <w:noProof/>
              </w:rPr>
            </w:pPr>
            <w:r>
              <w:rPr>
                <w:noProof/>
              </w:rPr>
              <w:t>5</w:t>
            </w:r>
          </w:p>
        </w:tc>
        <w:tc>
          <w:tcPr>
            <w:tcW w:w="1731" w:type="dxa"/>
            <w:tcBorders>
              <w:top w:val="nil"/>
              <w:left w:val="nil"/>
              <w:bottom w:val="single" w:sz="4" w:space="0" w:color="auto"/>
              <w:right w:val="single" w:sz="4" w:space="0" w:color="auto"/>
            </w:tcBorders>
            <w:shd w:val="clear" w:color="auto" w:fill="C6EFCE"/>
            <w:noWrap/>
            <w:vAlign w:val="center"/>
          </w:tcPr>
          <w:p w14:paraId="1A562FB6" w14:textId="4AD19626" w:rsidR="00235E11" w:rsidRDefault="00F837E4">
            <w:pPr>
              <w:pStyle w:val="P68B1DB1-Normal9"/>
              <w:spacing w:after="0"/>
              <w:rPr>
                <w:rFonts w:eastAsia="Times New Roman"/>
                <w:noProof/>
              </w:rPr>
            </w:pPr>
            <w:r>
              <w:rPr>
                <w:noProof/>
              </w:rPr>
              <w:t>Обновяване на частни и социални жилища (I-1A)</w:t>
            </w:r>
          </w:p>
        </w:tc>
        <w:tc>
          <w:tcPr>
            <w:tcW w:w="1128" w:type="dxa"/>
            <w:tcBorders>
              <w:top w:val="nil"/>
              <w:left w:val="nil"/>
              <w:bottom w:val="single" w:sz="4" w:space="0" w:color="auto"/>
              <w:right w:val="single" w:sz="4" w:space="0" w:color="auto"/>
            </w:tcBorders>
            <w:shd w:val="clear" w:color="auto" w:fill="C6EFCE"/>
            <w:noWrap/>
            <w:vAlign w:val="center"/>
          </w:tcPr>
          <w:p w14:paraId="777123E4" w14:textId="61241441" w:rsidR="00235E11" w:rsidRDefault="00F837E4">
            <w:pPr>
              <w:pStyle w:val="P68B1DB1-Normal9"/>
              <w:spacing w:after="0"/>
              <w:rPr>
                <w:rFonts w:eastAsia="Times New Roman"/>
                <w:noProof/>
              </w:rPr>
            </w:pPr>
            <w:r>
              <w:rPr>
                <w:noProof/>
              </w:rPr>
              <w:t>T</w:t>
            </w:r>
          </w:p>
        </w:tc>
        <w:tc>
          <w:tcPr>
            <w:tcW w:w="1672" w:type="dxa"/>
            <w:tcBorders>
              <w:top w:val="nil"/>
              <w:left w:val="nil"/>
              <w:bottom w:val="single" w:sz="4" w:space="0" w:color="auto"/>
              <w:right w:val="single" w:sz="4" w:space="0" w:color="auto"/>
            </w:tcBorders>
            <w:shd w:val="clear" w:color="auto" w:fill="C6EFCE"/>
            <w:noWrap/>
            <w:vAlign w:val="center"/>
          </w:tcPr>
          <w:p w14:paraId="4A7AECAC" w14:textId="77777777" w:rsidR="00235E11" w:rsidRDefault="00F837E4">
            <w:pPr>
              <w:pStyle w:val="P68B1DB1-Normal9"/>
              <w:spacing w:after="0"/>
              <w:rPr>
                <w:noProof/>
              </w:rPr>
            </w:pPr>
            <w:r>
              <w:rPr>
                <w:noProof/>
              </w:rPr>
              <w:t>Обновяване на частни жилищни и социални жилища</w:t>
            </w:r>
          </w:p>
          <w:p w14:paraId="68D64C49" w14:textId="16E15AD9" w:rsidR="00235E11" w:rsidRDefault="00F837E4">
            <w:pPr>
              <w:pStyle w:val="P68B1DB1-Normal9"/>
              <w:spacing w:after="0"/>
              <w:rPr>
                <w:rFonts w:eastAsia="Times New Roman"/>
                <w:noProof/>
              </w:rPr>
            </w:pPr>
            <w:r>
              <w:rPr>
                <w:noProof/>
              </w:rPr>
              <w:t>(STEP1)</w:t>
            </w:r>
          </w:p>
        </w:tc>
        <w:tc>
          <w:tcPr>
            <w:tcW w:w="1163" w:type="dxa"/>
            <w:tcBorders>
              <w:top w:val="nil"/>
              <w:left w:val="nil"/>
              <w:bottom w:val="single" w:sz="4" w:space="0" w:color="auto"/>
              <w:right w:val="single" w:sz="4" w:space="0" w:color="auto"/>
            </w:tcBorders>
            <w:shd w:val="clear" w:color="auto" w:fill="C6EFCE"/>
            <w:noWrap/>
            <w:vAlign w:val="center"/>
          </w:tcPr>
          <w:p w14:paraId="00398981"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3A5CCC71" w14:textId="77777777" w:rsidR="00235E11" w:rsidRDefault="00F837E4">
            <w:pPr>
              <w:pStyle w:val="P68B1DB1-Normal9"/>
              <w:spacing w:after="0"/>
              <w:rPr>
                <w:rFonts w:eastAsia="Times New Roman"/>
                <w:noProof/>
              </w:rPr>
            </w:pPr>
            <w:r>
              <w:rPr>
                <w:noProof/>
              </w:rPr>
              <w:t>Жилища</w:t>
            </w:r>
          </w:p>
        </w:tc>
        <w:tc>
          <w:tcPr>
            <w:tcW w:w="1134" w:type="dxa"/>
            <w:tcBorders>
              <w:top w:val="nil"/>
              <w:left w:val="nil"/>
              <w:bottom w:val="single" w:sz="4" w:space="0" w:color="auto"/>
              <w:right w:val="single" w:sz="4" w:space="0" w:color="auto"/>
            </w:tcBorders>
            <w:shd w:val="clear" w:color="auto" w:fill="C6EFCE"/>
            <w:noWrap/>
            <w:vAlign w:val="center"/>
          </w:tcPr>
          <w:p w14:paraId="151BD5D5" w14:textId="77777777" w:rsidR="00235E11" w:rsidRDefault="00F837E4">
            <w:pPr>
              <w:pStyle w:val="P68B1DB1-Normal9"/>
              <w:spacing w:after="0"/>
              <w:jc w:val="center"/>
              <w:rPr>
                <w:rFonts w:eastAsia="Times New Roman"/>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tcPr>
          <w:p w14:paraId="27B25B0A" w14:textId="6716F015" w:rsidR="00235E11" w:rsidRDefault="00F837E4">
            <w:pPr>
              <w:pStyle w:val="P68B1DB1-Normal9"/>
              <w:spacing w:after="0"/>
              <w:rPr>
                <w:rFonts w:eastAsia="Times New Roman"/>
                <w:noProof/>
              </w:rPr>
            </w:pPr>
            <w:r>
              <w:rPr>
                <w:noProof/>
              </w:rPr>
              <w:t>64 112</w:t>
            </w:r>
          </w:p>
        </w:tc>
        <w:tc>
          <w:tcPr>
            <w:tcW w:w="709" w:type="dxa"/>
            <w:tcBorders>
              <w:top w:val="nil"/>
              <w:left w:val="nil"/>
              <w:bottom w:val="single" w:sz="4" w:space="0" w:color="auto"/>
              <w:right w:val="single" w:sz="4" w:space="0" w:color="auto"/>
            </w:tcBorders>
            <w:shd w:val="clear" w:color="auto" w:fill="C6EFCE"/>
            <w:noWrap/>
            <w:vAlign w:val="center"/>
          </w:tcPr>
          <w:p w14:paraId="005B464F"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48A4F69A" w14:textId="77777777" w:rsidR="00235E11" w:rsidRDefault="00F837E4">
            <w:pPr>
              <w:pStyle w:val="P68B1DB1-Normal9"/>
              <w:spacing w:after="0"/>
              <w:jc w:val="center"/>
              <w:rPr>
                <w:rFonts w:eastAsia="Times New Roman"/>
                <w:noProof/>
              </w:rPr>
            </w:pPr>
            <w:r>
              <w:rPr>
                <w:noProof/>
              </w:rPr>
              <w:t>2023</w:t>
            </w:r>
          </w:p>
        </w:tc>
        <w:tc>
          <w:tcPr>
            <w:tcW w:w="4960" w:type="dxa"/>
            <w:tcBorders>
              <w:top w:val="nil"/>
              <w:left w:val="single" w:sz="4" w:space="0" w:color="auto"/>
              <w:bottom w:val="single" w:sz="4" w:space="0" w:color="auto"/>
              <w:right w:val="single" w:sz="4" w:space="0" w:color="auto"/>
            </w:tcBorders>
            <w:shd w:val="clear" w:color="auto" w:fill="C6EFCE"/>
            <w:noWrap/>
            <w:vAlign w:val="center"/>
          </w:tcPr>
          <w:p w14:paraId="2960FFE4" w14:textId="7AA7E476" w:rsidR="00235E11" w:rsidRDefault="00F837E4">
            <w:pPr>
              <w:pStyle w:val="P68B1DB1-Normal9"/>
              <w:spacing w:after="120"/>
              <w:rPr>
                <w:noProof/>
              </w:rPr>
            </w:pPr>
            <w:r>
              <w:rPr>
                <w:noProof/>
              </w:rPr>
              <w:t xml:space="preserve">Обновени са 64 112 жилищни жилища (частни и социални жилища). </w:t>
            </w:r>
          </w:p>
          <w:p w14:paraId="09458F65" w14:textId="77777777" w:rsidR="00235E11" w:rsidRDefault="00F837E4">
            <w:pPr>
              <w:pStyle w:val="P68B1DB1-Normal9"/>
              <w:spacing w:after="120"/>
              <w:rPr>
                <w:noProof/>
              </w:rPr>
            </w:pPr>
            <w:r>
              <w:rPr>
                <w:noProof/>
              </w:rPr>
              <w:t>Тази цел е разделена индикативно на следните подцели, които не трябва да бъдат постигнати поотделно, при условие че са постигнати горепосочените нива на саниране:</w:t>
            </w:r>
          </w:p>
          <w:p w14:paraId="68C56C8F" w14:textId="77777777" w:rsidR="00235E11" w:rsidRDefault="00F837E4">
            <w:pPr>
              <w:pStyle w:val="P68B1DB1-Normal9"/>
              <w:spacing w:after="0"/>
              <w:rPr>
                <w:noProof/>
              </w:rPr>
            </w:pPr>
            <w:r>
              <w:rPr>
                <w:noProof/>
                <w:u w:val="single"/>
              </w:rPr>
              <w:t>Частни жилища</w:t>
            </w:r>
            <w:r>
              <w:rPr>
                <w:noProof/>
              </w:rPr>
              <w:t>:</w:t>
            </w:r>
          </w:p>
          <w:p w14:paraId="78E2983E" w14:textId="124A0D71" w:rsidR="00235E11" w:rsidRDefault="00F837E4">
            <w:pPr>
              <w:pStyle w:val="P68B1DB1-Normal9"/>
              <w:spacing w:after="0"/>
              <w:rPr>
                <w:noProof/>
              </w:rPr>
            </w:pPr>
            <w:r>
              <w:rPr>
                <w:noProof/>
              </w:rPr>
              <w:t>I) Регион Фландрия (R-1.01, субсидии за енергийна ефективност и възобновяема енергия): 49 500 жилища.</w:t>
            </w:r>
          </w:p>
          <w:p w14:paraId="27F76AC0" w14:textId="2CAAB8DD" w:rsidR="00235E11" w:rsidRDefault="00F837E4">
            <w:pPr>
              <w:pStyle w:val="P68B1DB1-Normal9"/>
              <w:spacing w:after="0"/>
              <w:rPr>
                <w:noProof/>
              </w:rPr>
            </w:pPr>
            <w:r>
              <w:rPr>
                <w:noProof/>
              </w:rPr>
              <w:t>II) Регион Фландрия (R-1.01, схема за отпускане на безвъзмездни средства в областта на енергетиката за енергийно ефективно саниране): 7 560 жилища</w:t>
            </w:r>
          </w:p>
          <w:p w14:paraId="59C714B3" w14:textId="525ABB4D" w:rsidR="00235E11" w:rsidRDefault="00F837E4">
            <w:pPr>
              <w:pStyle w:val="P68B1DB1-Normal9"/>
              <w:spacing w:after="120"/>
              <w:rPr>
                <w:noProof/>
              </w:rPr>
            </w:pPr>
            <w:r>
              <w:rPr>
                <w:noProof/>
              </w:rPr>
              <w:t>III) Регион Брюксел-столица (R-1.02): 2 341 жилища</w:t>
            </w:r>
          </w:p>
          <w:p w14:paraId="4254423D" w14:textId="77777777" w:rsidR="00235E11" w:rsidRDefault="00F837E4">
            <w:pPr>
              <w:pStyle w:val="P68B1DB1-Normal9"/>
              <w:spacing w:after="0"/>
              <w:rPr>
                <w:noProof/>
              </w:rPr>
            </w:pPr>
            <w:r>
              <w:rPr>
                <w:noProof/>
                <w:u w:val="single"/>
              </w:rPr>
              <w:t>Социално жилищно настаняване</w:t>
            </w:r>
            <w:r>
              <w:rPr>
                <w:noProof/>
              </w:rPr>
              <w:t>:</w:t>
            </w:r>
          </w:p>
          <w:p w14:paraId="357DF8AD" w14:textId="4DB94DA7" w:rsidR="00235E11" w:rsidRDefault="00F837E4">
            <w:pPr>
              <w:pStyle w:val="P68B1DB1-Normal9"/>
              <w:spacing w:after="0"/>
              <w:rPr>
                <w:noProof/>
              </w:rPr>
            </w:pPr>
            <w:r>
              <w:rPr>
                <w:noProof/>
              </w:rPr>
              <w:t>I) Регион Фландрия (I-1.01): 4 010 социални жилища</w:t>
            </w:r>
          </w:p>
          <w:p w14:paraId="595AD4CB" w14:textId="68C282AD" w:rsidR="00235E11" w:rsidRDefault="00F837E4">
            <w:pPr>
              <w:pStyle w:val="P68B1DB1-Normal9"/>
              <w:spacing w:after="0"/>
              <w:rPr>
                <w:noProof/>
              </w:rPr>
            </w:pPr>
            <w:r>
              <w:rPr>
                <w:noProof/>
              </w:rPr>
              <w:t>II) Регион Брюксел-столица (I-1.02): 701 социални жилища</w:t>
            </w:r>
          </w:p>
          <w:p w14:paraId="5111E56D" w14:textId="3D7595D7" w:rsidR="00235E11" w:rsidRDefault="00F837E4">
            <w:pPr>
              <w:pStyle w:val="P68B1DB1-Normal9"/>
              <w:spacing w:after="0"/>
              <w:rPr>
                <w:noProof/>
              </w:rPr>
            </w:pPr>
            <w:r>
              <w:rPr>
                <w:noProof/>
              </w:rPr>
              <w:t>Санирането на 4 711 социални жилища намалява средно най-малко 30 % от потреблението на първична енергия, както е определено в Препоръка (ЕС) 2019/786 на Комисията относно санирането на сгради.</w:t>
            </w:r>
          </w:p>
        </w:tc>
      </w:tr>
      <w:tr w:rsidR="00235E11" w14:paraId="4E90AFEE" w14:textId="7777777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hideMark/>
          </w:tcPr>
          <w:p w14:paraId="00B2E72B" w14:textId="77777777" w:rsidR="00235E11" w:rsidRDefault="00F837E4">
            <w:pPr>
              <w:pStyle w:val="P68B1DB1-Normal10"/>
              <w:spacing w:after="0"/>
              <w:jc w:val="center"/>
              <w:rPr>
                <w:noProof/>
              </w:rPr>
            </w:pPr>
            <w:r>
              <w:rPr>
                <w:noProof/>
              </w:rPr>
              <w:t>6</w:t>
            </w:r>
          </w:p>
        </w:tc>
        <w:tc>
          <w:tcPr>
            <w:tcW w:w="1731" w:type="dxa"/>
            <w:tcBorders>
              <w:top w:val="nil"/>
              <w:left w:val="nil"/>
              <w:bottom w:val="single" w:sz="4" w:space="0" w:color="auto"/>
              <w:right w:val="single" w:sz="4" w:space="0" w:color="auto"/>
            </w:tcBorders>
            <w:shd w:val="clear" w:color="auto" w:fill="C6EFCE"/>
            <w:noWrap/>
            <w:vAlign w:val="center"/>
          </w:tcPr>
          <w:p w14:paraId="6A5B01A2" w14:textId="657A0F69" w:rsidR="00235E11" w:rsidRDefault="00F837E4">
            <w:pPr>
              <w:pStyle w:val="P68B1DB1-Normal9"/>
              <w:spacing w:after="0"/>
              <w:rPr>
                <w:rFonts w:eastAsia="Times New Roman"/>
                <w:noProof/>
              </w:rPr>
            </w:pPr>
            <w:r>
              <w:rPr>
                <w:noProof/>
              </w:rPr>
              <w:t>Обновяване на частни и социални жилища (I-1A)</w:t>
            </w:r>
          </w:p>
        </w:tc>
        <w:tc>
          <w:tcPr>
            <w:tcW w:w="1128" w:type="dxa"/>
            <w:tcBorders>
              <w:top w:val="nil"/>
              <w:left w:val="nil"/>
              <w:bottom w:val="single" w:sz="4" w:space="0" w:color="auto"/>
              <w:right w:val="single" w:sz="4" w:space="0" w:color="auto"/>
            </w:tcBorders>
            <w:shd w:val="clear" w:color="auto" w:fill="C6EFCE"/>
            <w:noWrap/>
            <w:vAlign w:val="center"/>
          </w:tcPr>
          <w:p w14:paraId="405A99B7" w14:textId="5AEA9544" w:rsidR="00235E11" w:rsidRDefault="00F837E4">
            <w:pPr>
              <w:pStyle w:val="P68B1DB1-Normal9"/>
              <w:spacing w:after="0"/>
              <w:rPr>
                <w:rFonts w:eastAsia="Times New Roman"/>
                <w:noProof/>
              </w:rPr>
            </w:pPr>
            <w:r>
              <w:rPr>
                <w:noProof/>
              </w:rPr>
              <w:t>T</w:t>
            </w:r>
          </w:p>
        </w:tc>
        <w:tc>
          <w:tcPr>
            <w:tcW w:w="1672" w:type="dxa"/>
            <w:tcBorders>
              <w:top w:val="nil"/>
              <w:left w:val="nil"/>
              <w:bottom w:val="single" w:sz="4" w:space="0" w:color="auto"/>
              <w:right w:val="single" w:sz="4" w:space="0" w:color="auto"/>
            </w:tcBorders>
            <w:shd w:val="clear" w:color="auto" w:fill="C6EFCE"/>
            <w:noWrap/>
            <w:vAlign w:val="center"/>
          </w:tcPr>
          <w:p w14:paraId="6EC7DC11" w14:textId="77777777" w:rsidR="00235E11" w:rsidRDefault="00F837E4">
            <w:pPr>
              <w:pStyle w:val="P68B1DB1-Normal9"/>
              <w:spacing w:after="0"/>
              <w:rPr>
                <w:noProof/>
              </w:rPr>
            </w:pPr>
            <w:r>
              <w:rPr>
                <w:noProof/>
              </w:rPr>
              <w:t>Обновяване на частни жилищни и социални жилища</w:t>
            </w:r>
          </w:p>
          <w:p w14:paraId="0452692C" w14:textId="3A5AAD5C" w:rsidR="00235E11" w:rsidRDefault="00F837E4">
            <w:pPr>
              <w:pStyle w:val="P68B1DB1-Normal9"/>
              <w:spacing w:after="0"/>
              <w:rPr>
                <w:rFonts w:eastAsia="Times New Roman"/>
                <w:noProof/>
              </w:rPr>
            </w:pPr>
            <w:r>
              <w:rPr>
                <w:noProof/>
              </w:rPr>
              <w:t>(стъпка 2)</w:t>
            </w:r>
          </w:p>
        </w:tc>
        <w:tc>
          <w:tcPr>
            <w:tcW w:w="1163" w:type="dxa"/>
            <w:tcBorders>
              <w:top w:val="nil"/>
              <w:left w:val="nil"/>
              <w:bottom w:val="single" w:sz="4" w:space="0" w:color="auto"/>
              <w:right w:val="single" w:sz="4" w:space="0" w:color="auto"/>
            </w:tcBorders>
            <w:shd w:val="clear" w:color="auto" w:fill="C6EFCE"/>
            <w:noWrap/>
            <w:vAlign w:val="center"/>
          </w:tcPr>
          <w:p w14:paraId="68996D29" w14:textId="1C5DC36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60FDB63A" w14:textId="77777777" w:rsidR="00235E11" w:rsidRDefault="00F837E4">
            <w:pPr>
              <w:pStyle w:val="P68B1DB1-Normal9"/>
              <w:spacing w:after="0"/>
              <w:rPr>
                <w:rFonts w:eastAsia="Times New Roman"/>
                <w:noProof/>
              </w:rPr>
            </w:pPr>
            <w:r>
              <w:rPr>
                <w:noProof/>
              </w:rPr>
              <w:t>Жилища</w:t>
            </w:r>
          </w:p>
        </w:tc>
        <w:tc>
          <w:tcPr>
            <w:tcW w:w="1134" w:type="dxa"/>
            <w:tcBorders>
              <w:top w:val="nil"/>
              <w:left w:val="nil"/>
              <w:bottom w:val="single" w:sz="4" w:space="0" w:color="auto"/>
              <w:right w:val="single" w:sz="4" w:space="0" w:color="auto"/>
            </w:tcBorders>
            <w:shd w:val="clear" w:color="auto" w:fill="C6EFCE"/>
            <w:noWrap/>
            <w:vAlign w:val="center"/>
          </w:tcPr>
          <w:p w14:paraId="0044C456" w14:textId="3119200A" w:rsidR="00235E11" w:rsidRDefault="00F837E4">
            <w:pPr>
              <w:pStyle w:val="P68B1DB1-Normal9"/>
              <w:spacing w:after="0"/>
              <w:rPr>
                <w:rFonts w:eastAsia="Times New Roman"/>
                <w:noProof/>
              </w:rPr>
            </w:pPr>
            <w:r>
              <w:rPr>
                <w:noProof/>
              </w:rPr>
              <w:t>64 112</w:t>
            </w:r>
          </w:p>
        </w:tc>
        <w:tc>
          <w:tcPr>
            <w:tcW w:w="992" w:type="dxa"/>
            <w:tcBorders>
              <w:top w:val="nil"/>
              <w:left w:val="nil"/>
              <w:bottom w:val="single" w:sz="4" w:space="0" w:color="auto"/>
              <w:right w:val="single" w:sz="4" w:space="0" w:color="auto"/>
            </w:tcBorders>
            <w:shd w:val="clear" w:color="auto" w:fill="C6EFCE"/>
            <w:noWrap/>
            <w:vAlign w:val="center"/>
          </w:tcPr>
          <w:p w14:paraId="77F394CC" w14:textId="2BEF004B" w:rsidR="00235E11" w:rsidRDefault="00F837E4">
            <w:pPr>
              <w:pStyle w:val="P68B1DB1-Normal9"/>
              <w:spacing w:after="0"/>
              <w:rPr>
                <w:rFonts w:eastAsia="Times New Roman"/>
                <w:noProof/>
              </w:rPr>
            </w:pPr>
            <w:r>
              <w:rPr>
                <w:noProof/>
              </w:rPr>
              <w:t>131 731</w:t>
            </w:r>
          </w:p>
        </w:tc>
        <w:tc>
          <w:tcPr>
            <w:tcW w:w="709" w:type="dxa"/>
            <w:tcBorders>
              <w:top w:val="nil"/>
              <w:left w:val="nil"/>
              <w:bottom w:val="single" w:sz="4" w:space="0" w:color="auto"/>
              <w:right w:val="single" w:sz="4" w:space="0" w:color="auto"/>
            </w:tcBorders>
            <w:shd w:val="clear" w:color="auto" w:fill="C6EFCE"/>
            <w:noWrap/>
            <w:vAlign w:val="center"/>
          </w:tcPr>
          <w:p w14:paraId="56A048C0"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5E13C44A" w14:textId="77777777" w:rsidR="00235E11" w:rsidRDefault="00F837E4">
            <w:pPr>
              <w:pStyle w:val="P68B1DB1-Normal9"/>
              <w:spacing w:after="0"/>
              <w:jc w:val="center"/>
              <w:rPr>
                <w:rFonts w:eastAsia="Times New Roman"/>
                <w:noProof/>
              </w:rPr>
            </w:pPr>
            <w:r>
              <w:rPr>
                <w:noProof/>
              </w:rPr>
              <w:t>2024</w:t>
            </w:r>
          </w:p>
        </w:tc>
        <w:tc>
          <w:tcPr>
            <w:tcW w:w="4960" w:type="dxa"/>
            <w:tcBorders>
              <w:top w:val="nil"/>
              <w:left w:val="single" w:sz="4" w:space="0" w:color="auto"/>
              <w:bottom w:val="single" w:sz="4" w:space="0" w:color="auto"/>
              <w:right w:val="single" w:sz="4" w:space="0" w:color="auto"/>
            </w:tcBorders>
            <w:shd w:val="clear" w:color="auto" w:fill="C6EFCE"/>
            <w:noWrap/>
            <w:vAlign w:val="center"/>
          </w:tcPr>
          <w:p w14:paraId="36458A3F" w14:textId="3969BB2B" w:rsidR="00235E11" w:rsidRDefault="00F837E4">
            <w:pPr>
              <w:pStyle w:val="P68B1DB1-Normal9"/>
              <w:spacing w:after="120"/>
              <w:rPr>
                <w:noProof/>
              </w:rPr>
            </w:pPr>
            <w:r>
              <w:rPr>
                <w:noProof/>
              </w:rPr>
              <w:t xml:space="preserve">Ремонтирани са още 67 719 жилищни жилища (частни и социални жилища). </w:t>
            </w:r>
          </w:p>
          <w:p w14:paraId="2682FDBE" w14:textId="77777777" w:rsidR="00235E11" w:rsidRDefault="00F837E4">
            <w:pPr>
              <w:pStyle w:val="P68B1DB1-Normal9"/>
              <w:spacing w:after="120"/>
              <w:rPr>
                <w:noProof/>
              </w:rPr>
            </w:pPr>
            <w:r>
              <w:rPr>
                <w:noProof/>
              </w:rPr>
              <w:t>Тази цел е разделена индикативно на следните подцели, които не трябва да бъдат постигнати поотделно, при условие че са постигнати горепосочените нива на саниране:</w:t>
            </w:r>
          </w:p>
          <w:p w14:paraId="4BCE2F32" w14:textId="77777777" w:rsidR="00235E11" w:rsidRDefault="00F837E4">
            <w:pPr>
              <w:pStyle w:val="P68B1DB1-Normal9"/>
              <w:spacing w:after="0"/>
              <w:rPr>
                <w:noProof/>
              </w:rPr>
            </w:pPr>
            <w:r>
              <w:rPr>
                <w:noProof/>
                <w:u w:val="single"/>
              </w:rPr>
              <w:t>Частни жилища</w:t>
            </w:r>
            <w:r>
              <w:rPr>
                <w:noProof/>
              </w:rPr>
              <w:t>:</w:t>
            </w:r>
          </w:p>
          <w:p w14:paraId="3FF56D2D" w14:textId="3AB412CA" w:rsidR="00235E11" w:rsidRDefault="00F837E4">
            <w:pPr>
              <w:pStyle w:val="P68B1DB1-Normal9"/>
              <w:spacing w:after="0"/>
              <w:rPr>
                <w:noProof/>
              </w:rPr>
            </w:pPr>
            <w:r>
              <w:rPr>
                <w:noProof/>
              </w:rPr>
              <w:t>I) Регион Фландрия (R-1.01, субсидии за енергийна ефективност и възобновяема енергия): 66 150 жилища.</w:t>
            </w:r>
          </w:p>
          <w:p w14:paraId="456A3349" w14:textId="663285DF" w:rsidR="00235E11" w:rsidRDefault="00F837E4">
            <w:pPr>
              <w:pStyle w:val="P68B1DB1-Normal9"/>
              <w:spacing w:after="120"/>
              <w:rPr>
                <w:noProof/>
              </w:rPr>
            </w:pPr>
            <w:r>
              <w:rPr>
                <w:noProof/>
              </w:rPr>
              <w:t>II) Регион Брюксел-столица (R-1.02): 1 004 жилища</w:t>
            </w:r>
          </w:p>
          <w:p w14:paraId="6F09307F" w14:textId="77777777" w:rsidR="00235E11" w:rsidRDefault="00F837E4">
            <w:pPr>
              <w:pStyle w:val="P68B1DB1-Normal9"/>
              <w:spacing w:after="0"/>
              <w:rPr>
                <w:noProof/>
              </w:rPr>
            </w:pPr>
            <w:r>
              <w:rPr>
                <w:noProof/>
                <w:u w:val="single"/>
              </w:rPr>
              <w:t>Социално жилищно настаняване</w:t>
            </w:r>
            <w:r>
              <w:rPr>
                <w:noProof/>
              </w:rPr>
              <w:t>:</w:t>
            </w:r>
          </w:p>
          <w:p w14:paraId="4E967737" w14:textId="77777777" w:rsidR="00235E11" w:rsidRDefault="00F837E4">
            <w:pPr>
              <w:pStyle w:val="P68B1DB1-Normal9"/>
              <w:spacing w:after="0"/>
              <w:rPr>
                <w:noProof/>
              </w:rPr>
            </w:pPr>
            <w:r>
              <w:rPr>
                <w:noProof/>
              </w:rPr>
              <w:t>I) Регион Брюксел-столица (I-1.02): 427 социални жилища</w:t>
            </w:r>
          </w:p>
          <w:p w14:paraId="0A73F17A" w14:textId="0B08C1E4" w:rsidR="00235E11" w:rsidRDefault="00F837E4">
            <w:pPr>
              <w:pStyle w:val="P68B1DB1-Normal9"/>
              <w:spacing w:after="0"/>
              <w:rPr>
                <w:noProof/>
              </w:rPr>
            </w:pPr>
            <w:r>
              <w:rPr>
                <w:noProof/>
              </w:rPr>
              <w:t>II) Немскоезична общност (I-1.03): 39 социални жилища</w:t>
            </w:r>
          </w:p>
          <w:p w14:paraId="7F5DDA67" w14:textId="4F0A307E" w:rsidR="00235E11" w:rsidRDefault="00F837E4">
            <w:pPr>
              <w:pStyle w:val="P68B1DB1-Normal9"/>
              <w:spacing w:after="0"/>
              <w:rPr>
                <w:noProof/>
              </w:rPr>
            </w:pPr>
            <w:r>
              <w:rPr>
                <w:noProof/>
              </w:rPr>
              <w:t>Санирането на 466 социални жилища намалява средно най-малко 30 % от потреблението на първична енергия, както е определено в Препоръка (ЕС) 2019/786 на Комисията относно санирането на сгради.</w:t>
            </w:r>
          </w:p>
        </w:tc>
      </w:tr>
      <w:tr w:rsidR="00235E11" w14:paraId="3A6EB5EC" w14:textId="7777777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BA29E2" w14:textId="77777777" w:rsidR="00235E11" w:rsidRDefault="00F837E4">
            <w:pPr>
              <w:pStyle w:val="P68B1DB1-Normal9"/>
              <w:spacing w:after="0"/>
              <w:jc w:val="center"/>
              <w:rPr>
                <w:noProof/>
              </w:rPr>
            </w:pPr>
            <w:r>
              <w:rPr>
                <w:noProof/>
              </w:rPr>
              <w:t>7</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43E59692" w14:textId="320DCA02" w:rsidR="00235E11" w:rsidRDefault="00F837E4">
            <w:pPr>
              <w:pStyle w:val="P68B1DB1-Normal9"/>
              <w:spacing w:after="0"/>
              <w:rPr>
                <w:noProof/>
              </w:rPr>
            </w:pPr>
            <w:r>
              <w:rPr>
                <w:noProof/>
              </w:rPr>
              <w:t>Обновяване на частни и социални жилища (I-1A)</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59CE4637" w14:textId="2B12AADE" w:rsidR="00235E11" w:rsidRDefault="00F837E4">
            <w:pPr>
              <w:pStyle w:val="P68B1DB1-Normal9"/>
              <w:spacing w:after="0"/>
              <w:rPr>
                <w:noProof/>
              </w:rPr>
            </w:pPr>
            <w:r>
              <w:rPr>
                <w:noProof/>
              </w:rPr>
              <w:t>T</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59688A64" w14:textId="77777777" w:rsidR="00235E11" w:rsidRDefault="00F837E4">
            <w:pPr>
              <w:pStyle w:val="P68B1DB1-Normal9"/>
              <w:spacing w:after="0"/>
              <w:rPr>
                <w:noProof/>
              </w:rPr>
            </w:pPr>
            <w:r>
              <w:rPr>
                <w:noProof/>
              </w:rPr>
              <w:t>Саниране на частни жилищни и социални жилища</w:t>
            </w:r>
          </w:p>
          <w:p w14:paraId="1A91F313" w14:textId="560B736F" w:rsidR="00235E11" w:rsidRDefault="00F837E4">
            <w:pPr>
              <w:pStyle w:val="P68B1DB1-Normal9"/>
              <w:spacing w:after="0"/>
              <w:rPr>
                <w:noProof/>
              </w:rPr>
            </w:pPr>
            <w:r>
              <w:rPr>
                <w:noProof/>
              </w:rPr>
              <w:t>(стъпка 3)</w:t>
            </w:r>
          </w:p>
        </w:tc>
        <w:tc>
          <w:tcPr>
            <w:tcW w:w="1163" w:type="dxa"/>
            <w:tcBorders>
              <w:top w:val="single" w:sz="4" w:space="0" w:color="auto"/>
              <w:left w:val="nil"/>
              <w:bottom w:val="single" w:sz="4" w:space="0" w:color="auto"/>
              <w:right w:val="single" w:sz="4" w:space="0" w:color="auto"/>
            </w:tcBorders>
            <w:shd w:val="clear" w:color="auto" w:fill="C6EFCE"/>
            <w:noWrap/>
            <w:vAlign w:val="center"/>
          </w:tcPr>
          <w:p w14:paraId="6C26E416"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B090512" w14:textId="77777777" w:rsidR="00235E11" w:rsidRDefault="00F837E4">
            <w:pPr>
              <w:pStyle w:val="P68B1DB1-Normal9"/>
              <w:spacing w:after="0"/>
              <w:rPr>
                <w:noProof/>
                <w:color w:val="375623"/>
              </w:rPr>
            </w:pPr>
            <w:r>
              <w:rPr>
                <w:noProof/>
              </w:rPr>
              <w:t>Жилища</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C82E194" w14:textId="54F32CE3" w:rsidR="00235E11" w:rsidRDefault="00F837E4">
            <w:pPr>
              <w:pStyle w:val="P68B1DB1-Normal9"/>
              <w:spacing w:after="0"/>
              <w:rPr>
                <w:noProof/>
                <w:color w:val="375623"/>
              </w:rPr>
            </w:pPr>
            <w:r>
              <w:rPr>
                <w:noProof/>
              </w:rPr>
              <w:t>131 731</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1D77A38" w14:textId="100DD583" w:rsidR="00235E11" w:rsidRDefault="00F837E4">
            <w:pPr>
              <w:pStyle w:val="P68B1DB1-Normal9"/>
              <w:spacing w:after="0"/>
              <w:rPr>
                <w:noProof/>
                <w:color w:val="375623"/>
              </w:rPr>
            </w:pPr>
            <w:r>
              <w:rPr>
                <w:noProof/>
              </w:rPr>
              <w:t>198 107</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278967B" w14:textId="77777777" w:rsidR="00235E11" w:rsidRDefault="00F837E4">
            <w:pPr>
              <w:pStyle w:val="P68B1DB1-Normal9"/>
              <w:spacing w:after="0"/>
              <w:jc w:val="center"/>
              <w:rPr>
                <w:noProof/>
                <w:color w:val="375623"/>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731A1E3" w14:textId="77777777" w:rsidR="00235E11" w:rsidRDefault="00F837E4">
            <w:pPr>
              <w:pStyle w:val="P68B1DB1-Normal9"/>
              <w:spacing w:after="0"/>
              <w:jc w:val="center"/>
              <w:rPr>
                <w:noProof/>
                <w:color w:val="375623"/>
              </w:rPr>
            </w:pPr>
            <w:r>
              <w:rPr>
                <w:noProof/>
              </w:rPr>
              <w:t>2025</w:t>
            </w:r>
          </w:p>
        </w:tc>
        <w:tc>
          <w:tcPr>
            <w:tcW w:w="49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F4158D" w14:textId="5C73144C" w:rsidR="00235E11" w:rsidRDefault="00F837E4">
            <w:pPr>
              <w:pStyle w:val="P68B1DB1-Normal9"/>
              <w:spacing w:after="120"/>
              <w:rPr>
                <w:noProof/>
              </w:rPr>
            </w:pPr>
            <w:r>
              <w:rPr>
                <w:noProof/>
              </w:rPr>
              <w:t xml:space="preserve">Ремонтирани са още 66 376 жилищни жилища (частни и социални жилища). </w:t>
            </w:r>
          </w:p>
          <w:p w14:paraId="015BE8A9" w14:textId="77777777" w:rsidR="00235E11" w:rsidRDefault="00F837E4">
            <w:pPr>
              <w:pStyle w:val="P68B1DB1-Normal9"/>
              <w:spacing w:after="120"/>
              <w:rPr>
                <w:noProof/>
              </w:rPr>
            </w:pPr>
            <w:r>
              <w:rPr>
                <w:noProof/>
              </w:rPr>
              <w:t>Тази цел е разделена индикативно на следните подцели, които не трябва да бъдат постигнати поотделно, при условие че са постигнати горепосочените нива на саниране:</w:t>
            </w:r>
          </w:p>
          <w:p w14:paraId="21FCFF8C" w14:textId="77777777" w:rsidR="00235E11" w:rsidRDefault="00F837E4">
            <w:pPr>
              <w:pStyle w:val="P68B1DB1-Normal9"/>
              <w:spacing w:after="0"/>
              <w:rPr>
                <w:noProof/>
              </w:rPr>
            </w:pPr>
            <w:r>
              <w:rPr>
                <w:noProof/>
                <w:u w:val="single"/>
              </w:rPr>
              <w:t>Частни жилища</w:t>
            </w:r>
            <w:r>
              <w:rPr>
                <w:noProof/>
              </w:rPr>
              <w:t>:</w:t>
            </w:r>
          </w:p>
          <w:p w14:paraId="01E46040" w14:textId="7314C474" w:rsidR="00235E11" w:rsidRDefault="00F837E4">
            <w:pPr>
              <w:pStyle w:val="P68B1DB1-Normal9"/>
              <w:spacing w:after="120"/>
              <w:rPr>
                <w:noProof/>
              </w:rPr>
            </w:pPr>
            <w:r>
              <w:rPr>
                <w:noProof/>
              </w:rPr>
              <w:t>I) Регион Фландрия (R-1.01, субсидии за енергийна ефективност и възобновяема енергия): 66 150 жилища.</w:t>
            </w:r>
          </w:p>
          <w:p w14:paraId="780B37A3" w14:textId="77777777" w:rsidR="00235E11" w:rsidRDefault="00F837E4">
            <w:pPr>
              <w:pStyle w:val="P68B1DB1-Normal9"/>
              <w:spacing w:after="0"/>
              <w:rPr>
                <w:noProof/>
              </w:rPr>
            </w:pPr>
            <w:r>
              <w:rPr>
                <w:noProof/>
                <w:u w:val="single"/>
              </w:rPr>
              <w:t>Социално жилищно настаняване</w:t>
            </w:r>
            <w:r>
              <w:rPr>
                <w:noProof/>
              </w:rPr>
              <w:t>:</w:t>
            </w:r>
          </w:p>
          <w:p w14:paraId="616271A2" w14:textId="77777777" w:rsidR="00235E11" w:rsidRDefault="00F837E4">
            <w:pPr>
              <w:pStyle w:val="P68B1DB1-Normal9"/>
              <w:spacing w:after="0"/>
              <w:rPr>
                <w:noProof/>
              </w:rPr>
            </w:pPr>
            <w:r>
              <w:rPr>
                <w:noProof/>
              </w:rPr>
              <w:t>I) Регион Брюксел-столица (I-1.02): 197 социални жилища</w:t>
            </w:r>
          </w:p>
          <w:p w14:paraId="0F21369D" w14:textId="708531EF" w:rsidR="00235E11" w:rsidRDefault="00F837E4">
            <w:pPr>
              <w:pStyle w:val="P68B1DB1-Normal9"/>
              <w:spacing w:after="0"/>
              <w:rPr>
                <w:noProof/>
              </w:rPr>
            </w:pPr>
            <w:r>
              <w:rPr>
                <w:noProof/>
              </w:rPr>
              <w:t>II) Немскоезична общност (I-1.03): 29 социални жилища</w:t>
            </w:r>
          </w:p>
          <w:p w14:paraId="25153A6A" w14:textId="0973CF8D" w:rsidR="00235E11" w:rsidRDefault="00F837E4">
            <w:pPr>
              <w:pStyle w:val="P68B1DB1-Normal9"/>
              <w:spacing w:after="0"/>
              <w:rPr>
                <w:noProof/>
              </w:rPr>
            </w:pPr>
            <w:r>
              <w:rPr>
                <w:noProof/>
              </w:rPr>
              <w:t>Санирането на 226 социални жилища намалява средно най-малко 30 % от потреблението на първична енергия, както е определено в Препоръка (ЕС) 2019/786 на Комисията относно санирането на сгради.</w:t>
            </w:r>
          </w:p>
        </w:tc>
      </w:tr>
      <w:tr w:rsidR="00235E11" w14:paraId="7BB33251" w14:textId="7777777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BCA8B3" w14:textId="77777777" w:rsidR="00235E11" w:rsidRDefault="00F837E4">
            <w:pPr>
              <w:pStyle w:val="P68B1DB1-Normal10"/>
              <w:spacing w:after="0"/>
              <w:jc w:val="center"/>
              <w:rPr>
                <w:noProof/>
              </w:rPr>
            </w:pPr>
            <w:r>
              <w:rPr>
                <w:noProof/>
              </w:rPr>
              <w:t>9</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17A0A1B0" w14:textId="2F5D0621" w:rsidR="00235E11" w:rsidRDefault="00F837E4">
            <w:pPr>
              <w:pStyle w:val="P68B1DB1-Normal9"/>
              <w:spacing w:after="0"/>
              <w:rPr>
                <w:rFonts w:eastAsia="Times New Roman"/>
                <w:noProof/>
              </w:rPr>
            </w:pPr>
            <w:r>
              <w:rPr>
                <w:noProof/>
              </w:rPr>
              <w:t>Обновяване на частни и социални жилища (R-1.01, iii)</w:t>
            </w:r>
          </w:p>
        </w:tc>
        <w:tc>
          <w:tcPr>
            <w:tcW w:w="1128" w:type="dxa"/>
            <w:tcBorders>
              <w:top w:val="single" w:sz="4" w:space="0" w:color="auto"/>
              <w:left w:val="nil"/>
              <w:right w:val="single" w:sz="4" w:space="0" w:color="auto"/>
            </w:tcBorders>
            <w:shd w:val="clear" w:color="auto" w:fill="C6EFCE"/>
            <w:noWrap/>
            <w:vAlign w:val="center"/>
          </w:tcPr>
          <w:p w14:paraId="08679B6E" w14:textId="3B8504CA" w:rsidR="00235E11" w:rsidRDefault="00F837E4">
            <w:pPr>
              <w:pStyle w:val="P68B1DB1-Normal9"/>
              <w:spacing w:after="0"/>
              <w:rPr>
                <w:rFonts w:eastAsia="Times New Roman"/>
                <w:noProof/>
              </w:rPr>
            </w:pPr>
            <w:r>
              <w:rPr>
                <w:noProof/>
              </w:rPr>
              <w:t>T</w:t>
            </w:r>
          </w:p>
        </w:tc>
        <w:tc>
          <w:tcPr>
            <w:tcW w:w="1672" w:type="dxa"/>
            <w:tcBorders>
              <w:top w:val="single" w:sz="4" w:space="0" w:color="auto"/>
              <w:left w:val="nil"/>
              <w:right w:val="single" w:sz="4" w:space="0" w:color="auto"/>
            </w:tcBorders>
            <w:shd w:val="clear" w:color="auto" w:fill="C6EFCE"/>
            <w:noWrap/>
            <w:vAlign w:val="center"/>
          </w:tcPr>
          <w:p w14:paraId="09C2912C" w14:textId="77777777" w:rsidR="00235E11" w:rsidRDefault="00F837E4">
            <w:pPr>
              <w:pStyle w:val="P68B1DB1-Normal9"/>
              <w:spacing w:after="0"/>
              <w:rPr>
                <w:rFonts w:eastAsia="Times New Roman"/>
                <w:noProof/>
              </w:rPr>
            </w:pPr>
            <w:r>
              <w:rPr>
                <w:noProof/>
              </w:rPr>
              <w:t>Отпускане на безвъзмездни средства за битови батерии и уреди за интелигентно управление във Фландрия</w:t>
            </w:r>
          </w:p>
        </w:tc>
        <w:tc>
          <w:tcPr>
            <w:tcW w:w="1163" w:type="dxa"/>
            <w:tcBorders>
              <w:top w:val="single" w:sz="4" w:space="0" w:color="auto"/>
              <w:left w:val="nil"/>
              <w:right w:val="single" w:sz="4" w:space="0" w:color="auto"/>
            </w:tcBorders>
            <w:shd w:val="clear" w:color="auto" w:fill="C6EFCE"/>
            <w:noWrap/>
            <w:vAlign w:val="center"/>
          </w:tcPr>
          <w:p w14:paraId="08480008"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right w:val="single" w:sz="4" w:space="0" w:color="auto"/>
            </w:tcBorders>
            <w:shd w:val="clear" w:color="auto" w:fill="C6EFCE"/>
            <w:noWrap/>
            <w:vAlign w:val="center"/>
          </w:tcPr>
          <w:p w14:paraId="4D35EB7A" w14:textId="77777777" w:rsidR="00235E11" w:rsidRDefault="00F837E4">
            <w:pPr>
              <w:pStyle w:val="P68B1DB1-Normal10"/>
              <w:spacing w:after="0"/>
              <w:rPr>
                <w:noProof/>
              </w:rPr>
            </w:pPr>
            <w:r>
              <w:rPr>
                <w:noProof/>
              </w:rPr>
              <w:t>Отпуснати безвъзмездни средства</w:t>
            </w:r>
          </w:p>
        </w:tc>
        <w:tc>
          <w:tcPr>
            <w:tcW w:w="1134" w:type="dxa"/>
            <w:tcBorders>
              <w:top w:val="single" w:sz="4" w:space="0" w:color="auto"/>
              <w:left w:val="nil"/>
              <w:right w:val="single" w:sz="4" w:space="0" w:color="auto"/>
            </w:tcBorders>
            <w:shd w:val="clear" w:color="auto" w:fill="C6EFCE"/>
            <w:noWrap/>
            <w:vAlign w:val="center"/>
          </w:tcPr>
          <w:p w14:paraId="2897867B" w14:textId="77777777" w:rsidR="00235E11" w:rsidRDefault="00F837E4">
            <w:pPr>
              <w:pStyle w:val="P68B1DB1-Normal10"/>
              <w:spacing w:after="0"/>
              <w:rPr>
                <w:noProof/>
              </w:rPr>
            </w:pPr>
            <w:r>
              <w:rPr>
                <w:noProof/>
              </w:rPr>
              <w:t>0</w:t>
            </w:r>
          </w:p>
        </w:tc>
        <w:tc>
          <w:tcPr>
            <w:tcW w:w="992" w:type="dxa"/>
            <w:tcBorders>
              <w:top w:val="single" w:sz="4" w:space="0" w:color="auto"/>
              <w:left w:val="nil"/>
              <w:right w:val="single" w:sz="4" w:space="0" w:color="auto"/>
            </w:tcBorders>
            <w:shd w:val="clear" w:color="auto" w:fill="C6EFCE"/>
            <w:noWrap/>
            <w:vAlign w:val="center"/>
          </w:tcPr>
          <w:p w14:paraId="580EEA62" w14:textId="77777777" w:rsidR="00235E11" w:rsidRDefault="00F837E4">
            <w:pPr>
              <w:pStyle w:val="P68B1DB1-Normal9"/>
              <w:spacing w:after="0"/>
              <w:rPr>
                <w:rFonts w:eastAsia="Times New Roman"/>
                <w:noProof/>
              </w:rPr>
            </w:pPr>
            <w:r>
              <w:rPr>
                <w:noProof/>
              </w:rPr>
              <w:t>8 460</w:t>
            </w:r>
          </w:p>
        </w:tc>
        <w:tc>
          <w:tcPr>
            <w:tcW w:w="709" w:type="dxa"/>
            <w:tcBorders>
              <w:top w:val="single" w:sz="4" w:space="0" w:color="auto"/>
              <w:left w:val="nil"/>
              <w:right w:val="single" w:sz="4" w:space="0" w:color="auto"/>
            </w:tcBorders>
            <w:shd w:val="clear" w:color="auto" w:fill="C6EFCE"/>
            <w:noWrap/>
            <w:vAlign w:val="center"/>
          </w:tcPr>
          <w:p w14:paraId="4F42994D" w14:textId="77777777" w:rsidR="00235E11" w:rsidRDefault="00F837E4">
            <w:pPr>
              <w:pStyle w:val="P68B1DB1-Normal9"/>
              <w:spacing w:after="0"/>
              <w:jc w:val="center"/>
              <w:rPr>
                <w:rFonts w:eastAsia="Times New Roman"/>
                <w:noProof/>
              </w:rPr>
            </w:pPr>
            <w:r>
              <w:rPr>
                <w:noProof/>
              </w:rPr>
              <w:t>Т2 Г.</w:t>
            </w:r>
          </w:p>
        </w:tc>
        <w:tc>
          <w:tcPr>
            <w:tcW w:w="709" w:type="dxa"/>
            <w:tcBorders>
              <w:top w:val="single" w:sz="4" w:space="0" w:color="auto"/>
              <w:left w:val="nil"/>
              <w:right w:val="single" w:sz="4" w:space="0" w:color="auto"/>
            </w:tcBorders>
            <w:shd w:val="clear" w:color="auto" w:fill="C6EFCE"/>
            <w:noWrap/>
            <w:vAlign w:val="center"/>
          </w:tcPr>
          <w:p w14:paraId="490007CC" w14:textId="77777777" w:rsidR="00235E11" w:rsidRDefault="00F837E4">
            <w:pPr>
              <w:pStyle w:val="P68B1DB1-Normal9"/>
              <w:spacing w:after="0"/>
              <w:jc w:val="center"/>
              <w:rPr>
                <w:rFonts w:eastAsia="Times New Roman"/>
                <w:noProof/>
              </w:rPr>
            </w:pPr>
            <w:r>
              <w:rPr>
                <w:noProof/>
              </w:rPr>
              <w:t>2023</w:t>
            </w:r>
          </w:p>
        </w:tc>
        <w:tc>
          <w:tcPr>
            <w:tcW w:w="4960" w:type="dxa"/>
            <w:tcBorders>
              <w:top w:val="single" w:sz="4" w:space="0" w:color="auto"/>
              <w:left w:val="single" w:sz="4" w:space="0" w:color="auto"/>
              <w:right w:val="single" w:sz="4" w:space="0" w:color="auto"/>
            </w:tcBorders>
            <w:shd w:val="clear" w:color="auto" w:fill="C6EFCE"/>
            <w:noWrap/>
            <w:vAlign w:val="center"/>
          </w:tcPr>
          <w:p w14:paraId="2137FB5F" w14:textId="7F78ADEC" w:rsidR="00235E11" w:rsidRDefault="00F837E4">
            <w:pPr>
              <w:pStyle w:val="P68B1DB1-Normal9"/>
              <w:rPr>
                <w:rFonts w:eastAsia="Times New Roman"/>
                <w:noProof/>
              </w:rPr>
            </w:pPr>
            <w:r>
              <w:rPr>
                <w:noProof/>
              </w:rPr>
              <w:t>Безвъзмездни средства, отпуснати за битови батерии за частни жилища във Фландрия от второто тримесечие на 2 2021 г. насам.</w:t>
            </w:r>
          </w:p>
        </w:tc>
      </w:tr>
      <w:tr w:rsidR="00235E11" w14:paraId="33CDC85A" w14:textId="7777777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F94A7E" w14:textId="77777777" w:rsidR="00235E11" w:rsidRDefault="00F837E4">
            <w:pPr>
              <w:pStyle w:val="P68B1DB1-Normal9"/>
              <w:spacing w:after="0"/>
              <w:jc w:val="center"/>
              <w:rPr>
                <w:noProof/>
              </w:rPr>
            </w:pPr>
            <w:r>
              <w:rPr>
                <w:noProof/>
              </w:rPr>
              <w:t>11</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30AB7C6C" w14:textId="63233563" w:rsidR="00235E11" w:rsidRDefault="00F837E4">
            <w:pPr>
              <w:pStyle w:val="P68B1DB1-Normal9"/>
              <w:spacing w:after="0"/>
              <w:rPr>
                <w:noProof/>
              </w:rPr>
            </w:pPr>
            <w:r>
              <w:rPr>
                <w:noProof/>
              </w:rPr>
              <w:t>Саниране на обществени сгради (I-1.08)</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3DD0FB00" w14:textId="58FCEA1C" w:rsidR="00235E11" w:rsidRDefault="00F837E4">
            <w:pPr>
              <w:pStyle w:val="P68B1DB1-Normal9"/>
              <w:spacing w:after="0"/>
              <w:rPr>
                <w:noProof/>
              </w:rPr>
            </w:pPr>
            <w:r>
              <w:rPr>
                <w:noProof/>
              </w:rPr>
              <w:t>M</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153A0F96" w14:textId="28542E8E" w:rsidR="00235E11" w:rsidRDefault="00F837E4">
            <w:pPr>
              <w:pStyle w:val="P68B1DB1-Normal10"/>
              <w:spacing w:after="0"/>
              <w:rPr>
                <w:noProof/>
              </w:rPr>
            </w:pPr>
            <w:r>
              <w:rPr>
                <w:noProof/>
              </w:rPr>
              <w:t>Адаптиране на наредбата за електроенергията с цел въвеждане на обслужване на едно гише за саниране</w:t>
            </w:r>
          </w:p>
        </w:tc>
        <w:tc>
          <w:tcPr>
            <w:tcW w:w="1163" w:type="dxa"/>
            <w:tcBorders>
              <w:top w:val="single" w:sz="4" w:space="0" w:color="auto"/>
              <w:left w:val="nil"/>
              <w:bottom w:val="single" w:sz="4" w:space="0" w:color="auto"/>
              <w:right w:val="single" w:sz="4" w:space="0" w:color="auto"/>
            </w:tcBorders>
            <w:shd w:val="clear" w:color="auto" w:fill="C6EFCE"/>
            <w:noWrap/>
            <w:vAlign w:val="center"/>
          </w:tcPr>
          <w:p w14:paraId="6F74A623" w14:textId="77777777" w:rsidR="00235E11" w:rsidRDefault="00F837E4">
            <w:pPr>
              <w:pStyle w:val="P68B1DB1-Normal9"/>
              <w:spacing w:after="0"/>
              <w:rPr>
                <w:rFonts w:eastAsia="Times New Roman"/>
                <w:noProof/>
              </w:rPr>
            </w:pPr>
            <w:r>
              <w:rPr>
                <w:noProof/>
              </w:rPr>
              <w:t>Публикуване в Официален вестник на наредбата за електроенергията</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91672D7" w14:textId="77777777" w:rsidR="00235E11" w:rsidRDefault="00235E11">
            <w:pPr>
              <w:spacing w:after="0"/>
              <w:rPr>
                <w:rFonts w:ascii="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D409220" w14:textId="77777777" w:rsidR="00235E11" w:rsidRDefault="00235E11">
            <w:pPr>
              <w:spacing w:after="0"/>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1329E4E" w14:textId="77777777" w:rsidR="00235E11" w:rsidRDefault="00235E11">
            <w:pPr>
              <w:spacing w:after="0"/>
              <w:rPr>
                <w:rFonts w:ascii="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DEFF785" w14:textId="77777777" w:rsidR="00235E11" w:rsidRDefault="00F837E4">
            <w:pPr>
              <w:pStyle w:val="P68B1DB1-Normal9"/>
              <w:spacing w:after="0"/>
              <w:jc w:val="center"/>
              <w:rPr>
                <w:noProof/>
              </w:rPr>
            </w:pPr>
            <w:r>
              <w:rPr>
                <w:noProof/>
              </w:rPr>
              <w:t>Т1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9F77359" w14:textId="77777777" w:rsidR="00235E11" w:rsidRDefault="00F837E4">
            <w:pPr>
              <w:pStyle w:val="P68B1DB1-Normal9"/>
              <w:spacing w:after="0"/>
              <w:jc w:val="center"/>
              <w:rPr>
                <w:noProof/>
              </w:rPr>
            </w:pPr>
            <w:r>
              <w:rPr>
                <w:noProof/>
              </w:rPr>
              <w:t>2022</w:t>
            </w:r>
          </w:p>
        </w:tc>
        <w:tc>
          <w:tcPr>
            <w:tcW w:w="49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10E27E" w14:textId="58C3F2E7" w:rsidR="00235E11" w:rsidRDefault="00F837E4">
            <w:pPr>
              <w:pStyle w:val="P68B1DB1-Normal9"/>
              <w:spacing w:after="0"/>
              <w:rPr>
                <w:noProof/>
                <w:highlight w:val="cyan"/>
              </w:rPr>
            </w:pPr>
            <w:r>
              <w:rPr>
                <w:noProof/>
              </w:rPr>
              <w:t>Влизане в сила на наредбата за електроенергията, определяща мисията за обществена услуга на Sibelga, включително обслужването на едно гише за обществени ремонти в Брюксел.</w:t>
            </w:r>
          </w:p>
        </w:tc>
      </w:tr>
      <w:tr w:rsidR="00235E11" w14:paraId="30DE7795" w14:textId="7777777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tcPr>
          <w:p w14:paraId="788BF098" w14:textId="77777777" w:rsidR="00235E11" w:rsidRDefault="00F837E4">
            <w:pPr>
              <w:pStyle w:val="P68B1DB1-Normal10"/>
              <w:spacing w:after="0"/>
              <w:jc w:val="center"/>
              <w:rPr>
                <w:noProof/>
              </w:rPr>
            </w:pPr>
            <w:r>
              <w:rPr>
                <w:noProof/>
              </w:rPr>
              <w:t>12</w:t>
            </w:r>
          </w:p>
        </w:tc>
        <w:tc>
          <w:tcPr>
            <w:tcW w:w="1731" w:type="dxa"/>
            <w:tcBorders>
              <w:top w:val="nil"/>
              <w:left w:val="nil"/>
              <w:bottom w:val="single" w:sz="4" w:space="0" w:color="auto"/>
              <w:right w:val="single" w:sz="4" w:space="0" w:color="auto"/>
            </w:tcBorders>
            <w:shd w:val="clear" w:color="auto" w:fill="C6EFCE"/>
            <w:noWrap/>
            <w:vAlign w:val="center"/>
          </w:tcPr>
          <w:p w14:paraId="715BCC23" w14:textId="77777777" w:rsidR="00235E11" w:rsidRDefault="00F837E4">
            <w:pPr>
              <w:pStyle w:val="P68B1DB1-Normal9"/>
              <w:spacing w:after="0"/>
              <w:rPr>
                <w:noProof/>
              </w:rPr>
            </w:pPr>
            <w:r>
              <w:rPr>
                <w:noProof/>
              </w:rPr>
              <w:t>Саниране на обществени сгради</w:t>
            </w:r>
          </w:p>
          <w:p w14:paraId="2B99F77F" w14:textId="704A5CE2" w:rsidR="00235E11" w:rsidRDefault="00F837E4">
            <w:pPr>
              <w:pStyle w:val="P68B1DB1-Normal9"/>
              <w:spacing w:after="0"/>
              <w:rPr>
                <w:noProof/>
              </w:rPr>
            </w:pPr>
            <w:r>
              <w:rPr>
                <w:noProof/>
              </w:rPr>
              <w:t>(I-1Б)</w:t>
            </w:r>
          </w:p>
        </w:tc>
        <w:tc>
          <w:tcPr>
            <w:tcW w:w="1128" w:type="dxa"/>
            <w:tcBorders>
              <w:top w:val="nil"/>
              <w:left w:val="nil"/>
              <w:bottom w:val="single" w:sz="4" w:space="0" w:color="auto"/>
              <w:right w:val="single" w:sz="4" w:space="0" w:color="auto"/>
            </w:tcBorders>
            <w:shd w:val="clear" w:color="auto" w:fill="C6EFCE"/>
            <w:noWrap/>
            <w:vAlign w:val="center"/>
          </w:tcPr>
          <w:p w14:paraId="4CB89BC7" w14:textId="357F91E4" w:rsidR="00235E11" w:rsidRDefault="00F837E4">
            <w:pPr>
              <w:pStyle w:val="P68B1DB1-Normal9"/>
              <w:spacing w:after="0"/>
              <w:rPr>
                <w:rFonts w:eastAsia="Times New Roman"/>
                <w:noProof/>
              </w:rPr>
            </w:pPr>
            <w:r>
              <w:rPr>
                <w:noProof/>
              </w:rPr>
              <w:t>T</w:t>
            </w:r>
          </w:p>
        </w:tc>
        <w:tc>
          <w:tcPr>
            <w:tcW w:w="1672" w:type="dxa"/>
            <w:tcBorders>
              <w:top w:val="nil"/>
              <w:left w:val="nil"/>
              <w:bottom w:val="single" w:sz="4" w:space="0" w:color="auto"/>
              <w:right w:val="single" w:sz="4" w:space="0" w:color="auto"/>
            </w:tcBorders>
            <w:shd w:val="clear" w:color="auto" w:fill="C6EFCE"/>
            <w:noWrap/>
            <w:vAlign w:val="center"/>
          </w:tcPr>
          <w:p w14:paraId="613CF68F" w14:textId="77777777" w:rsidR="00235E11" w:rsidRDefault="00F837E4">
            <w:pPr>
              <w:pStyle w:val="P68B1DB1-Normal10"/>
              <w:spacing w:after="0"/>
              <w:rPr>
                <w:noProof/>
              </w:rPr>
            </w:pPr>
            <w:r>
              <w:rPr>
                <w:noProof/>
              </w:rPr>
              <w:t>Саниране на обществени сгради (стъпка 1)</w:t>
            </w:r>
          </w:p>
        </w:tc>
        <w:tc>
          <w:tcPr>
            <w:tcW w:w="1163" w:type="dxa"/>
            <w:tcBorders>
              <w:top w:val="nil"/>
              <w:left w:val="nil"/>
              <w:bottom w:val="single" w:sz="4" w:space="0" w:color="auto"/>
              <w:right w:val="single" w:sz="4" w:space="0" w:color="auto"/>
            </w:tcBorders>
            <w:shd w:val="clear" w:color="auto" w:fill="C6EFCE"/>
            <w:noWrap/>
            <w:vAlign w:val="center"/>
          </w:tcPr>
          <w:p w14:paraId="7ACBC0E9"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75B4993C" w14:textId="77777777" w:rsidR="00235E11" w:rsidRDefault="00F837E4">
            <w:pPr>
              <w:pStyle w:val="P68B1DB1-Normal9"/>
              <w:spacing w:after="0"/>
              <w:rPr>
                <w:rFonts w:eastAsia="Times New Roman"/>
                <w:noProof/>
              </w:rPr>
            </w:pPr>
            <w:r>
              <w:rPr>
                <w:noProof/>
              </w:rPr>
              <w:t>m²</w:t>
            </w:r>
          </w:p>
        </w:tc>
        <w:tc>
          <w:tcPr>
            <w:tcW w:w="1134" w:type="dxa"/>
            <w:tcBorders>
              <w:top w:val="nil"/>
              <w:left w:val="nil"/>
              <w:bottom w:val="single" w:sz="4" w:space="0" w:color="auto"/>
              <w:right w:val="single" w:sz="4" w:space="0" w:color="auto"/>
            </w:tcBorders>
            <w:shd w:val="clear" w:color="auto" w:fill="C6EFCE"/>
            <w:noWrap/>
            <w:vAlign w:val="center"/>
          </w:tcPr>
          <w:p w14:paraId="2C6796E6" w14:textId="77777777" w:rsidR="00235E11" w:rsidRDefault="00F837E4">
            <w:pPr>
              <w:pStyle w:val="P68B1DB1-Normal10"/>
              <w:spacing w:after="0"/>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tcPr>
          <w:p w14:paraId="3DFE5A0F" w14:textId="4315C6DB" w:rsidR="00235E11" w:rsidRDefault="00F837E4">
            <w:pPr>
              <w:pStyle w:val="P68B1DB1-Normal9"/>
              <w:spacing w:after="0"/>
              <w:rPr>
                <w:rFonts w:eastAsia="Times New Roman"/>
                <w:noProof/>
              </w:rPr>
            </w:pPr>
            <w:r>
              <w:rPr>
                <w:noProof/>
              </w:rPr>
              <w:t>4 500</w:t>
            </w:r>
          </w:p>
        </w:tc>
        <w:tc>
          <w:tcPr>
            <w:tcW w:w="709" w:type="dxa"/>
            <w:tcBorders>
              <w:top w:val="nil"/>
              <w:left w:val="nil"/>
              <w:bottom w:val="single" w:sz="4" w:space="0" w:color="auto"/>
              <w:right w:val="single" w:sz="4" w:space="0" w:color="auto"/>
            </w:tcBorders>
            <w:shd w:val="clear" w:color="auto" w:fill="C6EFCE"/>
            <w:noWrap/>
            <w:vAlign w:val="center"/>
          </w:tcPr>
          <w:p w14:paraId="61D1CF08"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49006117" w14:textId="77777777" w:rsidR="00235E11" w:rsidRDefault="00F837E4">
            <w:pPr>
              <w:pStyle w:val="P68B1DB1-Normal9"/>
              <w:spacing w:after="0"/>
              <w:jc w:val="center"/>
              <w:rPr>
                <w:rFonts w:eastAsia="Times New Roman"/>
                <w:noProof/>
              </w:rPr>
            </w:pPr>
            <w:r>
              <w:rPr>
                <w:noProof/>
              </w:rPr>
              <w:t>2024</w:t>
            </w:r>
          </w:p>
        </w:tc>
        <w:tc>
          <w:tcPr>
            <w:tcW w:w="4960" w:type="dxa"/>
            <w:tcBorders>
              <w:top w:val="nil"/>
              <w:left w:val="single" w:sz="4" w:space="0" w:color="auto"/>
              <w:bottom w:val="single" w:sz="4" w:space="0" w:color="auto"/>
              <w:right w:val="single" w:sz="4" w:space="0" w:color="auto"/>
            </w:tcBorders>
            <w:shd w:val="clear" w:color="auto" w:fill="C6EFCE"/>
            <w:noWrap/>
            <w:vAlign w:val="center"/>
          </w:tcPr>
          <w:p w14:paraId="2E997A83" w14:textId="1519BC3D" w:rsidR="00235E11" w:rsidRDefault="00F837E4">
            <w:pPr>
              <w:pStyle w:val="P68B1DB1-Normal9"/>
              <w:spacing w:after="120"/>
              <w:rPr>
                <w:rFonts w:eastAsia="Times New Roman"/>
                <w:noProof/>
                <w:highlight w:val="cyan"/>
              </w:rPr>
            </w:pPr>
            <w:r>
              <w:rPr>
                <w:noProof/>
              </w:rPr>
              <w:t>Федерална провинция (I-1.04): 4 500 m² от санираните обществени сгради, включително 2 610 m², които намаляват средно най-малко 30 % от потреблението на първична енергия, както е определено в Препоръка (ЕС) 2019/786 на Комисията относно санирането на сгради.</w:t>
            </w:r>
          </w:p>
          <w:p w14:paraId="5B60EFDA" w14:textId="2093AD01" w:rsidR="00235E11" w:rsidRDefault="00235E11">
            <w:pPr>
              <w:spacing w:after="0"/>
              <w:rPr>
                <w:rFonts w:ascii="Times New Roman" w:eastAsia="Times New Roman" w:hAnsi="Times New Roman" w:cs="Times New Roman"/>
                <w:noProof/>
                <w:color w:val="006100"/>
                <w:highlight w:val="cyan"/>
              </w:rPr>
            </w:pPr>
          </w:p>
        </w:tc>
      </w:tr>
      <w:tr w:rsidR="00235E11" w14:paraId="567F8DCC" w14:textId="7777777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tcPr>
          <w:p w14:paraId="619E4C7E" w14:textId="77777777" w:rsidR="00235E11" w:rsidRDefault="00F837E4">
            <w:pPr>
              <w:pStyle w:val="P68B1DB1-Normal10"/>
              <w:spacing w:after="0"/>
              <w:jc w:val="center"/>
              <w:rPr>
                <w:noProof/>
              </w:rPr>
            </w:pPr>
            <w:r>
              <w:rPr>
                <w:noProof/>
              </w:rPr>
              <w:t>13</w:t>
            </w:r>
          </w:p>
        </w:tc>
        <w:tc>
          <w:tcPr>
            <w:tcW w:w="1731" w:type="dxa"/>
            <w:tcBorders>
              <w:top w:val="nil"/>
              <w:left w:val="nil"/>
              <w:bottom w:val="single" w:sz="4" w:space="0" w:color="auto"/>
              <w:right w:val="single" w:sz="4" w:space="0" w:color="auto"/>
            </w:tcBorders>
            <w:shd w:val="clear" w:color="auto" w:fill="C6EFCE"/>
            <w:noWrap/>
            <w:vAlign w:val="center"/>
          </w:tcPr>
          <w:p w14:paraId="5DDDFFD0" w14:textId="77777777" w:rsidR="00235E11" w:rsidRDefault="00F837E4">
            <w:pPr>
              <w:pStyle w:val="P68B1DB1-Normal9"/>
              <w:spacing w:after="0"/>
              <w:rPr>
                <w:noProof/>
              </w:rPr>
            </w:pPr>
            <w:r>
              <w:rPr>
                <w:noProof/>
              </w:rPr>
              <w:t>Саниране на обществени сгради</w:t>
            </w:r>
          </w:p>
          <w:p w14:paraId="10E974EA" w14:textId="5F5EF0B1" w:rsidR="00235E11" w:rsidRDefault="00F837E4">
            <w:pPr>
              <w:pStyle w:val="P68B1DB1-Normal9"/>
              <w:spacing w:after="0"/>
              <w:rPr>
                <w:rFonts w:eastAsia="Times New Roman"/>
                <w:noProof/>
              </w:rPr>
            </w:pPr>
            <w:r>
              <w:rPr>
                <w:noProof/>
              </w:rPr>
              <w:t>(I-1Б)</w:t>
            </w:r>
          </w:p>
        </w:tc>
        <w:tc>
          <w:tcPr>
            <w:tcW w:w="1128" w:type="dxa"/>
            <w:tcBorders>
              <w:top w:val="nil"/>
              <w:left w:val="nil"/>
              <w:bottom w:val="single" w:sz="4" w:space="0" w:color="auto"/>
              <w:right w:val="single" w:sz="4" w:space="0" w:color="auto"/>
            </w:tcBorders>
            <w:shd w:val="clear" w:color="auto" w:fill="C6EFCE"/>
            <w:noWrap/>
            <w:vAlign w:val="center"/>
          </w:tcPr>
          <w:p w14:paraId="6736E123" w14:textId="2A1ED641" w:rsidR="00235E11" w:rsidRDefault="00F837E4">
            <w:pPr>
              <w:pStyle w:val="P68B1DB1-Normal9"/>
              <w:spacing w:after="0"/>
              <w:rPr>
                <w:rFonts w:eastAsia="Times New Roman"/>
                <w:noProof/>
              </w:rPr>
            </w:pPr>
            <w:r>
              <w:rPr>
                <w:noProof/>
              </w:rPr>
              <w:t>T</w:t>
            </w:r>
          </w:p>
        </w:tc>
        <w:tc>
          <w:tcPr>
            <w:tcW w:w="1672" w:type="dxa"/>
            <w:tcBorders>
              <w:top w:val="nil"/>
              <w:left w:val="nil"/>
              <w:bottom w:val="single" w:sz="4" w:space="0" w:color="auto"/>
              <w:right w:val="single" w:sz="4" w:space="0" w:color="auto"/>
            </w:tcBorders>
            <w:shd w:val="clear" w:color="auto" w:fill="C6EFCE"/>
            <w:noWrap/>
            <w:vAlign w:val="center"/>
          </w:tcPr>
          <w:p w14:paraId="3F67FB65" w14:textId="77777777" w:rsidR="00235E11" w:rsidRDefault="00F837E4">
            <w:pPr>
              <w:pStyle w:val="P68B1DB1-Normal10"/>
              <w:spacing w:after="0"/>
              <w:rPr>
                <w:noProof/>
              </w:rPr>
            </w:pPr>
            <w:r>
              <w:rPr>
                <w:noProof/>
              </w:rPr>
              <w:t>Саниране на обществени сгради (стъпка 2)</w:t>
            </w:r>
          </w:p>
        </w:tc>
        <w:tc>
          <w:tcPr>
            <w:tcW w:w="1163" w:type="dxa"/>
            <w:tcBorders>
              <w:top w:val="nil"/>
              <w:left w:val="nil"/>
              <w:bottom w:val="single" w:sz="4" w:space="0" w:color="auto"/>
              <w:right w:val="single" w:sz="4" w:space="0" w:color="auto"/>
            </w:tcBorders>
            <w:shd w:val="clear" w:color="auto" w:fill="C6EFCE"/>
            <w:noWrap/>
            <w:vAlign w:val="center"/>
          </w:tcPr>
          <w:p w14:paraId="132418F4"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6ADDF226" w14:textId="77777777" w:rsidR="00235E11" w:rsidRDefault="00F837E4">
            <w:pPr>
              <w:pStyle w:val="P68B1DB1-Normal9"/>
              <w:spacing w:after="0"/>
              <w:rPr>
                <w:rFonts w:eastAsia="Times New Roman"/>
                <w:noProof/>
              </w:rPr>
            </w:pPr>
            <w:r>
              <w:rPr>
                <w:noProof/>
              </w:rPr>
              <w:t>m²</w:t>
            </w:r>
          </w:p>
        </w:tc>
        <w:tc>
          <w:tcPr>
            <w:tcW w:w="1134" w:type="dxa"/>
            <w:tcBorders>
              <w:top w:val="nil"/>
              <w:left w:val="nil"/>
              <w:bottom w:val="single" w:sz="4" w:space="0" w:color="auto"/>
              <w:right w:val="single" w:sz="4" w:space="0" w:color="auto"/>
            </w:tcBorders>
            <w:shd w:val="clear" w:color="auto" w:fill="C6EFCE"/>
            <w:noWrap/>
            <w:vAlign w:val="center"/>
          </w:tcPr>
          <w:p w14:paraId="070EA30D" w14:textId="31B3B5CE" w:rsidR="00235E11" w:rsidRDefault="00F837E4">
            <w:pPr>
              <w:pStyle w:val="P68B1DB1-Normal9"/>
              <w:spacing w:after="0"/>
              <w:rPr>
                <w:rFonts w:eastAsia="Times New Roman"/>
                <w:noProof/>
              </w:rPr>
            </w:pPr>
            <w:r>
              <w:rPr>
                <w:noProof/>
              </w:rPr>
              <w:t>4 500</w:t>
            </w:r>
          </w:p>
        </w:tc>
        <w:tc>
          <w:tcPr>
            <w:tcW w:w="992" w:type="dxa"/>
            <w:tcBorders>
              <w:top w:val="nil"/>
              <w:left w:val="nil"/>
              <w:bottom w:val="single" w:sz="4" w:space="0" w:color="auto"/>
              <w:right w:val="single" w:sz="4" w:space="0" w:color="auto"/>
            </w:tcBorders>
            <w:shd w:val="clear" w:color="auto" w:fill="C6EFCE"/>
            <w:noWrap/>
            <w:vAlign w:val="center"/>
          </w:tcPr>
          <w:p w14:paraId="5791CD16" w14:textId="56527EFE" w:rsidR="00235E11" w:rsidRDefault="00F837E4">
            <w:pPr>
              <w:pStyle w:val="P68B1DB1-Normal9"/>
              <w:spacing w:after="0"/>
              <w:rPr>
                <w:rFonts w:eastAsia="Times New Roman"/>
                <w:noProof/>
              </w:rPr>
            </w:pPr>
            <w:r>
              <w:rPr>
                <w:noProof/>
              </w:rPr>
              <w:t>256 690</w:t>
            </w:r>
          </w:p>
        </w:tc>
        <w:tc>
          <w:tcPr>
            <w:tcW w:w="709" w:type="dxa"/>
            <w:tcBorders>
              <w:top w:val="nil"/>
              <w:left w:val="nil"/>
              <w:bottom w:val="single" w:sz="4" w:space="0" w:color="auto"/>
              <w:right w:val="single" w:sz="4" w:space="0" w:color="auto"/>
            </w:tcBorders>
            <w:shd w:val="clear" w:color="auto" w:fill="C6EFCE"/>
            <w:noWrap/>
            <w:vAlign w:val="center"/>
          </w:tcPr>
          <w:p w14:paraId="0F75BB02"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3293F26D" w14:textId="77777777" w:rsidR="00235E11" w:rsidRDefault="00F837E4">
            <w:pPr>
              <w:pStyle w:val="P68B1DB1-Normal9"/>
              <w:spacing w:after="0"/>
              <w:jc w:val="center"/>
              <w:rPr>
                <w:rFonts w:eastAsia="Times New Roman"/>
                <w:noProof/>
              </w:rPr>
            </w:pPr>
            <w:r>
              <w:rPr>
                <w:noProof/>
              </w:rPr>
              <w:t>2025</w:t>
            </w:r>
          </w:p>
        </w:tc>
        <w:tc>
          <w:tcPr>
            <w:tcW w:w="4960" w:type="dxa"/>
            <w:tcBorders>
              <w:top w:val="nil"/>
              <w:left w:val="single" w:sz="4" w:space="0" w:color="auto"/>
              <w:bottom w:val="single" w:sz="4" w:space="0" w:color="auto"/>
              <w:right w:val="single" w:sz="4" w:space="0" w:color="auto"/>
            </w:tcBorders>
            <w:shd w:val="clear" w:color="auto" w:fill="C6EFCE"/>
            <w:noWrap/>
            <w:vAlign w:val="center"/>
          </w:tcPr>
          <w:p w14:paraId="70C80A00" w14:textId="449A0260" w:rsidR="00235E11" w:rsidRDefault="00F837E4">
            <w:pPr>
              <w:pStyle w:val="P68B1DB1-Normal9"/>
              <w:spacing w:after="120"/>
              <w:rPr>
                <w:rFonts w:eastAsia="Times New Roman"/>
                <w:noProof/>
              </w:rPr>
            </w:pPr>
            <w:r>
              <w:rPr>
                <w:noProof/>
              </w:rPr>
              <w:t>Допълнителни 252 190 m² от санираните обществени сгради, включително 20 477 m², които намаляват средно най-малко 30 % от потреблението на първична енергия, както е посочено в Препоръка (ЕС) 2019/786 на Комисията относно санирането на сгради.</w:t>
            </w:r>
          </w:p>
          <w:p w14:paraId="6DDCB104" w14:textId="507BFDDF" w:rsidR="00235E11" w:rsidRDefault="00F837E4">
            <w:pPr>
              <w:pStyle w:val="P68B1DB1-Normal9"/>
              <w:spacing w:after="0"/>
              <w:rPr>
                <w:rFonts w:eastAsia="Times New Roman"/>
                <w:noProof/>
              </w:rPr>
            </w:pPr>
            <w:r>
              <w:rPr>
                <w:noProof/>
              </w:rPr>
              <w:t>Тази цел е разделена индикативно на следните подцели, които не трябва да бъдат постигнати поотделно, при условие че са постигнати горепосочените общи равнища на саниране:</w:t>
            </w:r>
          </w:p>
          <w:p w14:paraId="467FD51F" w14:textId="3A90BDE2" w:rsidR="00235E11" w:rsidRDefault="00F837E4">
            <w:pPr>
              <w:pStyle w:val="P68B1DB1-Normal9"/>
              <w:spacing w:after="0"/>
              <w:rPr>
                <w:rFonts w:eastAsia="Times New Roman"/>
                <w:noProof/>
              </w:rPr>
            </w:pPr>
            <w:r>
              <w:rPr>
                <w:noProof/>
              </w:rPr>
              <w:t xml:space="preserve">I) </w:t>
            </w:r>
            <w:r>
              <w:rPr>
                <w:noProof/>
                <w:u w:val="single"/>
              </w:rPr>
              <w:t>Федерална провинция</w:t>
            </w:r>
            <w:r>
              <w:rPr>
                <w:noProof/>
              </w:rPr>
              <w:t xml:space="preserve"> (I-1.04): 6 300 m², от които 3 654 m² трябва да намалят средно най-малко 30 % от потреблението на първична енергия, както е посочено в Препоръка (ЕС) 2019/786 на Комисията относно санирането на сгради.</w:t>
            </w:r>
          </w:p>
          <w:p w14:paraId="311FEB0B" w14:textId="5836B442" w:rsidR="00235E11" w:rsidRDefault="00F837E4">
            <w:pPr>
              <w:pStyle w:val="P68B1DB1-Normal9"/>
              <w:spacing w:after="0"/>
              <w:rPr>
                <w:noProof/>
              </w:rPr>
            </w:pPr>
            <w:r>
              <w:rPr>
                <w:noProof/>
              </w:rPr>
              <w:t xml:space="preserve">II) </w:t>
            </w:r>
            <w:r>
              <w:rPr>
                <w:noProof/>
                <w:u w:val="single"/>
              </w:rPr>
              <w:t>Регион Фландрия</w:t>
            </w:r>
            <w:r>
              <w:rPr>
                <w:noProof/>
              </w:rPr>
              <w:t xml:space="preserve"> (I-1.05): 157 245 m².</w:t>
            </w:r>
          </w:p>
          <w:p w14:paraId="15CF12A6" w14:textId="24F31082" w:rsidR="00235E11" w:rsidRDefault="00F837E4">
            <w:pPr>
              <w:pStyle w:val="P68B1DB1-Normal9"/>
              <w:spacing w:after="0"/>
              <w:rPr>
                <w:rFonts w:eastAsia="Times New Roman"/>
                <w:noProof/>
              </w:rPr>
            </w:pPr>
            <w:r>
              <w:rPr>
                <w:noProof/>
              </w:rPr>
              <w:t xml:space="preserve">III) </w:t>
            </w:r>
            <w:r>
              <w:rPr>
                <w:noProof/>
                <w:u w:val="single"/>
              </w:rPr>
              <w:t>Валонски регион</w:t>
            </w:r>
            <w:r>
              <w:rPr>
                <w:noProof/>
              </w:rPr>
              <w:t xml:space="preserve"> (I-1.07): 16 824 m².</w:t>
            </w:r>
          </w:p>
          <w:p w14:paraId="01D4A9B7" w14:textId="4876B9EF" w:rsidR="00235E11" w:rsidRDefault="00F837E4">
            <w:pPr>
              <w:pStyle w:val="P68B1DB1-Normal9"/>
              <w:spacing w:after="0"/>
              <w:rPr>
                <w:rFonts w:eastAsia="Times New Roman"/>
                <w:noProof/>
              </w:rPr>
            </w:pPr>
            <w:r>
              <w:rPr>
                <w:noProof/>
              </w:rPr>
              <w:t xml:space="preserve">IV) </w:t>
            </w:r>
            <w:r>
              <w:rPr>
                <w:noProof/>
                <w:u w:val="single"/>
              </w:rPr>
              <w:t>Френска общност</w:t>
            </w:r>
            <w:r>
              <w:rPr>
                <w:noProof/>
              </w:rPr>
              <w:t xml:space="preserve"> (I-1.09, I-1.10, I-1.11, I-1.12): 71 821 m², от които 16 823 m² трябва да намалят средно най-малко 30 % от потреблението на първична енергия, както е определено в Препоръка (ЕС) 2019/786 на Комисията относно санирането на сгради.</w:t>
            </w:r>
          </w:p>
        </w:tc>
      </w:tr>
      <w:tr w:rsidR="00235E11" w14:paraId="53555842" w14:textId="7777777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tcPr>
          <w:p w14:paraId="766FAD6A" w14:textId="77777777" w:rsidR="00235E11" w:rsidRDefault="00F837E4">
            <w:pPr>
              <w:pStyle w:val="P68B1DB1-Normal9"/>
              <w:spacing w:after="0"/>
              <w:jc w:val="center"/>
              <w:rPr>
                <w:rFonts w:eastAsia="Times New Roman"/>
                <w:noProof/>
              </w:rPr>
            </w:pPr>
            <w:r>
              <w:rPr>
                <w:noProof/>
              </w:rPr>
              <w:t>14</w:t>
            </w:r>
          </w:p>
        </w:tc>
        <w:tc>
          <w:tcPr>
            <w:tcW w:w="1731" w:type="dxa"/>
            <w:tcBorders>
              <w:top w:val="nil"/>
              <w:left w:val="nil"/>
              <w:bottom w:val="single" w:sz="4" w:space="0" w:color="auto"/>
              <w:right w:val="single" w:sz="4" w:space="0" w:color="auto"/>
            </w:tcBorders>
            <w:shd w:val="clear" w:color="auto" w:fill="C6EFCE"/>
            <w:noWrap/>
            <w:vAlign w:val="center"/>
          </w:tcPr>
          <w:p w14:paraId="51FFF967" w14:textId="77777777" w:rsidR="00235E11" w:rsidRDefault="00F837E4">
            <w:pPr>
              <w:pStyle w:val="P68B1DB1-Normal9"/>
              <w:spacing w:after="0"/>
              <w:rPr>
                <w:noProof/>
              </w:rPr>
            </w:pPr>
            <w:r>
              <w:rPr>
                <w:noProof/>
              </w:rPr>
              <w:t>Саниране на обществени сгради</w:t>
            </w:r>
          </w:p>
          <w:p w14:paraId="355CB857" w14:textId="0DC7E1C4" w:rsidR="00235E11" w:rsidRDefault="00F837E4">
            <w:pPr>
              <w:pStyle w:val="P68B1DB1-Normal9"/>
              <w:spacing w:after="0"/>
              <w:rPr>
                <w:rFonts w:eastAsia="Times New Roman"/>
                <w:noProof/>
              </w:rPr>
            </w:pPr>
            <w:r>
              <w:rPr>
                <w:noProof/>
              </w:rPr>
              <w:t>(I-1Б)</w:t>
            </w:r>
          </w:p>
        </w:tc>
        <w:tc>
          <w:tcPr>
            <w:tcW w:w="1128" w:type="dxa"/>
            <w:tcBorders>
              <w:top w:val="nil"/>
              <w:left w:val="nil"/>
              <w:bottom w:val="single" w:sz="4" w:space="0" w:color="auto"/>
              <w:right w:val="single" w:sz="4" w:space="0" w:color="auto"/>
            </w:tcBorders>
            <w:shd w:val="clear" w:color="auto" w:fill="C6EFCE"/>
            <w:noWrap/>
            <w:vAlign w:val="center"/>
          </w:tcPr>
          <w:p w14:paraId="4118ACC2" w14:textId="5C80DD42" w:rsidR="00235E11" w:rsidRDefault="00F837E4">
            <w:pPr>
              <w:pStyle w:val="P68B1DB1-Normal9"/>
              <w:spacing w:after="0"/>
              <w:rPr>
                <w:rFonts w:eastAsia="Times New Roman"/>
                <w:noProof/>
              </w:rPr>
            </w:pPr>
            <w:r>
              <w:rPr>
                <w:noProof/>
              </w:rPr>
              <w:t>T</w:t>
            </w:r>
          </w:p>
        </w:tc>
        <w:tc>
          <w:tcPr>
            <w:tcW w:w="1672" w:type="dxa"/>
            <w:tcBorders>
              <w:top w:val="nil"/>
              <w:left w:val="nil"/>
              <w:bottom w:val="single" w:sz="4" w:space="0" w:color="auto"/>
              <w:right w:val="single" w:sz="4" w:space="0" w:color="auto"/>
            </w:tcBorders>
            <w:shd w:val="clear" w:color="auto" w:fill="C6EFCE"/>
            <w:noWrap/>
            <w:vAlign w:val="center"/>
          </w:tcPr>
          <w:p w14:paraId="6AA86F6E" w14:textId="77777777" w:rsidR="00235E11" w:rsidRDefault="00F837E4">
            <w:pPr>
              <w:pStyle w:val="P68B1DB1-Normal10"/>
              <w:spacing w:after="0"/>
              <w:rPr>
                <w:noProof/>
              </w:rPr>
            </w:pPr>
            <w:r>
              <w:rPr>
                <w:noProof/>
              </w:rPr>
              <w:t>Саниране на обществени сгради (стъпка 3)</w:t>
            </w:r>
          </w:p>
        </w:tc>
        <w:tc>
          <w:tcPr>
            <w:tcW w:w="1163" w:type="dxa"/>
            <w:tcBorders>
              <w:top w:val="nil"/>
              <w:left w:val="nil"/>
              <w:bottom w:val="single" w:sz="4" w:space="0" w:color="auto"/>
              <w:right w:val="single" w:sz="4" w:space="0" w:color="auto"/>
            </w:tcBorders>
            <w:shd w:val="clear" w:color="auto" w:fill="C6EFCE"/>
            <w:noWrap/>
            <w:vAlign w:val="center"/>
          </w:tcPr>
          <w:p w14:paraId="5AC7D0CF"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3EA28D16" w14:textId="77777777" w:rsidR="00235E11" w:rsidRDefault="00F837E4">
            <w:pPr>
              <w:pStyle w:val="P68B1DB1-Normal9"/>
              <w:spacing w:after="0"/>
              <w:rPr>
                <w:rFonts w:eastAsia="Times New Roman"/>
                <w:noProof/>
              </w:rPr>
            </w:pPr>
            <w:r>
              <w:rPr>
                <w:noProof/>
              </w:rPr>
              <w:t>m²</w:t>
            </w:r>
          </w:p>
        </w:tc>
        <w:tc>
          <w:tcPr>
            <w:tcW w:w="1134" w:type="dxa"/>
            <w:tcBorders>
              <w:top w:val="nil"/>
              <w:left w:val="nil"/>
              <w:bottom w:val="single" w:sz="4" w:space="0" w:color="auto"/>
              <w:right w:val="single" w:sz="4" w:space="0" w:color="auto"/>
            </w:tcBorders>
            <w:shd w:val="clear" w:color="auto" w:fill="C6EFCE"/>
            <w:noWrap/>
            <w:vAlign w:val="center"/>
          </w:tcPr>
          <w:p w14:paraId="7D0B5071" w14:textId="482CCACF" w:rsidR="00235E11" w:rsidRDefault="00F837E4">
            <w:pPr>
              <w:pStyle w:val="P68B1DB1-Normal9"/>
              <w:spacing w:after="0"/>
              <w:rPr>
                <w:rFonts w:eastAsia="Times New Roman"/>
                <w:noProof/>
              </w:rPr>
            </w:pPr>
            <w:r>
              <w:rPr>
                <w:noProof/>
              </w:rPr>
              <w:t>256 690</w:t>
            </w:r>
          </w:p>
        </w:tc>
        <w:tc>
          <w:tcPr>
            <w:tcW w:w="992" w:type="dxa"/>
            <w:tcBorders>
              <w:top w:val="nil"/>
              <w:left w:val="nil"/>
              <w:bottom w:val="single" w:sz="4" w:space="0" w:color="auto"/>
              <w:right w:val="single" w:sz="4" w:space="0" w:color="auto"/>
            </w:tcBorders>
            <w:shd w:val="clear" w:color="auto" w:fill="C6EFCE"/>
            <w:noWrap/>
            <w:vAlign w:val="center"/>
          </w:tcPr>
          <w:p w14:paraId="3619FBE2" w14:textId="796D4049" w:rsidR="00235E11" w:rsidRDefault="00F837E4">
            <w:pPr>
              <w:pStyle w:val="P68B1DB1-Normal9"/>
              <w:spacing w:after="0"/>
              <w:rPr>
                <w:rFonts w:eastAsia="Times New Roman"/>
                <w:noProof/>
              </w:rPr>
            </w:pPr>
            <w:r>
              <w:rPr>
                <w:noProof/>
              </w:rPr>
              <w:t>694 470</w:t>
            </w:r>
          </w:p>
        </w:tc>
        <w:tc>
          <w:tcPr>
            <w:tcW w:w="709" w:type="dxa"/>
            <w:tcBorders>
              <w:top w:val="nil"/>
              <w:left w:val="nil"/>
              <w:bottom w:val="single" w:sz="4" w:space="0" w:color="auto"/>
              <w:right w:val="single" w:sz="4" w:space="0" w:color="auto"/>
            </w:tcBorders>
            <w:shd w:val="clear" w:color="auto" w:fill="C6EFCE"/>
            <w:noWrap/>
            <w:vAlign w:val="center"/>
          </w:tcPr>
          <w:p w14:paraId="1DE0D842"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55D51692" w14:textId="77777777" w:rsidR="00235E11" w:rsidRDefault="00F837E4">
            <w:pPr>
              <w:pStyle w:val="P68B1DB1-Normal9"/>
              <w:spacing w:after="0"/>
              <w:jc w:val="center"/>
              <w:rPr>
                <w:rFonts w:eastAsia="Times New Roman"/>
                <w:noProof/>
              </w:rPr>
            </w:pPr>
            <w:r>
              <w:rPr>
                <w:noProof/>
              </w:rPr>
              <w:t>2026</w:t>
            </w:r>
          </w:p>
        </w:tc>
        <w:tc>
          <w:tcPr>
            <w:tcW w:w="4960" w:type="dxa"/>
            <w:tcBorders>
              <w:top w:val="nil"/>
              <w:left w:val="single" w:sz="4" w:space="0" w:color="auto"/>
              <w:bottom w:val="single" w:sz="4" w:space="0" w:color="auto"/>
              <w:right w:val="single" w:sz="4" w:space="0" w:color="auto"/>
            </w:tcBorders>
            <w:shd w:val="clear" w:color="auto" w:fill="C6EFCE"/>
            <w:noWrap/>
            <w:vAlign w:val="center"/>
          </w:tcPr>
          <w:p w14:paraId="6ACFBA86" w14:textId="6F482F98" w:rsidR="00235E11" w:rsidRDefault="00F837E4">
            <w:pPr>
              <w:pStyle w:val="P68B1DB1-Normal9"/>
              <w:spacing w:after="120"/>
              <w:rPr>
                <w:rFonts w:eastAsia="Times New Roman"/>
                <w:noProof/>
              </w:rPr>
            </w:pPr>
            <w:r>
              <w:rPr>
                <w:noProof/>
              </w:rPr>
              <w:t>Допълнителни 437 780 m² от санираните обществени сгради, включително 163 006 m², които намаляват средно най-малко 30 % от потреблението на първична енергия, както е посочено в Препоръка (ЕС) 2019/786 на Комисията относно санирането на сгради, и изграждането на 126 212 m² нови сгради, с които се постига търсене на първична енергия (PED), което е с най-малко 20 % по-ниско от изискването за СБННПЕ (сграда с близко до нулево нетно потребление на енергия).</w:t>
            </w:r>
          </w:p>
          <w:p w14:paraId="6AAD8474" w14:textId="430567E0" w:rsidR="00235E11" w:rsidRDefault="00F837E4">
            <w:pPr>
              <w:pStyle w:val="P68B1DB1-Normal9"/>
              <w:spacing w:after="0"/>
              <w:rPr>
                <w:noProof/>
              </w:rPr>
            </w:pPr>
            <w:r>
              <w:rPr>
                <w:noProof/>
              </w:rPr>
              <w:t>Тази цел е разделена индикативно на следните подцели, които не трябва да бъдат постигнати поотделно, при условие че са постигнати горепосочените общи равнища на саниране:</w:t>
            </w:r>
          </w:p>
          <w:p w14:paraId="1DBF4782" w14:textId="52877FE3" w:rsidR="00235E11" w:rsidRDefault="00F837E4">
            <w:pPr>
              <w:pStyle w:val="P68B1DB1-Normal9"/>
              <w:spacing w:after="0"/>
              <w:rPr>
                <w:noProof/>
              </w:rPr>
            </w:pPr>
            <w:r>
              <w:rPr>
                <w:noProof/>
              </w:rPr>
              <w:t xml:space="preserve">I) </w:t>
            </w:r>
            <w:r>
              <w:rPr>
                <w:noProof/>
                <w:u w:val="single"/>
              </w:rPr>
              <w:t>Регион Фландрия</w:t>
            </w:r>
            <w:r>
              <w:rPr>
                <w:noProof/>
              </w:rPr>
              <w:t xml:space="preserve"> (I-1.05): 78 040 m².</w:t>
            </w:r>
          </w:p>
          <w:p w14:paraId="4E27193F" w14:textId="0657D01E" w:rsidR="00235E11" w:rsidRDefault="00F837E4">
            <w:pPr>
              <w:pStyle w:val="P68B1DB1-Normal9"/>
              <w:spacing w:after="0"/>
              <w:rPr>
                <w:noProof/>
              </w:rPr>
            </w:pPr>
            <w:r>
              <w:rPr>
                <w:noProof/>
              </w:rPr>
              <w:t xml:space="preserve">II) </w:t>
            </w:r>
            <w:r>
              <w:rPr>
                <w:noProof/>
                <w:u w:val="single"/>
              </w:rPr>
              <w:t>Валонски регион</w:t>
            </w:r>
            <w:r>
              <w:rPr>
                <w:noProof/>
              </w:rPr>
              <w:t xml:space="preserve"> (I-1.07): 170 282 m², от които 102 984 m² трябва да намалят потреблението на първична енергия средно с най-малко 30 %, както е определено в Препоръка (ЕС) 2019/786 на Комисията относно санирането на сгради.</w:t>
            </w:r>
          </w:p>
          <w:p w14:paraId="4D00699E" w14:textId="50725398" w:rsidR="00235E11" w:rsidRDefault="00F837E4">
            <w:pPr>
              <w:pStyle w:val="P68B1DB1-Normal9"/>
              <w:spacing w:after="0"/>
              <w:rPr>
                <w:noProof/>
              </w:rPr>
            </w:pPr>
            <w:r>
              <w:rPr>
                <w:noProof/>
              </w:rPr>
              <w:t xml:space="preserve">III) </w:t>
            </w:r>
            <w:r>
              <w:rPr>
                <w:noProof/>
                <w:u w:val="single"/>
              </w:rPr>
              <w:t>Регион Брюксел-столица</w:t>
            </w:r>
            <w:r>
              <w:rPr>
                <w:noProof/>
              </w:rPr>
              <w:t xml:space="preserve"> (I-1.08): 27 724 m² намаляват средно най-малко 30 % от потреблението на първична енергия, както е определено в Препоръка (ЕС) 2019/786 на Комисията относно санирането на сгради.</w:t>
            </w:r>
          </w:p>
          <w:p w14:paraId="739FC4FF" w14:textId="73C8C588" w:rsidR="00235E11" w:rsidRDefault="00F837E4">
            <w:pPr>
              <w:pStyle w:val="P68B1DB1-Normal9"/>
              <w:spacing w:after="0"/>
              <w:rPr>
                <w:rFonts w:eastAsia="Times New Roman"/>
                <w:noProof/>
              </w:rPr>
            </w:pPr>
            <w:r>
              <w:rPr>
                <w:noProof/>
              </w:rPr>
              <w:t xml:space="preserve">IV) </w:t>
            </w:r>
            <w:r>
              <w:rPr>
                <w:noProof/>
                <w:u w:val="single"/>
              </w:rPr>
              <w:t>Френска общност</w:t>
            </w:r>
            <w:r>
              <w:rPr>
                <w:noProof/>
              </w:rPr>
              <w:t xml:space="preserve"> (I-1.09, I-1.10, I-1.11, I-1.12): 161 734 m², от които 32 298 m² трябва да намалят средно най-малко 30 % от потреблението на първична енергия, както е определено в Препоръка (ЕС) 2019/786 на Комисията относно санирането на сгради. При изграждането на 126 212 m² нови сгради трябва да се постигне търсене на първична енергия (PED), което е с най-малко 20 % по-ниско от изискването за СБННПЕ (сграда с близко до нулево нетно потребление на енергия).</w:t>
            </w:r>
          </w:p>
        </w:tc>
      </w:tr>
    </w:tbl>
    <w:p w14:paraId="0C27ABEE" w14:textId="77777777" w:rsidR="00235E11" w:rsidRDefault="00235E11">
      <w:pPr>
        <w:ind w:left="709"/>
        <w:rPr>
          <w:rFonts w:ascii="Times New Roman" w:hAnsi="Times New Roman" w:cs="Times New Roman"/>
          <w:noProof/>
        </w:rPr>
        <w:sectPr w:rsidR="00235E11" w:rsidSect="007F56C3">
          <w:headerReference w:type="even" r:id="rId24"/>
          <w:headerReference w:type="default" r:id="rId25"/>
          <w:footerReference w:type="even" r:id="rId26"/>
          <w:footerReference w:type="default" r:id="rId27"/>
          <w:headerReference w:type="first" r:id="rId28"/>
          <w:footerReference w:type="first" r:id="rId29"/>
          <w:pgSz w:w="16839" w:h="11907" w:orient="landscape"/>
          <w:pgMar w:top="1134" w:right="1134" w:bottom="1134" w:left="1134" w:header="567" w:footer="567" w:gutter="0"/>
          <w:cols w:space="720"/>
          <w:docGrid w:linePitch="360"/>
        </w:sectPr>
      </w:pPr>
    </w:p>
    <w:p w14:paraId="68FB75AB" w14:textId="0D91B86C" w:rsidR="00235E11" w:rsidRDefault="00F837E4">
      <w:pPr>
        <w:pStyle w:val="ManualHeading1"/>
        <w:spacing w:before="120"/>
        <w:ind w:left="0" w:firstLine="0"/>
        <w:rPr>
          <w:noProof/>
        </w:rPr>
      </w:pPr>
      <w:r>
        <w:rPr>
          <w:noProof/>
        </w:rPr>
        <w:t>Б. КОМПОНЕНТ 1.2: Нововъзникващи енергийни технологии</w:t>
      </w:r>
    </w:p>
    <w:p w14:paraId="11DE0168" w14:textId="38BC2F1C" w:rsidR="00235E11" w:rsidRDefault="00F837E4">
      <w:pPr>
        <w:pStyle w:val="NormalLeft"/>
        <w:jc w:val="both"/>
        <w:rPr>
          <w:noProof/>
        </w:rPr>
      </w:pPr>
      <w:r>
        <w:rPr>
          <w:noProof/>
        </w:rPr>
        <w:t>Този компонент на белгийския план за възстановяване и устойчивост има за цел да даде силен тласък на технологичното развитие в подкрепа на енергийния преход за допълнително намаляване на емисиите</w:t>
      </w:r>
      <w:r w:rsidR="00B22925">
        <w:rPr>
          <w:noProof/>
          <w:lang w:val="en-US"/>
        </w:rPr>
        <w:t xml:space="preserve"> </w:t>
      </w:r>
      <w:r w:rsidRPr="00B22925">
        <w:rPr>
          <w:noProof/>
        </w:rPr>
        <w:t>на</w:t>
      </w:r>
      <w:r>
        <w:rPr>
          <w:noProof/>
        </w:rPr>
        <w:t xml:space="preserve"> CO2, с акцент върху системната интеграция и декарбонизацията на промишлеността.</w:t>
      </w:r>
    </w:p>
    <w:p w14:paraId="0CE8B5EC" w14:textId="77777777" w:rsidR="00235E11" w:rsidRDefault="00F837E4">
      <w:pPr>
        <w:pStyle w:val="NormalLeft"/>
        <w:jc w:val="both"/>
        <w:rPr>
          <w:noProof/>
        </w:rPr>
      </w:pPr>
      <w:r>
        <w:rPr>
          <w:noProof/>
        </w:rPr>
        <w:t>Компонентът допринася за изпълнението на специфична за държавата препоръка 2019.3, в която Белгия се призовава да насочи свързаната с инвестициите икономическа политика</w:t>
      </w:r>
      <w:r w:rsidRPr="00B22925">
        <w:rPr>
          <w:noProof/>
        </w:rPr>
        <w:t>, наред с другото, към нисковъглеродния и енергийния преход и научните изследвания и иновациите</w:t>
      </w:r>
      <w:r>
        <w:rPr>
          <w:noProof/>
        </w:rPr>
        <w:t>, както и към специфична за държавата препоръка 2020.3, за да се даде приоритет на готови за изпълнение публични инвестиционни проекти.</w:t>
      </w:r>
    </w:p>
    <w:p w14:paraId="5697C89E"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17F843D8" w14:textId="77777777" w:rsidR="00235E11" w:rsidRDefault="00F837E4">
      <w:pPr>
        <w:pStyle w:val="P68B1DB1-Text16"/>
        <w:ind w:left="0"/>
        <w:rPr>
          <w:i/>
          <w:noProof/>
        </w:rPr>
      </w:pPr>
      <w:r>
        <w:rPr>
          <w:noProof/>
        </w:rPr>
        <w:t xml:space="preserve">Б.1. </w:t>
      </w:r>
      <w:r>
        <w:rPr>
          <w:noProof/>
        </w:rPr>
        <w:tab/>
        <w:t>Описание на реформите и инвестициите за безвъзмездна финансова подкрепа</w:t>
      </w:r>
    </w:p>
    <w:p w14:paraId="2A4F8545" w14:textId="1B1D0F86" w:rsidR="00235E11" w:rsidRDefault="00F837E4">
      <w:pPr>
        <w:pStyle w:val="P68B1DB1-Text111"/>
        <w:ind w:left="0"/>
        <w:rPr>
          <w:noProof/>
        </w:rPr>
      </w:pPr>
      <w:r>
        <w:rPr>
          <w:noProof/>
        </w:rPr>
        <w:t>Реформа R-1.04: „Регулаторна рамка за пазара на Н</w:t>
      </w:r>
      <w:r>
        <w:rPr>
          <w:noProof/>
          <w:vertAlign w:val="subscript"/>
        </w:rPr>
        <w:t>2</w:t>
      </w:r>
      <w:r>
        <w:rPr>
          <w:noProof/>
        </w:rPr>
        <w:t>“</w:t>
      </w:r>
    </w:p>
    <w:p w14:paraId="092EF78E" w14:textId="196D36ED" w:rsidR="00235E11" w:rsidRDefault="00F837E4">
      <w:pPr>
        <w:pStyle w:val="Text1"/>
        <w:ind w:left="0"/>
        <w:rPr>
          <w:noProof/>
        </w:rPr>
      </w:pPr>
      <w:r>
        <w:rPr>
          <w:noProof/>
        </w:rPr>
        <w:t>Реформата се състои от необходимите стъпки, за да се даде възможност за законодателни преразглеждания, насочени към установяване на по-подробна регулаторна рамка за функционирането на пазара</w:t>
      </w:r>
      <w:r>
        <w:rPr>
          <w:noProof/>
          <w:vertAlign w:val="subscript"/>
        </w:rPr>
        <w:t>H2</w:t>
      </w:r>
      <w:r>
        <w:rPr>
          <w:noProof/>
        </w:rPr>
        <w:t>, обхващаща теми като надзор, недискриминационен достъп до транспортните мрежи и определяне на такси за достъп до мрежата. За превоза на H</w:t>
      </w:r>
      <w:r>
        <w:rPr>
          <w:noProof/>
          <w:vertAlign w:val="subscript"/>
        </w:rPr>
        <w:t>2</w:t>
      </w:r>
      <w:r>
        <w:rPr>
          <w:noProof/>
        </w:rPr>
        <w:t xml:space="preserve"> новите правни разпоредби, приети от правителството (ите), влизат в сила до 1 януари 2024 г.</w:t>
      </w:r>
    </w:p>
    <w:p w14:paraId="69DBC4F8" w14:textId="44E94D83" w:rsidR="00235E11" w:rsidRDefault="00F837E4">
      <w:pPr>
        <w:pStyle w:val="P68B1DB1-Text111"/>
        <w:ind w:left="0"/>
        <w:rPr>
          <w:noProof/>
        </w:rPr>
      </w:pPr>
      <w:r>
        <w:rPr>
          <w:noProof/>
        </w:rPr>
        <w:t>Реформа R-1.05: „Регулаторна рамка за пазара на CO2 във Фландрия“ на Фламандския регион</w:t>
      </w:r>
    </w:p>
    <w:p w14:paraId="076C9FAF" w14:textId="41F0B221" w:rsidR="00235E11" w:rsidRDefault="00F837E4">
      <w:pPr>
        <w:pStyle w:val="Text1"/>
        <w:ind w:left="0"/>
        <w:rPr>
          <w:rFonts w:eastAsia="Times New Roman"/>
          <w:noProof/>
          <w:color w:val="000000" w:themeColor="text1"/>
        </w:rPr>
      </w:pPr>
      <w:r>
        <w:rPr>
          <w:noProof/>
        </w:rPr>
        <w:t>Реформата се състои от необходимите стъпки, за да се даде възможност за законодателни преразглеждания, насочени към установяване на по-подробна регулаторна рамка за функционирането на пазарите на CO</w:t>
      </w:r>
      <w:r>
        <w:rPr>
          <w:noProof/>
          <w:vertAlign w:val="subscript"/>
        </w:rPr>
        <w:t>2</w:t>
      </w:r>
      <w:r>
        <w:rPr>
          <w:noProof/>
        </w:rPr>
        <w:t xml:space="preserve">, обхващаща теми като надзор, недискриминационен достъп до транспортните мрежи и определяне на такси за достъп до мрежата. </w:t>
      </w:r>
      <w:r>
        <w:rPr>
          <w:rFonts w:eastAsia="Times New Roman"/>
          <w:noProof/>
          <w:color w:val="000000" w:themeColor="text1"/>
        </w:rPr>
        <w:t>Новите правни разпоредби, приети от правителството на Фламандския регион, влизат в сила до 1 януари 2024 г.</w:t>
      </w:r>
    </w:p>
    <w:p w14:paraId="0BE13911" w14:textId="454F7F85" w:rsidR="00235E11" w:rsidRDefault="00F837E4">
      <w:pPr>
        <w:pStyle w:val="P68B1DB1-Text111"/>
        <w:ind w:left="0"/>
        <w:rPr>
          <w:noProof/>
        </w:rPr>
      </w:pPr>
      <w:r>
        <w:rPr>
          <w:noProof/>
        </w:rPr>
        <w:t>Реформа R-1.06: „Регулаторна рамка за пазара на CO2 във Валония“ на Валонския регион</w:t>
      </w:r>
    </w:p>
    <w:p w14:paraId="09ABEE4A" w14:textId="5DC06573" w:rsidR="00235E11" w:rsidRDefault="00F837E4">
      <w:pPr>
        <w:pStyle w:val="Text1"/>
        <w:ind w:left="0"/>
        <w:rPr>
          <w:noProof/>
        </w:rPr>
      </w:pPr>
      <w:r>
        <w:rPr>
          <w:noProof/>
        </w:rPr>
        <w:t>Реформата се състои от необходимите стъпки, за да се даде възможност за законодателни преразглеждания, насочени към установяване на по-подробна регулаторна рамка за функционирането на пазарите на CO</w:t>
      </w:r>
      <w:r>
        <w:rPr>
          <w:noProof/>
          <w:vertAlign w:val="subscript"/>
        </w:rPr>
        <w:t>2</w:t>
      </w:r>
      <w:r>
        <w:rPr>
          <w:noProof/>
        </w:rPr>
        <w:t xml:space="preserve">, обхващаща теми като надзор, недискриминационен достъп до транспортните мрежи и определяне на такси за достъп до мрежата. </w:t>
      </w:r>
      <w:r>
        <w:rPr>
          <w:rFonts w:eastAsia="Times New Roman"/>
          <w:noProof/>
          <w:color w:val="000000" w:themeColor="text1"/>
        </w:rPr>
        <w:t>Новите правни разпоредби, приети от правителството на Валонския регион, влизат в сила до 1 януари 2024 г.</w:t>
      </w:r>
    </w:p>
    <w:p w14:paraId="0C804B18" w14:textId="77777777" w:rsidR="00235E11" w:rsidRDefault="00235E11">
      <w:pPr>
        <w:pStyle w:val="Text1"/>
        <w:ind w:left="0"/>
        <w:rPr>
          <w:noProof/>
        </w:rPr>
      </w:pPr>
    </w:p>
    <w:p w14:paraId="23E14C33" w14:textId="77777777" w:rsidR="00235E11" w:rsidRDefault="00F837E4">
      <w:pPr>
        <w:pStyle w:val="Text1"/>
        <w:ind w:left="0"/>
        <w:rPr>
          <w:noProof/>
        </w:rPr>
      </w:pPr>
      <w:r>
        <w:rPr>
          <w:noProof/>
        </w:rPr>
        <w:t>Следните три мерки на федерално, фламандско и валонско равнище са съсредоточени върху „Индустриална верига за създаване на стойност за прехода към водород“.</w:t>
      </w:r>
    </w:p>
    <w:p w14:paraId="153506AA" w14:textId="15DBDE7F" w:rsidR="00235E11" w:rsidRDefault="00F837E4">
      <w:pPr>
        <w:pStyle w:val="P68B1DB1-Text111"/>
        <w:ind w:left="0"/>
        <w:rPr>
          <w:noProof/>
        </w:rPr>
      </w:pPr>
      <w:r>
        <w:rPr>
          <w:noProof/>
        </w:rPr>
        <w:t>Инвестиция I-1.15: „Промишлена верига за създаване на стойност за водородния преход“ на федералната държава</w:t>
      </w:r>
    </w:p>
    <w:p w14:paraId="2E4D5BD6" w14:textId="77777777" w:rsidR="00235E11" w:rsidRDefault="00F837E4">
      <w:pPr>
        <w:pStyle w:val="Text1"/>
        <w:ind w:left="0"/>
        <w:rPr>
          <w:noProof/>
        </w:rPr>
      </w:pPr>
      <w:r>
        <w:rPr>
          <w:noProof/>
        </w:rPr>
        <w:t>Федералната мярка насърчава различни демонстрационни проекти, свързани с производството и използването на водород, които са от компетентността на федералното правителство. Целта е да се стимулират иновативни проекти с голям потенциал за ускоряване на енергийния преход, така че те да достигнат зрялост и да се разраснат за търговска употреба. Проектите се подбират чрез покана за участие в търг, която обхваща демонстрационни инсталации за производство на зелен водород и водород с ниски въглеродни емисии, както и използването на водород, например в плавателни съдове, доколкото проектите попадат в сферата на компетентност на федералното правителство. Що се отнася до демонстрационните инсталации за производство на зелен водород и водород с ниски въглеродни емисии, поканата е отворена за всички технологии с нулеви технологични емисии, като например електролиза, задвижвана от електроенергия от възобновяеми източници, или метанова пиролиза.</w:t>
      </w:r>
    </w:p>
    <w:p w14:paraId="68C8DD6F" w14:textId="2EF3650F" w:rsidR="00235E11" w:rsidRDefault="00F837E4">
      <w:pPr>
        <w:pStyle w:val="P68B1DB1-Text111"/>
        <w:ind w:left="0"/>
        <w:rPr>
          <w:noProof/>
        </w:rPr>
      </w:pPr>
      <w:r>
        <w:rPr>
          <w:noProof/>
        </w:rPr>
        <w:t>Инвестиция I-1.16: „Промишлена верига за създаване на стойност за водородния преход“ на Фламандския регион</w:t>
      </w:r>
    </w:p>
    <w:p w14:paraId="7CE3CA1B" w14:textId="77777777" w:rsidR="00235E11" w:rsidRDefault="00F837E4">
      <w:pPr>
        <w:pStyle w:val="Text1"/>
        <w:ind w:left="0"/>
        <w:rPr>
          <w:noProof/>
        </w:rPr>
      </w:pPr>
      <w:r>
        <w:rPr>
          <w:noProof/>
        </w:rPr>
        <w:t>Тази мярка има за цел да подкрепи прехода към устойчива водородна промишленост във Фландрия чрез инвестиции и финансиране на проекти. До голяма степен финансирането подкрепя портфейл от проекти, който, подобно на планирания по-широк трансграничен проект от общоевропейски интерес (ВПОИ), от който той представлява неразделна част</w:t>
      </w:r>
      <w:r>
        <w:rPr>
          <w:rStyle w:val="FootnoteReference"/>
          <w:noProof/>
        </w:rPr>
        <w:footnoteReference w:id="2"/>
      </w:r>
      <w:r>
        <w:rPr>
          <w:noProof/>
        </w:rPr>
        <w:t>, има за цел развитието на промишлена верига за създаване на стойност към производството, транспорта, съхранението на водород и свързаните с това приложения. Извън портфейла на ВПОИ са включени и допълнителни проекти с акцент върху водорода, най-вече в областта на научноизследователската и развойната дейност и инвестиционните проекти.</w:t>
      </w:r>
    </w:p>
    <w:p w14:paraId="49CD6565" w14:textId="4A78CFC2" w:rsidR="00235E11" w:rsidRDefault="00F837E4">
      <w:pPr>
        <w:pStyle w:val="P68B1DB1-Text111"/>
        <w:ind w:left="0"/>
        <w:rPr>
          <w:noProof/>
        </w:rPr>
      </w:pPr>
      <w:r>
        <w:rPr>
          <w:noProof/>
        </w:rPr>
        <w:t>Инвестиция I-1.17: „Промишлена верига за създаване на стойност за водородния преход“ на Валонския регион</w:t>
      </w:r>
    </w:p>
    <w:p w14:paraId="67B7A9A2" w14:textId="364E2742" w:rsidR="00235E11" w:rsidRDefault="00F837E4">
      <w:pPr>
        <w:pStyle w:val="Text1"/>
        <w:ind w:left="0"/>
        <w:rPr>
          <w:noProof/>
        </w:rPr>
      </w:pPr>
      <w:r>
        <w:rPr>
          <w:noProof/>
        </w:rPr>
        <w:t>Тази валонска мярка има за цел да намали въглеродния отпечатък на промишлеността, транспорта и строителния сектор чрез финансиране на проекти и инвестиции. Той се състои от поредица от съгласувани подпроекти (най-вече в областта на научноизследователската и развойната дейност и първото промишлено развитие), обхващащи цялата верига за създаване на стойност при производството на зелен водород, както и разработването на различни приложения на водорода като енергиен носител и адаптирането на устройства (като например двигатели), които позволяват използването и оползотворяването на водорода. Този проект е част от планирания трансграничен</w:t>
      </w:r>
      <w:r>
        <w:rPr>
          <w:rStyle w:val="FootnoteReference"/>
          <w:noProof/>
        </w:rPr>
        <w:footnoteReference w:id="3"/>
      </w:r>
      <w:r>
        <w:rPr>
          <w:noProof/>
        </w:rPr>
        <w:t xml:space="preserve"> проект за ВПОИ в областта на водорода. </w:t>
      </w:r>
    </w:p>
    <w:p w14:paraId="0BF392CE" w14:textId="17C7211E" w:rsidR="00235E11" w:rsidRDefault="00F837E4">
      <w:pPr>
        <w:pStyle w:val="P68B1DB1-Text111"/>
        <w:ind w:left="0"/>
        <w:rPr>
          <w:noProof/>
        </w:rPr>
      </w:pPr>
      <w:r>
        <w:rPr>
          <w:noProof/>
        </w:rPr>
        <w:t>Инвестиция I-1.18: „Развитие на нисковъглеродната промишленост“ на Валонския регион</w:t>
      </w:r>
    </w:p>
    <w:p w14:paraId="1A53B258" w14:textId="6F44DBA0" w:rsidR="00235E11" w:rsidRDefault="00F837E4">
      <w:pPr>
        <w:pStyle w:val="Text1"/>
        <w:ind w:left="0"/>
        <w:rPr>
          <w:noProof/>
        </w:rPr>
      </w:pPr>
      <w:r>
        <w:rPr>
          <w:noProof/>
        </w:rPr>
        <w:t>Инвестиционната мярка насърчава различни проекти, насочени към намаляване на емисиите на</w:t>
      </w:r>
      <w:r>
        <w:rPr>
          <w:noProof/>
          <w:vertAlign w:val="subscript"/>
        </w:rPr>
        <w:t>CO2</w:t>
      </w:r>
      <w:r>
        <w:rPr>
          <w:noProof/>
        </w:rPr>
        <w:t xml:space="preserve"> в резултат на потреблението на енергия и емисиите от промишлени процеси. Тя се изпълнява чрез покана за представяне на проекти за проекти за партньорство в областта на научноизследователската и развойната дейност, насочени към привеждане на технологиите на равнището на (предварителна) промишлена демонстрация или пилотни версии в следните области: електрификация на промишлените процеси, производство на водород чрез електролиза, пряко използване на водород в промишлени приложения, улавяне и концентрация на емисии на CO</w:t>
      </w:r>
      <w:r>
        <w:rPr>
          <w:noProof/>
          <w:vertAlign w:val="subscript"/>
        </w:rPr>
        <w:t>2</w:t>
      </w:r>
      <w:r>
        <w:rPr>
          <w:noProof/>
        </w:rPr>
        <w:t xml:space="preserve"> и декарбонизация на процесите за производство на амоняк.</w:t>
      </w:r>
    </w:p>
    <w:p w14:paraId="1FA3BB54" w14:textId="09883BC6" w:rsidR="00235E11" w:rsidRDefault="00235E11">
      <w:pPr>
        <w:spacing w:before="120" w:after="120"/>
        <w:rPr>
          <w:noProof/>
          <w:u w:val="single"/>
        </w:rPr>
      </w:pPr>
    </w:p>
    <w:p w14:paraId="6756431B" w14:textId="77777777" w:rsidR="00235E11" w:rsidRDefault="00F837E4">
      <w:pPr>
        <w:pStyle w:val="P68B1DB1-Text16"/>
        <w:ind w:left="0"/>
        <w:rPr>
          <w:noProof/>
        </w:rPr>
      </w:pPr>
      <w:r>
        <w:rPr>
          <w:noProof/>
        </w:rPr>
        <w:t xml:space="preserve">Б.2. </w:t>
      </w:r>
      <w:r>
        <w:rPr>
          <w:noProof/>
        </w:rPr>
        <w:tab/>
        <w:t>Ключови етапи, цели, показатели и график за мониторинг и изпълнение на безвъзмездната финансова подкрепа</w:t>
      </w:r>
    </w:p>
    <w:p w14:paraId="7359487C" w14:textId="77777777" w:rsidR="00235E11" w:rsidRDefault="00235E11">
      <w:pPr>
        <w:pStyle w:val="Text1"/>
        <w:rPr>
          <w:noProof/>
        </w:rPr>
      </w:pPr>
    </w:p>
    <w:p w14:paraId="433EA98B" w14:textId="77777777" w:rsidR="00235E11" w:rsidRDefault="00235E11">
      <w:pPr>
        <w:pStyle w:val="Text1"/>
        <w:ind w:left="709"/>
        <w:rPr>
          <w:noProof/>
        </w:rPr>
        <w:sectPr w:rsidR="00235E11" w:rsidSect="007F56C3">
          <w:headerReference w:type="even" r:id="rId30"/>
          <w:headerReference w:type="default" r:id="rId31"/>
          <w:footerReference w:type="even" r:id="rId32"/>
          <w:footerReference w:type="default" r:id="rId33"/>
          <w:headerReference w:type="first" r:id="rId34"/>
          <w:footerReference w:type="first" r:id="rId35"/>
          <w:pgSz w:w="11907" w:h="16839"/>
          <w:pgMar w:top="1134" w:right="1134" w:bottom="1134" w:left="1134" w:header="567" w:footer="567" w:gutter="0"/>
          <w:cols w:space="720"/>
          <w:docGrid w:linePitch="360"/>
        </w:sectPr>
      </w:pPr>
    </w:p>
    <w:tbl>
      <w:tblPr>
        <w:tblW w:w="15807" w:type="dxa"/>
        <w:tblInd w:w="-572" w:type="dxa"/>
        <w:tblLayout w:type="fixed"/>
        <w:tblLook w:val="04A0" w:firstRow="1" w:lastRow="0" w:firstColumn="1" w:lastColumn="0" w:noHBand="0" w:noVBand="1"/>
      </w:tblPr>
      <w:tblGrid>
        <w:gridCol w:w="993"/>
        <w:gridCol w:w="1464"/>
        <w:gridCol w:w="1229"/>
        <w:gridCol w:w="1559"/>
        <w:gridCol w:w="1843"/>
        <w:gridCol w:w="709"/>
        <w:gridCol w:w="708"/>
        <w:gridCol w:w="709"/>
        <w:gridCol w:w="709"/>
        <w:gridCol w:w="709"/>
        <w:gridCol w:w="5175"/>
      </w:tblGrid>
      <w:tr w:rsidR="00235E11" w14:paraId="3F0FABE5" w14:textId="77777777">
        <w:trPr>
          <w:trHeight w:val="927"/>
          <w:tblHeader/>
        </w:trPr>
        <w:tc>
          <w:tcPr>
            <w:tcW w:w="9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FB13EF" w14:textId="32C942F8" w:rsidR="00235E11" w:rsidRDefault="00F837E4">
            <w:pPr>
              <w:pStyle w:val="P68B1DB1-Normal7"/>
              <w:spacing w:after="0"/>
              <w:jc w:val="center"/>
              <w:rPr>
                <w:noProof/>
              </w:rPr>
            </w:pPr>
            <w:r>
              <w:rPr>
                <w:noProof/>
              </w:rPr>
              <w:t>Следващи Забележка:</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389AE2" w14:textId="77777777" w:rsidR="00235E11" w:rsidRDefault="00F837E4">
            <w:pPr>
              <w:pStyle w:val="P68B1DB1-Normal7"/>
              <w:spacing w:after="0"/>
              <w:jc w:val="center"/>
              <w:rPr>
                <w:noProof/>
              </w:rPr>
            </w:pPr>
            <w:r>
              <w:rPr>
                <w:noProof/>
              </w:rPr>
              <w:t>Свързана мярка (реформа или инвестиции)</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29A8886" w14:textId="77777777" w:rsidR="00235E11" w:rsidRDefault="00F837E4">
            <w:pPr>
              <w:pStyle w:val="P68B1DB1-Normal7"/>
              <w:spacing w:after="0"/>
              <w:jc w:val="center"/>
              <w:rPr>
                <w:noProof/>
              </w:rPr>
            </w:pPr>
            <w:r>
              <w:rPr>
                <w:noProof/>
              </w:rPr>
              <w:t>Ключов етап/Цел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D744DE7" w14:textId="77777777" w:rsidR="00235E11" w:rsidRDefault="00F837E4">
            <w:pPr>
              <w:pStyle w:val="P68B1DB1-Normal7"/>
              <w:spacing w:after="0"/>
              <w:jc w:val="center"/>
              <w:rPr>
                <w:noProof/>
              </w:rPr>
            </w:pPr>
            <w:r>
              <w:rPr>
                <w:noProof/>
              </w:rPr>
              <w:t>Име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DD6CDD"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126"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6A61AE0"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8"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D61CCE0" w14:textId="77777777" w:rsidR="00235E11" w:rsidRDefault="00F837E4">
            <w:pPr>
              <w:pStyle w:val="P68B1DB1-Normal7"/>
              <w:spacing w:after="0"/>
              <w:jc w:val="center"/>
              <w:rPr>
                <w:noProof/>
              </w:rPr>
            </w:pPr>
            <w:r>
              <w:rPr>
                <w:noProof/>
              </w:rPr>
              <w:t xml:space="preserve">Примерен график за приключване </w:t>
            </w:r>
          </w:p>
        </w:tc>
        <w:tc>
          <w:tcPr>
            <w:tcW w:w="51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FDB4D9" w14:textId="77777777" w:rsidR="00235E11" w:rsidRDefault="00F837E4">
            <w:pPr>
              <w:pStyle w:val="P68B1DB1-Normal7"/>
              <w:spacing w:after="0"/>
              <w:jc w:val="center"/>
              <w:rPr>
                <w:noProof/>
              </w:rPr>
            </w:pPr>
            <w:r>
              <w:rPr>
                <w:noProof/>
              </w:rPr>
              <w:t>Описание на всеки ключов етап и цел</w:t>
            </w:r>
          </w:p>
        </w:tc>
      </w:tr>
      <w:tr w:rsidR="00235E11" w14:paraId="1A902227" w14:textId="77777777">
        <w:trPr>
          <w:trHeight w:val="101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7423978" w14:textId="77777777" w:rsidR="00235E11" w:rsidRDefault="00235E11">
            <w:pPr>
              <w:spacing w:after="0"/>
              <w:jc w:val="center"/>
              <w:rPr>
                <w:rFonts w:ascii="Times New Roman" w:eastAsia="Times New Roman" w:hAnsi="Times New Roman" w:cs="Times New Roman"/>
                <w:b/>
                <w:noProof/>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22A3A329" w14:textId="77777777" w:rsidR="00235E11" w:rsidRDefault="00235E11">
            <w:pPr>
              <w:spacing w:after="0"/>
              <w:rPr>
                <w:rFonts w:ascii="Times New Roman" w:eastAsia="Times New Roman" w:hAnsi="Times New Roman" w:cs="Times New Roman"/>
                <w:b/>
                <w:noProof/>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7AB72B51" w14:textId="77777777" w:rsidR="00235E11" w:rsidRDefault="00235E11">
            <w:pPr>
              <w:spacing w:after="0"/>
              <w:rPr>
                <w:rFonts w:ascii="Times New Roman" w:eastAsia="Times New Roman" w:hAnsi="Times New Roman" w:cs="Times New Roman"/>
                <w:b/>
                <w:noProof/>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05B0F2" w14:textId="77777777" w:rsidR="00235E11" w:rsidRDefault="00235E11">
            <w:pPr>
              <w:spacing w:after="0"/>
              <w:rPr>
                <w:rFonts w:ascii="Times New Roman" w:eastAsia="Times New Roman" w:hAnsi="Times New Roman" w:cs="Times New Roman"/>
                <w:b/>
                <w:noProof/>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620AC1" w14:textId="77777777" w:rsidR="00235E11" w:rsidRDefault="00235E11">
            <w:pPr>
              <w:spacing w:after="0"/>
              <w:rPr>
                <w:rFonts w:ascii="Times New Roman" w:eastAsia="Times New Roman" w:hAnsi="Times New Roman" w:cs="Times New Roman"/>
                <w:b/>
                <w:noProof/>
              </w:rPr>
            </w:pPr>
          </w:p>
        </w:tc>
        <w:tc>
          <w:tcPr>
            <w:tcW w:w="70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D437BF6" w14:textId="77777777" w:rsidR="00235E11" w:rsidRDefault="00F837E4">
            <w:pPr>
              <w:pStyle w:val="P68B1DB1-Normal7"/>
              <w:spacing w:after="0"/>
              <w:jc w:val="center"/>
              <w:rPr>
                <w:noProof/>
              </w:rPr>
            </w:pPr>
            <w:r>
              <w:rPr>
                <w:noProof/>
              </w:rPr>
              <w:t>Единица мярка</w:t>
            </w:r>
          </w:p>
        </w:tc>
        <w:tc>
          <w:tcPr>
            <w:tcW w:w="708" w:type="dxa"/>
            <w:tcBorders>
              <w:top w:val="single" w:sz="4" w:space="0" w:color="auto"/>
              <w:left w:val="nil"/>
              <w:bottom w:val="single" w:sz="4" w:space="0" w:color="auto"/>
              <w:right w:val="single" w:sz="4" w:space="0" w:color="auto"/>
            </w:tcBorders>
            <w:shd w:val="clear" w:color="auto" w:fill="BDD7EE"/>
            <w:vAlign w:val="center"/>
            <w:hideMark/>
          </w:tcPr>
          <w:p w14:paraId="10F74AC9" w14:textId="77777777" w:rsidR="00235E11" w:rsidRDefault="00F837E4">
            <w:pPr>
              <w:pStyle w:val="P68B1DB1-Normal7"/>
              <w:spacing w:after="0"/>
              <w:jc w:val="center"/>
              <w:rPr>
                <w:noProof/>
              </w:rPr>
            </w:pPr>
            <w:r>
              <w:rPr>
                <w:noProof/>
              </w:rPr>
              <w:t xml:space="preserve">Базова линия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79FCC041" w14:textId="77777777" w:rsidR="00235E11" w:rsidRDefault="00F837E4">
            <w:pPr>
              <w:pStyle w:val="P68B1DB1-Normal7"/>
              <w:spacing w:after="0"/>
              <w:jc w:val="center"/>
              <w:rPr>
                <w:noProof/>
              </w:rPr>
            </w:pPr>
            <w:r>
              <w:rPr>
                <w:noProof/>
              </w:rPr>
              <w:t xml:space="preserve">Цел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70688980" w14:textId="77777777" w:rsidR="00235E11" w:rsidRDefault="00F837E4">
            <w:pPr>
              <w:pStyle w:val="P68B1DB1-Normal7"/>
              <w:spacing w:after="0"/>
              <w:jc w:val="center"/>
              <w:rPr>
                <w:noProof/>
              </w:rPr>
            </w:pPr>
            <w:r>
              <w:rPr>
                <w:noProof/>
              </w:rPr>
              <w:t>Тримесечие</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756FF87F" w14:textId="77777777" w:rsidR="00235E11" w:rsidRDefault="00F837E4">
            <w:pPr>
              <w:pStyle w:val="P68B1DB1-Normal7"/>
              <w:spacing w:after="0"/>
              <w:jc w:val="center"/>
              <w:rPr>
                <w:noProof/>
              </w:rPr>
            </w:pPr>
            <w:r>
              <w:rPr>
                <w:noProof/>
              </w:rPr>
              <w:t>Година</w:t>
            </w:r>
          </w:p>
        </w:tc>
        <w:tc>
          <w:tcPr>
            <w:tcW w:w="5175" w:type="dxa"/>
            <w:vMerge/>
            <w:tcBorders>
              <w:top w:val="single" w:sz="4" w:space="0" w:color="auto"/>
              <w:bottom w:val="single" w:sz="4" w:space="0" w:color="auto"/>
              <w:right w:val="single" w:sz="4" w:space="0" w:color="auto"/>
            </w:tcBorders>
            <w:vAlign w:val="center"/>
            <w:hideMark/>
          </w:tcPr>
          <w:p w14:paraId="639D09DC" w14:textId="77777777" w:rsidR="00235E11" w:rsidRDefault="00235E11">
            <w:pPr>
              <w:spacing w:after="0"/>
              <w:rPr>
                <w:rFonts w:ascii="Times New Roman" w:eastAsia="Times New Roman" w:hAnsi="Times New Roman" w:cs="Times New Roman"/>
                <w:b/>
                <w:noProof/>
              </w:rPr>
            </w:pPr>
          </w:p>
        </w:tc>
      </w:tr>
      <w:tr w:rsidR="00235E11" w14:paraId="3B8F71BE" w14:textId="77777777">
        <w:trPr>
          <w:trHeight w:val="309"/>
        </w:trPr>
        <w:tc>
          <w:tcPr>
            <w:tcW w:w="99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67AF4DB" w14:textId="77777777" w:rsidR="00235E11" w:rsidRDefault="00F837E4">
            <w:pPr>
              <w:pStyle w:val="P68B1DB1-Normal10"/>
              <w:spacing w:after="0"/>
              <w:jc w:val="center"/>
              <w:rPr>
                <w:noProof/>
              </w:rPr>
            </w:pPr>
            <w:bookmarkStart w:id="2" w:name="_1683304835"/>
            <w:bookmarkEnd w:id="2"/>
            <w:r>
              <w:rPr>
                <w:noProof/>
              </w:rPr>
              <w:t>15</w:t>
            </w:r>
          </w:p>
        </w:tc>
        <w:tc>
          <w:tcPr>
            <w:tcW w:w="1464" w:type="dxa"/>
            <w:tcBorders>
              <w:top w:val="single" w:sz="4" w:space="0" w:color="auto"/>
              <w:left w:val="nil"/>
              <w:bottom w:val="single" w:sz="4" w:space="0" w:color="auto"/>
              <w:right w:val="single" w:sz="4" w:space="0" w:color="auto"/>
            </w:tcBorders>
            <w:shd w:val="clear" w:color="auto" w:fill="C6EFCE"/>
            <w:noWrap/>
            <w:vAlign w:val="center"/>
            <w:hideMark/>
          </w:tcPr>
          <w:p w14:paraId="5610425C" w14:textId="00795514" w:rsidR="00235E11" w:rsidRDefault="00F837E4">
            <w:pPr>
              <w:pStyle w:val="P68B1DB1-Normal10"/>
              <w:spacing w:after="0"/>
              <w:rPr>
                <w:noProof/>
              </w:rPr>
            </w:pPr>
            <w:r>
              <w:rPr>
                <w:noProof/>
              </w:rPr>
              <w:t>Регулаторна рамка за пазара на „Хоризонт 2“ (R-1.04)</w:t>
            </w:r>
          </w:p>
        </w:tc>
        <w:tc>
          <w:tcPr>
            <w:tcW w:w="1229" w:type="dxa"/>
            <w:tcBorders>
              <w:top w:val="single" w:sz="4" w:space="0" w:color="auto"/>
              <w:left w:val="nil"/>
              <w:bottom w:val="single" w:sz="4" w:space="0" w:color="auto"/>
              <w:right w:val="single" w:sz="4" w:space="0" w:color="auto"/>
            </w:tcBorders>
            <w:shd w:val="clear" w:color="auto" w:fill="C6EFCE"/>
            <w:noWrap/>
            <w:vAlign w:val="center"/>
            <w:hideMark/>
          </w:tcPr>
          <w:p w14:paraId="48CEA43B" w14:textId="675B60D6" w:rsidR="00235E11" w:rsidRDefault="00F837E4">
            <w:pPr>
              <w:pStyle w:val="P68B1DB1-Normal10"/>
              <w:spacing w:after="0"/>
              <w:rPr>
                <w:noProof/>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3A7F38FC" w14:textId="20B2A431" w:rsidR="00235E11" w:rsidRDefault="00F837E4">
            <w:pPr>
              <w:pStyle w:val="P68B1DB1-Normal10"/>
              <w:spacing w:after="0"/>
              <w:rPr>
                <w:noProof/>
              </w:rPr>
            </w:pPr>
            <w:r>
              <w:rPr>
                <w:noProof/>
              </w:rPr>
              <w:t>Влизане в сила на новите или изменените законови и подзаконови актове, за да се даде възможност за развитие на пазара на „Хоризонт 2“</w:t>
            </w:r>
          </w:p>
        </w:tc>
        <w:tc>
          <w:tcPr>
            <w:tcW w:w="1843" w:type="dxa"/>
            <w:tcBorders>
              <w:top w:val="single" w:sz="4" w:space="0" w:color="auto"/>
              <w:left w:val="nil"/>
              <w:bottom w:val="single" w:sz="4" w:space="0" w:color="auto"/>
              <w:right w:val="single" w:sz="4" w:space="0" w:color="auto"/>
            </w:tcBorders>
            <w:shd w:val="clear" w:color="auto" w:fill="C6EFCE"/>
            <w:noWrap/>
            <w:vAlign w:val="center"/>
            <w:hideMark/>
          </w:tcPr>
          <w:p w14:paraId="3DB9F550" w14:textId="7EB1E1B0" w:rsidR="00235E11" w:rsidRDefault="00F837E4">
            <w:pPr>
              <w:pStyle w:val="P68B1DB1-Normal10"/>
              <w:spacing w:after="0"/>
              <w:rPr>
                <w:noProof/>
              </w:rPr>
            </w:pPr>
            <w:r>
              <w:rPr>
                <w:noProof/>
              </w:rPr>
              <w:t>Публикуване на новите или изменените закони и свързаните с тях нормативни актове (Официален вестник)</w:t>
            </w:r>
          </w:p>
        </w:tc>
        <w:tc>
          <w:tcPr>
            <w:tcW w:w="709" w:type="dxa"/>
            <w:tcBorders>
              <w:top w:val="nil"/>
              <w:left w:val="nil"/>
              <w:bottom w:val="single" w:sz="4" w:space="0" w:color="auto"/>
              <w:right w:val="single" w:sz="4" w:space="0" w:color="auto"/>
            </w:tcBorders>
            <w:shd w:val="clear" w:color="auto" w:fill="C6EFCE"/>
            <w:noWrap/>
            <w:vAlign w:val="center"/>
          </w:tcPr>
          <w:p w14:paraId="2204C8C5"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2C96E4B7"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33D10E55"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hideMark/>
          </w:tcPr>
          <w:p w14:paraId="761FA226" w14:textId="77777777" w:rsidR="00235E11" w:rsidRDefault="00F837E4">
            <w:pPr>
              <w:pStyle w:val="P68B1DB1-Normal10"/>
              <w:spacing w:after="0"/>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hideMark/>
          </w:tcPr>
          <w:p w14:paraId="369C92C0" w14:textId="092C1E58" w:rsidR="00235E11" w:rsidRDefault="00F837E4">
            <w:pPr>
              <w:pStyle w:val="P68B1DB1-Normal10"/>
              <w:spacing w:after="0"/>
              <w:rPr>
                <w:noProof/>
              </w:rPr>
            </w:pPr>
            <w:r>
              <w:rPr>
                <w:noProof/>
              </w:rPr>
              <w:t>2024</w:t>
            </w:r>
          </w:p>
        </w:tc>
        <w:tc>
          <w:tcPr>
            <w:tcW w:w="5175" w:type="dxa"/>
            <w:tcBorders>
              <w:top w:val="single" w:sz="4" w:space="0" w:color="auto"/>
              <w:left w:val="nil"/>
              <w:bottom w:val="single" w:sz="4" w:space="0" w:color="auto"/>
              <w:right w:val="single" w:sz="4" w:space="0" w:color="auto"/>
            </w:tcBorders>
            <w:shd w:val="clear" w:color="auto" w:fill="C6EFCE"/>
            <w:noWrap/>
            <w:vAlign w:val="center"/>
            <w:hideMark/>
          </w:tcPr>
          <w:p w14:paraId="2FB6AED6" w14:textId="52855A96" w:rsidR="00235E11" w:rsidRDefault="00F837E4">
            <w:pPr>
              <w:pStyle w:val="P68B1DB1-Normal10"/>
              <w:spacing w:after="0"/>
              <w:rPr>
                <w:noProof/>
              </w:rPr>
            </w:pPr>
            <w:r>
              <w:rPr>
                <w:noProof/>
              </w:rPr>
              <w:t>Влизане в сила на новите или изменените закони с цел:</w:t>
            </w:r>
          </w:p>
          <w:p w14:paraId="0E5E0E7A" w14:textId="60F11B02" w:rsidR="00235E11" w:rsidRDefault="00F837E4">
            <w:pPr>
              <w:pStyle w:val="P68B1DB1-ListParagraph12"/>
              <w:numPr>
                <w:ilvl w:val="0"/>
                <w:numId w:val="32"/>
              </w:numPr>
              <w:spacing w:after="0"/>
              <w:rPr>
                <w:noProof/>
              </w:rPr>
            </w:pPr>
            <w:r>
              <w:rPr>
                <w:noProof/>
              </w:rPr>
              <w:t>създаване на условия за развитие на пазара на „Хоризонт 2“,</w:t>
            </w:r>
          </w:p>
          <w:p w14:paraId="495E23C7" w14:textId="77777777" w:rsidR="00235E11" w:rsidRDefault="00F837E4">
            <w:pPr>
              <w:pStyle w:val="P68B1DB1-ListParagraph12"/>
              <w:numPr>
                <w:ilvl w:val="0"/>
                <w:numId w:val="32"/>
              </w:numPr>
              <w:spacing w:after="0"/>
              <w:rPr>
                <w:noProof/>
              </w:rPr>
            </w:pPr>
            <w:r>
              <w:rPr>
                <w:noProof/>
              </w:rPr>
              <w:t>обхващат теми като надзор, недискриминационен достъп и тарифи.</w:t>
            </w:r>
          </w:p>
        </w:tc>
      </w:tr>
      <w:tr w:rsidR="00235E11" w14:paraId="552A1EAB"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0283A6BE" w14:textId="46764E06" w:rsidR="00235E11" w:rsidRDefault="00F837E4">
            <w:pPr>
              <w:pStyle w:val="P68B1DB1-Normal10"/>
              <w:spacing w:after="0"/>
              <w:jc w:val="center"/>
              <w:rPr>
                <w:noProof/>
              </w:rPr>
            </w:pPr>
            <w:r>
              <w:rPr>
                <w:noProof/>
              </w:rPr>
              <w:t>15а</w:t>
            </w:r>
          </w:p>
        </w:tc>
        <w:tc>
          <w:tcPr>
            <w:tcW w:w="1464" w:type="dxa"/>
            <w:tcBorders>
              <w:top w:val="nil"/>
              <w:left w:val="nil"/>
              <w:bottom w:val="single" w:sz="4" w:space="0" w:color="auto"/>
              <w:right w:val="single" w:sz="4" w:space="0" w:color="auto"/>
            </w:tcBorders>
            <w:shd w:val="clear" w:color="auto" w:fill="C6EFCE"/>
            <w:noWrap/>
            <w:vAlign w:val="center"/>
          </w:tcPr>
          <w:p w14:paraId="0FA08B49" w14:textId="634D0FE9" w:rsidR="00235E11" w:rsidRDefault="00F837E4">
            <w:pPr>
              <w:pStyle w:val="P68B1DB1-Normal10"/>
              <w:spacing w:after="0"/>
              <w:rPr>
                <w:noProof/>
              </w:rPr>
            </w:pPr>
            <w:r>
              <w:rPr>
                <w:noProof/>
              </w:rPr>
              <w:t>Регулаторна рамка за пазара на CO2 във Фландрия (R-1.05)</w:t>
            </w:r>
          </w:p>
        </w:tc>
        <w:tc>
          <w:tcPr>
            <w:tcW w:w="1229" w:type="dxa"/>
            <w:tcBorders>
              <w:top w:val="nil"/>
              <w:left w:val="nil"/>
              <w:bottom w:val="single" w:sz="4" w:space="0" w:color="auto"/>
              <w:right w:val="single" w:sz="4" w:space="0" w:color="auto"/>
            </w:tcBorders>
            <w:shd w:val="clear" w:color="auto" w:fill="C6EFCE"/>
            <w:noWrap/>
            <w:vAlign w:val="center"/>
          </w:tcPr>
          <w:p w14:paraId="1D0C3535" w14:textId="1E685B74"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7861F9E2" w14:textId="13D9925A" w:rsidR="00235E11" w:rsidRDefault="00F837E4">
            <w:pPr>
              <w:pStyle w:val="P68B1DB1-Normal10"/>
              <w:spacing w:after="0"/>
              <w:rPr>
                <w:noProof/>
              </w:rPr>
            </w:pPr>
            <w:r>
              <w:rPr>
                <w:noProof/>
              </w:rPr>
              <w:t>Влизане в сила на новите или изменените укази и свързаните с тях разпоредби, за да се даде възможност за развитие на пазара на CO2 във Фландрия</w:t>
            </w:r>
          </w:p>
        </w:tc>
        <w:tc>
          <w:tcPr>
            <w:tcW w:w="1843" w:type="dxa"/>
            <w:tcBorders>
              <w:top w:val="nil"/>
              <w:left w:val="nil"/>
              <w:bottom w:val="single" w:sz="4" w:space="0" w:color="auto"/>
              <w:right w:val="single" w:sz="4" w:space="0" w:color="auto"/>
            </w:tcBorders>
            <w:shd w:val="clear" w:color="auto" w:fill="C6EFCE"/>
            <w:noWrap/>
            <w:vAlign w:val="center"/>
          </w:tcPr>
          <w:p w14:paraId="61BC45D1" w14:textId="3B697D7F" w:rsidR="00235E11" w:rsidRDefault="00F837E4">
            <w:pPr>
              <w:pStyle w:val="P68B1DB1-Normal10"/>
              <w:spacing w:after="0"/>
              <w:rPr>
                <w:noProof/>
              </w:rPr>
            </w:pPr>
            <w:r>
              <w:rPr>
                <w:noProof/>
              </w:rPr>
              <w:t>Публикуване на новите или изменените укази и свързаните с тях разпоредби (Официален вестник)</w:t>
            </w:r>
          </w:p>
        </w:tc>
        <w:tc>
          <w:tcPr>
            <w:tcW w:w="709" w:type="dxa"/>
            <w:tcBorders>
              <w:top w:val="nil"/>
              <w:left w:val="nil"/>
              <w:bottom w:val="single" w:sz="4" w:space="0" w:color="auto"/>
              <w:right w:val="single" w:sz="4" w:space="0" w:color="auto"/>
            </w:tcBorders>
            <w:shd w:val="clear" w:color="auto" w:fill="C6EFCE"/>
            <w:noWrap/>
            <w:vAlign w:val="center"/>
          </w:tcPr>
          <w:p w14:paraId="0ECF405D"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3FE4F6AB"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4DD7D184"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6B8D9529" w14:textId="78B4083C" w:rsidR="00235E11" w:rsidRDefault="00F837E4">
            <w:pPr>
              <w:pStyle w:val="P68B1DB1-Normal10"/>
              <w:spacing w:after="0"/>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31A0286D" w14:textId="4C0343DC" w:rsidR="00235E11" w:rsidRDefault="00F837E4">
            <w:pPr>
              <w:pStyle w:val="P68B1DB1-Normal10"/>
              <w:spacing w:after="0"/>
              <w:rPr>
                <w:noProof/>
              </w:rPr>
            </w:pPr>
            <w:r>
              <w:rPr>
                <w:noProof/>
              </w:rPr>
              <w:t>2024</w:t>
            </w:r>
          </w:p>
        </w:tc>
        <w:tc>
          <w:tcPr>
            <w:tcW w:w="5175" w:type="dxa"/>
            <w:tcBorders>
              <w:top w:val="nil"/>
              <w:left w:val="nil"/>
              <w:bottom w:val="single" w:sz="4" w:space="0" w:color="auto"/>
              <w:right w:val="single" w:sz="4" w:space="0" w:color="auto"/>
            </w:tcBorders>
            <w:shd w:val="clear" w:color="auto" w:fill="C6EFCE"/>
            <w:noWrap/>
            <w:vAlign w:val="center"/>
          </w:tcPr>
          <w:p w14:paraId="724B0EE2" w14:textId="77777777" w:rsidR="00235E11" w:rsidRDefault="00F837E4">
            <w:pPr>
              <w:pStyle w:val="P68B1DB1-Normal10"/>
              <w:spacing w:after="0"/>
              <w:rPr>
                <w:noProof/>
              </w:rPr>
            </w:pPr>
            <w:r>
              <w:rPr>
                <w:noProof/>
              </w:rPr>
              <w:t>Влизане в сила на новите или изменените укази на фламандско равнище с цел:</w:t>
            </w:r>
          </w:p>
          <w:p w14:paraId="4486EE4F" w14:textId="77777777" w:rsidR="00235E11" w:rsidRDefault="00F837E4">
            <w:pPr>
              <w:pStyle w:val="P68B1DB1-ListParagraph12"/>
              <w:numPr>
                <w:ilvl w:val="0"/>
                <w:numId w:val="1"/>
              </w:numPr>
              <w:spacing w:after="0"/>
              <w:rPr>
                <w:noProof/>
              </w:rPr>
            </w:pPr>
            <w:r>
              <w:rPr>
                <w:noProof/>
              </w:rPr>
              <w:t>създаване на условия за развитие на пазара на CO2,</w:t>
            </w:r>
          </w:p>
          <w:p w14:paraId="683BB20A" w14:textId="211651B0" w:rsidR="00235E11" w:rsidRDefault="00F837E4">
            <w:pPr>
              <w:pStyle w:val="P68B1DB1-ListParagraph12"/>
              <w:numPr>
                <w:ilvl w:val="0"/>
                <w:numId w:val="1"/>
              </w:numPr>
              <w:spacing w:after="0"/>
              <w:rPr>
                <w:noProof/>
              </w:rPr>
            </w:pPr>
            <w:r>
              <w:rPr>
                <w:noProof/>
              </w:rPr>
              <w:t>обхващат теми като надзор, недискриминационен достъп и тарифи.</w:t>
            </w:r>
          </w:p>
        </w:tc>
      </w:tr>
      <w:tr w:rsidR="00235E11" w14:paraId="20975991"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29E13757" w14:textId="1E599890" w:rsidR="00235E11" w:rsidRDefault="00F837E4">
            <w:pPr>
              <w:pStyle w:val="P68B1DB1-Normal10"/>
              <w:spacing w:after="0"/>
              <w:jc w:val="center"/>
              <w:rPr>
                <w:noProof/>
              </w:rPr>
            </w:pPr>
            <w:r>
              <w:rPr>
                <w:noProof/>
              </w:rPr>
              <w:t>15ter</w:t>
            </w:r>
          </w:p>
        </w:tc>
        <w:tc>
          <w:tcPr>
            <w:tcW w:w="1464" w:type="dxa"/>
            <w:tcBorders>
              <w:top w:val="nil"/>
              <w:left w:val="nil"/>
              <w:bottom w:val="single" w:sz="4" w:space="0" w:color="auto"/>
              <w:right w:val="single" w:sz="4" w:space="0" w:color="auto"/>
            </w:tcBorders>
            <w:shd w:val="clear" w:color="auto" w:fill="C6EFCE"/>
            <w:noWrap/>
            <w:vAlign w:val="center"/>
          </w:tcPr>
          <w:p w14:paraId="4014C6FE" w14:textId="2A9E8A52" w:rsidR="00235E11" w:rsidRDefault="00F837E4">
            <w:pPr>
              <w:pStyle w:val="P68B1DB1-Normal10"/>
              <w:spacing w:after="0"/>
              <w:rPr>
                <w:noProof/>
              </w:rPr>
            </w:pPr>
            <w:r>
              <w:rPr>
                <w:noProof/>
              </w:rPr>
              <w:t>Регулаторна рамка за пазара на CO2 във Валония (R-1.06)</w:t>
            </w:r>
          </w:p>
        </w:tc>
        <w:tc>
          <w:tcPr>
            <w:tcW w:w="1229" w:type="dxa"/>
            <w:tcBorders>
              <w:top w:val="nil"/>
              <w:left w:val="nil"/>
              <w:bottom w:val="single" w:sz="4" w:space="0" w:color="auto"/>
              <w:right w:val="single" w:sz="4" w:space="0" w:color="auto"/>
            </w:tcBorders>
            <w:shd w:val="clear" w:color="auto" w:fill="C6EFCE"/>
            <w:noWrap/>
            <w:vAlign w:val="center"/>
          </w:tcPr>
          <w:p w14:paraId="7822D590" w14:textId="1F2D3AC4"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6B67E69A" w14:textId="253435EA" w:rsidR="00235E11" w:rsidRDefault="00F837E4">
            <w:pPr>
              <w:pStyle w:val="P68B1DB1-Normal10"/>
              <w:spacing w:after="0"/>
              <w:rPr>
                <w:noProof/>
              </w:rPr>
            </w:pPr>
            <w:r>
              <w:rPr>
                <w:noProof/>
              </w:rPr>
              <w:t>Влизане в сила на новите или изменените укази и свързаните с тях разпоредби, за да се даде възможност за развитие на пазара на CO2 във Валония</w:t>
            </w:r>
          </w:p>
        </w:tc>
        <w:tc>
          <w:tcPr>
            <w:tcW w:w="1843" w:type="dxa"/>
            <w:tcBorders>
              <w:top w:val="nil"/>
              <w:left w:val="nil"/>
              <w:bottom w:val="single" w:sz="4" w:space="0" w:color="auto"/>
              <w:right w:val="single" w:sz="4" w:space="0" w:color="auto"/>
            </w:tcBorders>
            <w:shd w:val="clear" w:color="auto" w:fill="C6EFCE"/>
            <w:noWrap/>
            <w:vAlign w:val="center"/>
          </w:tcPr>
          <w:p w14:paraId="0C06945D" w14:textId="5F051B23" w:rsidR="00235E11" w:rsidRDefault="00F837E4">
            <w:pPr>
              <w:pStyle w:val="P68B1DB1-Normal10"/>
              <w:spacing w:after="0"/>
              <w:rPr>
                <w:noProof/>
              </w:rPr>
            </w:pPr>
            <w:r>
              <w:rPr>
                <w:noProof/>
              </w:rPr>
              <w:t>Публикуване на новите или изменените укази и свързаните с тях разпоредби (Официален вестник)</w:t>
            </w:r>
          </w:p>
        </w:tc>
        <w:tc>
          <w:tcPr>
            <w:tcW w:w="709" w:type="dxa"/>
            <w:tcBorders>
              <w:top w:val="nil"/>
              <w:left w:val="nil"/>
              <w:bottom w:val="single" w:sz="4" w:space="0" w:color="auto"/>
              <w:right w:val="single" w:sz="4" w:space="0" w:color="auto"/>
            </w:tcBorders>
            <w:shd w:val="clear" w:color="auto" w:fill="C6EFCE"/>
            <w:noWrap/>
            <w:vAlign w:val="center"/>
          </w:tcPr>
          <w:p w14:paraId="73767558"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2280AEB3"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3DBADB13"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44733DC5" w14:textId="61EEF257" w:rsidR="00235E11" w:rsidRDefault="00F837E4">
            <w:pPr>
              <w:pStyle w:val="P68B1DB1-Normal10"/>
              <w:spacing w:after="0"/>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14158E8D" w14:textId="26D3F1A3" w:rsidR="00235E11" w:rsidRDefault="00F837E4">
            <w:pPr>
              <w:pStyle w:val="P68B1DB1-Normal10"/>
              <w:spacing w:after="0"/>
              <w:rPr>
                <w:noProof/>
              </w:rPr>
            </w:pPr>
            <w:r>
              <w:rPr>
                <w:noProof/>
              </w:rPr>
              <w:t>2024</w:t>
            </w:r>
          </w:p>
        </w:tc>
        <w:tc>
          <w:tcPr>
            <w:tcW w:w="5175" w:type="dxa"/>
            <w:tcBorders>
              <w:top w:val="nil"/>
              <w:left w:val="nil"/>
              <w:bottom w:val="single" w:sz="4" w:space="0" w:color="auto"/>
              <w:right w:val="single" w:sz="4" w:space="0" w:color="auto"/>
            </w:tcBorders>
            <w:shd w:val="clear" w:color="auto" w:fill="C6EFCE"/>
            <w:noWrap/>
            <w:vAlign w:val="center"/>
          </w:tcPr>
          <w:p w14:paraId="2BE9C1A0" w14:textId="0FBF8AA1" w:rsidR="00235E11" w:rsidRDefault="00F837E4">
            <w:pPr>
              <w:pStyle w:val="P68B1DB1-Normal10"/>
              <w:spacing w:after="0"/>
              <w:rPr>
                <w:noProof/>
              </w:rPr>
            </w:pPr>
            <w:r>
              <w:rPr>
                <w:noProof/>
              </w:rPr>
              <w:t>Влизане в сила на новите или изменените укази на равнище Валония с цел:</w:t>
            </w:r>
          </w:p>
          <w:p w14:paraId="41B5CE92" w14:textId="1CA618DC" w:rsidR="00235E11" w:rsidRDefault="00F837E4">
            <w:pPr>
              <w:pStyle w:val="P68B1DB1-ListParagraph12"/>
              <w:numPr>
                <w:ilvl w:val="0"/>
                <w:numId w:val="1"/>
              </w:numPr>
              <w:spacing w:after="0"/>
              <w:rPr>
                <w:noProof/>
              </w:rPr>
            </w:pPr>
            <w:r>
              <w:rPr>
                <w:noProof/>
              </w:rPr>
              <w:t>създаване на условия за развитие на пазара на CO2,</w:t>
            </w:r>
          </w:p>
          <w:p w14:paraId="1A0A84DA" w14:textId="76C2A0C3" w:rsidR="00235E11" w:rsidRDefault="00F837E4">
            <w:pPr>
              <w:pStyle w:val="P68B1DB1-ListParagraph12"/>
              <w:numPr>
                <w:ilvl w:val="0"/>
                <w:numId w:val="1"/>
              </w:numPr>
              <w:spacing w:after="0"/>
              <w:rPr>
                <w:noProof/>
              </w:rPr>
            </w:pPr>
            <w:r>
              <w:rPr>
                <w:noProof/>
              </w:rPr>
              <w:t>обхващат теми като надзор, недискриминационен достъп и тарифи.</w:t>
            </w:r>
          </w:p>
        </w:tc>
      </w:tr>
      <w:tr w:rsidR="00235E11" w14:paraId="43385E53"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hideMark/>
          </w:tcPr>
          <w:p w14:paraId="7C533F6A" w14:textId="77777777" w:rsidR="00235E11" w:rsidRDefault="00F837E4">
            <w:pPr>
              <w:pStyle w:val="P68B1DB1-Normal10"/>
              <w:spacing w:after="0"/>
              <w:jc w:val="center"/>
              <w:rPr>
                <w:noProof/>
              </w:rPr>
            </w:pPr>
            <w:r>
              <w:rPr>
                <w:noProof/>
              </w:rPr>
              <w:t>18</w:t>
            </w:r>
          </w:p>
        </w:tc>
        <w:tc>
          <w:tcPr>
            <w:tcW w:w="1464" w:type="dxa"/>
            <w:tcBorders>
              <w:top w:val="nil"/>
              <w:left w:val="nil"/>
              <w:bottom w:val="single" w:sz="4" w:space="0" w:color="auto"/>
              <w:right w:val="single" w:sz="4" w:space="0" w:color="auto"/>
            </w:tcBorders>
            <w:shd w:val="clear" w:color="auto" w:fill="C6EFCE"/>
            <w:noWrap/>
            <w:vAlign w:val="center"/>
            <w:hideMark/>
          </w:tcPr>
          <w:p w14:paraId="20B4C171" w14:textId="77777777" w:rsidR="00235E11" w:rsidRDefault="00F837E4">
            <w:pPr>
              <w:pStyle w:val="P68B1DB1-Normal10"/>
              <w:spacing w:after="0"/>
              <w:rPr>
                <w:noProof/>
              </w:rPr>
            </w:pPr>
            <w:r>
              <w:rPr>
                <w:noProof/>
              </w:rPr>
              <w:t>Промишлена верига за създаване на стойност за прехода към водород (I-1.15)</w:t>
            </w:r>
          </w:p>
        </w:tc>
        <w:tc>
          <w:tcPr>
            <w:tcW w:w="1229" w:type="dxa"/>
            <w:tcBorders>
              <w:top w:val="nil"/>
              <w:left w:val="nil"/>
              <w:bottom w:val="single" w:sz="4" w:space="0" w:color="auto"/>
              <w:right w:val="single" w:sz="4" w:space="0" w:color="auto"/>
            </w:tcBorders>
            <w:shd w:val="clear" w:color="auto" w:fill="C6EFCE"/>
            <w:noWrap/>
            <w:vAlign w:val="center"/>
            <w:hideMark/>
          </w:tcPr>
          <w:p w14:paraId="516DD04F" w14:textId="6881C735"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7CDD52BE" w14:textId="77777777" w:rsidR="00235E11" w:rsidRDefault="00F837E4">
            <w:pPr>
              <w:pStyle w:val="P68B1DB1-Normal10"/>
              <w:spacing w:after="0"/>
              <w:rPr>
                <w:noProof/>
              </w:rPr>
            </w:pPr>
            <w:r>
              <w:rPr>
                <w:noProof/>
              </w:rPr>
              <w:t>Възлагане на поръчки в рамките на поканата за участие в търг</w:t>
            </w:r>
          </w:p>
        </w:tc>
        <w:tc>
          <w:tcPr>
            <w:tcW w:w="1843" w:type="dxa"/>
            <w:tcBorders>
              <w:top w:val="nil"/>
              <w:left w:val="nil"/>
              <w:bottom w:val="single" w:sz="4" w:space="0" w:color="auto"/>
              <w:right w:val="single" w:sz="4" w:space="0" w:color="auto"/>
            </w:tcBorders>
            <w:shd w:val="clear" w:color="auto" w:fill="C6EFCE"/>
            <w:noWrap/>
            <w:vAlign w:val="center"/>
            <w:hideMark/>
          </w:tcPr>
          <w:p w14:paraId="51BC4061" w14:textId="77777777" w:rsidR="00235E11" w:rsidRDefault="00F837E4">
            <w:pPr>
              <w:pStyle w:val="P68B1DB1-Normal10"/>
              <w:spacing w:after="0"/>
              <w:rPr>
                <w:noProof/>
              </w:rPr>
            </w:pPr>
            <w:r>
              <w:rPr>
                <w:noProof/>
              </w:rPr>
              <w:t>Писмено уведомление за възлагане на обществена поръчка на успелите кандидати</w:t>
            </w:r>
          </w:p>
        </w:tc>
        <w:tc>
          <w:tcPr>
            <w:tcW w:w="709" w:type="dxa"/>
            <w:tcBorders>
              <w:top w:val="nil"/>
              <w:left w:val="nil"/>
              <w:bottom w:val="single" w:sz="4" w:space="0" w:color="auto"/>
              <w:right w:val="single" w:sz="4" w:space="0" w:color="auto"/>
            </w:tcBorders>
            <w:shd w:val="clear" w:color="auto" w:fill="C6EFCE"/>
            <w:noWrap/>
            <w:vAlign w:val="center"/>
            <w:hideMark/>
          </w:tcPr>
          <w:p w14:paraId="3DFE9EBB" w14:textId="77777777" w:rsidR="00235E11" w:rsidRDefault="00F837E4">
            <w:pPr>
              <w:pStyle w:val="P68B1DB1-Normal10"/>
              <w:spacing w:after="0"/>
              <w:rPr>
                <w:noProof/>
              </w:rPr>
            </w:pPr>
            <w:r>
              <w:rPr>
                <w:noProof/>
              </w:rPr>
              <w:t> </w:t>
            </w:r>
          </w:p>
        </w:tc>
        <w:tc>
          <w:tcPr>
            <w:tcW w:w="708" w:type="dxa"/>
            <w:tcBorders>
              <w:top w:val="nil"/>
              <w:left w:val="nil"/>
              <w:bottom w:val="single" w:sz="4" w:space="0" w:color="auto"/>
              <w:right w:val="single" w:sz="4" w:space="0" w:color="auto"/>
            </w:tcBorders>
            <w:shd w:val="clear" w:color="auto" w:fill="C6EFCE"/>
            <w:noWrap/>
            <w:vAlign w:val="center"/>
            <w:hideMark/>
          </w:tcPr>
          <w:p w14:paraId="6C1C4F70" w14:textId="77777777" w:rsidR="00235E11" w:rsidRDefault="00F837E4">
            <w:pPr>
              <w:pStyle w:val="P68B1DB1-Normal10"/>
              <w:spacing w:after="0"/>
              <w:rPr>
                <w:noProof/>
              </w:rPr>
            </w:pPr>
            <w:r>
              <w:rPr>
                <w:noProof/>
              </w:rPr>
              <w:t> </w:t>
            </w:r>
          </w:p>
        </w:tc>
        <w:tc>
          <w:tcPr>
            <w:tcW w:w="709" w:type="dxa"/>
            <w:tcBorders>
              <w:top w:val="nil"/>
              <w:left w:val="nil"/>
              <w:bottom w:val="single" w:sz="4" w:space="0" w:color="auto"/>
              <w:right w:val="single" w:sz="4" w:space="0" w:color="auto"/>
            </w:tcBorders>
            <w:shd w:val="clear" w:color="auto" w:fill="C6EFCE"/>
            <w:noWrap/>
            <w:vAlign w:val="center"/>
            <w:hideMark/>
          </w:tcPr>
          <w:p w14:paraId="15205DEC" w14:textId="77777777" w:rsidR="00235E11" w:rsidRDefault="00F837E4">
            <w:pPr>
              <w:pStyle w:val="P68B1DB1-Normal10"/>
              <w:spacing w:after="0"/>
              <w:rPr>
                <w:noProof/>
              </w:rPr>
            </w:pPr>
            <w:r>
              <w:rPr>
                <w:noProof/>
              </w:rPr>
              <w:t> </w:t>
            </w:r>
          </w:p>
        </w:tc>
        <w:tc>
          <w:tcPr>
            <w:tcW w:w="709" w:type="dxa"/>
            <w:tcBorders>
              <w:top w:val="nil"/>
              <w:left w:val="nil"/>
              <w:bottom w:val="single" w:sz="4" w:space="0" w:color="auto"/>
              <w:right w:val="single" w:sz="4" w:space="0" w:color="auto"/>
            </w:tcBorders>
            <w:shd w:val="clear" w:color="auto" w:fill="C6EFCE"/>
            <w:noWrap/>
            <w:vAlign w:val="center"/>
            <w:hideMark/>
          </w:tcPr>
          <w:p w14:paraId="15BFDF4F" w14:textId="77777777" w:rsidR="00235E11" w:rsidRDefault="00F837E4">
            <w:pPr>
              <w:pStyle w:val="P68B1DB1-Normal10"/>
              <w:spacing w:after="0"/>
              <w:rPr>
                <w:noProof/>
                <w:highlight w:val="yellow"/>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7CE6927E" w14:textId="77777777" w:rsidR="00235E11" w:rsidRDefault="00F837E4">
            <w:pPr>
              <w:pStyle w:val="P68B1DB1-Normal10"/>
              <w:spacing w:after="0"/>
              <w:rPr>
                <w:noProof/>
              </w:rPr>
            </w:pPr>
            <w:r>
              <w:rPr>
                <w:noProof/>
              </w:rPr>
              <w:t>2022</w:t>
            </w:r>
          </w:p>
        </w:tc>
        <w:tc>
          <w:tcPr>
            <w:tcW w:w="5175" w:type="dxa"/>
            <w:tcBorders>
              <w:top w:val="nil"/>
              <w:left w:val="nil"/>
              <w:bottom w:val="single" w:sz="4" w:space="0" w:color="auto"/>
              <w:right w:val="single" w:sz="4" w:space="0" w:color="auto"/>
            </w:tcBorders>
            <w:shd w:val="clear" w:color="auto" w:fill="C6EFCE"/>
            <w:noWrap/>
            <w:vAlign w:val="center"/>
            <w:hideMark/>
          </w:tcPr>
          <w:p w14:paraId="348EDFD7" w14:textId="77777777" w:rsidR="00235E11" w:rsidRDefault="00F837E4">
            <w:pPr>
              <w:pStyle w:val="P68B1DB1-Normal10"/>
              <w:spacing w:after="0"/>
              <w:rPr>
                <w:noProof/>
              </w:rPr>
            </w:pPr>
            <w:r>
              <w:rPr>
                <w:noProof/>
              </w:rPr>
              <w:t>Възлагане на договори в рамките на поканата за участие в търг „Индустриална верига за създаване на стойност за преход към водород (на федерално равнище). Проектите се подбират чрез покана за участие в търг, която обхваща демонстрационни инсталации за производство на чист водород, както и използването на водород, например в плавателни съдове, доколкото проектите попадат в сферата на компетентност на федералното правителство. Що се отнася до демонстрационните инсталации за производство на чист водород, поканата е отворена за всички технологии с нулеви технологични емисии, като например електролиза, захранвана с електроенергия от възобновяеми източници, пиролиза.</w:t>
            </w:r>
          </w:p>
          <w:p w14:paraId="682DFC84" w14:textId="77777777" w:rsidR="00235E11" w:rsidRDefault="00235E11">
            <w:pPr>
              <w:spacing w:after="0"/>
              <w:rPr>
                <w:rFonts w:ascii="Times New Roman" w:eastAsia="Times New Roman" w:hAnsi="Times New Roman" w:cs="Times New Roman"/>
                <w:noProof/>
                <w:color w:val="006100"/>
              </w:rPr>
            </w:pPr>
          </w:p>
          <w:p w14:paraId="473D43BF" w14:textId="77777777" w:rsidR="00235E11" w:rsidRDefault="00F837E4">
            <w:pPr>
              <w:pStyle w:val="P68B1DB1-Normal10"/>
              <w:spacing w:after="0"/>
              <w:rPr>
                <w:noProof/>
              </w:rPr>
            </w:pPr>
            <w:r>
              <w:rPr>
                <w:noProof/>
              </w:rPr>
              <w:t xml:space="preserve">Поканите за участие в търг за проекти в областта на научните изследвания и иновациите отговарят на следните условия: </w:t>
            </w:r>
          </w:p>
          <w:p w14:paraId="145CD087" w14:textId="2B147070" w:rsidR="00235E11" w:rsidRDefault="00F837E4">
            <w:pPr>
              <w:pStyle w:val="P68B1DB1-Normal10"/>
              <w:spacing w:after="0"/>
              <w:rPr>
                <w:noProof/>
              </w:rPr>
            </w:pPr>
            <w:r>
              <w:rPr>
                <w:noProof/>
              </w:rPr>
              <w:t>— Акцентът е поставен изключително или предимно върху варианти със слабо въздействие (например производство на водород от възобновяеми източници или други екологични иновации с нулеви емисии) или</w:t>
            </w:r>
          </w:p>
          <w:p w14:paraId="47B8923A" w14:textId="4A2A3B39"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технологиите с най-ограничено въздействие (но не с нулево/слабо въздействие) измежду наличните понастоящем)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0ECE83FB"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46A50186" w14:textId="77777777"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с използване на ВЕИ) или се основава на зелени СЗЕ.</w:t>
            </w:r>
          </w:p>
        </w:tc>
      </w:tr>
      <w:tr w:rsidR="00235E11" w14:paraId="44160E0B" w14:textId="77777777">
        <w:trPr>
          <w:trHeight w:val="1550"/>
        </w:trPr>
        <w:tc>
          <w:tcPr>
            <w:tcW w:w="993" w:type="dxa"/>
            <w:tcBorders>
              <w:top w:val="nil"/>
              <w:left w:val="single" w:sz="4" w:space="0" w:color="auto"/>
              <w:bottom w:val="single" w:sz="4" w:space="0" w:color="auto"/>
              <w:right w:val="single" w:sz="4" w:space="0" w:color="auto"/>
            </w:tcBorders>
            <w:shd w:val="clear" w:color="auto" w:fill="C6EFCE"/>
            <w:noWrap/>
            <w:vAlign w:val="center"/>
            <w:hideMark/>
          </w:tcPr>
          <w:p w14:paraId="64877E87" w14:textId="77777777" w:rsidR="00235E11" w:rsidRDefault="00F837E4">
            <w:pPr>
              <w:pStyle w:val="P68B1DB1-Normal10"/>
              <w:spacing w:after="0"/>
              <w:jc w:val="center"/>
              <w:rPr>
                <w:noProof/>
              </w:rPr>
            </w:pPr>
            <w:r>
              <w:rPr>
                <w:noProof/>
              </w:rPr>
              <w:t>19</w:t>
            </w:r>
          </w:p>
        </w:tc>
        <w:tc>
          <w:tcPr>
            <w:tcW w:w="1464" w:type="dxa"/>
            <w:tcBorders>
              <w:top w:val="nil"/>
              <w:left w:val="nil"/>
              <w:bottom w:val="single" w:sz="4" w:space="0" w:color="auto"/>
              <w:right w:val="single" w:sz="4" w:space="0" w:color="auto"/>
            </w:tcBorders>
            <w:shd w:val="clear" w:color="auto" w:fill="C6EFCE"/>
            <w:noWrap/>
            <w:vAlign w:val="center"/>
            <w:hideMark/>
          </w:tcPr>
          <w:p w14:paraId="3D0DDBDB" w14:textId="77777777" w:rsidR="00235E11" w:rsidRDefault="00F837E4">
            <w:pPr>
              <w:pStyle w:val="P68B1DB1-Normal10"/>
              <w:spacing w:after="0"/>
              <w:rPr>
                <w:noProof/>
              </w:rPr>
            </w:pPr>
            <w:r>
              <w:rPr>
                <w:noProof/>
              </w:rPr>
              <w:t>Промишлена верига за създаване на стойност за прехода към водород (I-1.15)</w:t>
            </w:r>
          </w:p>
        </w:tc>
        <w:tc>
          <w:tcPr>
            <w:tcW w:w="1229" w:type="dxa"/>
            <w:tcBorders>
              <w:top w:val="nil"/>
              <w:left w:val="nil"/>
              <w:bottom w:val="single" w:sz="4" w:space="0" w:color="auto"/>
              <w:right w:val="single" w:sz="4" w:space="0" w:color="auto"/>
            </w:tcBorders>
            <w:shd w:val="clear" w:color="auto" w:fill="C6EFCE"/>
            <w:noWrap/>
            <w:vAlign w:val="center"/>
            <w:hideMark/>
          </w:tcPr>
          <w:p w14:paraId="57B84017" w14:textId="7E5AFF23"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527FA2E6" w14:textId="77777777" w:rsidR="00235E11" w:rsidRDefault="00F837E4">
            <w:pPr>
              <w:pStyle w:val="P68B1DB1-Normal10"/>
              <w:spacing w:after="0"/>
              <w:rPr>
                <w:noProof/>
              </w:rPr>
            </w:pPr>
            <w:r>
              <w:rPr>
                <w:noProof/>
              </w:rPr>
              <w:t>Възлагане на поръчки в рамките на 2-рата покана за представяне на оферти</w:t>
            </w:r>
          </w:p>
        </w:tc>
        <w:tc>
          <w:tcPr>
            <w:tcW w:w="1843" w:type="dxa"/>
            <w:tcBorders>
              <w:top w:val="nil"/>
              <w:left w:val="nil"/>
              <w:bottom w:val="single" w:sz="4" w:space="0" w:color="auto"/>
              <w:right w:val="single" w:sz="4" w:space="0" w:color="auto"/>
            </w:tcBorders>
            <w:shd w:val="clear" w:color="auto" w:fill="C6EFCE"/>
            <w:noWrap/>
            <w:vAlign w:val="center"/>
            <w:hideMark/>
          </w:tcPr>
          <w:p w14:paraId="059924A7" w14:textId="77777777" w:rsidR="00235E11" w:rsidRDefault="00F837E4">
            <w:pPr>
              <w:pStyle w:val="P68B1DB1-Normal10"/>
              <w:spacing w:after="0"/>
              <w:rPr>
                <w:noProof/>
              </w:rPr>
            </w:pPr>
            <w:r>
              <w:rPr>
                <w:noProof/>
              </w:rPr>
              <w:t>Писмено уведомление за възлагане на обществена поръчка на успелите кандидати</w:t>
            </w:r>
          </w:p>
        </w:tc>
        <w:tc>
          <w:tcPr>
            <w:tcW w:w="709" w:type="dxa"/>
            <w:tcBorders>
              <w:top w:val="nil"/>
              <w:left w:val="nil"/>
              <w:bottom w:val="single" w:sz="4" w:space="0" w:color="auto"/>
              <w:right w:val="single" w:sz="4" w:space="0" w:color="auto"/>
            </w:tcBorders>
            <w:shd w:val="clear" w:color="auto" w:fill="C6EFCE"/>
            <w:noWrap/>
            <w:vAlign w:val="center"/>
            <w:hideMark/>
          </w:tcPr>
          <w:p w14:paraId="5F1FDF00" w14:textId="77777777" w:rsidR="00235E11" w:rsidRDefault="00F837E4">
            <w:pPr>
              <w:pStyle w:val="P68B1DB1-Normal10"/>
              <w:spacing w:after="0"/>
              <w:rPr>
                <w:noProof/>
              </w:rPr>
            </w:pPr>
            <w:r>
              <w:rPr>
                <w:noProof/>
              </w:rPr>
              <w:t> </w:t>
            </w:r>
          </w:p>
        </w:tc>
        <w:tc>
          <w:tcPr>
            <w:tcW w:w="708" w:type="dxa"/>
            <w:tcBorders>
              <w:top w:val="nil"/>
              <w:left w:val="nil"/>
              <w:bottom w:val="single" w:sz="4" w:space="0" w:color="auto"/>
              <w:right w:val="single" w:sz="4" w:space="0" w:color="auto"/>
            </w:tcBorders>
            <w:shd w:val="clear" w:color="auto" w:fill="C6EFCE"/>
            <w:noWrap/>
            <w:vAlign w:val="center"/>
            <w:hideMark/>
          </w:tcPr>
          <w:p w14:paraId="64BAF603" w14:textId="77777777" w:rsidR="00235E11" w:rsidRDefault="00F837E4">
            <w:pPr>
              <w:pStyle w:val="P68B1DB1-Normal10"/>
              <w:spacing w:after="0"/>
              <w:rPr>
                <w:noProof/>
              </w:rPr>
            </w:pPr>
            <w:r>
              <w:rPr>
                <w:noProof/>
              </w:rPr>
              <w:t> </w:t>
            </w:r>
          </w:p>
        </w:tc>
        <w:tc>
          <w:tcPr>
            <w:tcW w:w="709" w:type="dxa"/>
            <w:tcBorders>
              <w:top w:val="nil"/>
              <w:left w:val="nil"/>
              <w:bottom w:val="single" w:sz="4" w:space="0" w:color="auto"/>
              <w:right w:val="single" w:sz="4" w:space="0" w:color="auto"/>
            </w:tcBorders>
            <w:shd w:val="clear" w:color="auto" w:fill="C6EFCE"/>
            <w:noWrap/>
            <w:vAlign w:val="center"/>
            <w:hideMark/>
          </w:tcPr>
          <w:p w14:paraId="737CCA52" w14:textId="77777777" w:rsidR="00235E11" w:rsidRDefault="00F837E4">
            <w:pPr>
              <w:pStyle w:val="P68B1DB1-Normal10"/>
              <w:spacing w:after="0"/>
              <w:rPr>
                <w:noProof/>
              </w:rPr>
            </w:pPr>
            <w:r>
              <w:rPr>
                <w:noProof/>
              </w:rPr>
              <w:t> </w:t>
            </w:r>
          </w:p>
        </w:tc>
        <w:tc>
          <w:tcPr>
            <w:tcW w:w="709" w:type="dxa"/>
            <w:tcBorders>
              <w:top w:val="nil"/>
              <w:left w:val="nil"/>
              <w:bottom w:val="single" w:sz="4" w:space="0" w:color="auto"/>
              <w:right w:val="single" w:sz="4" w:space="0" w:color="auto"/>
            </w:tcBorders>
            <w:shd w:val="clear" w:color="auto" w:fill="C6EFCE"/>
            <w:noWrap/>
            <w:vAlign w:val="center"/>
            <w:hideMark/>
          </w:tcPr>
          <w:p w14:paraId="156AA7F3" w14:textId="77777777" w:rsidR="00235E11" w:rsidRDefault="00F837E4">
            <w:pPr>
              <w:pStyle w:val="P68B1DB1-Normal10"/>
              <w:spacing w:after="0"/>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37B9C801" w14:textId="512EDEEF" w:rsidR="00235E11" w:rsidRDefault="00F837E4">
            <w:pPr>
              <w:pStyle w:val="P68B1DB1-Normal10"/>
              <w:spacing w:after="0"/>
              <w:rPr>
                <w:noProof/>
              </w:rPr>
            </w:pPr>
            <w:r>
              <w:rPr>
                <w:noProof/>
              </w:rPr>
              <w:t>2024</w:t>
            </w:r>
          </w:p>
        </w:tc>
        <w:tc>
          <w:tcPr>
            <w:tcW w:w="5175" w:type="dxa"/>
            <w:tcBorders>
              <w:top w:val="nil"/>
              <w:left w:val="nil"/>
              <w:bottom w:val="single" w:sz="4" w:space="0" w:color="auto"/>
              <w:right w:val="single" w:sz="4" w:space="0" w:color="auto"/>
            </w:tcBorders>
            <w:shd w:val="clear" w:color="auto" w:fill="C6EFCE"/>
            <w:noWrap/>
            <w:vAlign w:val="center"/>
            <w:hideMark/>
          </w:tcPr>
          <w:p w14:paraId="6D3AA713" w14:textId="77777777" w:rsidR="00235E11" w:rsidRDefault="00F837E4">
            <w:pPr>
              <w:pStyle w:val="P68B1DB1-Normal10"/>
              <w:spacing w:after="0"/>
              <w:rPr>
                <w:noProof/>
              </w:rPr>
            </w:pPr>
            <w:r>
              <w:rPr>
                <w:noProof/>
              </w:rPr>
              <w:t>Възлагане на договори в рамките на 2-рата покана</w:t>
            </w:r>
            <w:r>
              <w:rPr>
                <w:noProof/>
                <w:vertAlign w:val="superscript"/>
              </w:rPr>
              <w:t>за</w:t>
            </w:r>
            <w:r>
              <w:rPr>
                <w:noProof/>
              </w:rPr>
              <w:t xml:space="preserve"> участие в търг „Индустриална верига за създаване на стойност за преход към водород (на федерално равнище). Проектите се подбират чрез покана за участие в търг, която обхваща демонстрационни инсталации за производство на чист водород, както и използването на водород, например в плавателни съдове, доколкото проектите попадат в сферата на компетентност на федералното правителство. Що се отнася до демонстрационните инсталации за производство на чист водород, поканата е отворена за всички технологии с нулеви технологични емисии, като например електролиза, захранвана с електроенергия от възобновяеми източници, пиролиза. </w:t>
            </w:r>
          </w:p>
          <w:p w14:paraId="7E288680" w14:textId="77777777" w:rsidR="00235E11" w:rsidRDefault="00235E11">
            <w:pPr>
              <w:spacing w:after="0"/>
              <w:rPr>
                <w:rFonts w:ascii="Times New Roman" w:eastAsia="Times New Roman" w:hAnsi="Times New Roman" w:cs="Times New Roman"/>
                <w:noProof/>
                <w:color w:val="006100"/>
              </w:rPr>
            </w:pPr>
          </w:p>
          <w:p w14:paraId="73BCCD6A" w14:textId="77777777" w:rsidR="00235E11" w:rsidRDefault="00F837E4">
            <w:pPr>
              <w:pStyle w:val="P68B1DB1-Normal10"/>
              <w:spacing w:after="0"/>
              <w:rPr>
                <w:noProof/>
              </w:rPr>
            </w:pPr>
            <w:r>
              <w:rPr>
                <w:noProof/>
              </w:rPr>
              <w:t xml:space="preserve">Поканите за участие в търг за проекти в областта на научните изследвания и иновациите отговарят на следните условия: </w:t>
            </w:r>
          </w:p>
          <w:p w14:paraId="2D215185" w14:textId="77777777" w:rsidR="00235E11" w:rsidRDefault="00F837E4">
            <w:pPr>
              <w:pStyle w:val="P68B1DB1-Normal10"/>
              <w:spacing w:after="0"/>
              <w:rPr>
                <w:noProof/>
              </w:rPr>
            </w:pPr>
            <w:r>
              <w:rPr>
                <w:noProof/>
              </w:rPr>
              <w:t>— Акцентът е поставен изключително или предимно върху варианти със слабо въздействие (като например производството на водород от възобновяеми източници или други екологични иновации с нулеви емисии); или</w:t>
            </w:r>
          </w:p>
          <w:p w14:paraId="72413873" w14:textId="77777777"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 с най-ограничено въздействие (но не с нулево/слабо въздействие) измежду наличните в момента)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4B1F8B83"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1438049F" w14:textId="77777777"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използването на ВЕИ — e) или се основава на зелени СЗЕ.</w:t>
            </w:r>
          </w:p>
        </w:tc>
      </w:tr>
      <w:tr w:rsidR="00235E11" w14:paraId="4707C91B"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1D25A460" w14:textId="77777777" w:rsidR="00235E11" w:rsidRDefault="00F837E4">
            <w:pPr>
              <w:pStyle w:val="P68B1DB1-Normal10"/>
              <w:spacing w:after="0"/>
              <w:jc w:val="center"/>
              <w:rPr>
                <w:noProof/>
              </w:rPr>
            </w:pPr>
            <w:r>
              <w:rPr>
                <w:noProof/>
              </w:rPr>
              <w:t>20</w:t>
            </w:r>
          </w:p>
        </w:tc>
        <w:tc>
          <w:tcPr>
            <w:tcW w:w="1464" w:type="dxa"/>
            <w:tcBorders>
              <w:top w:val="nil"/>
              <w:left w:val="nil"/>
              <w:bottom w:val="single" w:sz="4" w:space="0" w:color="auto"/>
              <w:right w:val="single" w:sz="4" w:space="0" w:color="auto"/>
            </w:tcBorders>
            <w:shd w:val="clear" w:color="auto" w:fill="C6EFCE"/>
            <w:noWrap/>
            <w:vAlign w:val="center"/>
          </w:tcPr>
          <w:p w14:paraId="481FAB53" w14:textId="77777777" w:rsidR="00235E11" w:rsidRDefault="00F837E4">
            <w:pPr>
              <w:pStyle w:val="P68B1DB1-Normal10"/>
              <w:spacing w:after="0"/>
              <w:rPr>
                <w:noProof/>
              </w:rPr>
            </w:pPr>
            <w:r>
              <w:rPr>
                <w:noProof/>
              </w:rPr>
              <w:t>Промишлена верига за създаване на стойност за прехода към водород (I-1.15)</w:t>
            </w:r>
          </w:p>
        </w:tc>
        <w:tc>
          <w:tcPr>
            <w:tcW w:w="1229" w:type="dxa"/>
            <w:tcBorders>
              <w:top w:val="nil"/>
              <w:left w:val="nil"/>
              <w:bottom w:val="single" w:sz="4" w:space="0" w:color="auto"/>
              <w:right w:val="single" w:sz="4" w:space="0" w:color="auto"/>
            </w:tcBorders>
            <w:shd w:val="clear" w:color="auto" w:fill="C6EFCE"/>
            <w:noWrap/>
            <w:vAlign w:val="center"/>
          </w:tcPr>
          <w:p w14:paraId="01FC6EB1" w14:textId="2087C08E"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4C2F201E" w14:textId="77777777" w:rsidR="00235E11" w:rsidRDefault="00F837E4">
            <w:pPr>
              <w:pStyle w:val="P68B1DB1-Normal10"/>
              <w:spacing w:after="0"/>
              <w:rPr>
                <w:noProof/>
              </w:rPr>
            </w:pPr>
            <w:r>
              <w:rPr>
                <w:noProof/>
              </w:rPr>
              <w:t>Приключване на всички възложени проекти в поканите за участие в търг</w:t>
            </w:r>
          </w:p>
        </w:tc>
        <w:tc>
          <w:tcPr>
            <w:tcW w:w="1843" w:type="dxa"/>
            <w:tcBorders>
              <w:top w:val="nil"/>
              <w:left w:val="nil"/>
              <w:bottom w:val="single" w:sz="4" w:space="0" w:color="auto"/>
              <w:right w:val="single" w:sz="4" w:space="0" w:color="auto"/>
            </w:tcBorders>
            <w:shd w:val="clear" w:color="auto" w:fill="C6EFCE"/>
            <w:noWrap/>
            <w:vAlign w:val="center"/>
          </w:tcPr>
          <w:p w14:paraId="46EFF1FF" w14:textId="77777777" w:rsidR="00235E11" w:rsidRDefault="00F837E4">
            <w:pPr>
              <w:pStyle w:val="P68B1DB1-Normal10"/>
              <w:spacing w:after="0"/>
              <w:rPr>
                <w:noProof/>
              </w:rPr>
            </w:pPr>
            <w:r>
              <w:rPr>
                <w:noProof/>
              </w:rPr>
              <w:t>Одобряване на окончателния доклад за проекта</w:t>
            </w:r>
          </w:p>
        </w:tc>
        <w:tc>
          <w:tcPr>
            <w:tcW w:w="709" w:type="dxa"/>
            <w:tcBorders>
              <w:top w:val="nil"/>
              <w:left w:val="nil"/>
              <w:bottom w:val="single" w:sz="4" w:space="0" w:color="auto"/>
              <w:right w:val="single" w:sz="4" w:space="0" w:color="auto"/>
            </w:tcBorders>
            <w:shd w:val="clear" w:color="auto" w:fill="C6EFCE"/>
            <w:noWrap/>
            <w:vAlign w:val="center"/>
          </w:tcPr>
          <w:p w14:paraId="7E239EF9"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3796A068"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289489A1"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6570A2C7" w14:textId="77777777" w:rsidR="00235E11" w:rsidRDefault="00F837E4">
            <w:pPr>
              <w:pStyle w:val="P68B1DB1-Normal10"/>
              <w:spacing w:after="0"/>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2D219C76" w14:textId="77777777" w:rsidR="00235E11" w:rsidRDefault="00F837E4">
            <w:pPr>
              <w:pStyle w:val="P68B1DB1-Normal10"/>
              <w:spacing w:after="0"/>
              <w:rPr>
                <w:noProof/>
              </w:rPr>
            </w:pPr>
            <w:r>
              <w:rPr>
                <w:noProof/>
              </w:rPr>
              <w:t>2025</w:t>
            </w:r>
          </w:p>
        </w:tc>
        <w:tc>
          <w:tcPr>
            <w:tcW w:w="5175" w:type="dxa"/>
            <w:tcBorders>
              <w:top w:val="nil"/>
              <w:left w:val="nil"/>
              <w:bottom w:val="single" w:sz="4" w:space="0" w:color="auto"/>
              <w:right w:val="single" w:sz="4" w:space="0" w:color="auto"/>
            </w:tcBorders>
            <w:shd w:val="clear" w:color="auto" w:fill="C6EFCE"/>
            <w:noWrap/>
            <w:vAlign w:val="center"/>
          </w:tcPr>
          <w:p w14:paraId="7D7C317B" w14:textId="77777777" w:rsidR="00235E11" w:rsidRDefault="00F837E4">
            <w:pPr>
              <w:pStyle w:val="P68B1DB1-Normal10"/>
              <w:spacing w:after="0"/>
              <w:rPr>
                <w:noProof/>
              </w:rPr>
            </w:pPr>
            <w:r>
              <w:rPr>
                <w:noProof/>
              </w:rPr>
              <w:t>Приключване на проектите, възложени в рамките на поканата за участие в търг „Индустриална верига за създаване на стойност за водороден преход“ (на федерално равнище), като са изпълнени 45 000 000 EUR.</w:t>
            </w:r>
          </w:p>
          <w:p w14:paraId="20833AFD" w14:textId="77777777" w:rsidR="00235E11" w:rsidRDefault="00F837E4">
            <w:pPr>
              <w:pStyle w:val="P68B1DB1-Normal10"/>
              <w:spacing w:after="120"/>
              <w:rPr>
                <w:noProof/>
              </w:rPr>
            </w:pPr>
            <w:r>
              <w:rPr>
                <w:noProof/>
              </w:rPr>
              <w:t>Се изключват: всички дейности по Схемата за търговия с емисии (СТЕ) с прогнозни емисии на CO2 еквивалент, които не са значително по-ниски от съответните параметри, установени за безплатно разпределяне на квоти.</w:t>
            </w:r>
          </w:p>
          <w:p w14:paraId="3228124A" w14:textId="77777777" w:rsidR="00235E11" w:rsidRDefault="00F837E4">
            <w:pPr>
              <w:pStyle w:val="P68B1DB1-Normal10"/>
              <w:spacing w:after="0"/>
              <w:rPr>
                <w:noProof/>
              </w:rPr>
            </w:pPr>
            <w:r>
              <w:rPr>
                <w:noProof/>
              </w:rPr>
              <w:t xml:space="preserve">Поканите за участие в търг за проекти в областта на научните изследвания и иновациите отговарят на следните условия: </w:t>
            </w:r>
          </w:p>
          <w:p w14:paraId="4652667E" w14:textId="77777777" w:rsidR="00235E11" w:rsidRDefault="00F837E4">
            <w:pPr>
              <w:pStyle w:val="P68B1DB1-Normal10"/>
              <w:spacing w:after="0"/>
              <w:rPr>
                <w:noProof/>
              </w:rPr>
            </w:pPr>
            <w:r>
              <w:rPr>
                <w:noProof/>
              </w:rPr>
              <w:t>— Акцентът е поставен изключително или предимно върху варианти със слабо въздействие (като например производството на водород от възобновяеми източници или други екологични иновации с нулеви емисии); или</w:t>
            </w:r>
          </w:p>
          <w:p w14:paraId="6232BFCC" w14:textId="77777777"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 с най-ограничено въздействие (но не с нулево/слабо въздействие) измежду наличните в момента)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4FF4CEA6"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7DA89277" w14:textId="77777777"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с използване на ВЕИ) или се основава на зелени СЗЕ.</w:t>
            </w:r>
          </w:p>
        </w:tc>
      </w:tr>
      <w:tr w:rsidR="00235E11" w14:paraId="042156EC"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10BADD9D" w14:textId="77777777" w:rsidR="00235E11" w:rsidRDefault="00F837E4">
            <w:pPr>
              <w:pStyle w:val="P68B1DB1-Normal10"/>
              <w:spacing w:after="0"/>
              <w:jc w:val="center"/>
              <w:rPr>
                <w:noProof/>
              </w:rPr>
            </w:pPr>
            <w:r>
              <w:rPr>
                <w:noProof/>
              </w:rPr>
              <w:t>21</w:t>
            </w:r>
          </w:p>
        </w:tc>
        <w:tc>
          <w:tcPr>
            <w:tcW w:w="1464" w:type="dxa"/>
            <w:tcBorders>
              <w:top w:val="nil"/>
              <w:left w:val="nil"/>
              <w:bottom w:val="single" w:sz="4" w:space="0" w:color="auto"/>
              <w:right w:val="single" w:sz="4" w:space="0" w:color="auto"/>
            </w:tcBorders>
            <w:shd w:val="clear" w:color="auto" w:fill="C6EFCE"/>
            <w:noWrap/>
            <w:vAlign w:val="center"/>
          </w:tcPr>
          <w:p w14:paraId="6BD48A7A" w14:textId="77777777" w:rsidR="00235E11" w:rsidRDefault="00F837E4">
            <w:pPr>
              <w:pStyle w:val="P68B1DB1-Normal10"/>
              <w:spacing w:after="0"/>
              <w:rPr>
                <w:noProof/>
              </w:rPr>
            </w:pPr>
            <w:r>
              <w:rPr>
                <w:noProof/>
              </w:rPr>
              <w:t>Промишлена верига за създаване на стойност за прехода към водород (I-1.16)</w:t>
            </w:r>
          </w:p>
        </w:tc>
        <w:tc>
          <w:tcPr>
            <w:tcW w:w="1229" w:type="dxa"/>
            <w:tcBorders>
              <w:top w:val="nil"/>
              <w:left w:val="nil"/>
              <w:bottom w:val="single" w:sz="4" w:space="0" w:color="auto"/>
              <w:right w:val="single" w:sz="4" w:space="0" w:color="auto"/>
            </w:tcBorders>
            <w:shd w:val="clear" w:color="auto" w:fill="C6EFCE"/>
            <w:noWrap/>
            <w:vAlign w:val="center"/>
          </w:tcPr>
          <w:p w14:paraId="53D15E3C" w14:textId="1F56C25B"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2218FDA3" w14:textId="77777777" w:rsidR="00235E11" w:rsidRDefault="00F837E4">
            <w:pPr>
              <w:pStyle w:val="P68B1DB1-Normal10"/>
              <w:spacing w:after="0"/>
              <w:rPr>
                <w:noProof/>
              </w:rPr>
            </w:pPr>
            <w:r>
              <w:rPr>
                <w:noProof/>
              </w:rPr>
              <w:t>Възлагане на договори за проекти за ВПОИ в областта на водорода</w:t>
            </w:r>
          </w:p>
        </w:tc>
        <w:tc>
          <w:tcPr>
            <w:tcW w:w="1843" w:type="dxa"/>
            <w:tcBorders>
              <w:top w:val="nil"/>
              <w:left w:val="nil"/>
              <w:bottom w:val="single" w:sz="4" w:space="0" w:color="auto"/>
              <w:right w:val="single" w:sz="4" w:space="0" w:color="auto"/>
            </w:tcBorders>
            <w:shd w:val="clear" w:color="auto" w:fill="C6EFCE"/>
            <w:noWrap/>
            <w:vAlign w:val="center"/>
          </w:tcPr>
          <w:p w14:paraId="33C727E3" w14:textId="77777777" w:rsidR="00235E11" w:rsidRDefault="00F837E4">
            <w:pPr>
              <w:pStyle w:val="P68B1DB1-Normal10"/>
              <w:spacing w:after="0"/>
              <w:rPr>
                <w:noProof/>
              </w:rPr>
            </w:pPr>
            <w:r>
              <w:rPr>
                <w:noProof/>
              </w:rPr>
              <w:t>Писмено уведомление за възлагане на обществена поръчка на успелите кандидати</w:t>
            </w:r>
          </w:p>
        </w:tc>
        <w:tc>
          <w:tcPr>
            <w:tcW w:w="709" w:type="dxa"/>
            <w:tcBorders>
              <w:top w:val="nil"/>
              <w:left w:val="nil"/>
              <w:bottom w:val="single" w:sz="4" w:space="0" w:color="auto"/>
              <w:right w:val="single" w:sz="4" w:space="0" w:color="auto"/>
            </w:tcBorders>
            <w:shd w:val="clear" w:color="auto" w:fill="C6EFCE"/>
            <w:noWrap/>
            <w:vAlign w:val="center"/>
          </w:tcPr>
          <w:p w14:paraId="7A5208DA"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382A87C9"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52A7F5C5"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108C78E9"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78073D29" w14:textId="77777777" w:rsidR="00235E11" w:rsidRDefault="00F837E4">
            <w:pPr>
              <w:pStyle w:val="P68B1DB1-Normal10"/>
              <w:spacing w:after="0"/>
              <w:jc w:val="center"/>
              <w:rPr>
                <w:noProof/>
              </w:rPr>
            </w:pPr>
            <w:r>
              <w:rPr>
                <w:noProof/>
              </w:rPr>
              <w:t>2022</w:t>
            </w:r>
          </w:p>
        </w:tc>
        <w:tc>
          <w:tcPr>
            <w:tcW w:w="5175" w:type="dxa"/>
            <w:tcBorders>
              <w:top w:val="nil"/>
              <w:left w:val="nil"/>
              <w:bottom w:val="single" w:sz="4" w:space="0" w:color="auto"/>
              <w:right w:val="single" w:sz="4" w:space="0" w:color="auto"/>
            </w:tcBorders>
            <w:shd w:val="clear" w:color="auto" w:fill="C6EFCE"/>
            <w:noWrap/>
            <w:vAlign w:val="center"/>
          </w:tcPr>
          <w:p w14:paraId="48C248C7" w14:textId="77777777" w:rsidR="00235E11" w:rsidRDefault="00F837E4">
            <w:pPr>
              <w:pStyle w:val="P68B1DB1-Normal10"/>
              <w:spacing w:after="120"/>
              <w:rPr>
                <w:noProof/>
              </w:rPr>
            </w:pPr>
            <w:r>
              <w:rPr>
                <w:noProof/>
              </w:rPr>
              <w:t>Възлагане на договори за проекти за ВПОИ в областта на водорода (определени като проекти, които са предмет на уведомлението за държавна помощ по ВПОИ) по мярката „Индустриална верига за създаване на стойност за преход към водород“ (Фландрия). Са изключени от избраните проекти: всички дейности по Схемата за търговия с емисии (СТЕ) с прогнозни емисии на CO2 еквивалент, които не са значително по-ниски от съответните параметри, установени за безплатно разпределяне на квоти.</w:t>
            </w:r>
          </w:p>
          <w:p w14:paraId="162BF545" w14:textId="77777777" w:rsidR="00235E11" w:rsidRDefault="00F837E4">
            <w:pPr>
              <w:pStyle w:val="P68B1DB1-Normal10"/>
              <w:spacing w:after="0"/>
              <w:rPr>
                <w:noProof/>
              </w:rPr>
            </w:pPr>
            <w:r>
              <w:rPr>
                <w:noProof/>
              </w:rPr>
              <w:t xml:space="preserve">Избраните проекти за научни изследвания и иновации отговарят на следните условия: </w:t>
            </w:r>
          </w:p>
          <w:p w14:paraId="2F6D0BB1" w14:textId="77777777" w:rsidR="00235E11" w:rsidRDefault="00F837E4">
            <w:pPr>
              <w:pStyle w:val="P68B1DB1-Normal10"/>
              <w:spacing w:after="0"/>
              <w:rPr>
                <w:noProof/>
              </w:rPr>
            </w:pPr>
            <w:r>
              <w:rPr>
                <w:noProof/>
              </w:rPr>
              <w:t>— Акцентът е поставен изключително или предимно върху варианти със слабо въздействие (като например производството на водород от възобновяеми източници или други екологични иновации с нулеви емисии); или</w:t>
            </w:r>
          </w:p>
          <w:p w14:paraId="056664EA" w14:textId="77777777"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 с най-ограничено въздействие (но не с нулево/слабо въздействие) измежду наличните в момента)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443A0FCB"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027CADB9" w14:textId="77777777"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използването на ВЕИ — e) или се основава на зелени СЗЕ.</w:t>
            </w:r>
          </w:p>
        </w:tc>
      </w:tr>
      <w:tr w:rsidR="00235E11" w14:paraId="27D2D573"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0E103E82" w14:textId="77777777" w:rsidR="00235E11" w:rsidRDefault="00F837E4">
            <w:pPr>
              <w:pStyle w:val="P68B1DB1-Normal10"/>
              <w:spacing w:after="0"/>
              <w:jc w:val="center"/>
              <w:rPr>
                <w:noProof/>
              </w:rPr>
            </w:pPr>
            <w:r>
              <w:rPr>
                <w:noProof/>
              </w:rPr>
              <w:t>22</w:t>
            </w:r>
          </w:p>
        </w:tc>
        <w:tc>
          <w:tcPr>
            <w:tcW w:w="1464" w:type="dxa"/>
            <w:tcBorders>
              <w:top w:val="nil"/>
              <w:left w:val="nil"/>
              <w:bottom w:val="single" w:sz="4" w:space="0" w:color="auto"/>
              <w:right w:val="single" w:sz="4" w:space="0" w:color="auto"/>
            </w:tcBorders>
            <w:shd w:val="clear" w:color="auto" w:fill="C6EFCE"/>
            <w:noWrap/>
            <w:vAlign w:val="center"/>
          </w:tcPr>
          <w:p w14:paraId="203AB020" w14:textId="77777777" w:rsidR="00235E11" w:rsidRDefault="00F837E4">
            <w:pPr>
              <w:pStyle w:val="P68B1DB1-Normal10"/>
              <w:spacing w:after="0"/>
              <w:rPr>
                <w:noProof/>
              </w:rPr>
            </w:pPr>
            <w:r>
              <w:rPr>
                <w:noProof/>
              </w:rPr>
              <w:t>Промишлена верига за създаване на стойност за прехода към водород (I-1.16)</w:t>
            </w:r>
          </w:p>
        </w:tc>
        <w:tc>
          <w:tcPr>
            <w:tcW w:w="1229" w:type="dxa"/>
            <w:tcBorders>
              <w:top w:val="nil"/>
              <w:left w:val="nil"/>
              <w:bottom w:val="single" w:sz="4" w:space="0" w:color="auto"/>
              <w:right w:val="single" w:sz="4" w:space="0" w:color="auto"/>
            </w:tcBorders>
            <w:shd w:val="clear" w:color="auto" w:fill="C6EFCE"/>
            <w:noWrap/>
            <w:vAlign w:val="center"/>
          </w:tcPr>
          <w:p w14:paraId="06837AFB" w14:textId="128D66FF"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7D11A59E" w14:textId="77777777" w:rsidR="00235E11" w:rsidRDefault="00F837E4">
            <w:pPr>
              <w:pStyle w:val="P68B1DB1-Normal10"/>
              <w:spacing w:after="0"/>
              <w:rPr>
                <w:noProof/>
              </w:rPr>
            </w:pPr>
            <w:r>
              <w:rPr>
                <w:noProof/>
              </w:rPr>
              <w:t>Възлагане на договори за водородни проекти, които не са ВПОИ</w:t>
            </w:r>
          </w:p>
        </w:tc>
        <w:tc>
          <w:tcPr>
            <w:tcW w:w="1843" w:type="dxa"/>
            <w:tcBorders>
              <w:top w:val="nil"/>
              <w:left w:val="nil"/>
              <w:bottom w:val="single" w:sz="4" w:space="0" w:color="auto"/>
              <w:right w:val="single" w:sz="4" w:space="0" w:color="auto"/>
            </w:tcBorders>
            <w:shd w:val="clear" w:color="auto" w:fill="C6EFCE"/>
            <w:noWrap/>
            <w:vAlign w:val="center"/>
          </w:tcPr>
          <w:p w14:paraId="290B89F6" w14:textId="77777777" w:rsidR="00235E11" w:rsidRDefault="00F837E4">
            <w:pPr>
              <w:pStyle w:val="P68B1DB1-Normal10"/>
              <w:spacing w:after="0"/>
              <w:rPr>
                <w:noProof/>
              </w:rPr>
            </w:pPr>
            <w:r>
              <w:rPr>
                <w:noProof/>
              </w:rPr>
              <w:t>Писмено уведомление за възлагане на обществена поръчка на успелите кандидати</w:t>
            </w:r>
          </w:p>
        </w:tc>
        <w:tc>
          <w:tcPr>
            <w:tcW w:w="709" w:type="dxa"/>
            <w:tcBorders>
              <w:top w:val="nil"/>
              <w:left w:val="nil"/>
              <w:bottom w:val="single" w:sz="4" w:space="0" w:color="auto"/>
              <w:right w:val="single" w:sz="4" w:space="0" w:color="auto"/>
            </w:tcBorders>
            <w:shd w:val="clear" w:color="auto" w:fill="C6EFCE"/>
            <w:noWrap/>
            <w:vAlign w:val="center"/>
          </w:tcPr>
          <w:p w14:paraId="3AB85F49"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4E2C40D8"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12C089B2"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7F6F225D"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65864C88" w14:textId="77777777" w:rsidR="00235E11" w:rsidRDefault="00F837E4">
            <w:pPr>
              <w:pStyle w:val="P68B1DB1-Normal10"/>
              <w:spacing w:after="0"/>
              <w:jc w:val="center"/>
              <w:rPr>
                <w:noProof/>
              </w:rPr>
            </w:pPr>
            <w:r>
              <w:rPr>
                <w:noProof/>
              </w:rPr>
              <w:t>2022</w:t>
            </w:r>
          </w:p>
        </w:tc>
        <w:tc>
          <w:tcPr>
            <w:tcW w:w="5175" w:type="dxa"/>
            <w:tcBorders>
              <w:top w:val="nil"/>
              <w:left w:val="nil"/>
              <w:bottom w:val="single" w:sz="4" w:space="0" w:color="auto"/>
              <w:right w:val="single" w:sz="4" w:space="0" w:color="auto"/>
            </w:tcBorders>
            <w:shd w:val="clear" w:color="auto" w:fill="C6EFCE"/>
            <w:noWrap/>
            <w:vAlign w:val="center"/>
          </w:tcPr>
          <w:p w14:paraId="6C32FC42" w14:textId="77777777" w:rsidR="00235E11" w:rsidRDefault="00F837E4">
            <w:pPr>
              <w:pStyle w:val="P68B1DB1-Normal10"/>
              <w:spacing w:after="120"/>
              <w:rPr>
                <w:noProof/>
              </w:rPr>
            </w:pPr>
            <w:r>
              <w:rPr>
                <w:noProof/>
              </w:rPr>
              <w:t>Възлагане на договори за допълнителни проекти за водород, които не са от ВПОИ. Са изключени от избраните проекти: всички дейности по Схемата за търговия с емисии (СТЕ) с прогнозни емисии на CO2 еквивалент, които не са значително по-ниски от съответните параметри, установени за безплатно разпределяне на квоти.</w:t>
            </w:r>
          </w:p>
          <w:p w14:paraId="718A6653" w14:textId="77777777" w:rsidR="00235E11" w:rsidRDefault="00F837E4">
            <w:pPr>
              <w:pStyle w:val="P68B1DB1-Normal10"/>
              <w:spacing w:after="120"/>
              <w:rPr>
                <w:noProof/>
              </w:rPr>
            </w:pPr>
            <w:r>
              <w:rPr>
                <w:noProof/>
              </w:rPr>
              <w:t xml:space="preserve">Избраните проекти за научни изследвания и иновации отговарят на следните условия: </w:t>
            </w:r>
          </w:p>
          <w:p w14:paraId="2432DA5D" w14:textId="77777777" w:rsidR="00235E11" w:rsidRDefault="00F837E4">
            <w:pPr>
              <w:pStyle w:val="P68B1DB1-Normal10"/>
              <w:spacing w:after="0"/>
              <w:rPr>
                <w:noProof/>
              </w:rPr>
            </w:pPr>
            <w:r>
              <w:rPr>
                <w:noProof/>
              </w:rPr>
              <w:t>— Акцентът е поставен изключително или предимно върху варианти със слабо въздействие (като например производството на водород от възобновяеми източници или други екологични иновации с нулеви емисии); или</w:t>
            </w:r>
          </w:p>
          <w:p w14:paraId="4DEFE3DF" w14:textId="77777777"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 с най-ограничено въздействие (но не с нулево/слабо въздействие) измежду наличните в момента)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0705C3CC"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03351E2A" w14:textId="77777777"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използването на ВЕИ — e) или се основава на зелени СЗЕ.</w:t>
            </w:r>
          </w:p>
        </w:tc>
      </w:tr>
      <w:tr w:rsidR="00235E11" w14:paraId="4F9E94E2"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5E536C5A" w14:textId="77777777" w:rsidR="00235E11" w:rsidRDefault="00F837E4">
            <w:pPr>
              <w:pStyle w:val="P68B1DB1-Normal10"/>
              <w:spacing w:after="0"/>
              <w:jc w:val="center"/>
              <w:rPr>
                <w:noProof/>
              </w:rPr>
            </w:pPr>
            <w:r>
              <w:rPr>
                <w:noProof/>
              </w:rPr>
              <w:t>23</w:t>
            </w:r>
          </w:p>
        </w:tc>
        <w:tc>
          <w:tcPr>
            <w:tcW w:w="1464" w:type="dxa"/>
            <w:tcBorders>
              <w:top w:val="nil"/>
              <w:left w:val="nil"/>
              <w:bottom w:val="single" w:sz="4" w:space="0" w:color="auto"/>
              <w:right w:val="single" w:sz="4" w:space="0" w:color="auto"/>
            </w:tcBorders>
            <w:shd w:val="clear" w:color="auto" w:fill="C6EFCE"/>
            <w:noWrap/>
            <w:vAlign w:val="center"/>
          </w:tcPr>
          <w:p w14:paraId="4170A5CB" w14:textId="77777777" w:rsidR="00235E11" w:rsidRDefault="00F837E4">
            <w:pPr>
              <w:pStyle w:val="P68B1DB1-Normal10"/>
              <w:spacing w:after="0"/>
              <w:rPr>
                <w:noProof/>
              </w:rPr>
            </w:pPr>
            <w:r>
              <w:rPr>
                <w:noProof/>
              </w:rPr>
              <w:t>Промишлена верига за създаване на стойност за прехода към водород (I-1.16)</w:t>
            </w:r>
          </w:p>
        </w:tc>
        <w:tc>
          <w:tcPr>
            <w:tcW w:w="1229" w:type="dxa"/>
            <w:tcBorders>
              <w:top w:val="nil"/>
              <w:left w:val="nil"/>
              <w:bottom w:val="single" w:sz="4" w:space="0" w:color="auto"/>
              <w:right w:val="single" w:sz="4" w:space="0" w:color="auto"/>
            </w:tcBorders>
            <w:shd w:val="clear" w:color="auto" w:fill="C6EFCE"/>
            <w:noWrap/>
            <w:vAlign w:val="center"/>
          </w:tcPr>
          <w:p w14:paraId="19952235" w14:textId="6D46757F"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094E0D58" w14:textId="77777777" w:rsidR="00235E11" w:rsidRDefault="00F837E4">
            <w:pPr>
              <w:pStyle w:val="P68B1DB1-Normal10"/>
              <w:spacing w:after="0"/>
              <w:rPr>
                <w:noProof/>
              </w:rPr>
            </w:pPr>
            <w:r>
              <w:rPr>
                <w:noProof/>
              </w:rPr>
              <w:t>Приключване на проекти, възложени в рамките на поканата за участие в търг</w:t>
            </w:r>
          </w:p>
        </w:tc>
        <w:tc>
          <w:tcPr>
            <w:tcW w:w="1843" w:type="dxa"/>
            <w:tcBorders>
              <w:top w:val="nil"/>
              <w:left w:val="nil"/>
              <w:bottom w:val="single" w:sz="4" w:space="0" w:color="auto"/>
              <w:right w:val="single" w:sz="4" w:space="0" w:color="auto"/>
            </w:tcBorders>
            <w:shd w:val="clear" w:color="auto" w:fill="C6EFCE"/>
            <w:noWrap/>
            <w:vAlign w:val="center"/>
          </w:tcPr>
          <w:p w14:paraId="1262A464" w14:textId="77777777" w:rsidR="00235E11" w:rsidRDefault="00F837E4">
            <w:pPr>
              <w:pStyle w:val="P68B1DB1-Normal10"/>
              <w:spacing w:after="0"/>
              <w:rPr>
                <w:noProof/>
              </w:rPr>
            </w:pPr>
            <w:r>
              <w:rPr>
                <w:noProof/>
              </w:rPr>
              <w:t>Одобряване на окончателния доклад за проекта</w:t>
            </w:r>
          </w:p>
        </w:tc>
        <w:tc>
          <w:tcPr>
            <w:tcW w:w="709" w:type="dxa"/>
            <w:tcBorders>
              <w:top w:val="nil"/>
              <w:left w:val="nil"/>
              <w:bottom w:val="single" w:sz="4" w:space="0" w:color="auto"/>
              <w:right w:val="single" w:sz="4" w:space="0" w:color="auto"/>
            </w:tcBorders>
            <w:shd w:val="clear" w:color="auto" w:fill="C6EFCE"/>
            <w:noWrap/>
            <w:vAlign w:val="center"/>
          </w:tcPr>
          <w:p w14:paraId="6D494560"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2EF764CB"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63E28F65"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05A3F2C2"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7DA4A083" w14:textId="77777777" w:rsidR="00235E11" w:rsidRDefault="00F837E4">
            <w:pPr>
              <w:pStyle w:val="P68B1DB1-Normal10"/>
              <w:spacing w:after="0"/>
              <w:rPr>
                <w:noProof/>
              </w:rPr>
            </w:pPr>
            <w:r>
              <w:rPr>
                <w:noProof/>
              </w:rPr>
              <w:t>2026</w:t>
            </w:r>
          </w:p>
        </w:tc>
        <w:tc>
          <w:tcPr>
            <w:tcW w:w="5175" w:type="dxa"/>
            <w:tcBorders>
              <w:top w:val="nil"/>
              <w:left w:val="nil"/>
              <w:bottom w:val="single" w:sz="4" w:space="0" w:color="auto"/>
              <w:right w:val="single" w:sz="4" w:space="0" w:color="auto"/>
            </w:tcBorders>
            <w:shd w:val="clear" w:color="auto" w:fill="C6EFCE"/>
            <w:noWrap/>
            <w:vAlign w:val="center"/>
          </w:tcPr>
          <w:p w14:paraId="2FAECFF4" w14:textId="05AC3816" w:rsidR="00235E11" w:rsidRDefault="00F837E4">
            <w:pPr>
              <w:pStyle w:val="P68B1DB1-Normal10"/>
              <w:spacing w:after="120"/>
              <w:rPr>
                <w:noProof/>
              </w:rPr>
            </w:pPr>
            <w:r>
              <w:rPr>
                <w:noProof/>
              </w:rPr>
              <w:t>Приключване на проекти, възложени в рамките на поканата за участие в търг „Индустриална верига за създаване на стойност за прехода към водород“ (Фландрия), с изпълнени 67 500 000 EUR, включително нов капацитет за електролиза на водород от 75 MW.</w:t>
            </w:r>
          </w:p>
          <w:p w14:paraId="428EC199" w14:textId="77777777" w:rsidR="00235E11" w:rsidRDefault="00F837E4">
            <w:pPr>
              <w:pStyle w:val="P68B1DB1-Normal10"/>
              <w:spacing w:after="120"/>
              <w:rPr>
                <w:noProof/>
              </w:rPr>
            </w:pPr>
            <w:r>
              <w:rPr>
                <w:noProof/>
              </w:rPr>
              <w:t xml:space="preserve">Всички възложени проекти за научни изследвания и иновации отговарят на следните условия: </w:t>
            </w:r>
          </w:p>
          <w:p w14:paraId="6998332B" w14:textId="77777777" w:rsidR="00235E11" w:rsidRDefault="00F837E4">
            <w:pPr>
              <w:pStyle w:val="P68B1DB1-Normal10"/>
              <w:spacing w:after="0"/>
              <w:rPr>
                <w:noProof/>
              </w:rPr>
            </w:pPr>
            <w:r>
              <w:rPr>
                <w:noProof/>
              </w:rPr>
              <w:t>— Акцентът е поставен изключително или предимно върху варианти със слабо въздействие (като например производството на водород от възобновяеми източници или други екологични иновации с нулеви емисии); или</w:t>
            </w:r>
          </w:p>
          <w:p w14:paraId="0EEFD742" w14:textId="77777777"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технологиите с най-ограничено въздействие (но не с нулево/слабо въздействие) измежду наличните понастоящем)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2221C244"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04266287" w14:textId="77777777"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използването на ВЕИ — e) или се основава на зелени СЗЕ.</w:t>
            </w:r>
          </w:p>
        </w:tc>
      </w:tr>
      <w:tr w:rsidR="00235E11" w14:paraId="0FFD2DC0"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11C272A7" w14:textId="77777777" w:rsidR="00235E11" w:rsidRDefault="00F837E4">
            <w:pPr>
              <w:pStyle w:val="P68B1DB1-Normal10"/>
              <w:spacing w:after="0"/>
              <w:jc w:val="center"/>
              <w:rPr>
                <w:noProof/>
              </w:rPr>
            </w:pPr>
            <w:r>
              <w:rPr>
                <w:noProof/>
              </w:rPr>
              <w:t>24</w:t>
            </w:r>
          </w:p>
        </w:tc>
        <w:tc>
          <w:tcPr>
            <w:tcW w:w="1464" w:type="dxa"/>
            <w:tcBorders>
              <w:top w:val="nil"/>
              <w:left w:val="nil"/>
              <w:bottom w:val="single" w:sz="4" w:space="0" w:color="auto"/>
              <w:right w:val="single" w:sz="4" w:space="0" w:color="auto"/>
            </w:tcBorders>
            <w:shd w:val="clear" w:color="auto" w:fill="C6EFCE"/>
            <w:noWrap/>
            <w:vAlign w:val="center"/>
          </w:tcPr>
          <w:p w14:paraId="6BB52E42" w14:textId="77777777" w:rsidR="00235E11" w:rsidRDefault="00F837E4">
            <w:pPr>
              <w:pStyle w:val="P68B1DB1-Normal10"/>
              <w:spacing w:after="0"/>
              <w:rPr>
                <w:noProof/>
              </w:rPr>
            </w:pPr>
            <w:r>
              <w:rPr>
                <w:noProof/>
              </w:rPr>
              <w:t>Промишлена верига за създаване на стойност за прехода към водород (I-1.17)</w:t>
            </w:r>
          </w:p>
        </w:tc>
        <w:tc>
          <w:tcPr>
            <w:tcW w:w="1229" w:type="dxa"/>
            <w:tcBorders>
              <w:top w:val="nil"/>
              <w:left w:val="nil"/>
              <w:bottom w:val="single" w:sz="4" w:space="0" w:color="auto"/>
              <w:right w:val="single" w:sz="4" w:space="0" w:color="auto"/>
            </w:tcBorders>
            <w:shd w:val="clear" w:color="auto" w:fill="C6EFCE"/>
            <w:noWrap/>
            <w:vAlign w:val="center"/>
          </w:tcPr>
          <w:p w14:paraId="20BC7FA8" w14:textId="5AD14184"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7A7A163C" w14:textId="77777777" w:rsidR="00235E11" w:rsidRDefault="00F837E4">
            <w:pPr>
              <w:pStyle w:val="P68B1DB1-Normal10"/>
              <w:spacing w:after="0"/>
              <w:rPr>
                <w:noProof/>
              </w:rPr>
            </w:pPr>
            <w:r>
              <w:rPr>
                <w:noProof/>
              </w:rPr>
              <w:t>Възлагане на договори за проекти за ВПОИ в областта на водорода</w:t>
            </w:r>
          </w:p>
        </w:tc>
        <w:tc>
          <w:tcPr>
            <w:tcW w:w="1843" w:type="dxa"/>
            <w:tcBorders>
              <w:top w:val="nil"/>
              <w:left w:val="nil"/>
              <w:bottom w:val="single" w:sz="4" w:space="0" w:color="auto"/>
              <w:right w:val="single" w:sz="4" w:space="0" w:color="auto"/>
            </w:tcBorders>
            <w:shd w:val="clear" w:color="auto" w:fill="C6EFCE"/>
            <w:noWrap/>
            <w:vAlign w:val="center"/>
          </w:tcPr>
          <w:p w14:paraId="38B40391" w14:textId="77777777" w:rsidR="00235E11" w:rsidRDefault="00F837E4">
            <w:pPr>
              <w:pStyle w:val="P68B1DB1-Normal10"/>
              <w:spacing w:after="0"/>
              <w:rPr>
                <w:noProof/>
              </w:rPr>
            </w:pPr>
            <w:r>
              <w:rPr>
                <w:noProof/>
              </w:rPr>
              <w:t>Писмено уведомление за възлагане на обществена поръчка на успелите кандидати</w:t>
            </w:r>
          </w:p>
        </w:tc>
        <w:tc>
          <w:tcPr>
            <w:tcW w:w="709" w:type="dxa"/>
            <w:tcBorders>
              <w:top w:val="nil"/>
              <w:left w:val="nil"/>
              <w:bottom w:val="single" w:sz="4" w:space="0" w:color="auto"/>
              <w:right w:val="single" w:sz="4" w:space="0" w:color="auto"/>
            </w:tcBorders>
            <w:shd w:val="clear" w:color="auto" w:fill="C6EFCE"/>
            <w:noWrap/>
            <w:vAlign w:val="center"/>
          </w:tcPr>
          <w:p w14:paraId="6CF9B09C"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41F92FD5"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0FACCC3C"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7323C2B4" w14:textId="77777777" w:rsidR="00235E11" w:rsidRDefault="00F837E4">
            <w:pPr>
              <w:pStyle w:val="P68B1DB1-Normal10"/>
              <w:spacing w:after="0"/>
              <w:jc w:val="center"/>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3DF17A56" w14:textId="77777777" w:rsidR="00235E11" w:rsidRDefault="00F837E4">
            <w:pPr>
              <w:pStyle w:val="P68B1DB1-Normal10"/>
              <w:spacing w:after="0"/>
              <w:rPr>
                <w:noProof/>
              </w:rPr>
            </w:pPr>
            <w:r>
              <w:rPr>
                <w:noProof/>
              </w:rPr>
              <w:t>2022</w:t>
            </w:r>
          </w:p>
        </w:tc>
        <w:tc>
          <w:tcPr>
            <w:tcW w:w="5175" w:type="dxa"/>
            <w:tcBorders>
              <w:top w:val="nil"/>
              <w:left w:val="nil"/>
              <w:bottom w:val="single" w:sz="4" w:space="0" w:color="auto"/>
              <w:right w:val="single" w:sz="4" w:space="0" w:color="auto"/>
            </w:tcBorders>
            <w:shd w:val="clear" w:color="auto" w:fill="C6EFCE"/>
            <w:noWrap/>
            <w:vAlign w:val="center"/>
          </w:tcPr>
          <w:p w14:paraId="73EF1453" w14:textId="29664A84" w:rsidR="00235E11" w:rsidRDefault="00F837E4">
            <w:pPr>
              <w:pStyle w:val="P68B1DB1-Normal10"/>
              <w:spacing w:after="120"/>
              <w:rPr>
                <w:noProof/>
              </w:rPr>
            </w:pPr>
            <w:r>
              <w:rPr>
                <w:noProof/>
              </w:rPr>
              <w:t>Възлагане на договори за проекти за ВПОИ в областта на водорода (определени като проекти, които са предмет на уведомлението за държавна помощ по ВПОИ) по мярката „Индустриална верига за създаване на стойност за преход към водород“ (Валония). Спецификациите на поканата за представяне на проекти гарантират изключването на всички дейности по Схемата за търговия с емисии (СТЕ) с прогнозни емисии на CO2 еквивалент, които не са значително по-ниски от съответните параметри, установени за безплатно разпределяне на квоти.</w:t>
            </w:r>
          </w:p>
          <w:p w14:paraId="2B95D9B6" w14:textId="77777777" w:rsidR="00235E11" w:rsidRDefault="00F837E4">
            <w:pPr>
              <w:pStyle w:val="P68B1DB1-Normal10"/>
              <w:spacing w:after="0"/>
              <w:rPr>
                <w:noProof/>
              </w:rPr>
            </w:pPr>
            <w:r>
              <w:rPr>
                <w:noProof/>
              </w:rPr>
              <w:t xml:space="preserve">Всички възложени проекти за научни изследвания и иновации отговарят на следните условия: </w:t>
            </w:r>
          </w:p>
          <w:p w14:paraId="2ECDDD35" w14:textId="77777777" w:rsidR="00235E11" w:rsidRDefault="00F837E4">
            <w:pPr>
              <w:pStyle w:val="P68B1DB1-Normal10"/>
              <w:spacing w:after="0"/>
              <w:rPr>
                <w:noProof/>
              </w:rPr>
            </w:pPr>
            <w:r>
              <w:rPr>
                <w:noProof/>
              </w:rPr>
              <w:t>— Акцентът е поставен изключително или предимно върху варианти със слабо въздействие (като например производството на водород от възобновяеми източници или други екологични иновации с нулеви емисии); или</w:t>
            </w:r>
          </w:p>
          <w:p w14:paraId="2AABF5AC" w14:textId="77777777"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 с най-ограничено въздействие (но не с нулево/слабо въздействие) измежду наличните в момента)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21FCA2E6"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74021C1B" w14:textId="77777777"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използването на ВЕИ — e) или се основава на зелени СЗЕ.</w:t>
            </w:r>
          </w:p>
        </w:tc>
      </w:tr>
      <w:tr w:rsidR="00235E11" w14:paraId="090CDB63"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42503C0A" w14:textId="77777777" w:rsidR="00235E11" w:rsidRDefault="00F837E4">
            <w:pPr>
              <w:pStyle w:val="P68B1DB1-Normal10"/>
              <w:spacing w:after="0"/>
              <w:jc w:val="center"/>
              <w:rPr>
                <w:noProof/>
              </w:rPr>
            </w:pPr>
            <w:r>
              <w:rPr>
                <w:noProof/>
              </w:rPr>
              <w:t>26</w:t>
            </w:r>
          </w:p>
        </w:tc>
        <w:tc>
          <w:tcPr>
            <w:tcW w:w="1464" w:type="dxa"/>
            <w:tcBorders>
              <w:top w:val="nil"/>
              <w:left w:val="nil"/>
              <w:bottom w:val="single" w:sz="4" w:space="0" w:color="auto"/>
              <w:right w:val="single" w:sz="4" w:space="0" w:color="auto"/>
            </w:tcBorders>
            <w:shd w:val="clear" w:color="auto" w:fill="C6EFCE"/>
            <w:noWrap/>
            <w:vAlign w:val="center"/>
          </w:tcPr>
          <w:p w14:paraId="1B1C18D0" w14:textId="77777777" w:rsidR="00235E11" w:rsidRDefault="00F837E4">
            <w:pPr>
              <w:pStyle w:val="P68B1DB1-Normal10"/>
              <w:spacing w:after="0"/>
              <w:rPr>
                <w:noProof/>
              </w:rPr>
            </w:pPr>
            <w:r>
              <w:rPr>
                <w:noProof/>
              </w:rPr>
              <w:t>Промишлена верига за създаване на стойност за прехода към водород (I-1.17)</w:t>
            </w:r>
          </w:p>
        </w:tc>
        <w:tc>
          <w:tcPr>
            <w:tcW w:w="1229" w:type="dxa"/>
            <w:tcBorders>
              <w:top w:val="nil"/>
              <w:left w:val="nil"/>
              <w:bottom w:val="single" w:sz="4" w:space="0" w:color="auto"/>
              <w:right w:val="single" w:sz="4" w:space="0" w:color="auto"/>
            </w:tcBorders>
            <w:shd w:val="clear" w:color="auto" w:fill="C6EFCE"/>
            <w:noWrap/>
            <w:vAlign w:val="center"/>
          </w:tcPr>
          <w:p w14:paraId="1FF09A7D" w14:textId="1D20036F" w:rsidR="00235E11" w:rsidRDefault="00F837E4">
            <w:pPr>
              <w:pStyle w:val="P68B1DB1-Normal10"/>
              <w:spacing w:after="0"/>
              <w:rPr>
                <w:noProof/>
                <w:highlight w:val="yellow"/>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6C63665A" w14:textId="71C2BFA1" w:rsidR="00235E11" w:rsidRDefault="00F837E4">
            <w:pPr>
              <w:pStyle w:val="P68B1DB1-Normal10"/>
              <w:spacing w:after="0"/>
              <w:rPr>
                <w:noProof/>
              </w:rPr>
            </w:pPr>
            <w:r>
              <w:rPr>
                <w:noProof/>
              </w:rPr>
              <w:t>Приключване на всички проекти по ВПОИ, възложени в рамките на поканата за участие в търг</w:t>
            </w:r>
          </w:p>
        </w:tc>
        <w:tc>
          <w:tcPr>
            <w:tcW w:w="1843" w:type="dxa"/>
            <w:tcBorders>
              <w:top w:val="nil"/>
              <w:left w:val="nil"/>
              <w:bottom w:val="single" w:sz="4" w:space="0" w:color="auto"/>
              <w:right w:val="single" w:sz="4" w:space="0" w:color="auto"/>
            </w:tcBorders>
            <w:shd w:val="clear" w:color="auto" w:fill="C6EFCE"/>
            <w:noWrap/>
            <w:vAlign w:val="center"/>
          </w:tcPr>
          <w:p w14:paraId="3C5A8CB2" w14:textId="77777777" w:rsidR="00235E11" w:rsidRDefault="00F837E4">
            <w:pPr>
              <w:pStyle w:val="P68B1DB1-Normal10"/>
              <w:spacing w:after="0"/>
              <w:rPr>
                <w:noProof/>
              </w:rPr>
            </w:pPr>
            <w:r>
              <w:rPr>
                <w:noProof/>
              </w:rPr>
              <w:t>Одобряване на окончателния доклад за проекта</w:t>
            </w:r>
          </w:p>
        </w:tc>
        <w:tc>
          <w:tcPr>
            <w:tcW w:w="709" w:type="dxa"/>
            <w:tcBorders>
              <w:top w:val="nil"/>
              <w:left w:val="nil"/>
              <w:bottom w:val="single" w:sz="4" w:space="0" w:color="auto"/>
              <w:right w:val="single" w:sz="4" w:space="0" w:color="auto"/>
            </w:tcBorders>
            <w:shd w:val="clear" w:color="auto" w:fill="C6EFCE"/>
            <w:noWrap/>
            <w:vAlign w:val="center"/>
          </w:tcPr>
          <w:p w14:paraId="78D46832"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07AE36B6"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41759100"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56487F45"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364764D7" w14:textId="77777777" w:rsidR="00235E11" w:rsidRDefault="00F837E4">
            <w:pPr>
              <w:pStyle w:val="P68B1DB1-Normal10"/>
              <w:spacing w:after="0"/>
              <w:rPr>
                <w:noProof/>
              </w:rPr>
            </w:pPr>
            <w:r>
              <w:rPr>
                <w:noProof/>
              </w:rPr>
              <w:t>2026</w:t>
            </w:r>
          </w:p>
        </w:tc>
        <w:tc>
          <w:tcPr>
            <w:tcW w:w="5175" w:type="dxa"/>
            <w:tcBorders>
              <w:top w:val="nil"/>
              <w:left w:val="nil"/>
              <w:bottom w:val="single" w:sz="4" w:space="0" w:color="auto"/>
              <w:right w:val="single" w:sz="4" w:space="0" w:color="auto"/>
            </w:tcBorders>
            <w:shd w:val="clear" w:color="auto" w:fill="C6EFCE"/>
            <w:noWrap/>
            <w:vAlign w:val="center"/>
          </w:tcPr>
          <w:p w14:paraId="6BF45FB9" w14:textId="573E7DD8" w:rsidR="00235E11" w:rsidRDefault="00F837E4">
            <w:pPr>
              <w:pStyle w:val="P68B1DB1-Normal10"/>
              <w:spacing w:after="120"/>
              <w:rPr>
                <w:noProof/>
              </w:rPr>
            </w:pPr>
            <w:r>
              <w:rPr>
                <w:noProof/>
              </w:rPr>
              <w:t>Приключване на всички проекти, възложени в рамките на поканата за участие в търг „Индустриална верига за създаване на стойност за прехода към водород“ (Валония), с изпълнени 80 000 000 EUR, включително въвеждане в експлоатация на капацитет за зелена електролиза от минимум 1 MW (включително инфраструктура).</w:t>
            </w:r>
          </w:p>
          <w:p w14:paraId="10B5ED09" w14:textId="77777777" w:rsidR="00235E11" w:rsidRDefault="00F837E4">
            <w:pPr>
              <w:pStyle w:val="P68B1DB1-Normal10"/>
              <w:spacing w:after="120"/>
              <w:rPr>
                <w:noProof/>
              </w:rPr>
            </w:pPr>
            <w:r>
              <w:rPr>
                <w:noProof/>
              </w:rPr>
              <w:t>Се изключват: всички дейности по Схемата за търговия с емисии (СТЕ) с прогнозни емисии на CO2 еквивалент, които не са значително по-ниски от съответните параметри, установени за безплатно разпределяне на квоти.</w:t>
            </w:r>
          </w:p>
          <w:p w14:paraId="47407D88" w14:textId="77777777" w:rsidR="00235E11" w:rsidRDefault="00F837E4">
            <w:pPr>
              <w:pStyle w:val="P68B1DB1-Normal10"/>
              <w:spacing w:after="120"/>
              <w:rPr>
                <w:noProof/>
              </w:rPr>
            </w:pPr>
            <w:r>
              <w:rPr>
                <w:noProof/>
              </w:rPr>
              <w:t xml:space="preserve">Всички възложени проекти за научни изследвания и иновации отговарят на следните условия: </w:t>
            </w:r>
          </w:p>
          <w:p w14:paraId="3726276E" w14:textId="77777777" w:rsidR="00235E11" w:rsidRDefault="00F837E4">
            <w:pPr>
              <w:pStyle w:val="P68B1DB1-Normal10"/>
              <w:spacing w:after="0"/>
              <w:rPr>
                <w:noProof/>
              </w:rPr>
            </w:pPr>
            <w:r>
              <w:rPr>
                <w:noProof/>
              </w:rPr>
              <w:t>— Акцентът е поставен изключително или предимно върху варианти със слабо въздействие (като например производството на водород от възобновяеми източници или други екологични иновации с нулеви емисии, като пиролиза; или</w:t>
            </w:r>
          </w:p>
          <w:p w14:paraId="4DC36A8C" w14:textId="77777777"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 с най-ограничено въздействие (но не с нулево/слабо въздействие) измежду наличните в момента)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5CDB508E"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64AE2D4D" w14:textId="77777777" w:rsidR="00235E11" w:rsidRDefault="00F837E4">
            <w:pPr>
              <w:spacing w:after="0"/>
              <w:rPr>
                <w:rFonts w:ascii="Times New Roman" w:eastAsia="Times New Roman" w:hAnsi="Times New Roman" w:cs="Times New Roman"/>
                <w:noProof/>
                <w:color w:val="006100"/>
              </w:rPr>
            </w:pPr>
            <w:r>
              <w:rPr>
                <w:rFonts w:ascii="Times New Roman" w:eastAsia="Times New Roman" w:hAnsi="Times New Roman" w:cs="Times New Roman"/>
                <w:noProof/>
                <w:color w:val="006100"/>
              </w:rPr>
              <w:t>Всяка</w:t>
            </w:r>
            <w:r>
              <w:rPr>
                <w:rFonts w:ascii="Times New Roman" w:hAnsi="Times New Roman" w:cs="Times New Roman"/>
                <w:noProof/>
              </w:rPr>
              <w:t xml:space="preserve"> </w:t>
            </w:r>
            <w:r>
              <w:rPr>
                <w:rFonts w:ascii="Times New Roman" w:eastAsia="Times New Roman" w:hAnsi="Times New Roman" w:cs="Times New Roman"/>
                <w:noProof/>
                <w:color w:val="006100"/>
              </w:rPr>
              <w:t>електроенергия, използвана в проектите, е от зелен произход (като например използване на ВЕИ — e) или се основава на зелени СЗЕ.</w:t>
            </w:r>
          </w:p>
        </w:tc>
      </w:tr>
      <w:tr w:rsidR="00235E11" w14:paraId="60E6ACCF"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4D491478" w14:textId="77777777" w:rsidR="00235E11" w:rsidRDefault="00F837E4">
            <w:pPr>
              <w:pStyle w:val="P68B1DB1-Normal10"/>
              <w:spacing w:after="0"/>
              <w:jc w:val="center"/>
              <w:rPr>
                <w:noProof/>
              </w:rPr>
            </w:pPr>
            <w:r>
              <w:rPr>
                <w:noProof/>
              </w:rPr>
              <w:t>27</w:t>
            </w:r>
          </w:p>
        </w:tc>
        <w:tc>
          <w:tcPr>
            <w:tcW w:w="1464" w:type="dxa"/>
            <w:tcBorders>
              <w:top w:val="nil"/>
              <w:left w:val="nil"/>
              <w:bottom w:val="single" w:sz="4" w:space="0" w:color="auto"/>
              <w:right w:val="single" w:sz="4" w:space="0" w:color="auto"/>
            </w:tcBorders>
            <w:shd w:val="clear" w:color="auto" w:fill="C6EFCE"/>
            <w:noWrap/>
            <w:vAlign w:val="center"/>
          </w:tcPr>
          <w:p w14:paraId="07A31F95" w14:textId="77777777" w:rsidR="00235E11" w:rsidRDefault="00F837E4">
            <w:pPr>
              <w:pStyle w:val="P68B1DB1-Normal10"/>
              <w:spacing w:after="0"/>
              <w:rPr>
                <w:noProof/>
              </w:rPr>
            </w:pPr>
            <w:r>
              <w:rPr>
                <w:noProof/>
              </w:rPr>
              <w:t>Развитие на нисковъглеродната промишленост (I-1.18)</w:t>
            </w:r>
          </w:p>
        </w:tc>
        <w:tc>
          <w:tcPr>
            <w:tcW w:w="1229" w:type="dxa"/>
            <w:tcBorders>
              <w:top w:val="nil"/>
              <w:left w:val="nil"/>
              <w:bottom w:val="single" w:sz="4" w:space="0" w:color="auto"/>
              <w:right w:val="single" w:sz="4" w:space="0" w:color="auto"/>
            </w:tcBorders>
            <w:shd w:val="clear" w:color="auto" w:fill="C6EFCE"/>
            <w:noWrap/>
            <w:vAlign w:val="center"/>
          </w:tcPr>
          <w:p w14:paraId="17FF3E65" w14:textId="34F379AE"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36096310" w14:textId="77777777" w:rsidR="00235E11" w:rsidRDefault="00F837E4">
            <w:pPr>
              <w:pStyle w:val="P68B1DB1-Normal10"/>
              <w:spacing w:after="0"/>
              <w:rPr>
                <w:noProof/>
              </w:rPr>
            </w:pPr>
            <w:r>
              <w:rPr>
                <w:noProof/>
              </w:rPr>
              <w:t>Възлагане на договори</w:t>
            </w:r>
          </w:p>
        </w:tc>
        <w:tc>
          <w:tcPr>
            <w:tcW w:w="1843" w:type="dxa"/>
            <w:tcBorders>
              <w:top w:val="nil"/>
              <w:left w:val="nil"/>
              <w:bottom w:val="single" w:sz="4" w:space="0" w:color="auto"/>
              <w:right w:val="single" w:sz="4" w:space="0" w:color="auto"/>
            </w:tcBorders>
            <w:shd w:val="clear" w:color="auto" w:fill="C6EFCE"/>
            <w:noWrap/>
            <w:vAlign w:val="center"/>
          </w:tcPr>
          <w:p w14:paraId="212A2366" w14:textId="77777777" w:rsidR="00235E11" w:rsidRDefault="00F837E4">
            <w:pPr>
              <w:pStyle w:val="P68B1DB1-Normal10"/>
              <w:spacing w:after="0"/>
              <w:rPr>
                <w:noProof/>
              </w:rPr>
            </w:pPr>
            <w:r>
              <w:rPr>
                <w:noProof/>
              </w:rPr>
              <w:t>Писмено уведомление за възлагане на обществена поръчка на успелите кандидати</w:t>
            </w:r>
          </w:p>
        </w:tc>
        <w:tc>
          <w:tcPr>
            <w:tcW w:w="709" w:type="dxa"/>
            <w:tcBorders>
              <w:top w:val="nil"/>
              <w:left w:val="nil"/>
              <w:bottom w:val="single" w:sz="4" w:space="0" w:color="auto"/>
              <w:right w:val="single" w:sz="4" w:space="0" w:color="auto"/>
            </w:tcBorders>
            <w:shd w:val="clear" w:color="auto" w:fill="C6EFCE"/>
            <w:noWrap/>
            <w:vAlign w:val="center"/>
          </w:tcPr>
          <w:p w14:paraId="689CB793"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5F3B7318"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06BB40C1"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58AFE834"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6F6C06A7" w14:textId="77777777" w:rsidR="00235E11" w:rsidRDefault="00F837E4">
            <w:pPr>
              <w:pStyle w:val="P68B1DB1-Normal10"/>
              <w:spacing w:after="0"/>
              <w:rPr>
                <w:noProof/>
              </w:rPr>
            </w:pPr>
            <w:r>
              <w:rPr>
                <w:noProof/>
              </w:rPr>
              <w:t>2022</w:t>
            </w:r>
          </w:p>
        </w:tc>
        <w:tc>
          <w:tcPr>
            <w:tcW w:w="5175" w:type="dxa"/>
            <w:tcBorders>
              <w:top w:val="nil"/>
              <w:left w:val="nil"/>
              <w:bottom w:val="single" w:sz="4" w:space="0" w:color="auto"/>
              <w:right w:val="single" w:sz="4" w:space="0" w:color="auto"/>
            </w:tcBorders>
            <w:shd w:val="clear" w:color="auto" w:fill="C6EFCE"/>
            <w:noWrap/>
            <w:vAlign w:val="center"/>
          </w:tcPr>
          <w:p w14:paraId="1E4826DC" w14:textId="77777777" w:rsidR="00235E11" w:rsidRDefault="00F837E4">
            <w:pPr>
              <w:pStyle w:val="P68B1DB1-Normal10"/>
              <w:spacing w:after="120"/>
              <w:rPr>
                <w:noProof/>
              </w:rPr>
            </w:pPr>
            <w:r>
              <w:rPr>
                <w:noProof/>
              </w:rPr>
              <w:t xml:space="preserve">Възлагане на договори по мярката „Развитие на нисковъглеродната промишленост“. Спецификациите на поканата за представяне на проекти гарантират изключването на всички дейности по Схемата за търговия с емисии (СТЕ) с прогнозни емисии на CO2 еквивалент, които не са значително по-ниски от съответните параметри, установени за безплатно разпределяне на квоти. </w:t>
            </w:r>
          </w:p>
          <w:p w14:paraId="2B805969" w14:textId="77777777" w:rsidR="00235E11" w:rsidRDefault="00F837E4">
            <w:pPr>
              <w:pStyle w:val="P68B1DB1-Normal10"/>
              <w:spacing w:after="0"/>
              <w:rPr>
                <w:noProof/>
              </w:rPr>
            </w:pPr>
            <w:r>
              <w:rPr>
                <w:noProof/>
              </w:rPr>
              <w:t xml:space="preserve">Всички възложени проекти за научни изследвания и иновации отговарят на следните условия: </w:t>
            </w:r>
          </w:p>
          <w:p w14:paraId="75F2E609" w14:textId="77777777" w:rsidR="00235E11" w:rsidRDefault="00F837E4">
            <w:pPr>
              <w:pStyle w:val="P68B1DB1-Normal10"/>
              <w:spacing w:after="0"/>
              <w:rPr>
                <w:noProof/>
              </w:rPr>
            </w:pPr>
            <w:r>
              <w:rPr>
                <w:noProof/>
              </w:rPr>
              <w:t>— Или Р I, се съсредоточава изключително или предимно върху варианти със слабо въздействие (като например производството на водород от възобновяеми източници или други екологични иновации с нулеви емисии); или</w:t>
            </w:r>
          </w:p>
          <w:p w14:paraId="026FDFC2" w14:textId="77777777" w:rsidR="00235E11" w:rsidRDefault="00F837E4">
            <w:pPr>
              <w:pStyle w:val="P68B1DB1-Normal10"/>
              <w:spacing w:after="0"/>
              <w:rPr>
                <w:noProof/>
              </w:rPr>
            </w:pPr>
            <w:r>
              <w:rPr>
                <w:noProof/>
              </w:rPr>
              <w:t>— Целта на Р I е да се подобри „най-добрата в класа“ технология (като например технологии с най-ограничено въздействие (но не с нулево/слабо въздействие) измежду наличните в момента)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18E7CBF4" w14:textId="77777777" w:rsidR="00235E11" w:rsidRDefault="00F837E4">
            <w:pPr>
              <w:pStyle w:val="P68B1DB1-Normal10"/>
              <w:spacing w:after="0"/>
              <w:rPr>
                <w:noProof/>
              </w:rPr>
            </w:pPr>
            <w:r>
              <w:rPr>
                <w:noProof/>
              </w:rPr>
              <w:t>— Резултатите от процеса R’I са технологично неутрални на равнището на тяхното прилагане (т.е. те могат да се прилагат за всички налични технологии)</w:t>
            </w:r>
          </w:p>
          <w:p w14:paraId="71DDB146" w14:textId="03D93DDF"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използването на ВЕИ — e) или се основава на зелени СЗЕ.</w:t>
            </w:r>
          </w:p>
        </w:tc>
      </w:tr>
      <w:tr w:rsidR="00235E11" w14:paraId="531B284B" w14:textId="77777777">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0C806E13" w14:textId="77777777" w:rsidR="00235E11" w:rsidRDefault="00F837E4">
            <w:pPr>
              <w:pStyle w:val="P68B1DB1-Normal10"/>
              <w:spacing w:after="0"/>
              <w:jc w:val="center"/>
              <w:rPr>
                <w:noProof/>
              </w:rPr>
            </w:pPr>
            <w:r>
              <w:rPr>
                <w:noProof/>
              </w:rPr>
              <w:t>28</w:t>
            </w:r>
          </w:p>
        </w:tc>
        <w:tc>
          <w:tcPr>
            <w:tcW w:w="1464" w:type="dxa"/>
            <w:tcBorders>
              <w:top w:val="nil"/>
              <w:left w:val="nil"/>
              <w:bottom w:val="single" w:sz="4" w:space="0" w:color="auto"/>
              <w:right w:val="single" w:sz="4" w:space="0" w:color="auto"/>
            </w:tcBorders>
            <w:shd w:val="clear" w:color="auto" w:fill="C6EFCE"/>
            <w:noWrap/>
            <w:vAlign w:val="center"/>
          </w:tcPr>
          <w:p w14:paraId="360B7F75" w14:textId="77777777" w:rsidR="00235E11" w:rsidRDefault="00F837E4">
            <w:pPr>
              <w:pStyle w:val="P68B1DB1-Normal10"/>
              <w:spacing w:after="0"/>
              <w:rPr>
                <w:noProof/>
              </w:rPr>
            </w:pPr>
            <w:r>
              <w:rPr>
                <w:noProof/>
              </w:rPr>
              <w:t>Развитие на нисковъглеродната промишленост (I-1.18)</w:t>
            </w:r>
          </w:p>
        </w:tc>
        <w:tc>
          <w:tcPr>
            <w:tcW w:w="1229" w:type="dxa"/>
            <w:tcBorders>
              <w:top w:val="nil"/>
              <w:left w:val="nil"/>
              <w:bottom w:val="single" w:sz="4" w:space="0" w:color="auto"/>
              <w:right w:val="single" w:sz="4" w:space="0" w:color="auto"/>
            </w:tcBorders>
            <w:shd w:val="clear" w:color="auto" w:fill="C6EFCE"/>
            <w:noWrap/>
            <w:vAlign w:val="center"/>
          </w:tcPr>
          <w:p w14:paraId="722579F3" w14:textId="7AA05562" w:rsidR="00235E11" w:rsidRDefault="00F837E4">
            <w:pPr>
              <w:pStyle w:val="P68B1DB1-Normal10"/>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22C4664D" w14:textId="77777777" w:rsidR="00235E11" w:rsidRDefault="00F837E4">
            <w:pPr>
              <w:pStyle w:val="P68B1DB1-Normal10"/>
              <w:spacing w:after="0"/>
              <w:rPr>
                <w:noProof/>
              </w:rPr>
            </w:pPr>
            <w:r>
              <w:rPr>
                <w:noProof/>
              </w:rPr>
              <w:t>Приключване на проекти, възложени в рамките на поканата за участие в търг</w:t>
            </w:r>
          </w:p>
        </w:tc>
        <w:tc>
          <w:tcPr>
            <w:tcW w:w="1843" w:type="dxa"/>
            <w:tcBorders>
              <w:top w:val="nil"/>
              <w:left w:val="nil"/>
              <w:bottom w:val="single" w:sz="4" w:space="0" w:color="auto"/>
              <w:right w:val="single" w:sz="4" w:space="0" w:color="auto"/>
            </w:tcBorders>
            <w:shd w:val="clear" w:color="auto" w:fill="C6EFCE"/>
            <w:noWrap/>
            <w:vAlign w:val="center"/>
          </w:tcPr>
          <w:p w14:paraId="639557BC" w14:textId="77777777" w:rsidR="00235E11" w:rsidRDefault="00F837E4">
            <w:pPr>
              <w:pStyle w:val="P68B1DB1-Normal10"/>
              <w:spacing w:after="0"/>
              <w:rPr>
                <w:noProof/>
              </w:rPr>
            </w:pPr>
            <w:r>
              <w:rPr>
                <w:noProof/>
              </w:rPr>
              <w:t>Одобряване на окончателния доклад за проекта</w:t>
            </w:r>
          </w:p>
        </w:tc>
        <w:tc>
          <w:tcPr>
            <w:tcW w:w="709" w:type="dxa"/>
            <w:tcBorders>
              <w:top w:val="nil"/>
              <w:left w:val="nil"/>
              <w:bottom w:val="single" w:sz="4" w:space="0" w:color="auto"/>
              <w:right w:val="single" w:sz="4" w:space="0" w:color="auto"/>
            </w:tcBorders>
            <w:shd w:val="clear" w:color="auto" w:fill="C6EFCE"/>
            <w:noWrap/>
            <w:vAlign w:val="center"/>
          </w:tcPr>
          <w:p w14:paraId="7353B73D"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6DA9873C"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1BB5EE2D"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2D7F050C"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7CF168E2" w14:textId="77777777" w:rsidR="00235E11" w:rsidRDefault="00F837E4">
            <w:pPr>
              <w:pStyle w:val="P68B1DB1-Normal10"/>
              <w:spacing w:after="0"/>
              <w:rPr>
                <w:noProof/>
              </w:rPr>
            </w:pPr>
            <w:r>
              <w:rPr>
                <w:noProof/>
              </w:rPr>
              <w:t>2026</w:t>
            </w:r>
          </w:p>
        </w:tc>
        <w:tc>
          <w:tcPr>
            <w:tcW w:w="5175" w:type="dxa"/>
            <w:tcBorders>
              <w:top w:val="nil"/>
              <w:left w:val="nil"/>
              <w:bottom w:val="single" w:sz="4" w:space="0" w:color="auto"/>
              <w:right w:val="single" w:sz="4" w:space="0" w:color="auto"/>
            </w:tcBorders>
            <w:shd w:val="clear" w:color="auto" w:fill="C6EFCE"/>
            <w:noWrap/>
            <w:vAlign w:val="center"/>
          </w:tcPr>
          <w:p w14:paraId="5451A9E6" w14:textId="40275067" w:rsidR="00235E11" w:rsidRDefault="00F837E4">
            <w:pPr>
              <w:pStyle w:val="P68B1DB1-Normal9"/>
              <w:spacing w:after="0"/>
              <w:rPr>
                <w:rFonts w:eastAsia="Times New Roman"/>
                <w:noProof/>
              </w:rPr>
            </w:pPr>
            <w:r>
              <w:rPr>
                <w:noProof/>
              </w:rPr>
              <w:t>Приключване на проекти, възложени в рамките на поканата за участие в търг „Индустриална верига за създаване на стойност за преход към водород“, с изпълнени 30 000 000 EUR, включително завършване на демонстрационен проект с теоретичен дългосрочен потенциал от 2 милиона тона намаление на CO2 годишно.</w:t>
            </w:r>
          </w:p>
          <w:p w14:paraId="5BEFC9E0" w14:textId="77777777" w:rsidR="00235E11" w:rsidRDefault="00F837E4">
            <w:pPr>
              <w:pStyle w:val="P68B1DB1-Normal10"/>
              <w:spacing w:after="0"/>
              <w:rPr>
                <w:noProof/>
              </w:rPr>
            </w:pPr>
            <w:r>
              <w:rPr>
                <w:noProof/>
              </w:rPr>
              <w:t>Окончателният доклад за проекта показва, че:</w:t>
            </w:r>
          </w:p>
          <w:p w14:paraId="0C91DEC0" w14:textId="490D13A9" w:rsidR="00235E11" w:rsidRDefault="00F837E4">
            <w:pPr>
              <w:pStyle w:val="P68B1DB1-Normal10"/>
              <w:spacing w:after="0"/>
              <w:rPr>
                <w:noProof/>
              </w:rPr>
            </w:pPr>
            <w:r>
              <w:rPr>
                <w:noProof/>
              </w:rPr>
              <w:t>Всяка електроенергия, използвана в проектите, е от зелен произход (като например използването на ВЕИ — e) или се основава на зелени СЗЕ.</w:t>
            </w:r>
          </w:p>
        </w:tc>
      </w:tr>
    </w:tbl>
    <w:p w14:paraId="38C188AC" w14:textId="2046BB1A" w:rsidR="00235E11" w:rsidRDefault="00235E11">
      <w:pPr>
        <w:rPr>
          <w:noProof/>
        </w:rPr>
      </w:pPr>
    </w:p>
    <w:p w14:paraId="79C9FF89" w14:textId="77777777" w:rsidR="00235E11" w:rsidRDefault="00235E11">
      <w:pPr>
        <w:ind w:left="709"/>
        <w:rPr>
          <w:rFonts w:ascii="Times New Roman" w:hAnsi="Times New Roman" w:cs="Times New Roman"/>
          <w:noProof/>
        </w:rPr>
      </w:pPr>
    </w:p>
    <w:p w14:paraId="555D1205" w14:textId="77777777" w:rsidR="00235E11" w:rsidRDefault="00235E11">
      <w:pPr>
        <w:ind w:left="709"/>
        <w:rPr>
          <w:rFonts w:ascii="Times New Roman" w:hAnsi="Times New Roman" w:cs="Times New Roman"/>
          <w:noProof/>
        </w:rPr>
        <w:sectPr w:rsidR="00235E11" w:rsidSect="007F56C3">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6E892F57" w14:textId="6B85BD24" w:rsidR="00235E11" w:rsidRDefault="00F837E4">
      <w:pPr>
        <w:pStyle w:val="ManualHeading1"/>
        <w:spacing w:before="120"/>
        <w:ind w:left="0" w:firstLine="0"/>
        <w:rPr>
          <w:noProof/>
        </w:rPr>
      </w:pPr>
      <w:r>
        <w:rPr>
          <w:noProof/>
        </w:rPr>
        <w:t>В. КОМПОНЕНТ 1.3: Климат и околна среда</w:t>
      </w:r>
    </w:p>
    <w:p w14:paraId="1FEA2188" w14:textId="77777777" w:rsidR="00235E11" w:rsidRDefault="00F837E4">
      <w:pPr>
        <w:pStyle w:val="NormalLeft"/>
        <w:jc w:val="both"/>
        <w:rPr>
          <w:noProof/>
        </w:rPr>
      </w:pPr>
      <w:r>
        <w:rPr>
          <w:noProof/>
        </w:rPr>
        <w:t>Мерките по този компонент на белгийския план за възстановяване и устойчивост имат за цел опазването и възстановяването на биологичното разнообразие чрез гарантиране на устойчивото използване и възстановяване на горите, блата, ливадите и пасищата. Мерките по този компонент също допринасят за улавянето на CO</w:t>
      </w:r>
      <w:r>
        <w:rPr>
          <w:noProof/>
          <w:vertAlign w:val="subscript"/>
        </w:rPr>
        <w:t>2</w:t>
      </w:r>
      <w:r>
        <w:rPr>
          <w:noProof/>
        </w:rPr>
        <w:t>. Освен това мерките се подготвят за въздействието на изменението на климата чрез подобряване на управлението на водите и екологосъобразната инфраструктура. В резултат на това устойчивостта на суша и проливни валежи ще се увеличи, което ще донесе ползи за селското стопанство, туризма, гражданите и околната среда като цяло.</w:t>
      </w:r>
    </w:p>
    <w:p w14:paraId="74151ADF" w14:textId="77777777" w:rsidR="00235E11" w:rsidRDefault="00F837E4">
      <w:pPr>
        <w:pStyle w:val="NormalLeft"/>
        <w:jc w:val="both"/>
        <w:rPr>
          <w:noProof/>
        </w:rPr>
      </w:pPr>
      <w:r>
        <w:rPr>
          <w:noProof/>
        </w:rPr>
        <w:t>Компонентът допринася за изпълнението на специфична за държавата препоръка 2019.3, в която Белгия се призовава да насочи свързаната с инвестициите икономическа политика, наред с другото, към нисковъглеродния и енергийния преход, както и към специфична за държавата препоръка 2020.3, за да насочи инвестициите към екологичния и цифровия преход.</w:t>
      </w:r>
    </w:p>
    <w:p w14:paraId="68B4CD41"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7B331458" w14:textId="77777777" w:rsidR="00235E11" w:rsidRDefault="00F837E4">
      <w:pPr>
        <w:pStyle w:val="P68B1DB1-Normal1"/>
        <w:spacing w:before="120"/>
        <w:jc w:val="both"/>
        <w:rPr>
          <w:noProof/>
        </w:rPr>
      </w:pPr>
      <w:r>
        <w:rPr>
          <w:noProof/>
        </w:rPr>
        <w:t xml:space="preserve">В.1. </w:t>
      </w:r>
      <w:r>
        <w:rPr>
          <w:noProof/>
        </w:rPr>
        <w:tab/>
        <w:t>Описание на реформите и инвестициите за безвъзмездна финансова подкрепа</w:t>
      </w:r>
    </w:p>
    <w:p w14:paraId="71A07D16" w14:textId="745D9CB6" w:rsidR="00235E11" w:rsidRDefault="00F837E4">
      <w:pPr>
        <w:pStyle w:val="P68B1DB1-Text111"/>
        <w:ind w:left="0"/>
        <w:rPr>
          <w:noProof/>
        </w:rPr>
      </w:pPr>
      <w:r>
        <w:rPr>
          <w:noProof/>
        </w:rPr>
        <w:t>Инвестиция I-1.22: „Биологично разнообразие и адаптиране към изменението на климата“ на Валонския регион</w:t>
      </w:r>
    </w:p>
    <w:p w14:paraId="34EB9E6B" w14:textId="15B80999" w:rsidR="00235E11" w:rsidRDefault="00F837E4">
      <w:pPr>
        <w:pStyle w:val="NormalLeft"/>
        <w:jc w:val="both"/>
        <w:rPr>
          <w:noProof/>
        </w:rPr>
      </w:pPr>
      <w:r>
        <w:rPr>
          <w:noProof/>
        </w:rPr>
        <w:t>Инвестицията има за цел да подкрепи опазването, възстановяването и устойчивото използване на биологичното разнообразие и екосистемните услуги, което ще подобри капацитета за съхранение на въглерод и устойчивостта спрямо последиците от изменението на климата, като наводнения и суши. Мярката се състои от четири поддействия: (1) подкрепа за възстановяването на устойчиви гори, които са обществено достояние, (2) укрепване на мрежата от защитени зони в рамките на приоритетните действия за защита на определени видове и местообитания, (3) създаване на два национални парка във Валония и (4) възстановяване на речните басейни и създаване на влажни зони. Изпълнението на инвестицията трябва да приключи до 30 юни 2026 г.</w:t>
      </w:r>
    </w:p>
    <w:p w14:paraId="4E29383A" w14:textId="77777777" w:rsidR="00235E11" w:rsidRDefault="00F837E4">
      <w:pPr>
        <w:pStyle w:val="P68B1DB1-Normal13"/>
        <w:spacing w:before="120" w:after="120" w:line="240" w:lineRule="auto"/>
        <w:jc w:val="both"/>
        <w:rPr>
          <w:noProof/>
        </w:rPr>
      </w:pPr>
      <w:r>
        <w:rPr>
          <w:noProof/>
        </w:rPr>
        <w:t>Инвестиция I-1.23: „Екологично дефрагментиране“ на Фламандския регион</w:t>
      </w:r>
    </w:p>
    <w:p w14:paraId="1E5EDC3E" w14:textId="77777777" w:rsidR="00235E11" w:rsidRDefault="00F837E4">
      <w:pPr>
        <w:pStyle w:val="NormalLeft"/>
        <w:jc w:val="both"/>
        <w:rPr>
          <w:noProof/>
        </w:rPr>
      </w:pPr>
      <w:r>
        <w:rPr>
          <w:noProof/>
        </w:rPr>
        <w:t>Тези инвестиции в екологично дефрагментиране на съществуващата регионална транспортна инфраструктура ще допринесат за възстановяването на екосистемите и развитието на съгласувана природна мрежа във Фландрия. Мярката включва 15 конкретни проекта за екопроводи и екотунели (подготвителни проучвания или строителни работи). Изпълнението на инвестицията трябва да приключи до 30 юни 2026 г.</w:t>
      </w:r>
    </w:p>
    <w:p w14:paraId="383401D4" w14:textId="77777777" w:rsidR="00235E11" w:rsidRDefault="00F837E4">
      <w:pPr>
        <w:pStyle w:val="P68B1DB1-Text111"/>
        <w:ind w:left="0"/>
        <w:rPr>
          <w:noProof/>
        </w:rPr>
      </w:pPr>
      <w:r>
        <w:rPr>
          <w:noProof/>
        </w:rPr>
        <w:t>Инвестиция I-1.24: „Син пакт“ на Фламандския регион</w:t>
      </w:r>
    </w:p>
    <w:p w14:paraId="3E36EA8C" w14:textId="6401FF82" w:rsidR="00235E11" w:rsidRDefault="00F837E4">
      <w:pPr>
        <w:pStyle w:val="Text1"/>
        <w:ind w:left="0"/>
        <w:rPr>
          <w:noProof/>
        </w:rPr>
      </w:pPr>
      <w:r>
        <w:rPr>
          <w:noProof/>
        </w:rPr>
        <w:t>Инвестициите по линия на Синия пакт са част от по-голям план от 80 проекта и действия, насочени към по-добра подготвеност за по-дълги периоди на суша и по-чести горещи вълни чрез решаване на проблемите със сушата по структурен начин. В рамките на плана се подкрепят девет поддействия от разнообразно естество, насочени към различни участници, включително промишлеността, земеделските стопани и общините. Действията обхващат: А) ландшафтни проекти за смекчаване на последиците от засушаването, б) научноизследователска програма в селското стопанство, В) два проекта за водни помпи и шлюзове, г) схема за подпомагане на управлението на водите за дружества, които инвестират в иновативни технологии за пестене на вода, (F) иновативни проекти за кръгово използване на водите и цифров мониторинг и интелигентни системи за данни за водите, (Ж) прилагане на природосъобразни решения в четири определени области и (I) проекти за възстановяване на влажни зони. Изпълнението на инвестицията трябва да приключи до 30 юни 2026 г.</w:t>
      </w:r>
    </w:p>
    <w:p w14:paraId="5BD0D01A" w14:textId="77777777" w:rsidR="00235E11" w:rsidRDefault="00F837E4">
      <w:pPr>
        <w:pStyle w:val="P68B1DB1-Text16"/>
        <w:ind w:left="0"/>
        <w:rPr>
          <w:noProof/>
        </w:rPr>
      </w:pPr>
      <w:r>
        <w:rPr>
          <w:noProof/>
        </w:rPr>
        <w:t xml:space="preserve">В.2. </w:t>
      </w:r>
      <w:r>
        <w:rPr>
          <w:noProof/>
        </w:rPr>
        <w:tab/>
        <w:t>Ключови етапи, цели, показатели и график за мониторинг и изпълнение на безвъзмездната финансова подкрепа</w:t>
      </w:r>
    </w:p>
    <w:p w14:paraId="74CC6E14" w14:textId="77777777" w:rsidR="00235E11" w:rsidRDefault="00235E11">
      <w:pPr>
        <w:pStyle w:val="Text1"/>
        <w:ind w:left="709"/>
        <w:rPr>
          <w:noProof/>
        </w:rPr>
        <w:sectPr w:rsidR="00235E11" w:rsidSect="007F56C3">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p>
    <w:tbl>
      <w:tblPr>
        <w:tblW w:w="15559" w:type="dxa"/>
        <w:jc w:val="center"/>
        <w:tblLayout w:type="fixed"/>
        <w:tblLook w:val="04A0" w:firstRow="1" w:lastRow="0" w:firstColumn="1" w:lastColumn="0" w:noHBand="0" w:noVBand="1"/>
      </w:tblPr>
      <w:tblGrid>
        <w:gridCol w:w="846"/>
        <w:gridCol w:w="1593"/>
        <w:gridCol w:w="1100"/>
        <w:gridCol w:w="2019"/>
        <w:gridCol w:w="1241"/>
        <w:gridCol w:w="993"/>
        <w:gridCol w:w="850"/>
        <w:gridCol w:w="851"/>
        <w:gridCol w:w="708"/>
        <w:gridCol w:w="709"/>
        <w:gridCol w:w="4649"/>
      </w:tblGrid>
      <w:tr w:rsidR="00235E11" w14:paraId="7A69DE7B" w14:textId="77777777">
        <w:trPr>
          <w:trHeight w:val="927"/>
          <w:tblHeade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A7E009" w14:textId="72118E2E" w:rsidR="00235E11" w:rsidRDefault="00F837E4">
            <w:pPr>
              <w:pStyle w:val="P68B1DB1-Normal7"/>
              <w:spacing w:after="0"/>
              <w:jc w:val="center"/>
              <w:rPr>
                <w:noProof/>
              </w:rPr>
            </w:pPr>
            <w:r>
              <w:rPr>
                <w:noProof/>
              </w:rPr>
              <w:t>Следващи Забележка:</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4AB355" w14:textId="77777777" w:rsidR="00235E11" w:rsidRDefault="00F837E4">
            <w:pPr>
              <w:pStyle w:val="P68B1DB1-Normal7"/>
              <w:spacing w:after="0"/>
              <w:jc w:val="center"/>
              <w:rPr>
                <w:noProof/>
              </w:rPr>
            </w:pPr>
            <w:r>
              <w:rPr>
                <w:noProof/>
              </w:rPr>
              <w:t>Свързана мярка (реформа или инвестиции)</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CCE733C" w14:textId="77777777" w:rsidR="00235E11" w:rsidRDefault="00F837E4">
            <w:pPr>
              <w:pStyle w:val="P68B1DB1-Normal7"/>
              <w:spacing w:after="0"/>
              <w:jc w:val="center"/>
              <w:rPr>
                <w:noProof/>
              </w:rPr>
            </w:pPr>
            <w:r>
              <w:rPr>
                <w:noProof/>
              </w:rPr>
              <w:t>Ключов етап/Цел</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72796D9" w14:textId="77777777" w:rsidR="00235E11" w:rsidRDefault="00F837E4">
            <w:pPr>
              <w:pStyle w:val="P68B1DB1-Normal7"/>
              <w:spacing w:after="0"/>
              <w:jc w:val="center"/>
              <w:rPr>
                <w:noProof/>
              </w:rPr>
            </w:pPr>
            <w:r>
              <w:rPr>
                <w:noProof/>
              </w:rPr>
              <w:t>Име</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D2C0B9"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4385466"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7" w:type="dxa"/>
            <w:gridSpan w:val="2"/>
            <w:tcBorders>
              <w:top w:val="single" w:sz="4" w:space="0" w:color="auto"/>
              <w:left w:val="nil"/>
              <w:bottom w:val="single" w:sz="4" w:space="0" w:color="auto"/>
              <w:right w:val="single" w:sz="4" w:space="0" w:color="auto"/>
            </w:tcBorders>
            <w:shd w:val="clear" w:color="auto" w:fill="BDD7EE"/>
            <w:vAlign w:val="center"/>
            <w:hideMark/>
          </w:tcPr>
          <w:p w14:paraId="500A82B4" w14:textId="77777777" w:rsidR="00235E11" w:rsidRDefault="00F837E4">
            <w:pPr>
              <w:pStyle w:val="P68B1DB1-Normal7"/>
              <w:spacing w:after="0"/>
              <w:jc w:val="center"/>
              <w:rPr>
                <w:noProof/>
              </w:rPr>
            </w:pPr>
            <w:r>
              <w:rPr>
                <w:noProof/>
              </w:rPr>
              <w:t xml:space="preserve">Примерен график за приключване </w:t>
            </w:r>
          </w:p>
        </w:tc>
        <w:tc>
          <w:tcPr>
            <w:tcW w:w="46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450F54" w14:textId="77777777" w:rsidR="00235E11" w:rsidRDefault="00F837E4">
            <w:pPr>
              <w:pStyle w:val="P68B1DB1-Normal7"/>
              <w:spacing w:after="0"/>
              <w:jc w:val="center"/>
              <w:rPr>
                <w:noProof/>
              </w:rPr>
            </w:pPr>
            <w:r>
              <w:rPr>
                <w:noProof/>
              </w:rPr>
              <w:t>Описание на всеки ключов етап и цел</w:t>
            </w:r>
          </w:p>
        </w:tc>
      </w:tr>
      <w:tr w:rsidR="00235E11" w14:paraId="5EEB2CFE" w14:textId="77777777">
        <w:trPr>
          <w:trHeight w:val="1013"/>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A891423" w14:textId="77777777" w:rsidR="00235E11" w:rsidRDefault="00235E11">
            <w:pPr>
              <w:spacing w:after="0"/>
              <w:rPr>
                <w:rFonts w:ascii="Times New Roman" w:eastAsia="Times New Roman" w:hAnsi="Times New Roman" w:cs="Times New Roman"/>
                <w:b/>
                <w:noProof/>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07D65B82" w14:textId="77777777" w:rsidR="00235E11" w:rsidRDefault="00235E11">
            <w:pPr>
              <w:spacing w:after="0"/>
              <w:rPr>
                <w:rFonts w:ascii="Times New Roman" w:eastAsia="Times New Roman" w:hAnsi="Times New Roman" w:cs="Times New Roman"/>
                <w:b/>
                <w:noProof/>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5814711" w14:textId="77777777" w:rsidR="00235E11" w:rsidRDefault="00235E11">
            <w:pPr>
              <w:spacing w:after="0"/>
              <w:rPr>
                <w:rFonts w:ascii="Times New Roman" w:eastAsia="Times New Roman" w:hAnsi="Times New Roman" w:cs="Times New Roman"/>
                <w:b/>
                <w:noProof/>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14:paraId="0B9043E6" w14:textId="77777777" w:rsidR="00235E11" w:rsidRDefault="00235E11">
            <w:pPr>
              <w:spacing w:after="0"/>
              <w:rPr>
                <w:rFonts w:ascii="Times New Roman" w:eastAsia="Times New Roman" w:hAnsi="Times New Roman" w:cs="Times New Roman"/>
                <w:b/>
                <w:noProof/>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38899789" w14:textId="77777777" w:rsidR="00235E11" w:rsidRDefault="00235E11">
            <w:pPr>
              <w:spacing w:after="0"/>
              <w:rPr>
                <w:rFonts w:ascii="Times New Roman" w:eastAsia="Times New Roman" w:hAnsi="Times New Roman" w:cs="Times New Roman"/>
                <w:b/>
                <w:noProof/>
              </w:rPr>
            </w:pPr>
          </w:p>
        </w:tc>
        <w:tc>
          <w:tcPr>
            <w:tcW w:w="993" w:type="dxa"/>
            <w:tcBorders>
              <w:top w:val="nil"/>
              <w:left w:val="single" w:sz="4" w:space="0" w:color="auto"/>
              <w:bottom w:val="single" w:sz="4" w:space="0" w:color="auto"/>
              <w:right w:val="single" w:sz="4" w:space="0" w:color="auto"/>
            </w:tcBorders>
            <w:shd w:val="clear" w:color="auto" w:fill="BDD7EE"/>
            <w:vAlign w:val="center"/>
            <w:hideMark/>
          </w:tcPr>
          <w:p w14:paraId="11873977" w14:textId="77777777" w:rsidR="00235E11" w:rsidRDefault="00F837E4">
            <w:pPr>
              <w:pStyle w:val="P68B1DB1-Normal7"/>
              <w:spacing w:after="0"/>
              <w:jc w:val="center"/>
              <w:rPr>
                <w:noProof/>
              </w:rPr>
            </w:pPr>
            <w:r>
              <w:rPr>
                <w:noProof/>
              </w:rPr>
              <w:t>Единица мярка</w:t>
            </w:r>
          </w:p>
        </w:tc>
        <w:tc>
          <w:tcPr>
            <w:tcW w:w="850" w:type="dxa"/>
            <w:tcBorders>
              <w:top w:val="nil"/>
              <w:left w:val="nil"/>
              <w:bottom w:val="single" w:sz="4" w:space="0" w:color="auto"/>
              <w:right w:val="single" w:sz="4" w:space="0" w:color="auto"/>
            </w:tcBorders>
            <w:shd w:val="clear" w:color="auto" w:fill="BDD7EE"/>
            <w:vAlign w:val="center"/>
            <w:hideMark/>
          </w:tcPr>
          <w:p w14:paraId="0BB443C7" w14:textId="77777777" w:rsidR="00235E11" w:rsidRDefault="00F837E4">
            <w:pPr>
              <w:pStyle w:val="P68B1DB1-Normal7"/>
              <w:spacing w:after="0"/>
              <w:jc w:val="center"/>
              <w:rPr>
                <w:noProof/>
              </w:rPr>
            </w:pPr>
            <w:r>
              <w:rPr>
                <w:noProof/>
              </w:rPr>
              <w:t xml:space="preserve">Базова линия </w:t>
            </w:r>
          </w:p>
        </w:tc>
        <w:tc>
          <w:tcPr>
            <w:tcW w:w="851" w:type="dxa"/>
            <w:tcBorders>
              <w:top w:val="nil"/>
              <w:left w:val="nil"/>
              <w:bottom w:val="single" w:sz="4" w:space="0" w:color="auto"/>
              <w:right w:val="single" w:sz="4" w:space="0" w:color="auto"/>
            </w:tcBorders>
            <w:shd w:val="clear" w:color="auto" w:fill="BDD7EE"/>
            <w:vAlign w:val="center"/>
            <w:hideMark/>
          </w:tcPr>
          <w:p w14:paraId="1D98EFF4" w14:textId="77777777" w:rsidR="00235E11" w:rsidRDefault="00F837E4">
            <w:pPr>
              <w:pStyle w:val="P68B1DB1-Normal7"/>
              <w:spacing w:after="0"/>
              <w:jc w:val="center"/>
              <w:rPr>
                <w:noProof/>
              </w:rPr>
            </w:pPr>
            <w:r>
              <w:rPr>
                <w:noProof/>
              </w:rPr>
              <w:t xml:space="preserve">Цел </w:t>
            </w:r>
          </w:p>
        </w:tc>
        <w:tc>
          <w:tcPr>
            <w:tcW w:w="708" w:type="dxa"/>
            <w:tcBorders>
              <w:top w:val="nil"/>
              <w:left w:val="nil"/>
              <w:bottom w:val="single" w:sz="4" w:space="0" w:color="auto"/>
              <w:right w:val="single" w:sz="4" w:space="0" w:color="auto"/>
            </w:tcBorders>
            <w:shd w:val="clear" w:color="auto" w:fill="BDD7EE"/>
            <w:vAlign w:val="center"/>
            <w:hideMark/>
          </w:tcPr>
          <w:p w14:paraId="0F3A2222" w14:textId="77777777" w:rsidR="00235E11" w:rsidRDefault="00F837E4">
            <w:pPr>
              <w:pStyle w:val="P68B1DB1-Normal7"/>
              <w:spacing w:after="0"/>
              <w:jc w:val="center"/>
              <w:rPr>
                <w:noProof/>
              </w:rPr>
            </w:pPr>
            <w:r>
              <w:rPr>
                <w:noProof/>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443C388F" w14:textId="77777777" w:rsidR="00235E11" w:rsidRDefault="00F837E4">
            <w:pPr>
              <w:pStyle w:val="P68B1DB1-Normal7"/>
              <w:spacing w:after="0"/>
              <w:jc w:val="center"/>
              <w:rPr>
                <w:noProof/>
              </w:rPr>
            </w:pPr>
            <w:r>
              <w:rPr>
                <w:noProof/>
              </w:rPr>
              <w:t>Година</w:t>
            </w:r>
          </w:p>
        </w:tc>
        <w:tc>
          <w:tcPr>
            <w:tcW w:w="4649" w:type="dxa"/>
            <w:vMerge/>
            <w:tcBorders>
              <w:top w:val="single" w:sz="4" w:space="0" w:color="auto"/>
              <w:bottom w:val="single" w:sz="4" w:space="0" w:color="auto"/>
              <w:right w:val="single" w:sz="4" w:space="0" w:color="auto"/>
            </w:tcBorders>
            <w:vAlign w:val="center"/>
            <w:hideMark/>
          </w:tcPr>
          <w:p w14:paraId="5552A75B" w14:textId="77777777" w:rsidR="00235E11" w:rsidRDefault="00235E11">
            <w:pPr>
              <w:spacing w:after="0"/>
              <w:rPr>
                <w:rFonts w:ascii="Times New Roman" w:eastAsia="Times New Roman" w:hAnsi="Times New Roman" w:cs="Times New Roman"/>
                <w:b/>
                <w:noProof/>
              </w:rPr>
            </w:pPr>
          </w:p>
        </w:tc>
      </w:tr>
      <w:tr w:rsidR="00235E11" w14:paraId="6A973686" w14:textId="77777777">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F29EB6E" w14:textId="77777777" w:rsidR="00235E11" w:rsidRDefault="00F837E4">
            <w:pPr>
              <w:pStyle w:val="P68B1DB1-Normal10"/>
              <w:spacing w:after="0"/>
              <w:jc w:val="center"/>
              <w:rPr>
                <w:noProof/>
              </w:rPr>
            </w:pPr>
            <w:r>
              <w:rPr>
                <w:noProof/>
              </w:rPr>
              <w:t>36</w:t>
            </w:r>
          </w:p>
        </w:tc>
        <w:tc>
          <w:tcPr>
            <w:tcW w:w="1593" w:type="dxa"/>
            <w:tcBorders>
              <w:top w:val="single" w:sz="4" w:space="0" w:color="auto"/>
              <w:left w:val="nil"/>
              <w:bottom w:val="single" w:sz="4" w:space="0" w:color="auto"/>
              <w:right w:val="single" w:sz="4" w:space="0" w:color="auto"/>
            </w:tcBorders>
            <w:shd w:val="clear" w:color="auto" w:fill="C6EFCE"/>
            <w:noWrap/>
            <w:vAlign w:val="center"/>
            <w:hideMark/>
          </w:tcPr>
          <w:p w14:paraId="0639CF07" w14:textId="77777777" w:rsidR="00235E11" w:rsidRDefault="00F837E4">
            <w:pPr>
              <w:pStyle w:val="P68B1DB1-Normal10"/>
              <w:spacing w:after="0"/>
              <w:rPr>
                <w:noProof/>
              </w:rPr>
            </w:pPr>
            <w:r>
              <w:rPr>
                <w:noProof/>
              </w:rPr>
              <w:t>Биологично разнообразие и адаптиране към изменението на климата (I-1.22)</w:t>
            </w:r>
          </w:p>
        </w:tc>
        <w:tc>
          <w:tcPr>
            <w:tcW w:w="1100" w:type="dxa"/>
            <w:tcBorders>
              <w:top w:val="single" w:sz="4" w:space="0" w:color="auto"/>
              <w:left w:val="nil"/>
              <w:bottom w:val="single" w:sz="4" w:space="0" w:color="auto"/>
              <w:right w:val="single" w:sz="4" w:space="0" w:color="auto"/>
            </w:tcBorders>
            <w:shd w:val="clear" w:color="auto" w:fill="C6EFCE"/>
            <w:noWrap/>
            <w:vAlign w:val="center"/>
            <w:hideMark/>
          </w:tcPr>
          <w:p w14:paraId="72C800F4" w14:textId="2AAE756D" w:rsidR="00235E11" w:rsidRDefault="00F837E4">
            <w:pPr>
              <w:pStyle w:val="P68B1DB1-Normal10"/>
              <w:spacing w:after="0"/>
              <w:rPr>
                <w:noProof/>
              </w:rPr>
            </w:pPr>
            <w:r>
              <w:rPr>
                <w:noProof/>
              </w:rPr>
              <w:t>T</w:t>
            </w:r>
          </w:p>
        </w:tc>
        <w:tc>
          <w:tcPr>
            <w:tcW w:w="2019" w:type="dxa"/>
            <w:tcBorders>
              <w:top w:val="single" w:sz="4" w:space="0" w:color="auto"/>
              <w:left w:val="nil"/>
              <w:bottom w:val="single" w:sz="4" w:space="0" w:color="auto"/>
              <w:right w:val="single" w:sz="4" w:space="0" w:color="auto"/>
            </w:tcBorders>
            <w:shd w:val="clear" w:color="auto" w:fill="C6EFCE"/>
            <w:noWrap/>
            <w:vAlign w:val="center"/>
            <w:hideMark/>
          </w:tcPr>
          <w:p w14:paraId="7DD9806E" w14:textId="77777777" w:rsidR="00235E11" w:rsidRDefault="00F837E4">
            <w:pPr>
              <w:pStyle w:val="P68B1DB1-Normal10"/>
              <w:spacing w:after="0"/>
              <w:rPr>
                <w:noProof/>
              </w:rPr>
            </w:pPr>
            <w:r>
              <w:rPr>
                <w:noProof/>
              </w:rPr>
              <w:t>Приложени мерки за управление на земята (гори, защитени зони) и преосмисляне на текущи проекти</w:t>
            </w:r>
          </w:p>
        </w:tc>
        <w:tc>
          <w:tcPr>
            <w:tcW w:w="1241" w:type="dxa"/>
            <w:tcBorders>
              <w:top w:val="single" w:sz="4" w:space="0" w:color="auto"/>
              <w:left w:val="nil"/>
              <w:bottom w:val="single" w:sz="4" w:space="0" w:color="auto"/>
              <w:right w:val="single" w:sz="4" w:space="0" w:color="auto"/>
            </w:tcBorders>
            <w:shd w:val="clear" w:color="auto" w:fill="C6EFCE"/>
            <w:noWrap/>
            <w:vAlign w:val="center"/>
            <w:hideMark/>
          </w:tcPr>
          <w:p w14:paraId="1C20FC77" w14:textId="77777777" w:rsidR="00235E11" w:rsidRDefault="00235E11">
            <w:pPr>
              <w:spacing w:after="0"/>
              <w:rPr>
                <w:rFonts w:ascii="Times New Roman" w:eastAsia="Times New Roman" w:hAnsi="Times New Roman" w:cs="Times New Roman"/>
                <w:noProof/>
                <w:color w:val="006100"/>
              </w:rPr>
            </w:pPr>
          </w:p>
        </w:tc>
        <w:tc>
          <w:tcPr>
            <w:tcW w:w="993" w:type="dxa"/>
            <w:tcBorders>
              <w:top w:val="nil"/>
              <w:left w:val="nil"/>
              <w:bottom w:val="single" w:sz="4" w:space="0" w:color="auto"/>
              <w:right w:val="single" w:sz="4" w:space="0" w:color="auto"/>
            </w:tcBorders>
            <w:shd w:val="clear" w:color="auto" w:fill="C6EFCE"/>
            <w:noWrap/>
            <w:vAlign w:val="center"/>
            <w:hideMark/>
          </w:tcPr>
          <w:p w14:paraId="3882287D" w14:textId="77777777" w:rsidR="00235E11" w:rsidRDefault="00F837E4">
            <w:pPr>
              <w:pStyle w:val="P68B1DB1-Normal10"/>
              <w:spacing w:after="0"/>
              <w:rPr>
                <w:noProof/>
              </w:rPr>
            </w:pPr>
            <w:r>
              <w:rPr>
                <w:noProof/>
              </w:rPr>
              <w:t>ха хектар</w:t>
            </w:r>
          </w:p>
        </w:tc>
        <w:tc>
          <w:tcPr>
            <w:tcW w:w="850" w:type="dxa"/>
            <w:tcBorders>
              <w:top w:val="nil"/>
              <w:left w:val="nil"/>
              <w:bottom w:val="single" w:sz="4" w:space="0" w:color="auto"/>
              <w:right w:val="single" w:sz="4" w:space="0" w:color="auto"/>
            </w:tcBorders>
            <w:shd w:val="clear" w:color="auto" w:fill="C6EFCE"/>
            <w:noWrap/>
            <w:vAlign w:val="center"/>
            <w:hideMark/>
          </w:tcPr>
          <w:p w14:paraId="74581348" w14:textId="77777777" w:rsidR="00235E11" w:rsidRDefault="00F837E4">
            <w:pPr>
              <w:pStyle w:val="P68B1DB1-Normal10"/>
              <w:spacing w:after="0"/>
              <w:jc w:val="center"/>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hideMark/>
          </w:tcPr>
          <w:p w14:paraId="04C6C0BF" w14:textId="3BB403FB" w:rsidR="00235E11" w:rsidRDefault="00F837E4">
            <w:pPr>
              <w:pStyle w:val="P68B1DB1-Normal9"/>
              <w:spacing w:after="0"/>
              <w:jc w:val="center"/>
              <w:rPr>
                <w:rFonts w:eastAsia="Times New Roman"/>
                <w:noProof/>
              </w:rPr>
            </w:pPr>
            <w:r>
              <w:rPr>
                <w:noProof/>
              </w:rPr>
              <w:t>1 935</w:t>
            </w:r>
          </w:p>
        </w:tc>
        <w:tc>
          <w:tcPr>
            <w:tcW w:w="708" w:type="dxa"/>
            <w:tcBorders>
              <w:top w:val="nil"/>
              <w:left w:val="nil"/>
              <w:bottom w:val="single" w:sz="4" w:space="0" w:color="auto"/>
              <w:right w:val="single" w:sz="4" w:space="0" w:color="auto"/>
            </w:tcBorders>
            <w:shd w:val="clear" w:color="auto" w:fill="C6EFCE"/>
            <w:noWrap/>
            <w:vAlign w:val="center"/>
            <w:hideMark/>
          </w:tcPr>
          <w:p w14:paraId="57DD02D4"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54C255A2" w14:textId="77777777" w:rsidR="00235E11" w:rsidRDefault="00F837E4">
            <w:pPr>
              <w:pStyle w:val="P68B1DB1-Normal10"/>
              <w:spacing w:after="0"/>
              <w:jc w:val="center"/>
              <w:rPr>
                <w:noProof/>
              </w:rPr>
            </w:pPr>
            <w:r>
              <w:rPr>
                <w:noProof/>
              </w:rPr>
              <w:t>2024</w:t>
            </w:r>
          </w:p>
        </w:tc>
        <w:tc>
          <w:tcPr>
            <w:tcW w:w="4649" w:type="dxa"/>
            <w:tcBorders>
              <w:top w:val="single" w:sz="4" w:space="0" w:color="auto"/>
              <w:left w:val="nil"/>
              <w:bottom w:val="single" w:sz="4" w:space="0" w:color="auto"/>
              <w:right w:val="single" w:sz="4" w:space="0" w:color="auto"/>
            </w:tcBorders>
            <w:shd w:val="clear" w:color="auto" w:fill="C6EFCE"/>
            <w:noWrap/>
            <w:vAlign w:val="center"/>
            <w:hideMark/>
          </w:tcPr>
          <w:p w14:paraId="3E5C00CB" w14:textId="7BB1A3D5" w:rsidR="00235E11" w:rsidRDefault="00F837E4">
            <w:pPr>
              <w:pStyle w:val="P68B1DB1-Normal9"/>
              <w:spacing w:after="0"/>
              <w:rPr>
                <w:rFonts w:eastAsia="Times New Roman"/>
                <w:noProof/>
              </w:rPr>
            </w:pPr>
            <w:r>
              <w:rPr>
                <w:noProof/>
              </w:rPr>
              <w:t>Мерките за управление на земята се прилагаха за 1 935 хектара с цел подобряване на биологичното разнообразие и устойчивостта спрямо изменението на климата в горите и защитените зони, както и напредък по проекти за преосмисляне.</w:t>
            </w:r>
          </w:p>
        </w:tc>
      </w:tr>
      <w:tr w:rsidR="00235E11" w14:paraId="30E840C9"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46139729" w14:textId="77777777" w:rsidR="00235E11" w:rsidRDefault="00F837E4">
            <w:pPr>
              <w:pStyle w:val="P68B1DB1-Normal10"/>
              <w:spacing w:after="0"/>
              <w:jc w:val="center"/>
              <w:rPr>
                <w:noProof/>
              </w:rPr>
            </w:pPr>
            <w:r>
              <w:rPr>
                <w:noProof/>
              </w:rPr>
              <w:t>37</w:t>
            </w:r>
          </w:p>
        </w:tc>
        <w:tc>
          <w:tcPr>
            <w:tcW w:w="1593" w:type="dxa"/>
            <w:tcBorders>
              <w:top w:val="nil"/>
              <w:left w:val="nil"/>
              <w:bottom w:val="single" w:sz="4" w:space="0" w:color="auto"/>
              <w:right w:val="single" w:sz="4" w:space="0" w:color="auto"/>
            </w:tcBorders>
            <w:shd w:val="clear" w:color="auto" w:fill="C6EFCE"/>
            <w:noWrap/>
            <w:vAlign w:val="center"/>
            <w:hideMark/>
          </w:tcPr>
          <w:p w14:paraId="789AC99F" w14:textId="77777777" w:rsidR="00235E11" w:rsidRDefault="00F837E4">
            <w:pPr>
              <w:pStyle w:val="P68B1DB1-Normal10"/>
              <w:spacing w:after="0"/>
              <w:rPr>
                <w:noProof/>
              </w:rPr>
            </w:pPr>
            <w:r>
              <w:rPr>
                <w:noProof/>
              </w:rPr>
              <w:t>Биологично разнообразие и адаптиране към изменението на климата (I-1.22)</w:t>
            </w:r>
          </w:p>
        </w:tc>
        <w:tc>
          <w:tcPr>
            <w:tcW w:w="1100" w:type="dxa"/>
            <w:tcBorders>
              <w:top w:val="nil"/>
              <w:left w:val="nil"/>
              <w:bottom w:val="single" w:sz="4" w:space="0" w:color="auto"/>
              <w:right w:val="single" w:sz="4" w:space="0" w:color="auto"/>
            </w:tcBorders>
            <w:shd w:val="clear" w:color="auto" w:fill="C6EFCE"/>
            <w:noWrap/>
            <w:vAlign w:val="center"/>
            <w:hideMark/>
          </w:tcPr>
          <w:p w14:paraId="6535CEC6" w14:textId="5FA8B281" w:rsidR="00235E11" w:rsidRDefault="00F837E4">
            <w:pPr>
              <w:pStyle w:val="P68B1DB1-Normal10"/>
              <w:spacing w:after="0"/>
              <w:rPr>
                <w:noProof/>
              </w:rPr>
            </w:pPr>
            <w:r>
              <w:rPr>
                <w:noProof/>
              </w:rPr>
              <w:t>T</w:t>
            </w:r>
          </w:p>
        </w:tc>
        <w:tc>
          <w:tcPr>
            <w:tcW w:w="2019" w:type="dxa"/>
            <w:tcBorders>
              <w:top w:val="nil"/>
              <w:left w:val="nil"/>
              <w:bottom w:val="single" w:sz="4" w:space="0" w:color="auto"/>
              <w:right w:val="single" w:sz="4" w:space="0" w:color="auto"/>
            </w:tcBorders>
            <w:shd w:val="clear" w:color="auto" w:fill="C6EFCE"/>
            <w:noWrap/>
            <w:vAlign w:val="center"/>
            <w:hideMark/>
          </w:tcPr>
          <w:p w14:paraId="5C4A5F10" w14:textId="77777777" w:rsidR="00235E11" w:rsidRDefault="00F837E4">
            <w:pPr>
              <w:pStyle w:val="P68B1DB1-Normal10"/>
              <w:spacing w:after="0"/>
              <w:rPr>
                <w:noProof/>
              </w:rPr>
            </w:pPr>
            <w:r>
              <w:rPr>
                <w:noProof/>
              </w:rPr>
              <w:t>Приложени мерки за управление на земята (гори и защитени зони) и финализирани проекти за преосмисляне</w:t>
            </w:r>
          </w:p>
        </w:tc>
        <w:tc>
          <w:tcPr>
            <w:tcW w:w="1241" w:type="dxa"/>
            <w:tcBorders>
              <w:top w:val="nil"/>
              <w:left w:val="nil"/>
              <w:bottom w:val="single" w:sz="4" w:space="0" w:color="auto"/>
              <w:right w:val="single" w:sz="4" w:space="0" w:color="auto"/>
            </w:tcBorders>
            <w:shd w:val="clear" w:color="auto" w:fill="C6EFCE"/>
            <w:noWrap/>
            <w:vAlign w:val="center"/>
            <w:hideMark/>
          </w:tcPr>
          <w:p w14:paraId="2C2DE08D" w14:textId="77777777" w:rsidR="00235E11" w:rsidRDefault="00235E11">
            <w:pPr>
              <w:spacing w:after="0"/>
              <w:rPr>
                <w:rFonts w:ascii="Times New Roman" w:eastAsia="Times New Roman" w:hAnsi="Times New Roman" w:cs="Times New Roman"/>
                <w:noProof/>
                <w:color w:val="006100"/>
              </w:rPr>
            </w:pPr>
          </w:p>
        </w:tc>
        <w:tc>
          <w:tcPr>
            <w:tcW w:w="993" w:type="dxa"/>
            <w:tcBorders>
              <w:top w:val="nil"/>
              <w:left w:val="nil"/>
              <w:bottom w:val="single" w:sz="4" w:space="0" w:color="auto"/>
              <w:right w:val="single" w:sz="4" w:space="0" w:color="auto"/>
            </w:tcBorders>
            <w:shd w:val="clear" w:color="auto" w:fill="C6EFCE"/>
            <w:noWrap/>
            <w:vAlign w:val="center"/>
            <w:hideMark/>
          </w:tcPr>
          <w:p w14:paraId="770C3EBC" w14:textId="77777777" w:rsidR="00235E11" w:rsidRDefault="00F837E4">
            <w:pPr>
              <w:pStyle w:val="P68B1DB1-Normal10"/>
              <w:spacing w:after="0"/>
              <w:rPr>
                <w:noProof/>
              </w:rPr>
            </w:pPr>
            <w:r>
              <w:rPr>
                <w:noProof/>
              </w:rPr>
              <w:t>ха хектар</w:t>
            </w:r>
          </w:p>
        </w:tc>
        <w:tc>
          <w:tcPr>
            <w:tcW w:w="850" w:type="dxa"/>
            <w:tcBorders>
              <w:top w:val="nil"/>
              <w:left w:val="nil"/>
              <w:bottom w:val="single" w:sz="4" w:space="0" w:color="auto"/>
              <w:right w:val="single" w:sz="4" w:space="0" w:color="auto"/>
            </w:tcBorders>
            <w:shd w:val="clear" w:color="auto" w:fill="C6EFCE"/>
            <w:noWrap/>
            <w:vAlign w:val="center"/>
            <w:hideMark/>
          </w:tcPr>
          <w:p w14:paraId="2BCFB75F" w14:textId="68E72C2B" w:rsidR="00235E11" w:rsidRDefault="00F837E4">
            <w:pPr>
              <w:pStyle w:val="P68B1DB1-Normal9"/>
              <w:spacing w:after="0"/>
              <w:jc w:val="center"/>
              <w:rPr>
                <w:rFonts w:eastAsia="Times New Roman"/>
                <w:noProof/>
              </w:rPr>
            </w:pPr>
            <w:r>
              <w:rPr>
                <w:noProof/>
              </w:rPr>
              <w:t>1 935</w:t>
            </w:r>
          </w:p>
        </w:tc>
        <w:tc>
          <w:tcPr>
            <w:tcW w:w="851" w:type="dxa"/>
            <w:tcBorders>
              <w:top w:val="nil"/>
              <w:left w:val="nil"/>
              <w:bottom w:val="single" w:sz="4" w:space="0" w:color="auto"/>
              <w:right w:val="single" w:sz="4" w:space="0" w:color="auto"/>
            </w:tcBorders>
            <w:shd w:val="clear" w:color="auto" w:fill="C6EFCE"/>
            <w:noWrap/>
            <w:vAlign w:val="center"/>
            <w:hideMark/>
          </w:tcPr>
          <w:p w14:paraId="40111644" w14:textId="07966F53" w:rsidR="00235E11" w:rsidRDefault="00F837E4">
            <w:pPr>
              <w:pStyle w:val="P68B1DB1-Normal9"/>
              <w:spacing w:after="0"/>
              <w:jc w:val="center"/>
              <w:rPr>
                <w:rFonts w:eastAsia="Times New Roman"/>
                <w:noProof/>
              </w:rPr>
            </w:pPr>
            <w:r>
              <w:rPr>
                <w:noProof/>
              </w:rPr>
              <w:t>3 735</w:t>
            </w:r>
          </w:p>
        </w:tc>
        <w:tc>
          <w:tcPr>
            <w:tcW w:w="708" w:type="dxa"/>
            <w:tcBorders>
              <w:top w:val="nil"/>
              <w:left w:val="nil"/>
              <w:bottom w:val="single" w:sz="4" w:space="0" w:color="auto"/>
              <w:right w:val="single" w:sz="4" w:space="0" w:color="auto"/>
            </w:tcBorders>
            <w:shd w:val="clear" w:color="auto" w:fill="C6EFCE"/>
            <w:noWrap/>
            <w:vAlign w:val="center"/>
            <w:hideMark/>
          </w:tcPr>
          <w:p w14:paraId="6A901547"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348D382F" w14:textId="77777777" w:rsidR="00235E11" w:rsidRDefault="00F837E4">
            <w:pPr>
              <w:pStyle w:val="P68B1DB1-Normal10"/>
              <w:spacing w:after="0"/>
              <w:jc w:val="center"/>
              <w:rPr>
                <w:noProof/>
              </w:rPr>
            </w:pPr>
            <w:r>
              <w:rPr>
                <w:noProof/>
              </w:rPr>
              <w:t>2026</w:t>
            </w:r>
          </w:p>
        </w:tc>
        <w:tc>
          <w:tcPr>
            <w:tcW w:w="4649" w:type="dxa"/>
            <w:tcBorders>
              <w:top w:val="nil"/>
              <w:left w:val="nil"/>
              <w:bottom w:val="single" w:sz="4" w:space="0" w:color="auto"/>
              <w:right w:val="single" w:sz="4" w:space="0" w:color="auto"/>
            </w:tcBorders>
            <w:shd w:val="clear" w:color="auto" w:fill="C6EFCE"/>
            <w:noWrap/>
            <w:vAlign w:val="center"/>
            <w:hideMark/>
          </w:tcPr>
          <w:p w14:paraId="28B1326D" w14:textId="06F2D45C" w:rsidR="00235E11" w:rsidRDefault="00F837E4">
            <w:pPr>
              <w:pStyle w:val="P68B1DB1-Normal9"/>
              <w:spacing w:after="0"/>
              <w:rPr>
                <w:rFonts w:eastAsia="Times New Roman"/>
                <w:noProof/>
              </w:rPr>
            </w:pPr>
            <w:r>
              <w:rPr>
                <w:noProof/>
              </w:rPr>
              <w:t>Мерките за управление на земята се прилагаха за 3 735 хектара с цел подобряване на биологичното разнообразие и устойчивостта спрямо изменението на климата в горите и защитените зони и бяха приключени проекти за преосмисляне.</w:t>
            </w:r>
          </w:p>
        </w:tc>
      </w:tr>
      <w:tr w:rsidR="00235E11" w14:paraId="06E8A47F"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590A39E8" w14:textId="77777777" w:rsidR="00235E11" w:rsidRDefault="00F837E4">
            <w:pPr>
              <w:pStyle w:val="P68B1DB1-Normal10"/>
              <w:spacing w:after="0"/>
              <w:jc w:val="center"/>
              <w:rPr>
                <w:noProof/>
              </w:rPr>
            </w:pPr>
            <w:r>
              <w:rPr>
                <w:noProof/>
              </w:rPr>
              <w:t>38</w:t>
            </w:r>
          </w:p>
        </w:tc>
        <w:tc>
          <w:tcPr>
            <w:tcW w:w="1593" w:type="dxa"/>
            <w:tcBorders>
              <w:top w:val="nil"/>
              <w:left w:val="nil"/>
              <w:bottom w:val="single" w:sz="4" w:space="0" w:color="auto"/>
              <w:right w:val="single" w:sz="4" w:space="0" w:color="auto"/>
            </w:tcBorders>
            <w:shd w:val="clear" w:color="auto" w:fill="C6EFCE"/>
            <w:noWrap/>
            <w:vAlign w:val="center"/>
            <w:hideMark/>
          </w:tcPr>
          <w:p w14:paraId="785C5FC8" w14:textId="77777777" w:rsidR="00235E11" w:rsidRDefault="00F837E4">
            <w:pPr>
              <w:pStyle w:val="P68B1DB1-Normal10"/>
              <w:spacing w:after="0"/>
              <w:rPr>
                <w:noProof/>
              </w:rPr>
            </w:pPr>
            <w:r>
              <w:rPr>
                <w:noProof/>
              </w:rPr>
              <w:t>Биологично разнообразие и адаптиране към изменението на климата (I-1.22)</w:t>
            </w:r>
          </w:p>
        </w:tc>
        <w:tc>
          <w:tcPr>
            <w:tcW w:w="1100" w:type="dxa"/>
            <w:tcBorders>
              <w:top w:val="nil"/>
              <w:left w:val="nil"/>
              <w:bottom w:val="single" w:sz="4" w:space="0" w:color="auto"/>
              <w:right w:val="single" w:sz="4" w:space="0" w:color="auto"/>
            </w:tcBorders>
            <w:shd w:val="clear" w:color="auto" w:fill="C6EFCE"/>
            <w:noWrap/>
            <w:vAlign w:val="center"/>
            <w:hideMark/>
          </w:tcPr>
          <w:p w14:paraId="0AD36815" w14:textId="18FEA931" w:rsidR="00235E11" w:rsidRDefault="00F837E4">
            <w:pPr>
              <w:pStyle w:val="P68B1DB1-Normal10"/>
              <w:spacing w:after="0"/>
              <w:rPr>
                <w:noProof/>
              </w:rPr>
            </w:pPr>
            <w:r>
              <w:rPr>
                <w:noProof/>
              </w:rPr>
              <w:t>M</w:t>
            </w:r>
          </w:p>
        </w:tc>
        <w:tc>
          <w:tcPr>
            <w:tcW w:w="2019" w:type="dxa"/>
            <w:tcBorders>
              <w:top w:val="nil"/>
              <w:left w:val="nil"/>
              <w:bottom w:val="single" w:sz="4" w:space="0" w:color="auto"/>
              <w:right w:val="single" w:sz="4" w:space="0" w:color="auto"/>
            </w:tcBorders>
            <w:shd w:val="clear" w:color="auto" w:fill="C6EFCE"/>
            <w:noWrap/>
            <w:vAlign w:val="center"/>
            <w:hideMark/>
          </w:tcPr>
          <w:p w14:paraId="6B4C9ACF" w14:textId="77777777" w:rsidR="00235E11" w:rsidRDefault="00F837E4">
            <w:pPr>
              <w:pStyle w:val="P68B1DB1-Normal10"/>
              <w:spacing w:after="0"/>
              <w:rPr>
                <w:noProof/>
              </w:rPr>
            </w:pPr>
            <w:r>
              <w:rPr>
                <w:noProof/>
              </w:rPr>
              <w:t>Възлагане на договори за проекти за създаване на два национални парка</w:t>
            </w:r>
          </w:p>
        </w:tc>
        <w:tc>
          <w:tcPr>
            <w:tcW w:w="1241" w:type="dxa"/>
            <w:tcBorders>
              <w:top w:val="nil"/>
              <w:left w:val="nil"/>
              <w:bottom w:val="single" w:sz="4" w:space="0" w:color="auto"/>
              <w:right w:val="single" w:sz="4" w:space="0" w:color="auto"/>
            </w:tcBorders>
            <w:shd w:val="clear" w:color="auto" w:fill="C6EFCE"/>
            <w:noWrap/>
            <w:vAlign w:val="center"/>
            <w:hideMark/>
          </w:tcPr>
          <w:p w14:paraId="74DBE557" w14:textId="688CBD72" w:rsidR="00235E11" w:rsidRDefault="00F837E4">
            <w:pPr>
              <w:pStyle w:val="P68B1DB1-Normal10"/>
              <w:spacing w:after="0"/>
              <w:rPr>
                <w:noProof/>
              </w:rPr>
            </w:pPr>
            <w:r>
              <w:rPr>
                <w:noProof/>
              </w:rPr>
              <w:t>Писмено уведомление за възлагане на обществена поръчка на успелите кандидати</w:t>
            </w:r>
          </w:p>
        </w:tc>
        <w:tc>
          <w:tcPr>
            <w:tcW w:w="993" w:type="dxa"/>
            <w:tcBorders>
              <w:top w:val="nil"/>
              <w:left w:val="nil"/>
              <w:bottom w:val="single" w:sz="4" w:space="0" w:color="auto"/>
              <w:right w:val="single" w:sz="4" w:space="0" w:color="auto"/>
            </w:tcBorders>
            <w:shd w:val="clear" w:color="auto" w:fill="C6EFCE"/>
            <w:noWrap/>
            <w:vAlign w:val="center"/>
            <w:hideMark/>
          </w:tcPr>
          <w:p w14:paraId="32FA3B69" w14:textId="77777777"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hideMark/>
          </w:tcPr>
          <w:p w14:paraId="44C5E7E9" w14:textId="77777777" w:rsidR="00235E11" w:rsidRDefault="00235E11">
            <w:pPr>
              <w:spacing w:after="0"/>
              <w:jc w:val="center"/>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hideMark/>
          </w:tcPr>
          <w:p w14:paraId="775EBB65"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hideMark/>
          </w:tcPr>
          <w:p w14:paraId="08480529" w14:textId="77777777" w:rsidR="00235E11" w:rsidRDefault="00F837E4">
            <w:pPr>
              <w:pStyle w:val="P68B1DB1-Normal10"/>
              <w:spacing w:after="0"/>
              <w:jc w:val="center"/>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hideMark/>
          </w:tcPr>
          <w:p w14:paraId="4DFAA5EC" w14:textId="77777777" w:rsidR="00235E11" w:rsidRDefault="00F837E4">
            <w:pPr>
              <w:pStyle w:val="P68B1DB1-Normal10"/>
              <w:spacing w:after="0"/>
              <w:jc w:val="center"/>
              <w:rPr>
                <w:noProof/>
              </w:rPr>
            </w:pPr>
            <w:r>
              <w:rPr>
                <w:noProof/>
              </w:rPr>
              <w:t>2023</w:t>
            </w:r>
          </w:p>
        </w:tc>
        <w:tc>
          <w:tcPr>
            <w:tcW w:w="4649" w:type="dxa"/>
            <w:tcBorders>
              <w:top w:val="nil"/>
              <w:left w:val="nil"/>
              <w:bottom w:val="single" w:sz="4" w:space="0" w:color="auto"/>
              <w:right w:val="single" w:sz="4" w:space="0" w:color="auto"/>
            </w:tcBorders>
            <w:shd w:val="clear" w:color="auto" w:fill="C6EFCE"/>
            <w:noWrap/>
            <w:vAlign w:val="center"/>
            <w:hideMark/>
          </w:tcPr>
          <w:p w14:paraId="23BC3922" w14:textId="48C4B057" w:rsidR="00235E11" w:rsidRDefault="00F837E4">
            <w:pPr>
              <w:pStyle w:val="P68B1DB1-Normal9"/>
              <w:spacing w:after="0"/>
              <w:rPr>
                <w:rFonts w:eastAsia="Times New Roman"/>
                <w:noProof/>
              </w:rPr>
            </w:pPr>
            <w:r>
              <w:rPr>
                <w:noProof/>
              </w:rPr>
              <w:t>Възлагане на договори за два проекта и писмено уведомление, изпратено от министъра на околната среда на Валония до успелите кандидати след поканата за представяне на предложения за два национални парка с обща площ между 10 000 и 70 000 хектара.</w:t>
            </w:r>
          </w:p>
        </w:tc>
      </w:tr>
      <w:tr w:rsidR="00235E11" w14:paraId="69D14355"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25FB5921" w14:textId="77777777" w:rsidR="00235E11" w:rsidRDefault="00F837E4">
            <w:pPr>
              <w:pStyle w:val="P68B1DB1-Normal10"/>
              <w:spacing w:after="0"/>
              <w:jc w:val="center"/>
              <w:rPr>
                <w:noProof/>
              </w:rPr>
            </w:pPr>
            <w:r>
              <w:rPr>
                <w:noProof/>
              </w:rPr>
              <w:t>39</w:t>
            </w:r>
          </w:p>
        </w:tc>
        <w:tc>
          <w:tcPr>
            <w:tcW w:w="1593" w:type="dxa"/>
            <w:tcBorders>
              <w:top w:val="nil"/>
              <w:left w:val="nil"/>
              <w:bottom w:val="single" w:sz="4" w:space="0" w:color="auto"/>
              <w:right w:val="single" w:sz="4" w:space="0" w:color="auto"/>
            </w:tcBorders>
            <w:shd w:val="clear" w:color="auto" w:fill="C6EFCE"/>
            <w:noWrap/>
            <w:vAlign w:val="center"/>
            <w:hideMark/>
          </w:tcPr>
          <w:p w14:paraId="36971B49" w14:textId="77777777" w:rsidR="00235E11" w:rsidRDefault="00F837E4">
            <w:pPr>
              <w:pStyle w:val="P68B1DB1-Normal10"/>
              <w:spacing w:after="0"/>
              <w:rPr>
                <w:noProof/>
              </w:rPr>
            </w:pPr>
            <w:r>
              <w:rPr>
                <w:noProof/>
              </w:rPr>
              <w:t>Биологично разнообразие и адаптиране към изменението на климата (I-1.22)</w:t>
            </w:r>
          </w:p>
        </w:tc>
        <w:tc>
          <w:tcPr>
            <w:tcW w:w="1100" w:type="dxa"/>
            <w:tcBorders>
              <w:top w:val="nil"/>
              <w:left w:val="nil"/>
              <w:bottom w:val="single" w:sz="4" w:space="0" w:color="auto"/>
              <w:right w:val="single" w:sz="4" w:space="0" w:color="auto"/>
            </w:tcBorders>
            <w:shd w:val="clear" w:color="auto" w:fill="C6EFCE"/>
            <w:noWrap/>
            <w:vAlign w:val="center"/>
            <w:hideMark/>
          </w:tcPr>
          <w:p w14:paraId="5DFE8042" w14:textId="745EC5EE" w:rsidR="00235E11" w:rsidRDefault="00F837E4">
            <w:pPr>
              <w:pStyle w:val="P68B1DB1-Normal10"/>
              <w:spacing w:after="0"/>
              <w:rPr>
                <w:noProof/>
              </w:rPr>
            </w:pPr>
            <w:r>
              <w:rPr>
                <w:noProof/>
              </w:rPr>
              <w:t>T</w:t>
            </w:r>
          </w:p>
        </w:tc>
        <w:tc>
          <w:tcPr>
            <w:tcW w:w="2019" w:type="dxa"/>
            <w:tcBorders>
              <w:top w:val="nil"/>
              <w:left w:val="nil"/>
              <w:bottom w:val="single" w:sz="4" w:space="0" w:color="auto"/>
              <w:right w:val="single" w:sz="4" w:space="0" w:color="auto"/>
            </w:tcBorders>
            <w:shd w:val="clear" w:color="auto" w:fill="C6EFCE"/>
            <w:noWrap/>
            <w:vAlign w:val="center"/>
            <w:hideMark/>
          </w:tcPr>
          <w:p w14:paraId="078B3B6C" w14:textId="77777777" w:rsidR="00235E11" w:rsidRDefault="00F837E4">
            <w:pPr>
              <w:pStyle w:val="P68B1DB1-Normal10"/>
              <w:spacing w:after="0"/>
              <w:rPr>
                <w:noProof/>
              </w:rPr>
            </w:pPr>
            <w:r>
              <w:rPr>
                <w:noProof/>
              </w:rPr>
              <w:t>Приключване на два проекта за национални паркове</w:t>
            </w:r>
          </w:p>
        </w:tc>
        <w:tc>
          <w:tcPr>
            <w:tcW w:w="1241" w:type="dxa"/>
            <w:tcBorders>
              <w:top w:val="nil"/>
              <w:left w:val="nil"/>
              <w:bottom w:val="single" w:sz="4" w:space="0" w:color="auto"/>
              <w:right w:val="single" w:sz="4" w:space="0" w:color="auto"/>
            </w:tcBorders>
            <w:shd w:val="clear" w:color="auto" w:fill="C6EFCE"/>
            <w:noWrap/>
            <w:vAlign w:val="center"/>
            <w:hideMark/>
          </w:tcPr>
          <w:p w14:paraId="037350BD" w14:textId="77777777" w:rsidR="00235E11" w:rsidRDefault="00235E11">
            <w:pPr>
              <w:spacing w:after="0"/>
              <w:rPr>
                <w:rFonts w:ascii="Times New Roman" w:eastAsia="Times New Roman" w:hAnsi="Times New Roman" w:cs="Times New Roman"/>
                <w:noProof/>
                <w:color w:val="006100"/>
              </w:rPr>
            </w:pPr>
          </w:p>
        </w:tc>
        <w:tc>
          <w:tcPr>
            <w:tcW w:w="993" w:type="dxa"/>
            <w:tcBorders>
              <w:top w:val="nil"/>
              <w:left w:val="nil"/>
              <w:bottom w:val="single" w:sz="4" w:space="0" w:color="auto"/>
              <w:right w:val="single" w:sz="4" w:space="0" w:color="auto"/>
            </w:tcBorders>
            <w:shd w:val="clear" w:color="auto" w:fill="C6EFCE"/>
            <w:noWrap/>
            <w:vAlign w:val="center"/>
            <w:hideMark/>
          </w:tcPr>
          <w:p w14:paraId="79ED2678" w14:textId="77777777" w:rsidR="00235E11" w:rsidRDefault="00F837E4">
            <w:pPr>
              <w:pStyle w:val="P68B1DB1-Normal10"/>
              <w:spacing w:after="0"/>
              <w:rPr>
                <w:noProof/>
              </w:rPr>
            </w:pPr>
            <w:r>
              <w:rPr>
                <w:noProof/>
              </w:rPr>
              <w:t>проекти</w:t>
            </w:r>
          </w:p>
        </w:tc>
        <w:tc>
          <w:tcPr>
            <w:tcW w:w="850" w:type="dxa"/>
            <w:tcBorders>
              <w:top w:val="nil"/>
              <w:left w:val="nil"/>
              <w:bottom w:val="single" w:sz="4" w:space="0" w:color="auto"/>
              <w:right w:val="single" w:sz="4" w:space="0" w:color="auto"/>
            </w:tcBorders>
            <w:shd w:val="clear" w:color="auto" w:fill="C6EFCE"/>
            <w:noWrap/>
            <w:vAlign w:val="center"/>
            <w:hideMark/>
          </w:tcPr>
          <w:p w14:paraId="19E9B232" w14:textId="77777777" w:rsidR="00235E11" w:rsidRDefault="00F837E4">
            <w:pPr>
              <w:pStyle w:val="P68B1DB1-Normal10"/>
              <w:spacing w:after="0"/>
              <w:jc w:val="center"/>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hideMark/>
          </w:tcPr>
          <w:p w14:paraId="3565F185" w14:textId="77777777" w:rsidR="00235E11" w:rsidRDefault="00F837E4">
            <w:pPr>
              <w:pStyle w:val="P68B1DB1-Normal10"/>
              <w:spacing w:after="0"/>
              <w:jc w:val="center"/>
              <w:rPr>
                <w:noProof/>
              </w:rPr>
            </w:pPr>
            <w:r>
              <w:rPr>
                <w:noProof/>
              </w:rPr>
              <w:t>2</w:t>
            </w:r>
          </w:p>
        </w:tc>
        <w:tc>
          <w:tcPr>
            <w:tcW w:w="708" w:type="dxa"/>
            <w:tcBorders>
              <w:top w:val="nil"/>
              <w:left w:val="nil"/>
              <w:bottom w:val="single" w:sz="4" w:space="0" w:color="auto"/>
              <w:right w:val="single" w:sz="4" w:space="0" w:color="auto"/>
            </w:tcBorders>
            <w:shd w:val="clear" w:color="auto" w:fill="C6EFCE"/>
            <w:noWrap/>
            <w:vAlign w:val="center"/>
            <w:hideMark/>
          </w:tcPr>
          <w:p w14:paraId="22EF4E7D"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51A2DCB6" w14:textId="77777777" w:rsidR="00235E11" w:rsidRDefault="00F837E4">
            <w:pPr>
              <w:pStyle w:val="P68B1DB1-Normal10"/>
              <w:spacing w:after="0"/>
              <w:jc w:val="center"/>
              <w:rPr>
                <w:noProof/>
              </w:rPr>
            </w:pPr>
            <w:r>
              <w:rPr>
                <w:noProof/>
              </w:rPr>
              <w:t>2026</w:t>
            </w:r>
          </w:p>
        </w:tc>
        <w:tc>
          <w:tcPr>
            <w:tcW w:w="4649" w:type="dxa"/>
            <w:tcBorders>
              <w:top w:val="nil"/>
              <w:left w:val="nil"/>
              <w:bottom w:val="single" w:sz="4" w:space="0" w:color="auto"/>
              <w:right w:val="single" w:sz="4" w:space="0" w:color="auto"/>
            </w:tcBorders>
            <w:shd w:val="clear" w:color="auto" w:fill="C6EFCE"/>
            <w:noWrap/>
            <w:vAlign w:val="center"/>
            <w:hideMark/>
          </w:tcPr>
          <w:p w14:paraId="6FFA2102" w14:textId="72FD34F0" w:rsidR="00235E11" w:rsidRDefault="00F837E4">
            <w:pPr>
              <w:pStyle w:val="P68B1DB1-Normal9"/>
              <w:spacing w:after="0"/>
              <w:rPr>
                <w:rFonts w:eastAsia="Times New Roman"/>
                <w:noProof/>
              </w:rPr>
            </w:pPr>
            <w:r>
              <w:rPr>
                <w:noProof/>
              </w:rPr>
              <w:t>Завършване на инфраструктурни работи за два национални парка с обща площ между 10 000 и 70 000 хектара.</w:t>
            </w:r>
          </w:p>
        </w:tc>
      </w:tr>
      <w:tr w:rsidR="00235E11" w14:paraId="4A510CD1"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1C110C97" w14:textId="77777777" w:rsidR="00235E11" w:rsidRDefault="00F837E4">
            <w:pPr>
              <w:pStyle w:val="P68B1DB1-Normal10"/>
              <w:spacing w:after="0"/>
              <w:jc w:val="center"/>
              <w:rPr>
                <w:noProof/>
              </w:rPr>
            </w:pPr>
            <w:r>
              <w:rPr>
                <w:noProof/>
              </w:rPr>
              <w:t>40</w:t>
            </w:r>
          </w:p>
        </w:tc>
        <w:tc>
          <w:tcPr>
            <w:tcW w:w="1593" w:type="dxa"/>
            <w:tcBorders>
              <w:top w:val="nil"/>
              <w:left w:val="nil"/>
              <w:bottom w:val="single" w:sz="4" w:space="0" w:color="auto"/>
              <w:right w:val="single" w:sz="4" w:space="0" w:color="auto"/>
            </w:tcBorders>
            <w:shd w:val="clear" w:color="auto" w:fill="C6EFCE"/>
            <w:noWrap/>
            <w:vAlign w:val="center"/>
          </w:tcPr>
          <w:p w14:paraId="551CC83B" w14:textId="77777777" w:rsidR="00235E11" w:rsidRDefault="00F837E4">
            <w:pPr>
              <w:pStyle w:val="P68B1DB1-Normal10"/>
              <w:spacing w:after="0"/>
              <w:rPr>
                <w:noProof/>
              </w:rPr>
            </w:pPr>
            <w:r>
              <w:rPr>
                <w:noProof/>
              </w:rPr>
              <w:t>Екологична дефрагментация (I-1.23)</w:t>
            </w:r>
          </w:p>
        </w:tc>
        <w:tc>
          <w:tcPr>
            <w:tcW w:w="1100" w:type="dxa"/>
            <w:tcBorders>
              <w:top w:val="nil"/>
              <w:left w:val="nil"/>
              <w:bottom w:val="single" w:sz="4" w:space="0" w:color="auto"/>
              <w:right w:val="single" w:sz="4" w:space="0" w:color="auto"/>
            </w:tcBorders>
            <w:shd w:val="clear" w:color="auto" w:fill="C6EFCE"/>
            <w:noWrap/>
            <w:vAlign w:val="center"/>
          </w:tcPr>
          <w:p w14:paraId="4C3A754C" w14:textId="7D962221" w:rsidR="00235E11" w:rsidRDefault="00F837E4">
            <w:pPr>
              <w:pStyle w:val="P68B1DB1-Normal10"/>
              <w:spacing w:after="0"/>
              <w:rPr>
                <w:noProof/>
              </w:rPr>
            </w:pPr>
            <w:r>
              <w:rPr>
                <w:noProof/>
              </w:rPr>
              <w:t>T</w:t>
            </w:r>
          </w:p>
        </w:tc>
        <w:tc>
          <w:tcPr>
            <w:tcW w:w="2019" w:type="dxa"/>
            <w:tcBorders>
              <w:top w:val="nil"/>
              <w:left w:val="nil"/>
              <w:bottom w:val="single" w:sz="4" w:space="0" w:color="auto"/>
              <w:right w:val="single" w:sz="4" w:space="0" w:color="auto"/>
            </w:tcBorders>
            <w:shd w:val="clear" w:color="auto" w:fill="C6EFCE"/>
            <w:noWrap/>
            <w:vAlign w:val="center"/>
          </w:tcPr>
          <w:p w14:paraId="79B2B3BB" w14:textId="77777777" w:rsidR="00235E11" w:rsidRDefault="00F837E4">
            <w:pPr>
              <w:pStyle w:val="P68B1DB1-Normal10"/>
              <w:spacing w:after="0"/>
              <w:rPr>
                <w:noProof/>
              </w:rPr>
            </w:pPr>
            <w:r>
              <w:rPr>
                <w:noProof/>
              </w:rPr>
              <w:t>Приключване на проекти за екологично дефрагментиране</w:t>
            </w:r>
          </w:p>
        </w:tc>
        <w:tc>
          <w:tcPr>
            <w:tcW w:w="1241" w:type="dxa"/>
            <w:tcBorders>
              <w:top w:val="nil"/>
              <w:left w:val="nil"/>
              <w:bottom w:val="single" w:sz="4" w:space="0" w:color="auto"/>
              <w:right w:val="single" w:sz="4" w:space="0" w:color="auto"/>
            </w:tcBorders>
            <w:shd w:val="clear" w:color="auto" w:fill="C6EFCE"/>
            <w:noWrap/>
            <w:vAlign w:val="center"/>
          </w:tcPr>
          <w:p w14:paraId="57A605F1" w14:textId="77777777" w:rsidR="00235E11" w:rsidRDefault="00235E11">
            <w:pPr>
              <w:spacing w:after="0"/>
              <w:rPr>
                <w:rFonts w:ascii="Times New Roman" w:eastAsia="Times New Roman" w:hAnsi="Times New Roman" w:cs="Times New Roman"/>
                <w:noProof/>
                <w:color w:val="006100"/>
              </w:rPr>
            </w:pPr>
          </w:p>
        </w:tc>
        <w:tc>
          <w:tcPr>
            <w:tcW w:w="993" w:type="dxa"/>
            <w:tcBorders>
              <w:top w:val="nil"/>
              <w:left w:val="nil"/>
              <w:bottom w:val="single" w:sz="4" w:space="0" w:color="auto"/>
              <w:right w:val="single" w:sz="4" w:space="0" w:color="auto"/>
            </w:tcBorders>
            <w:shd w:val="clear" w:color="auto" w:fill="C6EFCE"/>
            <w:noWrap/>
            <w:vAlign w:val="center"/>
          </w:tcPr>
          <w:p w14:paraId="173ED5E1" w14:textId="77777777" w:rsidR="00235E11" w:rsidRDefault="00F837E4">
            <w:pPr>
              <w:pStyle w:val="P68B1DB1-Normal10"/>
              <w:spacing w:after="0"/>
              <w:rPr>
                <w:noProof/>
              </w:rPr>
            </w:pPr>
            <w:r>
              <w:rPr>
                <w:noProof/>
              </w:rPr>
              <w:t>проекти</w:t>
            </w:r>
          </w:p>
        </w:tc>
        <w:tc>
          <w:tcPr>
            <w:tcW w:w="850" w:type="dxa"/>
            <w:tcBorders>
              <w:top w:val="nil"/>
              <w:left w:val="nil"/>
              <w:bottom w:val="single" w:sz="4" w:space="0" w:color="auto"/>
              <w:right w:val="single" w:sz="4" w:space="0" w:color="auto"/>
            </w:tcBorders>
            <w:shd w:val="clear" w:color="auto" w:fill="C6EFCE"/>
            <w:noWrap/>
            <w:vAlign w:val="center"/>
          </w:tcPr>
          <w:p w14:paraId="609FDEB8" w14:textId="77777777" w:rsidR="00235E11" w:rsidRDefault="00F837E4">
            <w:pPr>
              <w:pStyle w:val="P68B1DB1-Normal10"/>
              <w:spacing w:after="0"/>
              <w:jc w:val="center"/>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70302BB5" w14:textId="77777777" w:rsidR="00235E11" w:rsidRDefault="00F837E4">
            <w:pPr>
              <w:pStyle w:val="P68B1DB1-Normal10"/>
              <w:spacing w:after="0"/>
              <w:jc w:val="center"/>
              <w:rPr>
                <w:noProof/>
              </w:rPr>
            </w:pPr>
            <w:r>
              <w:rPr>
                <w:noProof/>
              </w:rPr>
              <w:t>15</w:t>
            </w:r>
          </w:p>
        </w:tc>
        <w:tc>
          <w:tcPr>
            <w:tcW w:w="708" w:type="dxa"/>
            <w:tcBorders>
              <w:top w:val="nil"/>
              <w:left w:val="nil"/>
              <w:bottom w:val="single" w:sz="4" w:space="0" w:color="auto"/>
              <w:right w:val="single" w:sz="4" w:space="0" w:color="auto"/>
            </w:tcBorders>
            <w:shd w:val="clear" w:color="auto" w:fill="C6EFCE"/>
            <w:noWrap/>
            <w:vAlign w:val="center"/>
          </w:tcPr>
          <w:p w14:paraId="0309AA0E"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24CD92C2" w14:textId="77777777" w:rsidR="00235E11" w:rsidRDefault="00F837E4">
            <w:pPr>
              <w:pStyle w:val="P68B1DB1-Normal10"/>
              <w:spacing w:after="0"/>
              <w:jc w:val="center"/>
              <w:rPr>
                <w:noProof/>
              </w:rPr>
            </w:pPr>
            <w:r>
              <w:rPr>
                <w:noProof/>
              </w:rPr>
              <w:t>2026</w:t>
            </w:r>
          </w:p>
        </w:tc>
        <w:tc>
          <w:tcPr>
            <w:tcW w:w="4649" w:type="dxa"/>
            <w:tcBorders>
              <w:top w:val="nil"/>
              <w:left w:val="nil"/>
              <w:bottom w:val="single" w:sz="4" w:space="0" w:color="auto"/>
              <w:right w:val="single" w:sz="4" w:space="0" w:color="auto"/>
            </w:tcBorders>
            <w:shd w:val="clear" w:color="auto" w:fill="C6EFCE"/>
            <w:noWrap/>
            <w:vAlign w:val="center"/>
          </w:tcPr>
          <w:p w14:paraId="7D83F4BE" w14:textId="77777777" w:rsidR="00235E11" w:rsidRDefault="00F837E4">
            <w:pPr>
              <w:pStyle w:val="P68B1DB1-Normal10"/>
              <w:spacing w:after="0"/>
              <w:rPr>
                <w:strike/>
                <w:noProof/>
              </w:rPr>
            </w:pPr>
            <w:r>
              <w:rPr>
                <w:noProof/>
              </w:rPr>
              <w:t>Приключване на инфраструктурните работи по седем проекта за екологично дефрагментиране (като например екологични канали или екотунели) и приключване на осем проекта, обхващащи само подготвителни фази (като етапи на локализация и проектиране) за осем бъдещи проекта за дефрагментиране.</w:t>
            </w:r>
          </w:p>
        </w:tc>
      </w:tr>
      <w:tr w:rsidR="00235E11" w14:paraId="22D372D8"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22658811" w14:textId="77777777" w:rsidR="00235E11" w:rsidRDefault="00F837E4">
            <w:pPr>
              <w:pStyle w:val="P68B1DB1-Normal10"/>
              <w:spacing w:after="0"/>
              <w:jc w:val="center"/>
              <w:rPr>
                <w:noProof/>
              </w:rPr>
            </w:pPr>
            <w:r>
              <w:rPr>
                <w:noProof/>
              </w:rPr>
              <w:t>41</w:t>
            </w:r>
          </w:p>
        </w:tc>
        <w:tc>
          <w:tcPr>
            <w:tcW w:w="1593" w:type="dxa"/>
            <w:tcBorders>
              <w:top w:val="nil"/>
              <w:left w:val="nil"/>
              <w:bottom w:val="single" w:sz="4" w:space="0" w:color="auto"/>
              <w:right w:val="single" w:sz="4" w:space="0" w:color="auto"/>
            </w:tcBorders>
            <w:shd w:val="clear" w:color="auto" w:fill="C6EFCE"/>
            <w:noWrap/>
            <w:vAlign w:val="center"/>
          </w:tcPr>
          <w:p w14:paraId="2C21BB5C" w14:textId="77777777" w:rsidR="00235E11" w:rsidRDefault="00F837E4">
            <w:pPr>
              <w:pStyle w:val="P68B1DB1-Normal10"/>
              <w:spacing w:after="0"/>
              <w:rPr>
                <w:noProof/>
              </w:rPr>
            </w:pPr>
            <w:r>
              <w:rPr>
                <w:noProof/>
              </w:rPr>
              <w:t>Син пакт (I-1.24)</w:t>
            </w:r>
          </w:p>
        </w:tc>
        <w:tc>
          <w:tcPr>
            <w:tcW w:w="1100" w:type="dxa"/>
            <w:tcBorders>
              <w:top w:val="nil"/>
              <w:left w:val="nil"/>
              <w:bottom w:val="single" w:sz="4" w:space="0" w:color="auto"/>
              <w:right w:val="single" w:sz="4" w:space="0" w:color="auto"/>
            </w:tcBorders>
            <w:shd w:val="clear" w:color="auto" w:fill="C6EFCE"/>
            <w:noWrap/>
            <w:vAlign w:val="center"/>
          </w:tcPr>
          <w:p w14:paraId="251D8154" w14:textId="1C7DD9BA" w:rsidR="00235E11" w:rsidRDefault="00F837E4">
            <w:pPr>
              <w:pStyle w:val="P68B1DB1-Normal10"/>
              <w:spacing w:after="0"/>
              <w:rPr>
                <w:noProof/>
              </w:rPr>
            </w:pPr>
            <w:r>
              <w:rPr>
                <w:noProof/>
              </w:rPr>
              <w:t>M</w:t>
            </w:r>
          </w:p>
        </w:tc>
        <w:tc>
          <w:tcPr>
            <w:tcW w:w="2019" w:type="dxa"/>
            <w:tcBorders>
              <w:top w:val="nil"/>
              <w:left w:val="nil"/>
              <w:bottom w:val="single" w:sz="4" w:space="0" w:color="auto"/>
              <w:right w:val="single" w:sz="4" w:space="0" w:color="auto"/>
            </w:tcBorders>
            <w:shd w:val="clear" w:color="auto" w:fill="C6EFCE"/>
            <w:noWrap/>
            <w:vAlign w:val="center"/>
          </w:tcPr>
          <w:p w14:paraId="77F7433C" w14:textId="77777777" w:rsidR="00235E11" w:rsidRDefault="00F837E4">
            <w:pPr>
              <w:pStyle w:val="P68B1DB1-Normal10"/>
              <w:spacing w:after="0"/>
              <w:rPr>
                <w:noProof/>
              </w:rPr>
            </w:pPr>
            <w:r>
              <w:rPr>
                <w:noProof/>
              </w:rPr>
              <w:t>Стартиране на проекти за укрепване на биологичното разнообразие и/или смекчаване на последиците от изменението на климата.</w:t>
            </w:r>
          </w:p>
        </w:tc>
        <w:tc>
          <w:tcPr>
            <w:tcW w:w="1241" w:type="dxa"/>
            <w:tcBorders>
              <w:top w:val="nil"/>
              <w:left w:val="nil"/>
              <w:bottom w:val="single" w:sz="4" w:space="0" w:color="auto"/>
              <w:right w:val="single" w:sz="4" w:space="0" w:color="auto"/>
            </w:tcBorders>
            <w:shd w:val="clear" w:color="auto" w:fill="C6EFCE"/>
            <w:noWrap/>
            <w:vAlign w:val="center"/>
          </w:tcPr>
          <w:p w14:paraId="63DB5F30" w14:textId="77777777" w:rsidR="00235E11" w:rsidRDefault="00F837E4">
            <w:pPr>
              <w:pStyle w:val="P68B1DB1-Normal10"/>
              <w:spacing w:after="0"/>
              <w:rPr>
                <w:noProof/>
              </w:rPr>
            </w:pPr>
            <w:r>
              <w:rPr>
                <w:noProof/>
              </w:rPr>
              <w:t>Писмен договорен или правен документ за удостоверяване на началото</w:t>
            </w:r>
          </w:p>
        </w:tc>
        <w:tc>
          <w:tcPr>
            <w:tcW w:w="993" w:type="dxa"/>
            <w:tcBorders>
              <w:top w:val="nil"/>
              <w:left w:val="nil"/>
              <w:bottom w:val="single" w:sz="4" w:space="0" w:color="auto"/>
              <w:right w:val="single" w:sz="4" w:space="0" w:color="auto"/>
            </w:tcBorders>
            <w:shd w:val="clear" w:color="auto" w:fill="C6EFCE"/>
            <w:noWrap/>
            <w:vAlign w:val="center"/>
          </w:tcPr>
          <w:p w14:paraId="71DFA128" w14:textId="77777777"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2B366AE0" w14:textId="77777777"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61AEEA37" w14:textId="77777777" w:rsidR="00235E11" w:rsidRDefault="00235E11">
            <w:pPr>
              <w:spacing w:after="0"/>
              <w:rPr>
                <w:rFonts w:ascii="Times New Roman" w:eastAsia="Times New Roman" w:hAnsi="Times New Roman" w:cs="Times New Roman"/>
                <w:strike/>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0E5C2DD4"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0156DC6F" w14:textId="77777777" w:rsidR="00235E11" w:rsidRDefault="00F837E4">
            <w:pPr>
              <w:pStyle w:val="P68B1DB1-Normal10"/>
              <w:spacing w:after="0"/>
              <w:jc w:val="center"/>
              <w:rPr>
                <w:noProof/>
              </w:rPr>
            </w:pPr>
            <w:r>
              <w:rPr>
                <w:noProof/>
              </w:rPr>
              <w:t>2023</w:t>
            </w:r>
          </w:p>
        </w:tc>
        <w:tc>
          <w:tcPr>
            <w:tcW w:w="4649" w:type="dxa"/>
            <w:tcBorders>
              <w:top w:val="nil"/>
              <w:left w:val="nil"/>
              <w:bottom w:val="single" w:sz="4" w:space="0" w:color="auto"/>
              <w:right w:val="single" w:sz="4" w:space="0" w:color="auto"/>
            </w:tcBorders>
            <w:shd w:val="clear" w:color="auto" w:fill="C6EFCE"/>
            <w:noWrap/>
            <w:vAlign w:val="center"/>
          </w:tcPr>
          <w:p w14:paraId="7C534D8F" w14:textId="79CDF014" w:rsidR="00235E11" w:rsidRDefault="00F837E4">
            <w:pPr>
              <w:pStyle w:val="P68B1DB1-Normal10"/>
              <w:spacing w:after="0"/>
              <w:rPr>
                <w:noProof/>
              </w:rPr>
            </w:pPr>
            <w:r>
              <w:rPr>
                <w:noProof/>
              </w:rPr>
              <w:t>Писмен договорен или правен документ, подписан или приет, за да се удостовери началото на 41 от общо 46 проекта за укрепване на биологичното разнообразие и/или смекчаване на последиците от изменението на климата като засушаването с наводнения: 35 ландшафтни проекта за смекчаване на засушаването (проекти А в описанието на мярката), една научноизследователска програма в областта на селското стопанство (Б), два проекта за водни помпи и шлюзове (В), една схема за подпомагане на управлението на водите (Г), два модула за интелигентни данни за водите и проекти за кръгови води (F), четири области за природосъобразни решения (Ж) и възстановяване на влажни зони (I).</w:t>
            </w:r>
          </w:p>
        </w:tc>
      </w:tr>
      <w:tr w:rsidR="00235E11" w14:paraId="76F86FB9"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24E98C48" w14:textId="77777777" w:rsidR="00235E11" w:rsidRDefault="00F837E4">
            <w:pPr>
              <w:pStyle w:val="P68B1DB1-Normal10"/>
              <w:spacing w:after="0"/>
              <w:jc w:val="center"/>
              <w:rPr>
                <w:noProof/>
              </w:rPr>
            </w:pPr>
            <w:r>
              <w:rPr>
                <w:noProof/>
              </w:rPr>
              <w:t>42</w:t>
            </w:r>
          </w:p>
        </w:tc>
        <w:tc>
          <w:tcPr>
            <w:tcW w:w="1593" w:type="dxa"/>
            <w:tcBorders>
              <w:top w:val="nil"/>
              <w:left w:val="nil"/>
              <w:bottom w:val="single" w:sz="4" w:space="0" w:color="auto"/>
              <w:right w:val="single" w:sz="4" w:space="0" w:color="auto"/>
            </w:tcBorders>
            <w:shd w:val="clear" w:color="auto" w:fill="C6EFCE"/>
            <w:noWrap/>
            <w:vAlign w:val="center"/>
          </w:tcPr>
          <w:p w14:paraId="2EB76865" w14:textId="77777777" w:rsidR="00235E11" w:rsidRDefault="00F837E4">
            <w:pPr>
              <w:pStyle w:val="P68B1DB1-Normal10"/>
              <w:spacing w:after="0"/>
              <w:rPr>
                <w:noProof/>
              </w:rPr>
            </w:pPr>
            <w:r>
              <w:rPr>
                <w:noProof/>
              </w:rPr>
              <w:t>Син пакт (I-1.24)</w:t>
            </w:r>
          </w:p>
        </w:tc>
        <w:tc>
          <w:tcPr>
            <w:tcW w:w="1100" w:type="dxa"/>
            <w:tcBorders>
              <w:top w:val="nil"/>
              <w:left w:val="nil"/>
              <w:bottom w:val="single" w:sz="4" w:space="0" w:color="auto"/>
              <w:right w:val="single" w:sz="4" w:space="0" w:color="auto"/>
            </w:tcBorders>
            <w:shd w:val="clear" w:color="auto" w:fill="C6EFCE"/>
            <w:noWrap/>
            <w:vAlign w:val="center"/>
          </w:tcPr>
          <w:p w14:paraId="4D2CB40C" w14:textId="6A79DB87" w:rsidR="00235E11" w:rsidRDefault="00F837E4">
            <w:pPr>
              <w:pStyle w:val="P68B1DB1-Normal10"/>
              <w:spacing w:after="0"/>
              <w:rPr>
                <w:noProof/>
              </w:rPr>
            </w:pPr>
            <w:r>
              <w:rPr>
                <w:noProof/>
              </w:rPr>
              <w:t>M</w:t>
            </w:r>
          </w:p>
        </w:tc>
        <w:tc>
          <w:tcPr>
            <w:tcW w:w="2019" w:type="dxa"/>
            <w:tcBorders>
              <w:top w:val="nil"/>
              <w:left w:val="nil"/>
              <w:bottom w:val="single" w:sz="4" w:space="0" w:color="auto"/>
              <w:right w:val="single" w:sz="4" w:space="0" w:color="auto"/>
            </w:tcBorders>
            <w:shd w:val="clear" w:color="auto" w:fill="C6EFCE"/>
            <w:noWrap/>
            <w:vAlign w:val="center"/>
          </w:tcPr>
          <w:p w14:paraId="47040388" w14:textId="77777777" w:rsidR="00235E11" w:rsidRDefault="00F837E4">
            <w:pPr>
              <w:pStyle w:val="P68B1DB1-Normal10"/>
              <w:spacing w:after="0"/>
              <w:rPr>
                <w:noProof/>
              </w:rPr>
            </w:pPr>
            <w:r>
              <w:rPr>
                <w:noProof/>
              </w:rPr>
              <w:t>Закупуване на земя за укрепване на биологичното разнообразие и/или смекчаване на последиците от изменението на климата</w:t>
            </w:r>
          </w:p>
        </w:tc>
        <w:tc>
          <w:tcPr>
            <w:tcW w:w="1241" w:type="dxa"/>
            <w:tcBorders>
              <w:top w:val="nil"/>
              <w:left w:val="nil"/>
              <w:bottom w:val="single" w:sz="4" w:space="0" w:color="auto"/>
              <w:right w:val="single" w:sz="4" w:space="0" w:color="auto"/>
            </w:tcBorders>
            <w:shd w:val="clear" w:color="auto" w:fill="C6EFCE"/>
            <w:noWrap/>
            <w:vAlign w:val="center"/>
          </w:tcPr>
          <w:p w14:paraId="000843B7" w14:textId="77777777" w:rsidR="00235E11" w:rsidRDefault="00F837E4">
            <w:pPr>
              <w:pStyle w:val="P68B1DB1-Normal10"/>
              <w:spacing w:after="0"/>
              <w:rPr>
                <w:noProof/>
              </w:rPr>
            </w:pPr>
            <w:r>
              <w:rPr>
                <w:noProof/>
              </w:rPr>
              <w:t>Актове за заглавия</w:t>
            </w:r>
          </w:p>
        </w:tc>
        <w:tc>
          <w:tcPr>
            <w:tcW w:w="993" w:type="dxa"/>
            <w:tcBorders>
              <w:top w:val="nil"/>
              <w:left w:val="nil"/>
              <w:bottom w:val="single" w:sz="4" w:space="0" w:color="auto"/>
              <w:right w:val="single" w:sz="4" w:space="0" w:color="auto"/>
            </w:tcBorders>
            <w:shd w:val="clear" w:color="auto" w:fill="C6EFCE"/>
            <w:noWrap/>
            <w:vAlign w:val="center"/>
          </w:tcPr>
          <w:p w14:paraId="581A65A6" w14:textId="77777777"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07BA648E" w14:textId="77777777"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14B05522" w14:textId="77777777"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4BBEC002"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6FD8F194" w14:textId="77777777" w:rsidR="00235E11" w:rsidRDefault="00F837E4">
            <w:pPr>
              <w:pStyle w:val="P68B1DB1-Normal10"/>
              <w:spacing w:after="0"/>
              <w:jc w:val="center"/>
              <w:rPr>
                <w:noProof/>
              </w:rPr>
            </w:pPr>
            <w:r>
              <w:rPr>
                <w:noProof/>
              </w:rPr>
              <w:t>2023</w:t>
            </w:r>
          </w:p>
        </w:tc>
        <w:tc>
          <w:tcPr>
            <w:tcW w:w="4649" w:type="dxa"/>
            <w:tcBorders>
              <w:top w:val="nil"/>
              <w:left w:val="nil"/>
              <w:bottom w:val="single" w:sz="4" w:space="0" w:color="auto"/>
              <w:right w:val="single" w:sz="4" w:space="0" w:color="auto"/>
            </w:tcBorders>
            <w:shd w:val="clear" w:color="auto" w:fill="C6EFCE"/>
            <w:noWrap/>
            <w:vAlign w:val="center"/>
          </w:tcPr>
          <w:p w14:paraId="70B8A756" w14:textId="6C803709" w:rsidR="00235E11" w:rsidRDefault="00F837E4">
            <w:pPr>
              <w:pStyle w:val="P68B1DB1-Normal9"/>
              <w:spacing w:after="0"/>
              <w:rPr>
                <w:rFonts w:eastAsia="Times New Roman"/>
                <w:noProof/>
              </w:rPr>
            </w:pPr>
            <w:r>
              <w:rPr>
                <w:noProof/>
              </w:rPr>
              <w:t>Финализирани покупки на земя за проекти за възстановяване на влажни зони (I) и за зони за природосъобразни решения (Ж) (около 1 000 хектара)</w:t>
            </w:r>
          </w:p>
        </w:tc>
      </w:tr>
      <w:tr w:rsidR="00235E11" w14:paraId="4FB9857D"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33E2F22F" w14:textId="77777777" w:rsidR="00235E11" w:rsidRDefault="00F837E4">
            <w:pPr>
              <w:pStyle w:val="P68B1DB1-Normal10"/>
              <w:spacing w:after="0"/>
              <w:jc w:val="center"/>
              <w:rPr>
                <w:noProof/>
              </w:rPr>
            </w:pPr>
            <w:r>
              <w:rPr>
                <w:noProof/>
              </w:rPr>
              <w:t>43</w:t>
            </w:r>
          </w:p>
        </w:tc>
        <w:tc>
          <w:tcPr>
            <w:tcW w:w="1593" w:type="dxa"/>
            <w:tcBorders>
              <w:top w:val="nil"/>
              <w:left w:val="nil"/>
              <w:bottom w:val="single" w:sz="4" w:space="0" w:color="auto"/>
              <w:right w:val="single" w:sz="4" w:space="0" w:color="auto"/>
            </w:tcBorders>
            <w:shd w:val="clear" w:color="auto" w:fill="C6EFCE"/>
            <w:noWrap/>
            <w:vAlign w:val="center"/>
            <w:hideMark/>
          </w:tcPr>
          <w:p w14:paraId="2471D728" w14:textId="77777777" w:rsidR="00235E11" w:rsidRDefault="00F837E4">
            <w:pPr>
              <w:pStyle w:val="P68B1DB1-Normal10"/>
              <w:spacing w:after="0"/>
              <w:rPr>
                <w:noProof/>
              </w:rPr>
            </w:pPr>
            <w:r>
              <w:rPr>
                <w:noProof/>
              </w:rPr>
              <w:t>Син пакт (I-1.24)</w:t>
            </w:r>
          </w:p>
        </w:tc>
        <w:tc>
          <w:tcPr>
            <w:tcW w:w="1100" w:type="dxa"/>
            <w:tcBorders>
              <w:top w:val="nil"/>
              <w:left w:val="nil"/>
              <w:bottom w:val="single" w:sz="4" w:space="0" w:color="auto"/>
              <w:right w:val="single" w:sz="4" w:space="0" w:color="auto"/>
            </w:tcBorders>
            <w:shd w:val="clear" w:color="auto" w:fill="C6EFCE"/>
            <w:noWrap/>
            <w:vAlign w:val="center"/>
            <w:hideMark/>
          </w:tcPr>
          <w:p w14:paraId="3E57EA74" w14:textId="5ECCA0F3" w:rsidR="00235E11" w:rsidRDefault="00F837E4">
            <w:pPr>
              <w:pStyle w:val="P68B1DB1-Normal10"/>
              <w:spacing w:after="0"/>
              <w:rPr>
                <w:noProof/>
              </w:rPr>
            </w:pPr>
            <w:r>
              <w:rPr>
                <w:noProof/>
              </w:rPr>
              <w:t>T</w:t>
            </w:r>
          </w:p>
        </w:tc>
        <w:tc>
          <w:tcPr>
            <w:tcW w:w="2019" w:type="dxa"/>
            <w:tcBorders>
              <w:top w:val="nil"/>
              <w:left w:val="nil"/>
              <w:bottom w:val="single" w:sz="4" w:space="0" w:color="auto"/>
              <w:right w:val="single" w:sz="4" w:space="0" w:color="auto"/>
            </w:tcBorders>
            <w:shd w:val="clear" w:color="auto" w:fill="C6EFCE"/>
            <w:noWrap/>
            <w:vAlign w:val="center"/>
            <w:hideMark/>
          </w:tcPr>
          <w:p w14:paraId="4DCA4493" w14:textId="77777777" w:rsidR="00235E11" w:rsidRDefault="00F837E4">
            <w:pPr>
              <w:pStyle w:val="P68B1DB1-Normal10"/>
              <w:spacing w:after="0"/>
              <w:rPr>
                <w:noProof/>
              </w:rPr>
            </w:pPr>
            <w:r>
              <w:rPr>
                <w:noProof/>
              </w:rPr>
              <w:t>Приключване на проекти по линия на Синия пакт</w:t>
            </w:r>
          </w:p>
        </w:tc>
        <w:tc>
          <w:tcPr>
            <w:tcW w:w="1241" w:type="dxa"/>
            <w:tcBorders>
              <w:top w:val="nil"/>
              <w:left w:val="nil"/>
              <w:bottom w:val="single" w:sz="4" w:space="0" w:color="auto"/>
              <w:right w:val="single" w:sz="4" w:space="0" w:color="auto"/>
            </w:tcBorders>
            <w:shd w:val="clear" w:color="auto" w:fill="C6EFCE"/>
            <w:noWrap/>
            <w:vAlign w:val="center"/>
            <w:hideMark/>
          </w:tcPr>
          <w:p w14:paraId="63B58C79" w14:textId="77777777" w:rsidR="00235E11" w:rsidRDefault="00235E11">
            <w:pPr>
              <w:spacing w:after="0"/>
              <w:rPr>
                <w:rFonts w:ascii="Times New Roman" w:eastAsia="Times New Roman" w:hAnsi="Times New Roman" w:cs="Times New Roman"/>
                <w:noProof/>
                <w:color w:val="006100"/>
              </w:rPr>
            </w:pPr>
          </w:p>
        </w:tc>
        <w:tc>
          <w:tcPr>
            <w:tcW w:w="993" w:type="dxa"/>
            <w:tcBorders>
              <w:top w:val="nil"/>
              <w:left w:val="nil"/>
              <w:bottom w:val="single" w:sz="4" w:space="0" w:color="auto"/>
              <w:right w:val="single" w:sz="4" w:space="0" w:color="auto"/>
            </w:tcBorders>
            <w:shd w:val="clear" w:color="auto" w:fill="C6EFCE"/>
            <w:noWrap/>
            <w:vAlign w:val="center"/>
            <w:hideMark/>
          </w:tcPr>
          <w:p w14:paraId="46DAEC54" w14:textId="77777777" w:rsidR="00235E11" w:rsidRDefault="00F837E4">
            <w:pPr>
              <w:pStyle w:val="P68B1DB1-Normal10"/>
              <w:spacing w:after="0"/>
              <w:rPr>
                <w:noProof/>
              </w:rPr>
            </w:pPr>
            <w:r>
              <w:rPr>
                <w:noProof/>
              </w:rPr>
              <w:t>проекти</w:t>
            </w:r>
          </w:p>
        </w:tc>
        <w:tc>
          <w:tcPr>
            <w:tcW w:w="850" w:type="dxa"/>
            <w:tcBorders>
              <w:top w:val="nil"/>
              <w:left w:val="nil"/>
              <w:bottom w:val="single" w:sz="4" w:space="0" w:color="auto"/>
              <w:right w:val="single" w:sz="4" w:space="0" w:color="auto"/>
            </w:tcBorders>
            <w:shd w:val="clear" w:color="auto" w:fill="C6EFCE"/>
            <w:noWrap/>
            <w:vAlign w:val="center"/>
            <w:hideMark/>
          </w:tcPr>
          <w:p w14:paraId="57A91B58" w14:textId="77777777" w:rsidR="00235E11" w:rsidRDefault="00F837E4">
            <w:pPr>
              <w:pStyle w:val="P68B1DB1-Normal10"/>
              <w:spacing w:after="0"/>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hideMark/>
          </w:tcPr>
          <w:p w14:paraId="0D8AEE17" w14:textId="0DCC3335" w:rsidR="00235E11" w:rsidRDefault="00F837E4">
            <w:pPr>
              <w:pStyle w:val="P68B1DB1-Normal10"/>
              <w:spacing w:after="0"/>
              <w:rPr>
                <w:noProof/>
              </w:rPr>
            </w:pPr>
            <w:r>
              <w:rPr>
                <w:noProof/>
              </w:rPr>
              <w:t>41</w:t>
            </w:r>
          </w:p>
        </w:tc>
        <w:tc>
          <w:tcPr>
            <w:tcW w:w="708" w:type="dxa"/>
            <w:tcBorders>
              <w:top w:val="nil"/>
              <w:left w:val="nil"/>
              <w:bottom w:val="single" w:sz="4" w:space="0" w:color="auto"/>
              <w:right w:val="single" w:sz="4" w:space="0" w:color="auto"/>
            </w:tcBorders>
            <w:shd w:val="clear" w:color="auto" w:fill="C6EFCE"/>
            <w:noWrap/>
            <w:vAlign w:val="center"/>
            <w:hideMark/>
          </w:tcPr>
          <w:p w14:paraId="25DCAA25"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1D78135A" w14:textId="77777777" w:rsidR="00235E11" w:rsidRDefault="00F837E4">
            <w:pPr>
              <w:pStyle w:val="P68B1DB1-Normal10"/>
              <w:spacing w:after="0"/>
              <w:jc w:val="center"/>
              <w:rPr>
                <w:noProof/>
              </w:rPr>
            </w:pPr>
            <w:r>
              <w:rPr>
                <w:noProof/>
              </w:rPr>
              <w:t>2026</w:t>
            </w:r>
          </w:p>
        </w:tc>
        <w:tc>
          <w:tcPr>
            <w:tcW w:w="4649" w:type="dxa"/>
            <w:tcBorders>
              <w:top w:val="nil"/>
              <w:left w:val="nil"/>
              <w:bottom w:val="single" w:sz="4" w:space="0" w:color="auto"/>
              <w:right w:val="single" w:sz="4" w:space="0" w:color="auto"/>
            </w:tcBorders>
            <w:shd w:val="clear" w:color="auto" w:fill="C6EFCE"/>
            <w:noWrap/>
            <w:vAlign w:val="center"/>
            <w:hideMark/>
          </w:tcPr>
          <w:p w14:paraId="228B293B" w14:textId="2F4836CC" w:rsidR="00235E11" w:rsidRDefault="00F837E4">
            <w:pPr>
              <w:pStyle w:val="P68B1DB1-Normal9"/>
              <w:spacing w:after="0"/>
              <w:rPr>
                <w:rFonts w:eastAsia="Times New Roman"/>
                <w:noProof/>
              </w:rPr>
            </w:pPr>
            <w:r>
              <w:rPr>
                <w:noProof/>
              </w:rPr>
              <w:t>Приключване на 41 от общо 46 проекта по линия на Синия пакт за повишаване на устойчивостта на суша (A, B, C, D, F, G, I), обхващащи 2 255 хектара (A, G, I), изградени четири помпени инсталации и четири заключващи врати (В), включително завършване на оперативна мрежа за интелигентен мониторинг на водите и проекти за кръгова вода (F).</w:t>
            </w:r>
          </w:p>
        </w:tc>
      </w:tr>
    </w:tbl>
    <w:p w14:paraId="1B42EA13" w14:textId="77777777" w:rsidR="00235E11" w:rsidRDefault="00235E11">
      <w:pPr>
        <w:rPr>
          <w:rFonts w:ascii="Times New Roman" w:hAnsi="Times New Roman" w:cs="Times New Roman"/>
          <w:noProof/>
        </w:rPr>
        <w:sectPr w:rsidR="00235E11" w:rsidSect="007F56C3">
          <w:headerReference w:type="even" r:id="rId48"/>
          <w:headerReference w:type="default" r:id="rId49"/>
          <w:footerReference w:type="even" r:id="rId50"/>
          <w:footerReference w:type="default" r:id="rId51"/>
          <w:headerReference w:type="first" r:id="rId52"/>
          <w:footerReference w:type="first" r:id="rId53"/>
          <w:pgSz w:w="16839" w:h="11907" w:orient="landscape"/>
          <w:pgMar w:top="1134" w:right="1134" w:bottom="1134" w:left="1134" w:header="567" w:footer="567" w:gutter="0"/>
          <w:cols w:space="720"/>
          <w:docGrid w:linePitch="360"/>
        </w:sectPr>
      </w:pPr>
    </w:p>
    <w:p w14:paraId="29F1CAC9" w14:textId="77777777" w:rsidR="00235E11" w:rsidRDefault="00F837E4">
      <w:pPr>
        <w:pStyle w:val="ManualHeading1"/>
        <w:spacing w:before="120"/>
        <w:ind w:left="0" w:firstLine="0"/>
        <w:rPr>
          <w:noProof/>
        </w:rPr>
      </w:pPr>
      <w:r>
        <w:rPr>
          <w:noProof/>
        </w:rPr>
        <w:t>Г. КОМПОНЕНТ 2.1: Киберсигурността</w:t>
      </w:r>
    </w:p>
    <w:p w14:paraId="3BFD3E3D" w14:textId="77777777" w:rsidR="00235E11" w:rsidRDefault="00F837E4">
      <w:pPr>
        <w:pStyle w:val="NormalLeft"/>
        <w:jc w:val="both"/>
        <w:rPr>
          <w:noProof/>
        </w:rPr>
      </w:pPr>
      <w:r>
        <w:rPr>
          <w:noProof/>
        </w:rPr>
        <w:t>Очаква се този компонент на белгийския план за възстановяване и устойчивост да укрепи цялостната киберустойчивост и подготвеност за киберкризи на белгийското общество.</w:t>
      </w:r>
    </w:p>
    <w:p w14:paraId="7D496CFE" w14:textId="77777777" w:rsidR="00235E11" w:rsidRDefault="00F837E4">
      <w:pPr>
        <w:pStyle w:val="NormalLeft"/>
        <w:jc w:val="both"/>
        <w:rPr>
          <w:noProof/>
        </w:rPr>
      </w:pPr>
      <w:r>
        <w:rPr>
          <w:noProof/>
        </w:rPr>
        <w:t>Компонентът допринася за изпълнението на специфични за всяка държава препоръки 2019.3 и 2020.3, за да се съсредоточат инвестициите върху цифровия преход и специфичните за всяка държава препоръки</w:t>
      </w:r>
      <w:r>
        <w:rPr>
          <w:noProof/>
          <w:shd w:val="clear" w:color="auto" w:fill="FFFFFF"/>
        </w:rPr>
        <w:t xml:space="preserve"> 2019.4 и 2020.3 </w:t>
      </w:r>
      <w:r>
        <w:rPr>
          <w:noProof/>
        </w:rPr>
        <w:t>за подобряване на бизнес средата.</w:t>
      </w:r>
    </w:p>
    <w:p w14:paraId="04E74D61" w14:textId="77777777" w:rsidR="00235E11" w:rsidRDefault="00F837E4">
      <w:pPr>
        <w:pStyle w:val="P68B1DB1-Normal1"/>
        <w:spacing w:before="120" w:after="120"/>
        <w:jc w:val="both"/>
        <w:rPr>
          <w:noProof/>
        </w:rPr>
      </w:pPr>
      <w:r>
        <w:rPr>
          <w:noProof/>
        </w:rPr>
        <w:t xml:space="preserve">Г.1. </w:t>
      </w:r>
      <w:r>
        <w:rPr>
          <w:noProof/>
        </w:rPr>
        <w:tab/>
        <w:t>Описание на реформите и инвестициите за безвъзмездна финансова подкрепа</w:t>
      </w:r>
    </w:p>
    <w:p w14:paraId="38903484" w14:textId="77777777" w:rsidR="00235E11" w:rsidRDefault="00F837E4">
      <w:pPr>
        <w:pStyle w:val="P68B1DB1-Text111"/>
        <w:ind w:left="0"/>
        <w:rPr>
          <w:noProof/>
        </w:rPr>
      </w:pPr>
      <w:r>
        <w:rPr>
          <w:noProof/>
        </w:rPr>
        <w:t>Инвестиция I-2.01: „Киберсигурност и устойчиво цифрово общество“ на федералната държава</w:t>
      </w:r>
    </w:p>
    <w:p w14:paraId="0F3B813A" w14:textId="22A0A106" w:rsidR="00235E11" w:rsidRDefault="00F837E4">
      <w:pPr>
        <w:pStyle w:val="Text1"/>
        <w:ind w:left="0"/>
        <w:rPr>
          <w:noProof/>
        </w:rPr>
      </w:pPr>
      <w:r>
        <w:rPr>
          <w:noProof/>
        </w:rPr>
        <w:t>Инвестицията се състои от мерки за (1) укрепване на киберспособностите на МСП и самостоятелно заетите лица чрез кампании за повишаване на осведомеността в областта на киберсигурността, уебсайт, предлагащ услуги като безплатно кибернаблюдение, за да се идентифицират бързо областите, в които киберустойчивостта може да бъде подобрена, и проекти в подкрепа на МСП в областта на киберсигурността, като например обмен на най-добри практики, (2) борба с киберпрестъпността чрез целенасочени предупреждения за киберуязвимости и ИТ инфекции за професионални потребители на ИТ (Be Guard), онлайн приставка, която позволява на посетителите да идентифицират надеждността на уебсайтовете (валидирани уеб сайтове), и онлайн въпросник за оценка на зрелостта на предприятията в киберпространството, както и препоръки за повишаване на тяхната киберустойчивост (основни принципи на киберпространството), (3) борба с фишинга чрез актуализирани и нови платформи за борба с фишинга (StopPhishing), (4) въвеждане на глобална рамка за управление на киберсигурността в рамките на отдела по външни работи въз основа на стандартите ISO27000</w:t>
      </w:r>
      <w:r>
        <w:rPr>
          <w:noProof/>
        </w:rPr>
        <w:footnoteReference w:id="4"/>
      </w:r>
      <w:r>
        <w:rPr>
          <w:noProof/>
        </w:rPr>
        <w:t xml:space="preserve"> </w:t>
      </w:r>
      <w:r>
        <w:rPr>
          <w:noProof/>
        </w:rPr>
        <w:footnoteReference w:id="5"/>
      </w:r>
      <w:r>
        <w:rPr>
          <w:noProof/>
        </w:rPr>
        <w:t xml:space="preserve"> и CIS20 и (5) предлагане на услуги за киберустойчивост на белгийската общественост като цяло, състоящи се от i) услуги за справяне с инциденти при кибератаки срещу ИТ инфраструктура и системи на частни предприятия, граждани и правителствени служби и ii) услуги, които дават възможност за вменяване на отговорност за такива кибератаки (т.е. идентифициране на организацията или лицето, което е в основата на атаката) поради повишените киберспособности на Министерството на отбраната, което е центърът на белгийската администрация за специалисти в областта на киберсигурността, където тези дейности са централизирани. Военните операции не се финансират</w:t>
      </w:r>
      <w:r>
        <w:rPr>
          <w:b/>
          <w:noProof/>
        </w:rPr>
        <w:t xml:space="preserve"> </w:t>
      </w:r>
      <w:r>
        <w:rPr>
          <w:noProof/>
        </w:rPr>
        <w:t>и центърът на тежестта на мярката е цивилен, като услугите са насочени към защита и повишаване на киберустойчивостта и киберсигурността на обществото като цяло, т.е. частните предприятия, гражданите и правителствените служби. Изпълнението на инвестицията трябва да приключи до 30 юни 2026 г.</w:t>
      </w:r>
    </w:p>
    <w:p w14:paraId="78D9364E" w14:textId="77777777" w:rsidR="00235E11" w:rsidRDefault="00F837E4">
      <w:pPr>
        <w:pStyle w:val="P68B1DB1-Text111"/>
        <w:ind w:left="0"/>
        <w:rPr>
          <w:noProof/>
        </w:rPr>
      </w:pPr>
      <w:r>
        <w:rPr>
          <w:noProof/>
        </w:rPr>
        <w:t>Инвестиция I-2.02: „Киберсигурност: 5G“ на федералната държава</w:t>
      </w:r>
    </w:p>
    <w:p w14:paraId="40053CEE" w14:textId="074E2ECA" w:rsidR="00235E11" w:rsidRDefault="00F837E4">
      <w:pPr>
        <w:pStyle w:val="Text1"/>
        <w:ind w:left="0"/>
        <w:rPr>
          <w:noProof/>
        </w:rPr>
      </w:pPr>
      <w:r>
        <w:rPr>
          <w:noProof/>
        </w:rPr>
        <w:t>Инвестицията има за цел да укрепи капацитета за прихващане на лични комуникации от страна на съдебната полиция в контекста на 5G, дължащо се на инвестиции в мащабен и заглушаващ комплекс, системи за улавяне на звук в къщи и превозни средства, възможности за локализиране и проследяване на превозни средства и предмети и система за предаване на изображения, придобити по време на специални методи за разследване. Тези инвестиции се адаптират към 5G. Изпълнението на инвестицията трябва да приключи до 31 декември 2025 г.</w:t>
      </w:r>
    </w:p>
    <w:p w14:paraId="23FF5433" w14:textId="77777777" w:rsidR="00235E11" w:rsidRDefault="00F837E4">
      <w:pPr>
        <w:pStyle w:val="P68B1DB1-Text111"/>
        <w:ind w:left="0"/>
        <w:rPr>
          <w:noProof/>
        </w:rPr>
      </w:pPr>
      <w:r>
        <w:rPr>
          <w:noProof/>
        </w:rPr>
        <w:t>Инвестиция I-2.03: „Киберсигурност: Прихващане и защита на NTSU/CTIF“ на федералната държава</w:t>
      </w:r>
    </w:p>
    <w:p w14:paraId="154DE4EC" w14:textId="77777777" w:rsidR="00235E11" w:rsidRDefault="00F837E4">
      <w:pPr>
        <w:pStyle w:val="Text1"/>
        <w:ind w:left="0"/>
        <w:rPr>
          <w:noProof/>
        </w:rPr>
      </w:pPr>
      <w:r>
        <w:rPr>
          <w:noProof/>
        </w:rPr>
        <w:t>Инвестицията въвежда цифров регистър на прихванатите лични комуникации (Li-Vault), управляван от Националното звено за техническа и тактическа подкрепа на белгийската федерална полиция, който да се използва от съдебната система, полицията и разузнавателните служби. Изпълнението на инвестицията трябва да приключи до 30 юни 2025 г.</w:t>
      </w:r>
    </w:p>
    <w:p w14:paraId="6853F4A5" w14:textId="77777777" w:rsidR="00235E11" w:rsidRDefault="00235E11">
      <w:pPr>
        <w:spacing w:before="120" w:after="120"/>
        <w:jc w:val="both"/>
        <w:rPr>
          <w:rFonts w:ascii="Times New Roman" w:hAnsi="Times New Roman" w:cs="Times New Roman"/>
          <w:noProof/>
          <w:sz w:val="24"/>
        </w:rPr>
      </w:pPr>
    </w:p>
    <w:p w14:paraId="7DDF97BF" w14:textId="199E6F43" w:rsidR="00235E11" w:rsidRDefault="00F837E4">
      <w:pPr>
        <w:pStyle w:val="P68B1DB1-Text16"/>
        <w:ind w:left="0"/>
        <w:rPr>
          <w:noProof/>
        </w:rPr>
      </w:pPr>
      <w:r>
        <w:rPr>
          <w:noProof/>
        </w:rPr>
        <w:t xml:space="preserve">Г.2. </w:t>
      </w:r>
      <w:r>
        <w:rPr>
          <w:noProof/>
        </w:rPr>
        <w:tab/>
        <w:t>Ключови етапи, цели, показатели и график за мониторинг и изпълнение на безвъзмездната финансова подкрепа</w:t>
      </w:r>
    </w:p>
    <w:p w14:paraId="05CD6F81" w14:textId="77777777" w:rsidR="00235E11" w:rsidRDefault="00235E11">
      <w:pPr>
        <w:tabs>
          <w:tab w:val="left" w:pos="1965"/>
        </w:tabs>
        <w:rPr>
          <w:rFonts w:ascii="Times New Roman" w:hAnsi="Times New Roman" w:cs="Times New Roman"/>
          <w:noProof/>
        </w:rPr>
        <w:sectPr w:rsidR="00235E11" w:rsidSect="007F56C3">
          <w:headerReference w:type="even" r:id="rId54"/>
          <w:headerReference w:type="default" r:id="rId55"/>
          <w:footerReference w:type="even" r:id="rId56"/>
          <w:footerReference w:type="default" r:id="rId57"/>
          <w:headerReference w:type="first" r:id="rId58"/>
          <w:footerReference w:type="first" r:id="rId59"/>
          <w:pgSz w:w="11907" w:h="16839"/>
          <w:pgMar w:top="1134" w:right="1134" w:bottom="1134" w:left="1134" w:header="567" w:footer="567" w:gutter="0"/>
          <w:cols w:space="720"/>
          <w:docGrid w:linePitch="360"/>
        </w:sectPr>
      </w:pPr>
    </w:p>
    <w:p w14:paraId="353B57BE" w14:textId="77777777" w:rsidR="00235E11" w:rsidRDefault="00235E11">
      <w:pPr>
        <w:pStyle w:val="Text1"/>
        <w:ind w:left="709"/>
        <w:rPr>
          <w:noProof/>
        </w:rPr>
      </w:pPr>
    </w:p>
    <w:tbl>
      <w:tblPr>
        <w:tblW w:w="15502" w:type="dxa"/>
        <w:tblInd w:w="-318" w:type="dxa"/>
        <w:tblLayout w:type="fixed"/>
        <w:tblLook w:val="04A0" w:firstRow="1" w:lastRow="0" w:firstColumn="1" w:lastColumn="0" w:noHBand="0" w:noVBand="1"/>
      </w:tblPr>
      <w:tblGrid>
        <w:gridCol w:w="739"/>
        <w:gridCol w:w="1808"/>
        <w:gridCol w:w="1168"/>
        <w:gridCol w:w="1242"/>
        <w:gridCol w:w="1452"/>
        <w:gridCol w:w="992"/>
        <w:gridCol w:w="709"/>
        <w:gridCol w:w="850"/>
        <w:gridCol w:w="709"/>
        <w:gridCol w:w="709"/>
        <w:gridCol w:w="5124"/>
      </w:tblGrid>
      <w:tr w:rsidR="00235E11" w14:paraId="080966FD" w14:textId="77777777">
        <w:trPr>
          <w:trHeight w:val="927"/>
          <w:tblHeader/>
        </w:trPr>
        <w:tc>
          <w:tcPr>
            <w:tcW w:w="73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A1F07C" w14:textId="6A91AF6E" w:rsidR="00235E11" w:rsidRDefault="00F837E4">
            <w:pPr>
              <w:pStyle w:val="P68B1DB1-Normal7"/>
              <w:spacing w:after="0"/>
              <w:jc w:val="center"/>
              <w:rPr>
                <w:noProof/>
              </w:rPr>
            </w:pPr>
            <w:r>
              <w:rPr>
                <w:noProof/>
              </w:rPr>
              <w:t>Следващи Забележка:</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93A46F" w14:textId="77777777" w:rsidR="00235E11" w:rsidRDefault="00F837E4">
            <w:pPr>
              <w:pStyle w:val="P68B1DB1-Normal7"/>
              <w:spacing w:after="0"/>
              <w:jc w:val="center"/>
              <w:rPr>
                <w:noProof/>
              </w:rPr>
            </w:pPr>
            <w:r>
              <w:rPr>
                <w:noProof/>
              </w:rPr>
              <w:t>Свързана мярка (реформа или инвестиции)</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17F290" w14:textId="77777777" w:rsidR="00235E11" w:rsidRDefault="00F837E4">
            <w:pPr>
              <w:pStyle w:val="P68B1DB1-Normal7"/>
              <w:spacing w:after="0"/>
              <w:jc w:val="center"/>
              <w:rPr>
                <w:noProof/>
              </w:rPr>
            </w:pPr>
            <w:r>
              <w:rPr>
                <w:noProof/>
              </w:rPr>
              <w:t>Ключов етап/Цел</w:t>
            </w:r>
          </w:p>
        </w:tc>
        <w:tc>
          <w:tcPr>
            <w:tcW w:w="1242" w:type="dxa"/>
            <w:vMerge w:val="restart"/>
            <w:tcBorders>
              <w:top w:val="single" w:sz="4" w:space="0" w:color="auto"/>
              <w:left w:val="nil"/>
              <w:bottom w:val="single" w:sz="4" w:space="0" w:color="auto"/>
              <w:right w:val="single" w:sz="4" w:space="0" w:color="auto"/>
            </w:tcBorders>
            <w:shd w:val="clear" w:color="auto" w:fill="BDD7EE"/>
            <w:vAlign w:val="center"/>
            <w:hideMark/>
          </w:tcPr>
          <w:p w14:paraId="77C18003" w14:textId="77777777" w:rsidR="00235E11" w:rsidRDefault="00F837E4">
            <w:pPr>
              <w:pStyle w:val="P68B1DB1-Normal7"/>
              <w:spacing w:after="0"/>
              <w:jc w:val="center"/>
              <w:rPr>
                <w:noProof/>
              </w:rPr>
            </w:pPr>
            <w:r>
              <w:rPr>
                <w:noProof/>
              </w:rPr>
              <w:t>Име</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58DD1D"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551" w:type="dxa"/>
            <w:gridSpan w:val="3"/>
            <w:tcBorders>
              <w:top w:val="single" w:sz="4" w:space="0" w:color="auto"/>
              <w:left w:val="nil"/>
              <w:bottom w:val="single" w:sz="4" w:space="0" w:color="auto"/>
              <w:right w:val="single" w:sz="4" w:space="0" w:color="auto"/>
            </w:tcBorders>
            <w:shd w:val="clear" w:color="auto" w:fill="BDD7EE"/>
            <w:vAlign w:val="center"/>
            <w:hideMark/>
          </w:tcPr>
          <w:p w14:paraId="4D277C46"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8" w:type="dxa"/>
            <w:gridSpan w:val="2"/>
            <w:tcBorders>
              <w:top w:val="single" w:sz="4" w:space="0" w:color="auto"/>
              <w:left w:val="nil"/>
              <w:bottom w:val="single" w:sz="4" w:space="0" w:color="auto"/>
              <w:right w:val="single" w:sz="4" w:space="0" w:color="auto"/>
            </w:tcBorders>
            <w:shd w:val="clear" w:color="auto" w:fill="BDD7EE"/>
            <w:vAlign w:val="center"/>
            <w:hideMark/>
          </w:tcPr>
          <w:p w14:paraId="7ED761FE" w14:textId="77777777" w:rsidR="00235E11" w:rsidRDefault="00F837E4">
            <w:pPr>
              <w:pStyle w:val="P68B1DB1-Normal7"/>
              <w:spacing w:after="0"/>
              <w:jc w:val="center"/>
              <w:rPr>
                <w:noProof/>
              </w:rPr>
            </w:pPr>
            <w:r>
              <w:rPr>
                <w:noProof/>
              </w:rPr>
              <w:t xml:space="preserve">Примерен график за приключване </w:t>
            </w:r>
          </w:p>
        </w:tc>
        <w:tc>
          <w:tcPr>
            <w:tcW w:w="51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7D741F0" w14:textId="77777777" w:rsidR="00235E11" w:rsidRDefault="00F837E4">
            <w:pPr>
              <w:pStyle w:val="P68B1DB1-Normal7"/>
              <w:spacing w:after="0"/>
              <w:jc w:val="center"/>
              <w:rPr>
                <w:noProof/>
              </w:rPr>
            </w:pPr>
            <w:r>
              <w:rPr>
                <w:noProof/>
              </w:rPr>
              <w:t>Описание на всеки ключов етап и цел</w:t>
            </w:r>
          </w:p>
        </w:tc>
      </w:tr>
      <w:tr w:rsidR="00235E11" w14:paraId="3CE1DCA7" w14:textId="77777777">
        <w:trPr>
          <w:trHeight w:val="1013"/>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6BC0A05E" w14:textId="77777777" w:rsidR="00235E11" w:rsidRDefault="00235E11">
            <w:pPr>
              <w:spacing w:after="0"/>
              <w:rPr>
                <w:rFonts w:ascii="Times New Roman" w:eastAsia="Times New Roman" w:hAnsi="Times New Roman" w:cs="Times New Roman"/>
                <w:b/>
                <w:noProof/>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57D539A5" w14:textId="77777777" w:rsidR="00235E11" w:rsidRDefault="00235E11">
            <w:pPr>
              <w:spacing w:after="0"/>
              <w:rPr>
                <w:rFonts w:ascii="Times New Roman" w:eastAsia="Times New Roman" w:hAnsi="Times New Roman" w:cs="Times New Roman"/>
                <w:b/>
                <w:noProof/>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A1166C1" w14:textId="77777777" w:rsidR="00235E11" w:rsidRDefault="00235E11">
            <w:pPr>
              <w:spacing w:after="0"/>
              <w:rPr>
                <w:rFonts w:ascii="Times New Roman" w:eastAsia="Times New Roman" w:hAnsi="Times New Roman" w:cs="Times New Roman"/>
                <w:b/>
                <w:noProof/>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789FBE98" w14:textId="77777777" w:rsidR="00235E11" w:rsidRDefault="00235E11">
            <w:pPr>
              <w:spacing w:after="0"/>
              <w:rPr>
                <w:rFonts w:ascii="Times New Roman" w:eastAsia="Times New Roman" w:hAnsi="Times New Roman" w:cs="Times New Roman"/>
                <w:b/>
                <w:noProof/>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235FCE2C" w14:textId="77777777" w:rsidR="00235E11" w:rsidRDefault="00235E11">
            <w:pPr>
              <w:spacing w:after="0"/>
              <w:rPr>
                <w:rFonts w:ascii="Times New Roman" w:eastAsia="Times New Roman" w:hAnsi="Times New Roman" w:cs="Times New Roman"/>
                <w:b/>
                <w:noProof/>
              </w:rPr>
            </w:pPr>
          </w:p>
        </w:tc>
        <w:tc>
          <w:tcPr>
            <w:tcW w:w="992" w:type="dxa"/>
            <w:tcBorders>
              <w:top w:val="nil"/>
              <w:left w:val="single" w:sz="4" w:space="0" w:color="auto"/>
              <w:bottom w:val="single" w:sz="4" w:space="0" w:color="auto"/>
              <w:right w:val="single" w:sz="4" w:space="0" w:color="auto"/>
            </w:tcBorders>
            <w:shd w:val="clear" w:color="auto" w:fill="BDD7EE"/>
            <w:vAlign w:val="center"/>
            <w:hideMark/>
          </w:tcPr>
          <w:p w14:paraId="2D7538B0" w14:textId="77777777" w:rsidR="00235E11" w:rsidRDefault="00F837E4">
            <w:pPr>
              <w:pStyle w:val="P68B1DB1-Normal7"/>
              <w:spacing w:after="0"/>
              <w:jc w:val="center"/>
              <w:rPr>
                <w:noProof/>
              </w:rPr>
            </w:pPr>
            <w:r>
              <w:rPr>
                <w:noProof/>
              </w:rPr>
              <w:t>Единица мярка</w:t>
            </w:r>
          </w:p>
        </w:tc>
        <w:tc>
          <w:tcPr>
            <w:tcW w:w="709" w:type="dxa"/>
            <w:tcBorders>
              <w:top w:val="nil"/>
              <w:left w:val="nil"/>
              <w:bottom w:val="single" w:sz="4" w:space="0" w:color="auto"/>
              <w:right w:val="single" w:sz="4" w:space="0" w:color="auto"/>
            </w:tcBorders>
            <w:shd w:val="clear" w:color="auto" w:fill="BDD7EE"/>
            <w:vAlign w:val="center"/>
            <w:hideMark/>
          </w:tcPr>
          <w:p w14:paraId="050C9574" w14:textId="77777777" w:rsidR="00235E11" w:rsidRDefault="00F837E4">
            <w:pPr>
              <w:pStyle w:val="P68B1DB1-Normal7"/>
              <w:spacing w:after="0"/>
              <w:jc w:val="center"/>
              <w:rPr>
                <w:noProof/>
              </w:rPr>
            </w:pPr>
            <w:r>
              <w:rPr>
                <w:noProof/>
              </w:rPr>
              <w:t xml:space="preserve">Базова линия </w:t>
            </w:r>
          </w:p>
        </w:tc>
        <w:tc>
          <w:tcPr>
            <w:tcW w:w="850" w:type="dxa"/>
            <w:tcBorders>
              <w:top w:val="nil"/>
              <w:left w:val="nil"/>
              <w:bottom w:val="single" w:sz="4" w:space="0" w:color="auto"/>
              <w:right w:val="single" w:sz="4" w:space="0" w:color="auto"/>
            </w:tcBorders>
            <w:shd w:val="clear" w:color="auto" w:fill="BDD7EE"/>
            <w:vAlign w:val="center"/>
            <w:hideMark/>
          </w:tcPr>
          <w:p w14:paraId="4ECE2AA1" w14:textId="77777777" w:rsidR="00235E11" w:rsidRDefault="00F837E4">
            <w:pPr>
              <w:pStyle w:val="P68B1DB1-Normal7"/>
              <w:spacing w:after="0"/>
              <w:jc w:val="center"/>
              <w:rPr>
                <w:noProof/>
              </w:rPr>
            </w:pPr>
            <w:r>
              <w:rPr>
                <w:noProof/>
              </w:rPr>
              <w:t xml:space="preserve">Цел </w:t>
            </w:r>
          </w:p>
        </w:tc>
        <w:tc>
          <w:tcPr>
            <w:tcW w:w="709" w:type="dxa"/>
            <w:tcBorders>
              <w:top w:val="nil"/>
              <w:left w:val="nil"/>
              <w:bottom w:val="single" w:sz="4" w:space="0" w:color="auto"/>
              <w:right w:val="single" w:sz="4" w:space="0" w:color="auto"/>
            </w:tcBorders>
            <w:shd w:val="clear" w:color="auto" w:fill="BDD7EE"/>
            <w:vAlign w:val="center"/>
            <w:hideMark/>
          </w:tcPr>
          <w:p w14:paraId="564631C3" w14:textId="77777777" w:rsidR="00235E11" w:rsidRDefault="00F837E4">
            <w:pPr>
              <w:pStyle w:val="P68B1DB1-Normal7"/>
              <w:spacing w:after="0"/>
              <w:jc w:val="center"/>
              <w:rPr>
                <w:noProof/>
              </w:rPr>
            </w:pPr>
            <w:r>
              <w:rPr>
                <w:noProof/>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5DEFE66C" w14:textId="77777777" w:rsidR="00235E11" w:rsidRDefault="00F837E4">
            <w:pPr>
              <w:pStyle w:val="P68B1DB1-Normal7"/>
              <w:spacing w:after="0"/>
              <w:jc w:val="center"/>
              <w:rPr>
                <w:noProof/>
              </w:rPr>
            </w:pPr>
            <w:r>
              <w:rPr>
                <w:noProof/>
              </w:rPr>
              <w:t>Година</w:t>
            </w:r>
          </w:p>
        </w:tc>
        <w:tc>
          <w:tcPr>
            <w:tcW w:w="5124" w:type="dxa"/>
            <w:vMerge/>
            <w:tcBorders>
              <w:top w:val="single" w:sz="4" w:space="0" w:color="auto"/>
              <w:bottom w:val="single" w:sz="4" w:space="0" w:color="auto"/>
              <w:right w:val="single" w:sz="4" w:space="0" w:color="auto"/>
            </w:tcBorders>
            <w:vAlign w:val="center"/>
            <w:hideMark/>
          </w:tcPr>
          <w:p w14:paraId="57679C3E" w14:textId="77777777" w:rsidR="00235E11" w:rsidRDefault="00235E11">
            <w:pPr>
              <w:spacing w:after="0"/>
              <w:rPr>
                <w:rFonts w:ascii="Times New Roman" w:eastAsia="Times New Roman" w:hAnsi="Times New Roman" w:cs="Times New Roman"/>
                <w:b/>
                <w:noProof/>
              </w:rPr>
            </w:pPr>
          </w:p>
        </w:tc>
      </w:tr>
      <w:tr w:rsidR="00235E11" w14:paraId="1113BA4C" w14:textId="77777777">
        <w:trPr>
          <w:trHeight w:val="309"/>
        </w:trPr>
        <w:tc>
          <w:tcPr>
            <w:tcW w:w="73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FDABC3F" w14:textId="77777777" w:rsidR="00235E11" w:rsidRDefault="00F837E4">
            <w:pPr>
              <w:pStyle w:val="P68B1DB1-Normal10"/>
              <w:spacing w:after="0"/>
              <w:jc w:val="center"/>
              <w:rPr>
                <w:noProof/>
              </w:rPr>
            </w:pPr>
            <w:r>
              <w:rPr>
                <w:noProof/>
              </w:rPr>
              <w:t>44</w:t>
            </w:r>
          </w:p>
        </w:tc>
        <w:tc>
          <w:tcPr>
            <w:tcW w:w="1808" w:type="dxa"/>
            <w:tcBorders>
              <w:top w:val="single" w:sz="4" w:space="0" w:color="auto"/>
              <w:left w:val="nil"/>
              <w:bottom w:val="single" w:sz="4" w:space="0" w:color="auto"/>
              <w:right w:val="single" w:sz="4" w:space="0" w:color="auto"/>
            </w:tcBorders>
            <w:shd w:val="clear" w:color="auto" w:fill="C6EFCE"/>
            <w:noWrap/>
            <w:vAlign w:val="center"/>
            <w:hideMark/>
          </w:tcPr>
          <w:p w14:paraId="4574A4F6" w14:textId="77777777" w:rsidR="00235E11" w:rsidRDefault="00F837E4">
            <w:pPr>
              <w:pStyle w:val="P68B1DB1-Normal10"/>
              <w:spacing w:after="0"/>
              <w:rPr>
                <w:noProof/>
              </w:rPr>
            </w:pPr>
            <w:r>
              <w:rPr>
                <w:noProof/>
              </w:rPr>
              <w:t>Киберсигурност и устойчиво цифрово общество (I-2.01)</w:t>
            </w:r>
          </w:p>
        </w:tc>
        <w:tc>
          <w:tcPr>
            <w:tcW w:w="1168" w:type="dxa"/>
            <w:tcBorders>
              <w:top w:val="single" w:sz="4" w:space="0" w:color="auto"/>
              <w:left w:val="nil"/>
              <w:bottom w:val="single" w:sz="4" w:space="0" w:color="auto"/>
              <w:right w:val="single" w:sz="4" w:space="0" w:color="auto"/>
            </w:tcBorders>
            <w:shd w:val="clear" w:color="auto" w:fill="C6EFCE"/>
            <w:noWrap/>
            <w:vAlign w:val="center"/>
            <w:hideMark/>
          </w:tcPr>
          <w:p w14:paraId="26E956AC" w14:textId="77A9A157" w:rsidR="00235E11" w:rsidRDefault="00F837E4">
            <w:pPr>
              <w:pStyle w:val="P68B1DB1-Normal10"/>
              <w:spacing w:after="0"/>
              <w:rPr>
                <w:noProof/>
              </w:rPr>
            </w:pPr>
            <w:r>
              <w:rPr>
                <w:noProof/>
              </w:rPr>
              <w:t>T</w:t>
            </w:r>
          </w:p>
        </w:tc>
        <w:tc>
          <w:tcPr>
            <w:tcW w:w="1242" w:type="dxa"/>
            <w:tcBorders>
              <w:top w:val="single" w:sz="4" w:space="0" w:color="auto"/>
              <w:left w:val="nil"/>
              <w:bottom w:val="single" w:sz="4" w:space="0" w:color="auto"/>
              <w:right w:val="single" w:sz="4" w:space="0" w:color="auto"/>
            </w:tcBorders>
            <w:shd w:val="clear" w:color="auto" w:fill="C6EFCE"/>
            <w:noWrap/>
            <w:vAlign w:val="center"/>
            <w:hideMark/>
          </w:tcPr>
          <w:p w14:paraId="60AECE23" w14:textId="7FFD3CBB" w:rsidR="00235E11" w:rsidRDefault="00F837E4">
            <w:pPr>
              <w:pStyle w:val="P68B1DB1-Normal10"/>
              <w:spacing w:after="0"/>
              <w:rPr>
                <w:noProof/>
              </w:rPr>
            </w:pPr>
            <w:r>
              <w:rPr>
                <w:noProof/>
              </w:rPr>
              <w:t>Уведомление за възлагане на осем обществени поръчки</w:t>
            </w:r>
          </w:p>
        </w:tc>
        <w:tc>
          <w:tcPr>
            <w:tcW w:w="1452" w:type="dxa"/>
            <w:tcBorders>
              <w:top w:val="single" w:sz="4" w:space="0" w:color="auto"/>
              <w:left w:val="nil"/>
              <w:bottom w:val="single" w:sz="4" w:space="0" w:color="auto"/>
              <w:right w:val="single" w:sz="4" w:space="0" w:color="auto"/>
            </w:tcBorders>
            <w:shd w:val="clear" w:color="auto" w:fill="C6EFCE"/>
            <w:noWrap/>
            <w:vAlign w:val="center"/>
          </w:tcPr>
          <w:p w14:paraId="2D2703C3" w14:textId="310FBEB1" w:rsidR="00235E11" w:rsidRDefault="00F837E4">
            <w:pPr>
              <w:pStyle w:val="P68B1DB1-Normal10"/>
              <w:spacing w:after="0"/>
              <w:rPr>
                <w:noProof/>
              </w:rPr>
            </w:pPr>
            <w:r>
              <w:rPr>
                <w:noProof/>
              </w:rPr>
              <w:t>Писмено уведомление за наградите, изпратено на успешно издържалите конкурса кандидати</w:t>
            </w:r>
          </w:p>
        </w:tc>
        <w:tc>
          <w:tcPr>
            <w:tcW w:w="992" w:type="dxa"/>
            <w:tcBorders>
              <w:top w:val="nil"/>
              <w:left w:val="nil"/>
              <w:bottom w:val="single" w:sz="4" w:space="0" w:color="auto"/>
              <w:right w:val="single" w:sz="4" w:space="0" w:color="auto"/>
            </w:tcBorders>
            <w:shd w:val="clear" w:color="auto" w:fill="C6EFCE"/>
            <w:noWrap/>
            <w:vAlign w:val="center"/>
          </w:tcPr>
          <w:p w14:paraId="4CC80AA8" w14:textId="77777777" w:rsidR="00235E11" w:rsidRDefault="00F837E4">
            <w:pPr>
              <w:pStyle w:val="P68B1DB1-Normal10"/>
              <w:spacing w:after="0"/>
              <w:rPr>
                <w:noProof/>
              </w:rPr>
            </w:pPr>
            <w:r>
              <w:rPr>
                <w:noProof/>
              </w:rPr>
              <w:t>Възлагане на обществени поръчки</w:t>
            </w:r>
          </w:p>
        </w:tc>
        <w:tc>
          <w:tcPr>
            <w:tcW w:w="709" w:type="dxa"/>
            <w:tcBorders>
              <w:top w:val="nil"/>
              <w:left w:val="nil"/>
              <w:bottom w:val="single" w:sz="4" w:space="0" w:color="auto"/>
              <w:right w:val="single" w:sz="4" w:space="0" w:color="auto"/>
            </w:tcBorders>
            <w:shd w:val="clear" w:color="auto" w:fill="C6EFCE"/>
            <w:noWrap/>
            <w:vAlign w:val="center"/>
          </w:tcPr>
          <w:p w14:paraId="314DBF6D" w14:textId="77777777" w:rsidR="00235E11" w:rsidRDefault="00F837E4">
            <w:pPr>
              <w:pStyle w:val="P68B1DB1-Normal10"/>
              <w:spacing w:after="0"/>
              <w:jc w:val="right"/>
              <w:rPr>
                <w:noProof/>
              </w:rPr>
            </w:pPr>
            <w:r>
              <w:rPr>
                <w:noProof/>
              </w:rPr>
              <w:t>0</w:t>
            </w:r>
          </w:p>
        </w:tc>
        <w:tc>
          <w:tcPr>
            <w:tcW w:w="850" w:type="dxa"/>
            <w:tcBorders>
              <w:top w:val="nil"/>
              <w:left w:val="nil"/>
              <w:bottom w:val="single" w:sz="4" w:space="0" w:color="auto"/>
              <w:right w:val="single" w:sz="4" w:space="0" w:color="auto"/>
            </w:tcBorders>
            <w:shd w:val="clear" w:color="auto" w:fill="C6EFCE"/>
            <w:noWrap/>
            <w:vAlign w:val="center"/>
          </w:tcPr>
          <w:p w14:paraId="0EB57DC3" w14:textId="77777777" w:rsidR="00235E11" w:rsidRDefault="00F837E4">
            <w:pPr>
              <w:pStyle w:val="P68B1DB1-Normal10"/>
              <w:spacing w:after="0"/>
              <w:jc w:val="right"/>
              <w:rPr>
                <w:noProof/>
              </w:rPr>
            </w:pPr>
            <w:r>
              <w:rPr>
                <w:noProof/>
              </w:rPr>
              <w:t>8</w:t>
            </w:r>
          </w:p>
        </w:tc>
        <w:tc>
          <w:tcPr>
            <w:tcW w:w="709" w:type="dxa"/>
            <w:tcBorders>
              <w:top w:val="nil"/>
              <w:left w:val="nil"/>
              <w:bottom w:val="single" w:sz="4" w:space="0" w:color="auto"/>
              <w:right w:val="single" w:sz="4" w:space="0" w:color="auto"/>
            </w:tcBorders>
            <w:shd w:val="clear" w:color="auto" w:fill="C6EFCE"/>
            <w:noWrap/>
            <w:vAlign w:val="center"/>
            <w:hideMark/>
          </w:tcPr>
          <w:p w14:paraId="63A6480D"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7D270CFC" w14:textId="77777777" w:rsidR="00235E11" w:rsidRDefault="00F837E4">
            <w:pPr>
              <w:pStyle w:val="P68B1DB1-Normal10"/>
              <w:spacing w:after="0"/>
              <w:jc w:val="center"/>
              <w:rPr>
                <w:noProof/>
              </w:rPr>
            </w:pPr>
            <w:r>
              <w:rPr>
                <w:noProof/>
              </w:rPr>
              <w:t>2024</w:t>
            </w:r>
          </w:p>
        </w:tc>
        <w:tc>
          <w:tcPr>
            <w:tcW w:w="5124" w:type="dxa"/>
            <w:tcBorders>
              <w:top w:val="single" w:sz="4" w:space="0" w:color="auto"/>
              <w:left w:val="nil"/>
              <w:bottom w:val="single" w:sz="4" w:space="0" w:color="auto"/>
              <w:right w:val="single" w:sz="4" w:space="0" w:color="auto"/>
            </w:tcBorders>
            <w:shd w:val="clear" w:color="auto" w:fill="C6EFCE"/>
            <w:noWrap/>
            <w:vAlign w:val="bottom"/>
            <w:hideMark/>
          </w:tcPr>
          <w:p w14:paraId="5E2A1FD3" w14:textId="401404CD" w:rsidR="00235E11" w:rsidRDefault="00F837E4">
            <w:pPr>
              <w:pStyle w:val="P68B1DB1-Normal10"/>
              <w:spacing w:after="0"/>
              <w:rPr>
                <w:noProof/>
              </w:rPr>
            </w:pPr>
            <w:r>
              <w:rPr>
                <w:noProof/>
              </w:rPr>
              <w:t>Уведомление за възлагане на осем публични тръжни процедури i) от Министерството на икономиката за доставката на уебсайта, който позволява на МСП и самостоятелно заетите лица да извършват безплатно киберсканиране с цел бързо идентифициране на областите, в които киберустойчивостта може да бъде подобрена, ii) от Министерството на икономиката за ежегодна кампания за повишаване на осведомеността в областта на киберсигурността, насочена към МСП и самостоятелно заетите лица, iii) от Центъра за киберсигурност за доставка на онлайн приставка, позволяваща на посетителите да установят надеждността на уебсайтовете, iv) от Центъра за киберсигурност за доставката на платформа, където по-големите МСП могат сами да оценят своята киберзрялост въз основа на онлайн проучване; V) от белгийския федерален регулаторен орган в областта на далекосъобщенията за въвеждане на решение за борба с фишинг за електронни съобщения, vi) SMS, vii) измамни повиквания и viii) измамни съобщения за сигнализиране в инфраструктурата на далекосъобщителните оператори.</w:t>
            </w:r>
          </w:p>
        </w:tc>
      </w:tr>
      <w:tr w:rsidR="00235E11" w14:paraId="1C24E52E" w14:textId="77777777">
        <w:trPr>
          <w:trHeight w:val="309"/>
        </w:trPr>
        <w:tc>
          <w:tcPr>
            <w:tcW w:w="739" w:type="dxa"/>
            <w:tcBorders>
              <w:top w:val="nil"/>
              <w:left w:val="single" w:sz="4" w:space="0" w:color="auto"/>
              <w:bottom w:val="single" w:sz="4" w:space="0" w:color="auto"/>
              <w:right w:val="single" w:sz="4" w:space="0" w:color="auto"/>
            </w:tcBorders>
            <w:shd w:val="clear" w:color="auto" w:fill="C6EFCE"/>
            <w:noWrap/>
            <w:vAlign w:val="center"/>
            <w:hideMark/>
          </w:tcPr>
          <w:p w14:paraId="3CDEA484" w14:textId="77777777" w:rsidR="00235E11" w:rsidRDefault="00F837E4">
            <w:pPr>
              <w:pStyle w:val="P68B1DB1-Normal10"/>
              <w:spacing w:after="0"/>
              <w:jc w:val="center"/>
              <w:rPr>
                <w:noProof/>
              </w:rPr>
            </w:pPr>
            <w:r>
              <w:rPr>
                <w:noProof/>
              </w:rPr>
              <w:t>45</w:t>
            </w:r>
          </w:p>
        </w:tc>
        <w:tc>
          <w:tcPr>
            <w:tcW w:w="1808" w:type="dxa"/>
            <w:tcBorders>
              <w:top w:val="nil"/>
              <w:left w:val="nil"/>
              <w:bottom w:val="single" w:sz="4" w:space="0" w:color="auto"/>
              <w:right w:val="single" w:sz="4" w:space="0" w:color="auto"/>
            </w:tcBorders>
            <w:shd w:val="clear" w:color="auto" w:fill="C6EFCE"/>
            <w:noWrap/>
            <w:vAlign w:val="center"/>
            <w:hideMark/>
          </w:tcPr>
          <w:p w14:paraId="445A2A8E" w14:textId="77777777" w:rsidR="00235E11" w:rsidRDefault="00F837E4">
            <w:pPr>
              <w:pStyle w:val="P68B1DB1-Normal10"/>
              <w:spacing w:after="0"/>
              <w:rPr>
                <w:noProof/>
              </w:rPr>
            </w:pPr>
            <w:r>
              <w:rPr>
                <w:noProof/>
              </w:rPr>
              <w:t>Киберсигурност и устойчиво цифрово общество (I-2.01)</w:t>
            </w:r>
          </w:p>
        </w:tc>
        <w:tc>
          <w:tcPr>
            <w:tcW w:w="1168" w:type="dxa"/>
            <w:tcBorders>
              <w:top w:val="nil"/>
              <w:left w:val="nil"/>
              <w:bottom w:val="single" w:sz="4" w:space="0" w:color="auto"/>
              <w:right w:val="single" w:sz="4" w:space="0" w:color="auto"/>
            </w:tcBorders>
            <w:shd w:val="clear" w:color="auto" w:fill="C6EFCE"/>
            <w:noWrap/>
            <w:vAlign w:val="center"/>
            <w:hideMark/>
          </w:tcPr>
          <w:p w14:paraId="521F51D1" w14:textId="5BF77051" w:rsidR="00235E11" w:rsidRDefault="00F837E4">
            <w:pPr>
              <w:pStyle w:val="P68B1DB1-Normal10"/>
              <w:spacing w:after="0"/>
              <w:rPr>
                <w:noProof/>
              </w:rPr>
            </w:pPr>
            <w:r>
              <w:rPr>
                <w:noProof/>
              </w:rPr>
              <w:t>M</w:t>
            </w:r>
          </w:p>
        </w:tc>
        <w:tc>
          <w:tcPr>
            <w:tcW w:w="1242" w:type="dxa"/>
            <w:tcBorders>
              <w:top w:val="nil"/>
              <w:left w:val="nil"/>
              <w:bottom w:val="single" w:sz="4" w:space="0" w:color="auto"/>
              <w:right w:val="single" w:sz="4" w:space="0" w:color="auto"/>
            </w:tcBorders>
            <w:shd w:val="clear" w:color="auto" w:fill="C6EFCE"/>
            <w:noWrap/>
            <w:vAlign w:val="center"/>
            <w:hideMark/>
          </w:tcPr>
          <w:p w14:paraId="16929CAA" w14:textId="77777777" w:rsidR="00235E11" w:rsidRDefault="00F837E4">
            <w:pPr>
              <w:pStyle w:val="P68B1DB1-Normal10"/>
              <w:spacing w:after="0"/>
              <w:rPr>
                <w:noProof/>
              </w:rPr>
            </w:pPr>
            <w:r>
              <w:rPr>
                <w:noProof/>
              </w:rPr>
              <w:t>Провеждане на първата кампания за повишаване на осведомеността относно киберсигурността</w:t>
            </w:r>
          </w:p>
        </w:tc>
        <w:tc>
          <w:tcPr>
            <w:tcW w:w="1452" w:type="dxa"/>
            <w:tcBorders>
              <w:top w:val="nil"/>
              <w:left w:val="nil"/>
              <w:bottom w:val="single" w:sz="4" w:space="0" w:color="auto"/>
              <w:right w:val="single" w:sz="4" w:space="0" w:color="auto"/>
            </w:tcBorders>
            <w:shd w:val="clear" w:color="auto" w:fill="C6EFCE"/>
            <w:noWrap/>
            <w:vAlign w:val="bottom"/>
            <w:hideMark/>
          </w:tcPr>
          <w:p w14:paraId="1190E227" w14:textId="77777777" w:rsidR="00235E11" w:rsidRDefault="00F837E4">
            <w:pPr>
              <w:pStyle w:val="P68B1DB1-Normal10"/>
              <w:spacing w:after="0"/>
              <w:rPr>
                <w:noProof/>
              </w:rPr>
            </w:pPr>
            <w:r>
              <w:rPr>
                <w:noProof/>
              </w:rPr>
              <w:t>Първа кампания за повишаване на осведомеността относно киберсигурността, насочена към МСП и самостоятелно заетите лица, относно рисковете за киберустойчивостта</w:t>
            </w:r>
          </w:p>
        </w:tc>
        <w:tc>
          <w:tcPr>
            <w:tcW w:w="992" w:type="dxa"/>
            <w:tcBorders>
              <w:top w:val="nil"/>
              <w:left w:val="nil"/>
              <w:bottom w:val="single" w:sz="4" w:space="0" w:color="auto"/>
              <w:right w:val="single" w:sz="4" w:space="0" w:color="auto"/>
            </w:tcBorders>
            <w:shd w:val="clear" w:color="auto" w:fill="C6EFCE"/>
            <w:noWrap/>
            <w:vAlign w:val="center"/>
          </w:tcPr>
          <w:p w14:paraId="7E40B513"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136FA1FA" w14:textId="77777777" w:rsidR="00235E11" w:rsidRDefault="00235E11">
            <w:pPr>
              <w:spacing w:after="0"/>
              <w:jc w:val="right"/>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3CA5A1E7"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hideMark/>
          </w:tcPr>
          <w:p w14:paraId="3940E998"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0A4E3B6C" w14:textId="77777777" w:rsidR="00235E11" w:rsidRDefault="00F837E4">
            <w:pPr>
              <w:pStyle w:val="P68B1DB1-Normal10"/>
              <w:spacing w:after="0"/>
              <w:jc w:val="center"/>
              <w:rPr>
                <w:noProof/>
              </w:rPr>
            </w:pPr>
            <w:r>
              <w:rPr>
                <w:noProof/>
              </w:rPr>
              <w:t>2022</w:t>
            </w:r>
          </w:p>
        </w:tc>
        <w:tc>
          <w:tcPr>
            <w:tcW w:w="5124" w:type="dxa"/>
            <w:tcBorders>
              <w:top w:val="nil"/>
              <w:left w:val="nil"/>
              <w:bottom w:val="single" w:sz="4" w:space="0" w:color="auto"/>
              <w:right w:val="single" w:sz="4" w:space="0" w:color="auto"/>
            </w:tcBorders>
            <w:shd w:val="clear" w:color="auto" w:fill="C6EFCE"/>
            <w:noWrap/>
            <w:vAlign w:val="center"/>
          </w:tcPr>
          <w:p w14:paraId="764A517B" w14:textId="77777777" w:rsidR="00235E11" w:rsidRDefault="00F837E4">
            <w:pPr>
              <w:pStyle w:val="P68B1DB1-Normal10"/>
              <w:spacing w:after="0"/>
              <w:rPr>
                <w:noProof/>
              </w:rPr>
            </w:pPr>
            <w:r>
              <w:rPr>
                <w:noProof/>
              </w:rPr>
              <w:t>Първата кампания за повишаване на осведомеността в областта на киберсигурността, насочена към МСП и самостоятелно заетите лица, относно рисковете, свързани с устойчивостта на киберпространството, беше осъществена и беше внедрен уебсайт. Този уебсайт предлага безплатно кибернаблюдение на МСП и самостоятелно заетите лица, за да се установят бързо областите, в които киберустойчивостта може да бъде подобрена.</w:t>
            </w:r>
          </w:p>
        </w:tc>
      </w:tr>
      <w:tr w:rsidR="00235E11" w14:paraId="4F264A0D" w14:textId="77777777">
        <w:trPr>
          <w:trHeight w:val="309"/>
        </w:trPr>
        <w:tc>
          <w:tcPr>
            <w:tcW w:w="739" w:type="dxa"/>
            <w:tcBorders>
              <w:top w:val="nil"/>
              <w:left w:val="single" w:sz="4" w:space="0" w:color="auto"/>
              <w:bottom w:val="single" w:sz="4" w:space="0" w:color="auto"/>
              <w:right w:val="single" w:sz="4" w:space="0" w:color="auto"/>
            </w:tcBorders>
            <w:shd w:val="clear" w:color="auto" w:fill="C6EFCE"/>
            <w:noWrap/>
            <w:vAlign w:val="center"/>
            <w:hideMark/>
          </w:tcPr>
          <w:p w14:paraId="4E78D52D" w14:textId="77777777" w:rsidR="00235E11" w:rsidRDefault="00F837E4">
            <w:pPr>
              <w:pStyle w:val="P68B1DB1-Normal10"/>
              <w:spacing w:after="0"/>
              <w:jc w:val="center"/>
              <w:rPr>
                <w:noProof/>
              </w:rPr>
            </w:pPr>
            <w:r>
              <w:rPr>
                <w:noProof/>
              </w:rPr>
              <w:t>46</w:t>
            </w:r>
          </w:p>
        </w:tc>
        <w:tc>
          <w:tcPr>
            <w:tcW w:w="1808" w:type="dxa"/>
            <w:tcBorders>
              <w:top w:val="nil"/>
              <w:left w:val="nil"/>
              <w:bottom w:val="single" w:sz="4" w:space="0" w:color="auto"/>
              <w:right w:val="single" w:sz="4" w:space="0" w:color="auto"/>
            </w:tcBorders>
            <w:shd w:val="clear" w:color="auto" w:fill="C6EFCE"/>
            <w:noWrap/>
            <w:vAlign w:val="center"/>
            <w:hideMark/>
          </w:tcPr>
          <w:p w14:paraId="0C96F36C" w14:textId="77777777" w:rsidR="00235E11" w:rsidRDefault="00F837E4">
            <w:pPr>
              <w:pStyle w:val="P68B1DB1-Normal10"/>
              <w:spacing w:after="0"/>
              <w:rPr>
                <w:noProof/>
              </w:rPr>
            </w:pPr>
            <w:r>
              <w:rPr>
                <w:noProof/>
              </w:rPr>
              <w:t>Киберсигурност и устойчиво цифрово общество (I-2.01)</w:t>
            </w:r>
          </w:p>
        </w:tc>
        <w:tc>
          <w:tcPr>
            <w:tcW w:w="1168" w:type="dxa"/>
            <w:tcBorders>
              <w:top w:val="nil"/>
              <w:left w:val="nil"/>
              <w:bottom w:val="single" w:sz="4" w:space="0" w:color="auto"/>
              <w:right w:val="single" w:sz="4" w:space="0" w:color="auto"/>
            </w:tcBorders>
            <w:shd w:val="clear" w:color="auto" w:fill="C6EFCE"/>
            <w:noWrap/>
            <w:vAlign w:val="center"/>
            <w:hideMark/>
          </w:tcPr>
          <w:p w14:paraId="16052212" w14:textId="6BD89817" w:rsidR="00235E11" w:rsidRDefault="00F837E4">
            <w:pPr>
              <w:pStyle w:val="P68B1DB1-Normal10"/>
              <w:spacing w:after="0"/>
              <w:rPr>
                <w:noProof/>
              </w:rPr>
            </w:pPr>
            <w:r>
              <w:rPr>
                <w:noProof/>
              </w:rPr>
              <w:t>T</w:t>
            </w:r>
          </w:p>
        </w:tc>
        <w:tc>
          <w:tcPr>
            <w:tcW w:w="1242" w:type="dxa"/>
            <w:tcBorders>
              <w:top w:val="nil"/>
              <w:left w:val="nil"/>
              <w:bottom w:val="single" w:sz="4" w:space="0" w:color="auto"/>
              <w:right w:val="single" w:sz="4" w:space="0" w:color="auto"/>
            </w:tcBorders>
            <w:shd w:val="clear" w:color="auto" w:fill="C6EFCE"/>
            <w:noWrap/>
            <w:vAlign w:val="center"/>
            <w:hideMark/>
          </w:tcPr>
          <w:p w14:paraId="5DF8C9FB" w14:textId="77777777" w:rsidR="00235E11" w:rsidRDefault="00F837E4">
            <w:pPr>
              <w:pStyle w:val="P68B1DB1-Normal10"/>
              <w:spacing w:after="0"/>
              <w:rPr>
                <w:noProof/>
              </w:rPr>
            </w:pPr>
            <w:r>
              <w:rPr>
                <w:noProof/>
              </w:rPr>
              <w:t>Инструменти за повишаване на киберустойчивостта, достъпни за широката общественост</w:t>
            </w:r>
          </w:p>
        </w:tc>
        <w:tc>
          <w:tcPr>
            <w:tcW w:w="1452" w:type="dxa"/>
            <w:tcBorders>
              <w:top w:val="nil"/>
              <w:left w:val="nil"/>
              <w:bottom w:val="single" w:sz="4" w:space="0" w:color="auto"/>
              <w:right w:val="single" w:sz="4" w:space="0" w:color="auto"/>
            </w:tcBorders>
            <w:shd w:val="clear" w:color="auto" w:fill="C6EFCE"/>
            <w:noWrap/>
            <w:vAlign w:val="center"/>
            <w:hideMark/>
          </w:tcPr>
          <w:p w14:paraId="2C6979ED"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65774778" w14:textId="77777777" w:rsidR="00235E11" w:rsidRDefault="00F837E4">
            <w:pPr>
              <w:pStyle w:val="P68B1DB1-Normal10"/>
              <w:spacing w:after="0"/>
              <w:rPr>
                <w:noProof/>
              </w:rPr>
            </w:pPr>
            <w:r>
              <w:rPr>
                <w:noProof/>
              </w:rPr>
              <w:t xml:space="preserve">Брой на инструментите </w:t>
            </w:r>
          </w:p>
        </w:tc>
        <w:tc>
          <w:tcPr>
            <w:tcW w:w="709" w:type="dxa"/>
            <w:tcBorders>
              <w:top w:val="nil"/>
              <w:left w:val="nil"/>
              <w:bottom w:val="single" w:sz="4" w:space="0" w:color="auto"/>
              <w:right w:val="single" w:sz="4" w:space="0" w:color="auto"/>
            </w:tcBorders>
            <w:shd w:val="clear" w:color="auto" w:fill="C6EFCE"/>
            <w:noWrap/>
            <w:vAlign w:val="center"/>
          </w:tcPr>
          <w:p w14:paraId="2BFDC6A6" w14:textId="77777777" w:rsidR="00235E11" w:rsidRDefault="00F837E4">
            <w:pPr>
              <w:pStyle w:val="P68B1DB1-Normal10"/>
              <w:spacing w:after="0"/>
              <w:rPr>
                <w:noProof/>
              </w:rPr>
            </w:pPr>
            <w:r>
              <w:rPr>
                <w:noProof/>
              </w:rPr>
              <w:t>0</w:t>
            </w:r>
          </w:p>
        </w:tc>
        <w:tc>
          <w:tcPr>
            <w:tcW w:w="850" w:type="dxa"/>
            <w:tcBorders>
              <w:top w:val="nil"/>
              <w:left w:val="nil"/>
              <w:bottom w:val="single" w:sz="4" w:space="0" w:color="auto"/>
              <w:right w:val="single" w:sz="4" w:space="0" w:color="auto"/>
            </w:tcBorders>
            <w:shd w:val="clear" w:color="auto" w:fill="C6EFCE"/>
            <w:noWrap/>
            <w:vAlign w:val="center"/>
          </w:tcPr>
          <w:p w14:paraId="41BA920A" w14:textId="77777777" w:rsidR="00235E11" w:rsidRDefault="00F837E4">
            <w:pPr>
              <w:pStyle w:val="P68B1DB1-Normal10"/>
              <w:spacing w:after="0"/>
              <w:rPr>
                <w:noProof/>
              </w:rPr>
            </w:pPr>
            <w:r>
              <w:rPr>
                <w:noProof/>
              </w:rPr>
              <w:t>4</w:t>
            </w:r>
          </w:p>
        </w:tc>
        <w:tc>
          <w:tcPr>
            <w:tcW w:w="709" w:type="dxa"/>
            <w:tcBorders>
              <w:top w:val="nil"/>
              <w:left w:val="nil"/>
              <w:bottom w:val="single" w:sz="4" w:space="0" w:color="auto"/>
              <w:right w:val="single" w:sz="4" w:space="0" w:color="auto"/>
            </w:tcBorders>
            <w:shd w:val="clear" w:color="auto" w:fill="C6EFCE"/>
            <w:noWrap/>
            <w:vAlign w:val="center"/>
            <w:hideMark/>
          </w:tcPr>
          <w:p w14:paraId="2D816B44"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58FCDD2E" w14:textId="4E144C6D" w:rsidR="00235E11" w:rsidRDefault="00F837E4">
            <w:pPr>
              <w:pStyle w:val="P68B1DB1-Normal10"/>
              <w:spacing w:after="0"/>
              <w:jc w:val="center"/>
              <w:rPr>
                <w:noProof/>
              </w:rPr>
            </w:pPr>
            <w:r>
              <w:rPr>
                <w:noProof/>
              </w:rPr>
              <w:t>2024</w:t>
            </w:r>
          </w:p>
        </w:tc>
        <w:tc>
          <w:tcPr>
            <w:tcW w:w="5124" w:type="dxa"/>
            <w:tcBorders>
              <w:top w:val="nil"/>
              <w:left w:val="nil"/>
              <w:bottom w:val="single" w:sz="4" w:space="0" w:color="auto"/>
              <w:right w:val="single" w:sz="4" w:space="0" w:color="auto"/>
            </w:tcBorders>
            <w:shd w:val="clear" w:color="auto" w:fill="C6EFCE"/>
            <w:noWrap/>
            <w:vAlign w:val="center"/>
            <w:hideMark/>
          </w:tcPr>
          <w:p w14:paraId="77BE0081" w14:textId="77777777" w:rsidR="00235E11" w:rsidRDefault="00F837E4">
            <w:pPr>
              <w:pStyle w:val="P68B1DB1-Normal10"/>
              <w:spacing w:after="0"/>
              <w:rPr>
                <w:noProof/>
              </w:rPr>
            </w:pPr>
            <w:r>
              <w:rPr>
                <w:noProof/>
              </w:rPr>
              <w:t>Четири инструмента, насочени към повишаване на способностите за киберустойчивост, са на разположение на широката общественост, а именно i) BeGuard, ii) валидирани уеб сайтове; III) Основни киберелементи и iv) спиране на фишинга.</w:t>
            </w:r>
          </w:p>
        </w:tc>
      </w:tr>
      <w:tr w:rsidR="00235E11" w14:paraId="25F3B820" w14:textId="77777777">
        <w:trPr>
          <w:trHeight w:val="309"/>
        </w:trPr>
        <w:tc>
          <w:tcPr>
            <w:tcW w:w="739" w:type="dxa"/>
            <w:tcBorders>
              <w:top w:val="nil"/>
              <w:left w:val="single" w:sz="4" w:space="0" w:color="auto"/>
              <w:bottom w:val="single" w:sz="4" w:space="0" w:color="auto"/>
              <w:right w:val="single" w:sz="4" w:space="0" w:color="auto"/>
            </w:tcBorders>
            <w:shd w:val="clear" w:color="auto" w:fill="C6EFCE"/>
            <w:noWrap/>
            <w:vAlign w:val="center"/>
          </w:tcPr>
          <w:p w14:paraId="0AF3B1DD" w14:textId="77777777" w:rsidR="00235E11" w:rsidRDefault="00F837E4">
            <w:pPr>
              <w:pStyle w:val="P68B1DB1-Normal10"/>
              <w:spacing w:after="0"/>
              <w:jc w:val="center"/>
              <w:rPr>
                <w:noProof/>
              </w:rPr>
            </w:pPr>
            <w:r>
              <w:rPr>
                <w:noProof/>
              </w:rPr>
              <w:t>47</w:t>
            </w:r>
          </w:p>
        </w:tc>
        <w:tc>
          <w:tcPr>
            <w:tcW w:w="1808" w:type="dxa"/>
            <w:tcBorders>
              <w:top w:val="nil"/>
              <w:left w:val="nil"/>
              <w:bottom w:val="single" w:sz="4" w:space="0" w:color="auto"/>
              <w:right w:val="single" w:sz="4" w:space="0" w:color="auto"/>
            </w:tcBorders>
            <w:shd w:val="clear" w:color="auto" w:fill="C6EFCE"/>
            <w:noWrap/>
            <w:vAlign w:val="center"/>
          </w:tcPr>
          <w:p w14:paraId="41FB164B" w14:textId="77777777" w:rsidR="00235E11" w:rsidRDefault="00F837E4">
            <w:pPr>
              <w:pStyle w:val="P68B1DB1-Normal10"/>
              <w:spacing w:after="0"/>
              <w:rPr>
                <w:noProof/>
              </w:rPr>
            </w:pPr>
            <w:r>
              <w:rPr>
                <w:noProof/>
              </w:rPr>
              <w:t>Киберсигурност и устойчиво цифрово общество (I-2.01)</w:t>
            </w:r>
          </w:p>
        </w:tc>
        <w:tc>
          <w:tcPr>
            <w:tcW w:w="1168" w:type="dxa"/>
            <w:tcBorders>
              <w:top w:val="nil"/>
              <w:left w:val="nil"/>
              <w:bottom w:val="single" w:sz="4" w:space="0" w:color="auto"/>
              <w:right w:val="single" w:sz="4" w:space="0" w:color="auto"/>
            </w:tcBorders>
            <w:shd w:val="clear" w:color="auto" w:fill="C6EFCE"/>
            <w:noWrap/>
            <w:vAlign w:val="center"/>
          </w:tcPr>
          <w:p w14:paraId="58931F20" w14:textId="7FD6258E" w:rsidR="00235E11" w:rsidRDefault="00F837E4">
            <w:pPr>
              <w:pStyle w:val="P68B1DB1-Normal10"/>
              <w:spacing w:after="0"/>
              <w:rPr>
                <w:noProof/>
              </w:rPr>
            </w:pPr>
            <w:r>
              <w:rPr>
                <w:noProof/>
              </w:rPr>
              <w:t>M</w:t>
            </w:r>
          </w:p>
        </w:tc>
        <w:tc>
          <w:tcPr>
            <w:tcW w:w="1242" w:type="dxa"/>
            <w:tcBorders>
              <w:top w:val="nil"/>
              <w:left w:val="nil"/>
              <w:bottom w:val="single" w:sz="4" w:space="0" w:color="auto"/>
              <w:right w:val="single" w:sz="4" w:space="0" w:color="auto"/>
            </w:tcBorders>
            <w:shd w:val="clear" w:color="auto" w:fill="C6EFCE"/>
            <w:noWrap/>
            <w:vAlign w:val="center"/>
          </w:tcPr>
          <w:p w14:paraId="1F1DED56" w14:textId="77777777" w:rsidR="00235E11" w:rsidRDefault="00F837E4">
            <w:pPr>
              <w:pStyle w:val="P68B1DB1-Normal10"/>
              <w:spacing w:after="0"/>
              <w:rPr>
                <w:noProof/>
              </w:rPr>
            </w:pPr>
            <w:r>
              <w:rPr>
                <w:noProof/>
              </w:rPr>
              <w:t xml:space="preserve">Глобална рамка за управление на киберсигурността в рамките на Министерството на външните работи </w:t>
            </w:r>
          </w:p>
        </w:tc>
        <w:tc>
          <w:tcPr>
            <w:tcW w:w="1452" w:type="dxa"/>
            <w:tcBorders>
              <w:top w:val="nil"/>
              <w:left w:val="nil"/>
              <w:bottom w:val="single" w:sz="4" w:space="0" w:color="auto"/>
              <w:right w:val="single" w:sz="4" w:space="0" w:color="auto"/>
            </w:tcBorders>
            <w:shd w:val="clear" w:color="auto" w:fill="C6EFCE"/>
            <w:noWrap/>
            <w:vAlign w:val="center"/>
          </w:tcPr>
          <w:p w14:paraId="5A26C67F" w14:textId="77777777" w:rsidR="00235E11" w:rsidRDefault="00F837E4">
            <w:pPr>
              <w:pStyle w:val="P68B1DB1-Normal10"/>
              <w:spacing w:after="0"/>
              <w:rPr>
                <w:noProof/>
              </w:rPr>
            </w:pPr>
            <w:r>
              <w:rPr>
                <w:noProof/>
              </w:rPr>
              <w:t>Въведена и влязла в сила глобална рамка за управление на киберсигурността в рамките на Министерството на външните работи</w:t>
            </w:r>
          </w:p>
        </w:tc>
        <w:tc>
          <w:tcPr>
            <w:tcW w:w="992" w:type="dxa"/>
            <w:tcBorders>
              <w:top w:val="nil"/>
              <w:left w:val="nil"/>
              <w:bottom w:val="single" w:sz="4" w:space="0" w:color="auto"/>
              <w:right w:val="single" w:sz="4" w:space="0" w:color="auto"/>
            </w:tcBorders>
            <w:shd w:val="clear" w:color="auto" w:fill="C6EFCE"/>
            <w:noWrap/>
            <w:vAlign w:val="center"/>
          </w:tcPr>
          <w:p w14:paraId="1C99D034"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53D51B1A" w14:textId="77777777"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317DA7D6"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3C9C8C17"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5CB735E8" w14:textId="77777777" w:rsidR="00235E11" w:rsidRDefault="00F837E4">
            <w:pPr>
              <w:pStyle w:val="P68B1DB1-Normal10"/>
              <w:spacing w:after="0"/>
              <w:jc w:val="center"/>
              <w:rPr>
                <w:noProof/>
              </w:rPr>
            </w:pPr>
            <w:r>
              <w:rPr>
                <w:noProof/>
              </w:rPr>
              <w:t>2023</w:t>
            </w:r>
          </w:p>
        </w:tc>
        <w:tc>
          <w:tcPr>
            <w:tcW w:w="5124" w:type="dxa"/>
            <w:tcBorders>
              <w:top w:val="nil"/>
              <w:left w:val="nil"/>
              <w:bottom w:val="single" w:sz="4" w:space="0" w:color="auto"/>
              <w:right w:val="single" w:sz="4" w:space="0" w:color="auto"/>
            </w:tcBorders>
            <w:shd w:val="clear" w:color="auto" w:fill="C6EFCE"/>
            <w:noWrap/>
            <w:vAlign w:val="center"/>
          </w:tcPr>
          <w:p w14:paraId="7B9BE02A" w14:textId="77777777" w:rsidR="00235E11" w:rsidRDefault="00F837E4">
            <w:pPr>
              <w:pStyle w:val="P68B1DB1-Normal10"/>
              <w:spacing w:after="0"/>
              <w:rPr>
                <w:noProof/>
              </w:rPr>
            </w:pPr>
            <w:r>
              <w:rPr>
                <w:noProof/>
              </w:rPr>
              <w:t>В Министерството на външните работи е в сила и се прилага глобална рамка за управление на киберсигурността, основана на стандартите ISO27000 и CIS20.</w:t>
            </w:r>
          </w:p>
        </w:tc>
      </w:tr>
      <w:tr w:rsidR="00235E11" w14:paraId="3B3C7ECB" w14:textId="77777777">
        <w:trPr>
          <w:trHeight w:val="309"/>
        </w:trPr>
        <w:tc>
          <w:tcPr>
            <w:tcW w:w="739" w:type="dxa"/>
            <w:tcBorders>
              <w:top w:val="nil"/>
              <w:left w:val="single" w:sz="4" w:space="0" w:color="auto"/>
              <w:bottom w:val="single" w:sz="4" w:space="0" w:color="auto"/>
              <w:right w:val="single" w:sz="4" w:space="0" w:color="auto"/>
            </w:tcBorders>
            <w:shd w:val="clear" w:color="auto" w:fill="C6EFCE"/>
            <w:noWrap/>
            <w:vAlign w:val="center"/>
          </w:tcPr>
          <w:p w14:paraId="11EB69B0" w14:textId="77777777" w:rsidR="00235E11" w:rsidRDefault="00F837E4">
            <w:pPr>
              <w:pStyle w:val="P68B1DB1-Normal10"/>
              <w:spacing w:after="0"/>
              <w:jc w:val="center"/>
              <w:rPr>
                <w:noProof/>
              </w:rPr>
            </w:pPr>
            <w:r>
              <w:rPr>
                <w:noProof/>
              </w:rPr>
              <w:t>48</w:t>
            </w:r>
          </w:p>
        </w:tc>
        <w:tc>
          <w:tcPr>
            <w:tcW w:w="1808" w:type="dxa"/>
            <w:tcBorders>
              <w:top w:val="nil"/>
              <w:left w:val="nil"/>
              <w:bottom w:val="single" w:sz="4" w:space="0" w:color="auto"/>
              <w:right w:val="single" w:sz="4" w:space="0" w:color="auto"/>
            </w:tcBorders>
            <w:shd w:val="clear" w:color="auto" w:fill="C6EFCE"/>
            <w:noWrap/>
            <w:vAlign w:val="center"/>
          </w:tcPr>
          <w:p w14:paraId="0F42320C" w14:textId="77777777" w:rsidR="00235E11" w:rsidRDefault="00F837E4">
            <w:pPr>
              <w:pStyle w:val="P68B1DB1-Normal10"/>
              <w:spacing w:after="0"/>
              <w:rPr>
                <w:noProof/>
              </w:rPr>
            </w:pPr>
            <w:r>
              <w:rPr>
                <w:noProof/>
              </w:rPr>
              <w:t>Киберсигурност и устойчиво цифрово общество (I-2.01)</w:t>
            </w:r>
          </w:p>
        </w:tc>
        <w:tc>
          <w:tcPr>
            <w:tcW w:w="1168" w:type="dxa"/>
            <w:tcBorders>
              <w:top w:val="nil"/>
              <w:left w:val="nil"/>
              <w:bottom w:val="single" w:sz="4" w:space="0" w:color="auto"/>
              <w:right w:val="single" w:sz="4" w:space="0" w:color="auto"/>
            </w:tcBorders>
            <w:shd w:val="clear" w:color="auto" w:fill="C6EFCE"/>
            <w:noWrap/>
            <w:vAlign w:val="center"/>
          </w:tcPr>
          <w:p w14:paraId="7986B72B" w14:textId="03BA753E" w:rsidR="00235E11" w:rsidRDefault="00F837E4">
            <w:pPr>
              <w:pStyle w:val="P68B1DB1-Normal10"/>
              <w:spacing w:after="0"/>
              <w:rPr>
                <w:noProof/>
              </w:rPr>
            </w:pPr>
            <w:r>
              <w:rPr>
                <w:noProof/>
              </w:rPr>
              <w:t>M</w:t>
            </w:r>
          </w:p>
        </w:tc>
        <w:tc>
          <w:tcPr>
            <w:tcW w:w="1242" w:type="dxa"/>
            <w:tcBorders>
              <w:top w:val="nil"/>
              <w:left w:val="nil"/>
              <w:bottom w:val="single" w:sz="4" w:space="0" w:color="auto"/>
              <w:right w:val="single" w:sz="4" w:space="0" w:color="auto"/>
            </w:tcBorders>
            <w:shd w:val="clear" w:color="auto" w:fill="C6EFCE"/>
            <w:noWrap/>
            <w:vAlign w:val="center"/>
          </w:tcPr>
          <w:p w14:paraId="402DF165" w14:textId="77777777" w:rsidR="00235E11" w:rsidRDefault="00F837E4">
            <w:pPr>
              <w:pStyle w:val="P68B1DB1-Normal10"/>
              <w:spacing w:after="0"/>
              <w:rPr>
                <w:noProof/>
              </w:rPr>
            </w:pPr>
            <w:r>
              <w:rPr>
                <w:noProof/>
              </w:rPr>
              <w:t>Предоставяне на услуги за киберустойчивост на белгийското общество като цяло от Министерството на отбраната</w:t>
            </w:r>
          </w:p>
        </w:tc>
        <w:tc>
          <w:tcPr>
            <w:tcW w:w="1452" w:type="dxa"/>
            <w:tcBorders>
              <w:top w:val="nil"/>
              <w:left w:val="nil"/>
              <w:bottom w:val="single" w:sz="4" w:space="0" w:color="auto"/>
              <w:right w:val="single" w:sz="4" w:space="0" w:color="auto"/>
            </w:tcBorders>
            <w:shd w:val="clear" w:color="auto" w:fill="C6EFCE"/>
            <w:noWrap/>
            <w:vAlign w:val="center"/>
          </w:tcPr>
          <w:p w14:paraId="3D928470" w14:textId="77777777" w:rsidR="00235E11" w:rsidRDefault="00F837E4">
            <w:pPr>
              <w:pStyle w:val="P68B1DB1-Normal10"/>
              <w:spacing w:after="0"/>
              <w:rPr>
                <w:noProof/>
              </w:rPr>
            </w:pPr>
            <w:r>
              <w:rPr>
                <w:noProof/>
              </w:rPr>
              <w:t>Влизане в експлоатация на платформата на Министерството на отбраната за киберустойчивост и публикуване на доклад за киберзаплахите</w:t>
            </w:r>
          </w:p>
        </w:tc>
        <w:tc>
          <w:tcPr>
            <w:tcW w:w="992" w:type="dxa"/>
            <w:tcBorders>
              <w:top w:val="nil"/>
              <w:left w:val="nil"/>
              <w:bottom w:val="single" w:sz="4" w:space="0" w:color="auto"/>
              <w:right w:val="single" w:sz="4" w:space="0" w:color="auto"/>
            </w:tcBorders>
            <w:shd w:val="clear" w:color="auto" w:fill="C6EFCE"/>
            <w:noWrap/>
            <w:vAlign w:val="center"/>
          </w:tcPr>
          <w:p w14:paraId="38EF80DF"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572FD017" w14:textId="77777777"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604EDD77"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4C9319A3"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424B6246" w14:textId="77777777" w:rsidR="00235E11" w:rsidRDefault="00F837E4">
            <w:pPr>
              <w:pStyle w:val="P68B1DB1-Normal10"/>
              <w:spacing w:after="0"/>
              <w:jc w:val="center"/>
              <w:rPr>
                <w:noProof/>
              </w:rPr>
            </w:pPr>
            <w:r>
              <w:rPr>
                <w:noProof/>
              </w:rPr>
              <w:t>2026</w:t>
            </w:r>
          </w:p>
        </w:tc>
        <w:tc>
          <w:tcPr>
            <w:tcW w:w="5124" w:type="dxa"/>
            <w:tcBorders>
              <w:top w:val="nil"/>
              <w:left w:val="nil"/>
              <w:bottom w:val="single" w:sz="4" w:space="0" w:color="auto"/>
              <w:right w:val="single" w:sz="4" w:space="0" w:color="auto"/>
            </w:tcBorders>
            <w:shd w:val="clear" w:color="auto" w:fill="C6EFCE"/>
            <w:noWrap/>
            <w:vAlign w:val="center"/>
          </w:tcPr>
          <w:p w14:paraId="6105EC06" w14:textId="7330DF64" w:rsidR="00235E11" w:rsidRDefault="00F837E4">
            <w:pPr>
              <w:pStyle w:val="P68B1DB1-Normal10"/>
              <w:spacing w:after="0"/>
              <w:rPr>
                <w:noProof/>
              </w:rPr>
            </w:pPr>
            <w:r>
              <w:rPr>
                <w:noProof/>
              </w:rPr>
              <w:t>Способностите за киберустойчивост на Министерството на отбраната са подобрени, за да се предложат услуги за киберустойчивост на белгийското общество като цяло, включително на гражданите, предприятията и гражданските служби. Тези услуги се предоставят чрез една платформа, интегрираща съответната разузнавателна информация за киберзаплахи, и чрез надзор на участниците, потенциално представляващи киберзаплахи. Този надзор се състои от периодичен доклад, съдържащ актуализации на киберсубектите.</w:t>
            </w:r>
          </w:p>
        </w:tc>
      </w:tr>
      <w:tr w:rsidR="00235E11" w14:paraId="1520E900" w14:textId="77777777">
        <w:trPr>
          <w:trHeight w:val="309"/>
        </w:trPr>
        <w:tc>
          <w:tcPr>
            <w:tcW w:w="739" w:type="dxa"/>
            <w:tcBorders>
              <w:top w:val="nil"/>
              <w:left w:val="single" w:sz="4" w:space="0" w:color="auto"/>
              <w:bottom w:val="single" w:sz="4" w:space="0" w:color="auto"/>
              <w:right w:val="single" w:sz="4" w:space="0" w:color="auto"/>
            </w:tcBorders>
            <w:shd w:val="clear" w:color="auto" w:fill="C6EFCE"/>
            <w:noWrap/>
            <w:vAlign w:val="center"/>
          </w:tcPr>
          <w:p w14:paraId="1AD8F8B5" w14:textId="77777777" w:rsidR="00235E11" w:rsidRDefault="00F837E4">
            <w:pPr>
              <w:pStyle w:val="P68B1DB1-Normal10"/>
              <w:spacing w:after="0"/>
              <w:jc w:val="center"/>
              <w:rPr>
                <w:noProof/>
              </w:rPr>
            </w:pPr>
            <w:r>
              <w:rPr>
                <w:noProof/>
              </w:rPr>
              <w:t>49</w:t>
            </w:r>
          </w:p>
        </w:tc>
        <w:tc>
          <w:tcPr>
            <w:tcW w:w="1808" w:type="dxa"/>
            <w:tcBorders>
              <w:top w:val="nil"/>
              <w:left w:val="nil"/>
              <w:bottom w:val="single" w:sz="4" w:space="0" w:color="auto"/>
              <w:right w:val="single" w:sz="4" w:space="0" w:color="auto"/>
            </w:tcBorders>
            <w:shd w:val="clear" w:color="auto" w:fill="C6EFCE"/>
            <w:noWrap/>
            <w:vAlign w:val="center"/>
          </w:tcPr>
          <w:p w14:paraId="10C9EBC2" w14:textId="77777777" w:rsidR="00235E11" w:rsidRDefault="00F837E4">
            <w:pPr>
              <w:pStyle w:val="P68B1DB1-Normal10"/>
              <w:spacing w:after="0"/>
              <w:rPr>
                <w:noProof/>
              </w:rPr>
            </w:pPr>
            <w:r>
              <w:rPr>
                <w:noProof/>
              </w:rPr>
              <w:t>Киберсигурност: 5G (I-2.02)</w:t>
            </w:r>
          </w:p>
        </w:tc>
        <w:tc>
          <w:tcPr>
            <w:tcW w:w="1168" w:type="dxa"/>
            <w:tcBorders>
              <w:top w:val="nil"/>
              <w:left w:val="nil"/>
              <w:bottom w:val="single" w:sz="4" w:space="0" w:color="auto"/>
              <w:right w:val="single" w:sz="4" w:space="0" w:color="auto"/>
            </w:tcBorders>
            <w:shd w:val="clear" w:color="auto" w:fill="C6EFCE"/>
            <w:noWrap/>
            <w:vAlign w:val="center"/>
          </w:tcPr>
          <w:p w14:paraId="2D662734" w14:textId="0C3CBDCE" w:rsidR="00235E11" w:rsidRDefault="00F837E4">
            <w:pPr>
              <w:pStyle w:val="P68B1DB1-Normal10"/>
              <w:spacing w:after="0"/>
              <w:rPr>
                <w:noProof/>
              </w:rPr>
            </w:pPr>
            <w:r>
              <w:rPr>
                <w:noProof/>
              </w:rPr>
              <w:t>M</w:t>
            </w:r>
          </w:p>
        </w:tc>
        <w:tc>
          <w:tcPr>
            <w:tcW w:w="1242" w:type="dxa"/>
            <w:tcBorders>
              <w:top w:val="nil"/>
              <w:left w:val="nil"/>
              <w:bottom w:val="single" w:sz="4" w:space="0" w:color="auto"/>
              <w:right w:val="single" w:sz="4" w:space="0" w:color="auto"/>
            </w:tcBorders>
            <w:shd w:val="clear" w:color="auto" w:fill="C6EFCE"/>
            <w:noWrap/>
            <w:vAlign w:val="center"/>
          </w:tcPr>
          <w:p w14:paraId="42FAB26F" w14:textId="77777777" w:rsidR="00235E11" w:rsidRDefault="00F837E4">
            <w:pPr>
              <w:pStyle w:val="P68B1DB1-Normal10"/>
              <w:spacing w:after="0"/>
              <w:rPr>
                <w:noProof/>
              </w:rPr>
            </w:pPr>
            <w:r>
              <w:rPr>
                <w:noProof/>
              </w:rPr>
              <w:t xml:space="preserve">Засилен капацитет на съдебната полиция за прихващане в контекста на 5G </w:t>
            </w:r>
          </w:p>
        </w:tc>
        <w:tc>
          <w:tcPr>
            <w:tcW w:w="1452" w:type="dxa"/>
            <w:tcBorders>
              <w:top w:val="nil"/>
              <w:left w:val="nil"/>
              <w:bottom w:val="single" w:sz="4" w:space="0" w:color="auto"/>
              <w:right w:val="single" w:sz="4" w:space="0" w:color="auto"/>
            </w:tcBorders>
            <w:shd w:val="clear" w:color="auto" w:fill="C6EFCE"/>
            <w:noWrap/>
            <w:vAlign w:val="center"/>
          </w:tcPr>
          <w:p w14:paraId="269C1D2C" w14:textId="77777777" w:rsidR="00235E11" w:rsidRDefault="00F837E4">
            <w:pPr>
              <w:pStyle w:val="P68B1DB1-Normal10"/>
              <w:spacing w:after="0"/>
              <w:rPr>
                <w:noProof/>
              </w:rPr>
            </w:pPr>
            <w:r>
              <w:rPr>
                <w:noProof/>
              </w:rPr>
              <w:t>Укрепване на капацитета на съдебната полиция за прихващане в контекста на 5G на цялата белгийска територия чрез пет оперативни елемента</w:t>
            </w:r>
          </w:p>
        </w:tc>
        <w:tc>
          <w:tcPr>
            <w:tcW w:w="992" w:type="dxa"/>
            <w:tcBorders>
              <w:top w:val="nil"/>
              <w:left w:val="nil"/>
              <w:bottom w:val="single" w:sz="4" w:space="0" w:color="auto"/>
              <w:right w:val="single" w:sz="4" w:space="0" w:color="auto"/>
            </w:tcBorders>
            <w:shd w:val="clear" w:color="auto" w:fill="C6EFCE"/>
            <w:noWrap/>
            <w:vAlign w:val="center"/>
          </w:tcPr>
          <w:p w14:paraId="4E17FA73"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08EFE2F9" w14:textId="77777777"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75E33216"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280568B6"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728EC530" w14:textId="77777777" w:rsidR="00235E11" w:rsidRDefault="00F837E4">
            <w:pPr>
              <w:pStyle w:val="P68B1DB1-Normal10"/>
              <w:spacing w:after="0"/>
              <w:jc w:val="center"/>
              <w:rPr>
                <w:noProof/>
              </w:rPr>
            </w:pPr>
            <w:r>
              <w:rPr>
                <w:noProof/>
              </w:rPr>
              <w:t>2025</w:t>
            </w:r>
          </w:p>
        </w:tc>
        <w:tc>
          <w:tcPr>
            <w:tcW w:w="5124" w:type="dxa"/>
            <w:tcBorders>
              <w:top w:val="nil"/>
              <w:left w:val="nil"/>
              <w:bottom w:val="single" w:sz="4" w:space="0" w:color="auto"/>
              <w:right w:val="single" w:sz="4" w:space="0" w:color="auto"/>
            </w:tcBorders>
            <w:shd w:val="clear" w:color="auto" w:fill="C6EFCE"/>
            <w:noWrap/>
            <w:vAlign w:val="center"/>
          </w:tcPr>
          <w:p w14:paraId="6A2FAFAE" w14:textId="77777777" w:rsidR="00235E11" w:rsidRDefault="00F837E4">
            <w:pPr>
              <w:pStyle w:val="P68B1DB1-Normal10"/>
              <w:spacing w:after="0"/>
              <w:rPr>
                <w:noProof/>
              </w:rPr>
            </w:pPr>
            <w:r>
              <w:rPr>
                <w:noProof/>
              </w:rPr>
              <w:t>Капацитетът на съдебната полиция за прихващане на лични съобщения в контекста на 5G е укрепен на цялата белгийска територия. Това се постига чрез въвеждане в експлоатация на следното:</w:t>
            </w:r>
          </w:p>
          <w:p w14:paraId="4273A01F" w14:textId="77777777" w:rsidR="00235E11" w:rsidRDefault="00F837E4">
            <w:pPr>
              <w:pStyle w:val="P68B1DB1-Normal10"/>
              <w:spacing w:after="0"/>
              <w:rPr>
                <w:noProof/>
              </w:rPr>
            </w:pPr>
            <w:r>
              <w:rPr>
                <w:noProof/>
              </w:rPr>
              <w:t>— комплект за почистване, адаптиран към 5G;</w:t>
            </w:r>
          </w:p>
          <w:p w14:paraId="68D28D0A" w14:textId="77777777" w:rsidR="00235E11" w:rsidRDefault="00F837E4">
            <w:pPr>
              <w:pStyle w:val="P68B1DB1-Normal10"/>
              <w:spacing w:after="0"/>
              <w:rPr>
                <w:noProof/>
              </w:rPr>
            </w:pPr>
            <w:r>
              <w:rPr>
                <w:noProof/>
              </w:rPr>
              <w:t xml:space="preserve">— заглушаващ пакет, адаптиран към 5G; </w:t>
            </w:r>
          </w:p>
          <w:p w14:paraId="7079B948" w14:textId="77777777" w:rsidR="00235E11" w:rsidRDefault="00F837E4">
            <w:pPr>
              <w:pStyle w:val="P68B1DB1-Normal10"/>
              <w:spacing w:after="0"/>
              <w:rPr>
                <w:noProof/>
              </w:rPr>
            </w:pPr>
            <w:r>
              <w:rPr>
                <w:noProof/>
              </w:rPr>
              <w:t xml:space="preserve">системи за улавяне на звук в къщи и превозни средства, адаптирани към 5G; </w:t>
            </w:r>
          </w:p>
          <w:p w14:paraId="08C5FAA4" w14:textId="77777777" w:rsidR="00235E11" w:rsidRDefault="00F837E4">
            <w:pPr>
              <w:pStyle w:val="P68B1DB1-Normal10"/>
              <w:spacing w:after="0"/>
              <w:rPr>
                <w:noProof/>
              </w:rPr>
            </w:pPr>
            <w:r>
              <w:rPr>
                <w:noProof/>
              </w:rPr>
              <w:t>възможности за локализиране и проследяване на превозни средства и обекти, адаптирани към 5G; и че</w:t>
            </w:r>
          </w:p>
          <w:p w14:paraId="2E2D263E" w14:textId="77777777" w:rsidR="00235E11" w:rsidRDefault="00F837E4">
            <w:pPr>
              <w:pStyle w:val="P68B1DB1-Normal10"/>
              <w:spacing w:after="0"/>
              <w:rPr>
                <w:noProof/>
              </w:rPr>
            </w:pPr>
            <w:r>
              <w:rPr>
                <w:noProof/>
              </w:rPr>
              <w:t>система за предаване на изображения, получени по време на специални методи на разследване.</w:t>
            </w:r>
          </w:p>
        </w:tc>
      </w:tr>
      <w:tr w:rsidR="00235E11" w14:paraId="6754F364" w14:textId="77777777">
        <w:trPr>
          <w:trHeight w:val="309"/>
        </w:trPr>
        <w:tc>
          <w:tcPr>
            <w:tcW w:w="739" w:type="dxa"/>
            <w:tcBorders>
              <w:top w:val="nil"/>
              <w:left w:val="single" w:sz="4" w:space="0" w:color="auto"/>
              <w:bottom w:val="single" w:sz="4" w:space="0" w:color="auto"/>
              <w:right w:val="single" w:sz="4" w:space="0" w:color="auto"/>
            </w:tcBorders>
            <w:shd w:val="clear" w:color="auto" w:fill="C6EFCE"/>
            <w:noWrap/>
            <w:vAlign w:val="center"/>
          </w:tcPr>
          <w:p w14:paraId="2A975BA0" w14:textId="77777777" w:rsidR="00235E11" w:rsidRDefault="00F837E4">
            <w:pPr>
              <w:pStyle w:val="P68B1DB1-Normal10"/>
              <w:spacing w:after="0"/>
              <w:jc w:val="center"/>
              <w:rPr>
                <w:noProof/>
              </w:rPr>
            </w:pPr>
            <w:r>
              <w:rPr>
                <w:noProof/>
              </w:rPr>
              <w:t>50</w:t>
            </w:r>
          </w:p>
        </w:tc>
        <w:tc>
          <w:tcPr>
            <w:tcW w:w="1808" w:type="dxa"/>
            <w:tcBorders>
              <w:top w:val="nil"/>
              <w:left w:val="nil"/>
              <w:bottom w:val="single" w:sz="4" w:space="0" w:color="auto"/>
              <w:right w:val="single" w:sz="4" w:space="0" w:color="auto"/>
            </w:tcBorders>
            <w:shd w:val="clear" w:color="auto" w:fill="C6EFCE"/>
            <w:noWrap/>
            <w:vAlign w:val="center"/>
          </w:tcPr>
          <w:p w14:paraId="0BA2CC90" w14:textId="77777777" w:rsidR="00235E11" w:rsidRDefault="00F837E4">
            <w:pPr>
              <w:pStyle w:val="P68B1DB1-Normal10"/>
              <w:spacing w:after="0"/>
              <w:rPr>
                <w:noProof/>
              </w:rPr>
            </w:pPr>
            <w:r>
              <w:rPr>
                <w:noProof/>
              </w:rPr>
              <w:t>Киберсигурност: Прихващане и защита на NTSU/CTIF (I-2.03)</w:t>
            </w:r>
          </w:p>
        </w:tc>
        <w:tc>
          <w:tcPr>
            <w:tcW w:w="1168" w:type="dxa"/>
            <w:tcBorders>
              <w:top w:val="nil"/>
              <w:left w:val="nil"/>
              <w:bottom w:val="single" w:sz="4" w:space="0" w:color="auto"/>
              <w:right w:val="single" w:sz="4" w:space="0" w:color="auto"/>
            </w:tcBorders>
            <w:shd w:val="clear" w:color="auto" w:fill="C6EFCE"/>
            <w:noWrap/>
            <w:vAlign w:val="center"/>
          </w:tcPr>
          <w:p w14:paraId="7F8E7611" w14:textId="45CCD793" w:rsidR="00235E11" w:rsidRDefault="00F837E4">
            <w:pPr>
              <w:pStyle w:val="P68B1DB1-Normal10"/>
              <w:spacing w:after="0"/>
              <w:rPr>
                <w:noProof/>
              </w:rPr>
            </w:pPr>
            <w:r>
              <w:rPr>
                <w:noProof/>
              </w:rPr>
              <w:t>M</w:t>
            </w:r>
          </w:p>
        </w:tc>
        <w:tc>
          <w:tcPr>
            <w:tcW w:w="1242" w:type="dxa"/>
            <w:tcBorders>
              <w:top w:val="nil"/>
              <w:left w:val="nil"/>
              <w:bottom w:val="single" w:sz="4" w:space="0" w:color="auto"/>
              <w:right w:val="single" w:sz="4" w:space="0" w:color="auto"/>
            </w:tcBorders>
            <w:shd w:val="clear" w:color="auto" w:fill="C6EFCE"/>
            <w:noWrap/>
            <w:vAlign w:val="center"/>
          </w:tcPr>
          <w:p w14:paraId="17546E81" w14:textId="193B4373" w:rsidR="00235E11" w:rsidRDefault="00F837E4">
            <w:pPr>
              <w:pStyle w:val="P68B1DB1-Normal10"/>
              <w:spacing w:after="0"/>
              <w:rPr>
                <w:noProof/>
                <w:highlight w:val="yellow"/>
              </w:rPr>
            </w:pPr>
            <w:r>
              <w:rPr>
                <w:noProof/>
              </w:rPr>
              <w:t>Цифров регистър на прихванатите лични комуникации, управляван от Националното звено за техническа и тактическа поддръжка на белгийската федерална полиция</w:t>
            </w:r>
          </w:p>
        </w:tc>
        <w:tc>
          <w:tcPr>
            <w:tcW w:w="1452" w:type="dxa"/>
            <w:tcBorders>
              <w:top w:val="nil"/>
              <w:left w:val="nil"/>
              <w:bottom w:val="single" w:sz="4" w:space="0" w:color="auto"/>
              <w:right w:val="single" w:sz="4" w:space="0" w:color="auto"/>
            </w:tcBorders>
            <w:shd w:val="clear" w:color="auto" w:fill="C6EFCE"/>
            <w:noWrap/>
            <w:vAlign w:val="center"/>
          </w:tcPr>
          <w:p w14:paraId="1D1FF5F3" w14:textId="77777777" w:rsidR="00235E11" w:rsidRDefault="00F837E4">
            <w:pPr>
              <w:pStyle w:val="P68B1DB1-Normal10"/>
              <w:spacing w:after="0"/>
              <w:rPr>
                <w:noProof/>
              </w:rPr>
            </w:pPr>
            <w:r>
              <w:rPr>
                <w:noProof/>
              </w:rPr>
              <w:t xml:space="preserve">Въвеждане в действие на цифровия регистър на прихванатите лични съобщения </w:t>
            </w:r>
          </w:p>
        </w:tc>
        <w:tc>
          <w:tcPr>
            <w:tcW w:w="992" w:type="dxa"/>
            <w:tcBorders>
              <w:top w:val="nil"/>
              <w:left w:val="nil"/>
              <w:bottom w:val="single" w:sz="4" w:space="0" w:color="auto"/>
              <w:right w:val="single" w:sz="4" w:space="0" w:color="auto"/>
            </w:tcBorders>
            <w:shd w:val="clear" w:color="auto" w:fill="C6EFCE"/>
            <w:noWrap/>
            <w:vAlign w:val="center"/>
          </w:tcPr>
          <w:p w14:paraId="6E2B2FC2"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09D4266F" w14:textId="77777777"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2AD314AB"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7ECC9B44"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0A6D73EC" w14:textId="77777777" w:rsidR="00235E11" w:rsidRDefault="00F837E4">
            <w:pPr>
              <w:pStyle w:val="P68B1DB1-Normal10"/>
              <w:spacing w:after="0"/>
              <w:jc w:val="center"/>
              <w:rPr>
                <w:noProof/>
              </w:rPr>
            </w:pPr>
            <w:r>
              <w:rPr>
                <w:noProof/>
              </w:rPr>
              <w:t>2025</w:t>
            </w:r>
          </w:p>
        </w:tc>
        <w:tc>
          <w:tcPr>
            <w:tcW w:w="5124" w:type="dxa"/>
            <w:tcBorders>
              <w:top w:val="nil"/>
              <w:left w:val="nil"/>
              <w:bottom w:val="single" w:sz="4" w:space="0" w:color="auto"/>
              <w:right w:val="single" w:sz="4" w:space="0" w:color="auto"/>
            </w:tcBorders>
            <w:shd w:val="clear" w:color="auto" w:fill="C6EFCE"/>
            <w:noWrap/>
            <w:vAlign w:val="center"/>
          </w:tcPr>
          <w:p w14:paraId="2404CDB9" w14:textId="77777777" w:rsidR="00235E11" w:rsidRDefault="00F837E4">
            <w:pPr>
              <w:pStyle w:val="P68B1DB1-Normal10"/>
              <w:spacing w:after="0"/>
              <w:rPr>
                <w:noProof/>
              </w:rPr>
            </w:pPr>
            <w:r>
              <w:rPr>
                <w:noProof/>
              </w:rPr>
              <w:t>Цифров регистър на прихванатите лични комуникации (Li-vault), управляван от Националното звено за техническа и тактическа подкрепа на белгийската федерална полиция, който функционира и е готов за използване от съдебната система, полицията и разузнавателните служби.</w:t>
            </w:r>
          </w:p>
        </w:tc>
      </w:tr>
    </w:tbl>
    <w:p w14:paraId="410A4494" w14:textId="77777777" w:rsidR="00235E11" w:rsidRDefault="00235E11">
      <w:pPr>
        <w:ind w:left="709"/>
        <w:rPr>
          <w:rFonts w:ascii="Times New Roman" w:hAnsi="Times New Roman" w:cs="Times New Roman"/>
          <w:noProof/>
        </w:rPr>
        <w:sectPr w:rsidR="00235E11" w:rsidSect="007F56C3">
          <w:headerReference w:type="even" r:id="rId60"/>
          <w:headerReference w:type="default" r:id="rId61"/>
          <w:footerReference w:type="even" r:id="rId62"/>
          <w:footerReference w:type="default" r:id="rId63"/>
          <w:headerReference w:type="first" r:id="rId64"/>
          <w:footerReference w:type="first" r:id="rId65"/>
          <w:pgSz w:w="16839" w:h="11907" w:orient="landscape"/>
          <w:pgMar w:top="1134" w:right="1134" w:bottom="1134" w:left="1134" w:header="567" w:footer="567" w:gutter="0"/>
          <w:cols w:space="720"/>
          <w:docGrid w:linePitch="360"/>
        </w:sectPr>
      </w:pPr>
    </w:p>
    <w:p w14:paraId="41F5C845" w14:textId="1FEF0F50" w:rsidR="00235E11" w:rsidRDefault="00F837E4">
      <w:pPr>
        <w:pStyle w:val="ManualHeading1"/>
        <w:spacing w:before="120"/>
        <w:ind w:left="0" w:firstLine="0"/>
        <w:rPr>
          <w:noProof/>
        </w:rPr>
      </w:pPr>
      <w:r>
        <w:rPr>
          <w:noProof/>
        </w:rPr>
        <w:t>Д. КОМПОНЕНТ 2.2: Държавна администрация</w:t>
      </w:r>
    </w:p>
    <w:p w14:paraId="0D10C521" w14:textId="77777777" w:rsidR="00235E11" w:rsidRDefault="00F837E4">
      <w:pPr>
        <w:pStyle w:val="NormalLeft"/>
        <w:jc w:val="both"/>
        <w:rPr>
          <w:noProof/>
        </w:rPr>
      </w:pPr>
      <w:r>
        <w:rPr>
          <w:noProof/>
        </w:rPr>
        <w:t>Този компонент на белгийския план за възстановяване и устойчивост има за цел да повиши ефективността на публичната администрация чрез цифровизиране на нейните услуги.</w:t>
      </w:r>
    </w:p>
    <w:p w14:paraId="57673018" w14:textId="77777777" w:rsidR="00235E11" w:rsidRDefault="00F837E4">
      <w:pPr>
        <w:pStyle w:val="NormalLeft"/>
        <w:jc w:val="both"/>
        <w:rPr>
          <w:noProof/>
        </w:rPr>
      </w:pPr>
      <w:r>
        <w:rPr>
          <w:noProof/>
        </w:rPr>
        <w:t>Този компонент допринася за изпълнението на специфичните за всяка държава препоръки 2019.3 и 2019.4, в които Белгия се призовава да съсредоточи свързаната с инвестициите икономическа политика върху, наред с другото, цифровизацията и да намали регулаторната и административната тежест с цел стимулиране на предприемачеството. Тя е свързана и със специфична за държавата препоръка 2020.3 за подобряване на бизнес средата, за съсредоточаване в началото на периода на зрели публични инвестиции и за съсредоточаване на инвестициите върху цифровия преход.</w:t>
      </w:r>
    </w:p>
    <w:p w14:paraId="2CACEFE6"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017C029B" w14:textId="77777777" w:rsidR="00235E11" w:rsidRDefault="00F837E4">
      <w:pPr>
        <w:pStyle w:val="P68B1DB1-Normal1"/>
        <w:spacing w:before="120" w:after="120"/>
        <w:jc w:val="both"/>
        <w:rPr>
          <w:noProof/>
        </w:rPr>
      </w:pPr>
      <w:r>
        <w:rPr>
          <w:noProof/>
        </w:rPr>
        <w:t xml:space="preserve">Д.1. </w:t>
      </w:r>
      <w:r>
        <w:rPr>
          <w:noProof/>
        </w:rPr>
        <w:tab/>
        <w:t>Описание на реформите и инвестициите за безвъзмездна финансова подкрепа</w:t>
      </w:r>
    </w:p>
    <w:p w14:paraId="0D7CA2B1" w14:textId="77777777" w:rsidR="00235E11" w:rsidRDefault="00F837E4">
      <w:pPr>
        <w:pStyle w:val="P68B1DB1-Normal13"/>
        <w:spacing w:before="120" w:after="120" w:line="240" w:lineRule="auto"/>
        <w:jc w:val="both"/>
        <w:rPr>
          <w:noProof/>
        </w:rPr>
      </w:pPr>
      <w:r>
        <w:rPr>
          <w:noProof/>
        </w:rPr>
        <w:t>Инвестиция I-2.04: „Цифровизация на IPSS“ на федералната държава</w:t>
      </w:r>
    </w:p>
    <w:p w14:paraId="017A247E" w14:textId="77777777" w:rsidR="00235E11" w:rsidRDefault="00F837E4">
      <w:pPr>
        <w:pStyle w:val="Text1"/>
        <w:ind w:left="0"/>
        <w:rPr>
          <w:noProof/>
        </w:rPr>
      </w:pPr>
      <w:r>
        <w:rPr>
          <w:noProof/>
        </w:rPr>
        <w:t xml:space="preserve">Тази мярка има за цел да ускори цифровизацията на публичните институции за социална сигурност. </w:t>
      </w:r>
      <w:r>
        <w:rPr>
          <w:rFonts w:eastAsia="Times New Roman"/>
          <w:noProof/>
        </w:rPr>
        <w:t xml:space="preserve">Изпълнението на инвестицията трябва да приключи до 31 август 2026 г. </w:t>
      </w:r>
      <w:r>
        <w:rPr>
          <w:noProof/>
        </w:rPr>
        <w:t>Тя се състои от три подмерки:</w:t>
      </w:r>
    </w:p>
    <w:p w14:paraId="45D699A0" w14:textId="77777777" w:rsidR="00235E11" w:rsidRDefault="00F837E4">
      <w:pPr>
        <w:pStyle w:val="P68B1DB1-Text111"/>
        <w:ind w:left="0"/>
        <w:rPr>
          <w:noProof/>
        </w:rPr>
      </w:pPr>
      <w:r>
        <w:rPr>
          <w:noProof/>
        </w:rPr>
        <w:t>Инвестиция I-2.04: „Цифровизация на IPSS; подмярка 1: Цифрова платформа за взаимодействие между социалната сигурност и гражданите и предприятията“ на федералната държава</w:t>
      </w:r>
    </w:p>
    <w:p w14:paraId="54D078E3" w14:textId="77777777" w:rsidR="00235E11" w:rsidRDefault="00F837E4">
      <w:pPr>
        <w:pStyle w:val="Text1"/>
        <w:ind w:left="0"/>
        <w:rPr>
          <w:noProof/>
        </w:rPr>
      </w:pPr>
      <w:r>
        <w:rPr>
          <w:noProof/>
        </w:rPr>
        <w:t>Целта на тази инвестиция е да се осигури по-добър достъп до услуги за социална сигурност за гражданите, предприятията, включително самостоятелно заетите лица, и от друга страна, да се постигне повишаване на ефективността за администрациите и предприятията. Инвестицията има за цел също така да направи белгийската социална сигурност по-достъпна в европейски контекст. Тази инвестиция дава възможност за подобряване на комуникацията и обмена на данни между институциите на държавите членки, по-специално в контекста на уреждането на правата, разкриването на измами, предаването на европейски цифрови формуляри и използването на уникален европейски граждански идентификационен номер.</w:t>
      </w:r>
    </w:p>
    <w:p w14:paraId="5CBA7D6C" w14:textId="77777777" w:rsidR="00235E11" w:rsidRDefault="00F837E4">
      <w:pPr>
        <w:pStyle w:val="P68B1DB1-Text111"/>
        <w:ind w:left="0"/>
        <w:rPr>
          <w:noProof/>
        </w:rPr>
      </w:pPr>
      <w:r>
        <w:rPr>
          <w:noProof/>
        </w:rPr>
        <w:t>Инвестиция I-2.04: „Цифровизация на IPSS, подмярка 2: Управление на дигитални сметки за всяко дружество“ на федералната държава</w:t>
      </w:r>
    </w:p>
    <w:p w14:paraId="796A73B8" w14:textId="77777777" w:rsidR="00235E11" w:rsidRDefault="00F837E4">
      <w:pPr>
        <w:pStyle w:val="Text1"/>
        <w:ind w:left="0"/>
        <w:rPr>
          <w:noProof/>
        </w:rPr>
      </w:pPr>
      <w:r>
        <w:rPr>
          <w:noProof/>
        </w:rPr>
        <w:t>Тази инвестиция ще даде възможност за цифровизиране на финансовите потоци между социалната сигурност и предприятията и потенциалните финансови посредници и доставчици на услуги. Някои от заявленията за управление на сметките на работодателите датират от 1979 г. и са много разнородни. Това представлява технологичен и човешки риск. Тяхното основно преразглеждане и създаването на интегрирана, ефикасна, развиваща се и висококачествена информационна система са от съществено значение за цифровизацията и откриването на профили на работодателите.</w:t>
      </w:r>
    </w:p>
    <w:p w14:paraId="03E651BC" w14:textId="77777777" w:rsidR="00235E11" w:rsidRDefault="00F837E4">
      <w:pPr>
        <w:pStyle w:val="P68B1DB1-Text111"/>
        <w:ind w:left="0"/>
        <w:rPr>
          <w:noProof/>
        </w:rPr>
      </w:pPr>
      <w:r>
        <w:rPr>
          <w:noProof/>
        </w:rPr>
        <w:t>Инвестиция I-2.04: „Цифровизация на IPSS, подмярка 3: Подобряване на качеството на данните за автоматизирано вземане на решения и осигуряване на независима платформа за социална сигурност — INASTI на федералната държава</w:t>
      </w:r>
    </w:p>
    <w:p w14:paraId="35DA3E63" w14:textId="77777777" w:rsidR="00235E11" w:rsidRDefault="00F837E4">
      <w:pPr>
        <w:pStyle w:val="Text1"/>
        <w:ind w:left="0"/>
        <w:rPr>
          <w:noProof/>
        </w:rPr>
      </w:pPr>
      <w:r>
        <w:rPr>
          <w:noProof/>
        </w:rPr>
        <w:t xml:space="preserve">Тази мярка включва създаването на централна база данни от </w:t>
      </w:r>
      <w:r>
        <w:rPr>
          <w:i/>
          <w:noProof/>
        </w:rPr>
        <w:t>Institut national d’assurances sociales pour travailleurs indépendants</w:t>
      </w:r>
      <w:r>
        <w:rPr>
          <w:noProof/>
        </w:rPr>
        <w:t xml:space="preserve"> (INASTI) — социалноосигурителната институция за самостоятелно заети лица. Целта на тази база данни е да съдържа всички данни за кариерата, както и всички права и задължения на самостоятелно заетите лица. Създаването на единна база данни за самостоятелно заетите лица е предпоставка INASTI да създаде платформа за социална сигурност за самостоятелно заетите лица. Чрез такава платформа предоставянето на интерактивни електронни формуляри и автоматизация на процесите, основани на нови технологии, дава възможност цялата информация за социалната сигурност да се записва в „личното“ досие на самостоятелно заетите лица, с което заинтересованите страни могат да се консултират незабавно по всяко време.</w:t>
      </w:r>
    </w:p>
    <w:p w14:paraId="1098326F" w14:textId="77777777" w:rsidR="00235E11" w:rsidRDefault="00F837E4">
      <w:pPr>
        <w:pStyle w:val="P68B1DB1-Text111"/>
        <w:pageBreakBefore/>
        <w:ind w:left="0"/>
        <w:rPr>
          <w:noProof/>
        </w:rPr>
      </w:pPr>
      <w:r>
        <w:rPr>
          <w:noProof/>
        </w:rPr>
        <w:t>Инвестиция I-2.05: „Digital SPF“ на федералната държава</w:t>
      </w:r>
    </w:p>
    <w:p w14:paraId="39D39754" w14:textId="7BC4D1BA" w:rsidR="00235E11" w:rsidRDefault="00F837E4">
      <w:pPr>
        <w:pStyle w:val="Text1"/>
        <w:ind w:left="0"/>
        <w:rPr>
          <w:noProof/>
        </w:rPr>
      </w:pPr>
      <w:r>
        <w:rPr>
          <w:noProof/>
        </w:rPr>
        <w:t xml:space="preserve">Тази мярка има за цел да ускори цифровизацията на различните административни услуги във федералната държава. Изпълнението на инвестицията трябва да приключи до 30 юни 2026 г. Тя се състои от 11 подмерки. </w:t>
      </w:r>
    </w:p>
    <w:p w14:paraId="0561448A" w14:textId="77777777" w:rsidR="00235E11" w:rsidRDefault="00F837E4">
      <w:pPr>
        <w:pStyle w:val="P68B1DB1-Text111"/>
        <w:ind w:left="0"/>
        <w:rPr>
          <w:noProof/>
        </w:rPr>
      </w:pPr>
      <w:r>
        <w:rPr>
          <w:noProof/>
        </w:rPr>
        <w:t>Инвестиция I-2.05: „Цифровизация на SPF, подмярка 1: Цифрова трансформация на правосъдието“ на федералната държава</w:t>
      </w:r>
    </w:p>
    <w:p w14:paraId="7F8F1F7F" w14:textId="77777777" w:rsidR="00235E11" w:rsidRDefault="00F837E4">
      <w:pPr>
        <w:pStyle w:val="Text1"/>
        <w:ind w:left="0"/>
        <w:rPr>
          <w:noProof/>
        </w:rPr>
      </w:pPr>
      <w:r>
        <w:rPr>
          <w:noProof/>
        </w:rPr>
        <w:t>Тази подмярка има за цел да повиши общото равнище на цифровизация на белгийската съдебна система, което се очаква да окаже положително въздействие върху цялостната ѝ ефективност. Подмярката има за цел да се преодолеят различни установени слабости, като се започне от цифровизацията на вътрешните процеси. Акцентът е поставен по-специално върху инвестициите за преодоляване на настоящите ограничения и неефективност чрез подобряване на управлението на делата и въвеждане на автоматизация на събирането на данни. Освен това проектът има за цел да увеличи процента на публикуване на съдебни решения онлайн, който понастоящем е нисък и е от съществено значение, за да се помогне на гражданите и предприятията да спазват закона.</w:t>
      </w:r>
    </w:p>
    <w:p w14:paraId="30B84246" w14:textId="77777777" w:rsidR="00235E11" w:rsidRDefault="00F837E4">
      <w:pPr>
        <w:pStyle w:val="P68B1DB1-Text111"/>
        <w:ind w:left="0"/>
        <w:rPr>
          <w:noProof/>
        </w:rPr>
      </w:pPr>
      <w:r>
        <w:rPr>
          <w:noProof/>
        </w:rPr>
        <w:t>Инвестиция I-2.05: „Цифровизация на SPF, подмярка 2: Цифровизация на съдебните бизнес процеси“ на федералната държава</w:t>
      </w:r>
    </w:p>
    <w:p w14:paraId="27D34A14" w14:textId="040A36F2" w:rsidR="00235E11" w:rsidRDefault="00F837E4">
      <w:pPr>
        <w:pStyle w:val="Text1"/>
        <w:ind w:left="0"/>
        <w:rPr>
          <w:noProof/>
        </w:rPr>
      </w:pPr>
      <w:r>
        <w:rPr>
          <w:noProof/>
        </w:rPr>
        <w:t>Тази подмярка има за цел да отговори на техническите и технологичните предизвикателства, пред които е изправена Федералната съдебна полиция при все по-сложни операции. Подмярката дава възможност на членовете на федералната съдебна полиция да повишат ефективността си: а) при решаването на проблеми, срещани днес, като декриптирането, 5G, интернет научните изследвания; б) чрез повишена автоматизация на определени действия и използване на инструменти с изкуствен интелект; чрез по-добро управление на данните и по-добро разбиране на данните чрез модернизиране на криминалистичните центрове. Подмярката включва закупуването на специфични софтуерни решения и ИТ оборудване (сървъри).</w:t>
      </w:r>
    </w:p>
    <w:p w14:paraId="6FCDA227" w14:textId="77777777" w:rsidR="00235E11" w:rsidRDefault="00F837E4">
      <w:pPr>
        <w:pStyle w:val="P68B1DB1-Text111"/>
        <w:ind w:left="0"/>
        <w:rPr>
          <w:noProof/>
        </w:rPr>
      </w:pPr>
      <w:r>
        <w:rPr>
          <w:noProof/>
        </w:rPr>
        <w:t>Инвестиция I-2.05: „Цифровизация на SPF, подмярка 3: Подкрепа за разработването на цифрови инструменти и засилената цифровизация на агенцията за външна търговия на федералната държава</w:t>
      </w:r>
    </w:p>
    <w:p w14:paraId="3ED2978C" w14:textId="77777777" w:rsidR="00235E11" w:rsidRDefault="00F837E4">
      <w:pPr>
        <w:pStyle w:val="Text1"/>
        <w:ind w:left="0"/>
        <w:rPr>
          <w:noProof/>
        </w:rPr>
      </w:pPr>
      <w:r>
        <w:rPr>
          <w:noProof/>
        </w:rPr>
        <w:t>Тази подмярка има за цел да подкрепи търговията чрез разработването на цифрови инструменти и засилената цифровизация на Агенцията за външна търговия, за да се даде възможност за модерен и цифров преход на федералните служби, отговарящи за насърчаването на външната търговия. Подмярката включва разработването на специфично приложение и съответното обучение за 25 потребители.</w:t>
      </w:r>
    </w:p>
    <w:p w14:paraId="300CA68F" w14:textId="77777777" w:rsidR="00235E11" w:rsidRDefault="00F837E4">
      <w:pPr>
        <w:pStyle w:val="P68B1DB1-Text111"/>
        <w:ind w:left="0"/>
        <w:rPr>
          <w:noProof/>
        </w:rPr>
      </w:pPr>
      <w:r>
        <w:rPr>
          <w:noProof/>
        </w:rPr>
        <w:t>Инвестиция I-2.05: „Цифровизация на SPF, подмярка 4: Управление на кризи и сигурност“ на федералната държава</w:t>
      </w:r>
    </w:p>
    <w:p w14:paraId="705E8779" w14:textId="77777777" w:rsidR="00235E11" w:rsidRDefault="00F837E4">
      <w:pPr>
        <w:pStyle w:val="Text1"/>
        <w:ind w:left="0"/>
        <w:rPr>
          <w:noProof/>
        </w:rPr>
      </w:pPr>
      <w:r>
        <w:rPr>
          <w:noProof/>
        </w:rPr>
        <w:t>Тази подмярка има за цел да гарантира, че на Националния кризисен център е осигурен капацитет за приемане на много партньори при безопасни и сигурни обстоятелства и че те могат да се свържат с цифровата инфраструктура. Необходимо е да се разработи високо достъпна и сигурна комуникационна мрежа между партньорите в областта на сигурността, участващи в управлението на кризи на национално равнище, за да се даде възможност за разкриване на поверителна и класифицирана информация. За тази цел в подмярката е включено разработването на нова цифрова кризисна инфраструктура, сигурна комуникационна мрежа и платформа за управление на кризи.</w:t>
      </w:r>
    </w:p>
    <w:p w14:paraId="758030C1" w14:textId="77777777" w:rsidR="00235E11" w:rsidRDefault="00F837E4">
      <w:pPr>
        <w:pStyle w:val="P68B1DB1-Text111"/>
        <w:ind w:left="0"/>
        <w:rPr>
          <w:noProof/>
        </w:rPr>
      </w:pPr>
      <w:r>
        <w:rPr>
          <w:noProof/>
        </w:rPr>
        <w:t>Инвестиция I-2.05: „Цифровизация на SPF, подмярка 5: Digital Bozar“ на федералната държава</w:t>
      </w:r>
    </w:p>
    <w:p w14:paraId="51DB496F" w14:textId="77777777" w:rsidR="00235E11" w:rsidRDefault="00F837E4">
      <w:pPr>
        <w:pStyle w:val="Text1"/>
        <w:ind w:left="0"/>
        <w:rPr>
          <w:noProof/>
        </w:rPr>
      </w:pPr>
      <w:r>
        <w:rPr>
          <w:noProof/>
        </w:rPr>
        <w:t>Тази подмярка има за цел приемането на цифрови технологии, които да дадат възможност за създаване на 100 % цифрови събития (като музика, изложби, BOZAR LAB) с цел получаване на достъп до нови пазари за хората на изкуството и културните партньори и увеличаване на достъпа до култура за хора и групи, намиращи се дистанционно (включително в други държави), или за справяне с предизвикателства, свързани с мобилността (като например възрастните хора). За тази цел подмярката включва инфраструктурен компонент с поставяне на оптични влакна между Кралския театър Ла Моннай и Центъра за изящни изкуства, компонент за киберсигурност и внедряване на цифрови дейности, включително ИТ обучение за персонала.</w:t>
      </w:r>
    </w:p>
    <w:p w14:paraId="649D01C3" w14:textId="77777777" w:rsidR="00235E11" w:rsidRDefault="00F837E4">
      <w:pPr>
        <w:pStyle w:val="P68B1DB1-Text111"/>
        <w:pageBreakBefore/>
        <w:ind w:left="0"/>
        <w:rPr>
          <w:noProof/>
        </w:rPr>
      </w:pPr>
      <w:r>
        <w:rPr>
          <w:noProof/>
        </w:rPr>
        <w:t>Инвестиция I-2.05: „Цифровизация на SPF, подмярка 6: „Цифрово управление за гражданите и предприятията“ на федералната държава</w:t>
      </w:r>
    </w:p>
    <w:p w14:paraId="765978E4" w14:textId="77777777" w:rsidR="00235E11" w:rsidRDefault="00F837E4">
      <w:pPr>
        <w:pStyle w:val="Text1"/>
        <w:ind w:left="0"/>
        <w:rPr>
          <w:noProof/>
        </w:rPr>
      </w:pPr>
      <w:r>
        <w:rPr>
          <w:noProof/>
        </w:rPr>
        <w:t>Тази подмярка има за цел да въведе стратегия за радикална трансформация на настоящия модел на свързани административни услуги и да увеличи използването на цифрови обществени услуги от гражданите и предприятията. В него се предвижда разработването на цифрова платформа за взаимодействие между правителството и гражданите и предприятията.</w:t>
      </w:r>
    </w:p>
    <w:p w14:paraId="4F43C2CF" w14:textId="77777777" w:rsidR="00235E11" w:rsidRDefault="00F837E4">
      <w:pPr>
        <w:pStyle w:val="P68B1DB1-Text111"/>
        <w:ind w:left="0"/>
        <w:rPr>
          <w:noProof/>
        </w:rPr>
      </w:pPr>
      <w:r>
        <w:rPr>
          <w:noProof/>
        </w:rPr>
        <w:t>Инвестиция I-2.05: „Цифровизация на SPF, подмярка 8: Цифровизация на услугите на AFSCA за операторите и потребителите на федералната държава</w:t>
      </w:r>
    </w:p>
    <w:p w14:paraId="75956207" w14:textId="77777777" w:rsidR="00235E11" w:rsidRDefault="00F837E4">
      <w:pPr>
        <w:pStyle w:val="Text1"/>
        <w:ind w:left="0"/>
        <w:rPr>
          <w:noProof/>
        </w:rPr>
      </w:pPr>
      <w:r>
        <w:rPr>
          <w:noProof/>
        </w:rPr>
        <w:t>Подмярката има за цел да допринесе за цифровата трансформация на Федералната агенция за безопасност на хранителната верига (AFSCA), която отговаря за наблюдението на безопасността на хранителната верига и качеството на храните. По-специално този проект има за цел модернизиране на съществуващите приложения и по-доброто им интегриране, за да се създаде съгласувана система, гарантираща бърза, ефикасна и изцяло цифрова обработка на досиетата. Проектът включва цифровизация на вътрешните процедури, разработване на две приложения — едно за операторите и едно за потребителите, както и създаване на платформа за свободно достъпни данни.</w:t>
      </w:r>
    </w:p>
    <w:p w14:paraId="7EDE96C8" w14:textId="77777777" w:rsidR="00235E11" w:rsidRDefault="00F837E4">
      <w:pPr>
        <w:pStyle w:val="P68B1DB1-Text111"/>
        <w:ind w:left="0"/>
        <w:rPr>
          <w:noProof/>
        </w:rPr>
      </w:pPr>
      <w:r>
        <w:rPr>
          <w:noProof/>
        </w:rPr>
        <w:t>Инвестиция I-2.05: „Цифровизация на SPF, подмярка 9: Инвестиции в цифровизацията на SPF Външни работи и услугите, предлагани от SPF Foreign Affairs“ на федералната държава</w:t>
      </w:r>
    </w:p>
    <w:p w14:paraId="3C4B7AC1" w14:textId="77777777" w:rsidR="00235E11" w:rsidRDefault="00F837E4">
      <w:pPr>
        <w:pStyle w:val="Text1"/>
        <w:ind w:left="0"/>
        <w:rPr>
          <w:noProof/>
        </w:rPr>
      </w:pPr>
      <w:r>
        <w:rPr>
          <w:noProof/>
        </w:rPr>
        <w:t>Тази подмярка има за цел модернизиране на администрацията по външни работи. Този проект включва разработването на няколко приложения, включително преработването на Belpas (заявленията за паспорти), което е необходимо с оглед на развитието и модернизирането на паспортите и биометричните данни. Подмярката включва и разработването на ново приложение за управление на човешките ресурси, цифровизацията на консулските регистри и модернизирането на ИТ мрежата.</w:t>
      </w:r>
    </w:p>
    <w:p w14:paraId="36B120F2" w14:textId="77777777" w:rsidR="00235E11" w:rsidRDefault="00F837E4">
      <w:pPr>
        <w:pStyle w:val="P68B1DB1-Text111"/>
        <w:ind w:left="0"/>
        <w:rPr>
          <w:noProof/>
        </w:rPr>
      </w:pPr>
      <w:r>
        <w:rPr>
          <w:noProof/>
        </w:rPr>
        <w:t>Инвестиция I-2.05: „Цифровизация на SPF, подмярка 10: Единен цифров портал“ на федералната държава</w:t>
      </w:r>
    </w:p>
    <w:p w14:paraId="4449ADCB" w14:textId="77777777" w:rsidR="00235E11" w:rsidRDefault="00F837E4">
      <w:pPr>
        <w:pStyle w:val="Text1"/>
        <w:ind w:left="0"/>
        <w:rPr>
          <w:noProof/>
        </w:rPr>
      </w:pPr>
      <w:r>
        <w:rPr>
          <w:noProof/>
        </w:rPr>
        <w:t>Тази подмярка има за цел да насърчи мащабна трансформация на белгийската административна среда в подкрепа на възстановяването и оползотворяване на пълния потенциал на вътрешния пазар. За да се постигне това, се използват пълноценно белгийските автентични източници, които се състоят от бази данни, в които се съхраняват истински данни, и които служат за справка за данни за лица и правни факти. Тези бази данни дават възможност за опростяване, тъй като данните могат да се използват повторно от всички органи, които имат съответните разрешения, и вече не се изискват от гражданите или предприятията при прилагане на принципа „само веднъж“. Освен това подмярката има за цел да увеличи в максимална степен сигурния достъп до публични онлайн приложения чрез електронна идентификация, като цифровизира функциите на бекофис, свързани с гражданите и предприятията; разширяване на основните услуги за подкрепа на единния цифров портал, така че те да включват изцяло ориентирани към ползвателите услуги за подкрепа, като изпращат въпроси от гражданите и предприятията до целевите администрации и като наблюдават статистическите данни.</w:t>
      </w:r>
    </w:p>
    <w:p w14:paraId="599D2255" w14:textId="77777777" w:rsidR="00235E11" w:rsidRDefault="00F837E4">
      <w:pPr>
        <w:pStyle w:val="P68B1DB1-Text111"/>
        <w:ind w:left="0"/>
        <w:rPr>
          <w:noProof/>
        </w:rPr>
      </w:pPr>
      <w:r>
        <w:rPr>
          <w:noProof/>
        </w:rPr>
        <w:t>Инвестиция I-2.05: „Цифровизация на SPF, подмярка 11: Разкриване на правителствени данни“ на федералната държава</w:t>
      </w:r>
    </w:p>
    <w:p w14:paraId="7C3AEBB2" w14:textId="731CB9E2" w:rsidR="00235E11" w:rsidRDefault="00F837E4">
      <w:pPr>
        <w:pStyle w:val="Text1"/>
        <w:ind w:left="0"/>
        <w:rPr>
          <w:noProof/>
        </w:rPr>
      </w:pPr>
      <w:r>
        <w:rPr>
          <w:noProof/>
        </w:rPr>
        <w:t>Тази подмярка има за цел постигането на по-голям преглед на наличните правителствени данни чрез разширяване на регистъра на автентични източници, увеличаване на наличността и надеждността на данните и улесняване на достъпа до тях. Освен това тази подмярка има за цел да повиши доверието в правилното използване на данните или да увеличи максимално повторното им използване чрез стандартизация и използване на изкуствен интелект. Този проект включва подкрепа за разширяването на редица платформи и разработването на нови услуги или разширяването на съществуващи услуги.</w:t>
      </w:r>
    </w:p>
    <w:p w14:paraId="7B70FD2D" w14:textId="77777777" w:rsidR="00235E11" w:rsidRDefault="00F837E4">
      <w:pPr>
        <w:pStyle w:val="P68B1DB1-Text111"/>
        <w:ind w:left="0"/>
        <w:rPr>
          <w:noProof/>
        </w:rPr>
      </w:pPr>
      <w:r>
        <w:rPr>
          <w:noProof/>
        </w:rPr>
        <w:t>Инвестиция I-2.05: „Цифровизация на SPF, подмярка 12: Digital SPF Employment“ (Цифровизация на заетостта) на федералната държава</w:t>
      </w:r>
    </w:p>
    <w:p w14:paraId="38ADAEBE" w14:textId="77777777" w:rsidR="00235E11" w:rsidRDefault="00F837E4">
      <w:pPr>
        <w:pStyle w:val="Text1"/>
        <w:ind w:left="0"/>
        <w:rPr>
          <w:noProof/>
        </w:rPr>
      </w:pPr>
      <w:r>
        <w:rPr>
          <w:noProof/>
        </w:rPr>
        <w:t>Тази подмярка се състои от две части. Първата част има за цел създаването на индивидуална цифрова сметка за обучение за всяко лице, участващо в динамиката на пазара на труда. Отчетът съдържа редица данни, като например оценка на уменията, следвани обучения и официално валидиране на придобитите компетентности. Тази сметка е достъпна за засегнатите лица. Втората част има за цел създаването на база данни за наблюдение на промените в условията на труд. Създава се лесен за ползване уебсайт за представяне на събраните данни и на относителните доклади.</w:t>
      </w:r>
    </w:p>
    <w:p w14:paraId="7A15918D" w14:textId="77777777" w:rsidR="00235E11" w:rsidRDefault="00F837E4">
      <w:pPr>
        <w:pStyle w:val="P68B1DB1-Text111"/>
        <w:ind w:left="0"/>
        <w:rPr>
          <w:noProof/>
        </w:rPr>
      </w:pPr>
      <w:r>
        <w:rPr>
          <w:noProof/>
        </w:rPr>
        <w:t>Инвестиция I-2.06: „електронни здравни услуги и здравни данни“ на федералната държава</w:t>
      </w:r>
    </w:p>
    <w:p w14:paraId="7C9326DB" w14:textId="7312EDAF" w:rsidR="00235E11" w:rsidRDefault="00F837E4">
      <w:pPr>
        <w:pStyle w:val="Text1"/>
        <w:ind w:left="0"/>
        <w:rPr>
          <w:noProof/>
        </w:rPr>
      </w:pPr>
      <w:r>
        <w:rPr>
          <w:noProof/>
        </w:rPr>
        <w:t>Целта на този проект е да се повишат качеството, скоростта и гъвкавостта на здравеопазването чрез цифровизация на здравните процеси чрез стимулиране на иновативни цифрови системи. Освен това тя има за цел също така да гарантира административните и техническите средства и наличието на добре анонимизирани и сигурни здравни данни. В рамките на проекта са предвидени различни действия, сред които разширяване на възможностите за електронно предписване, подобряване на качеството на предписанията и намаляване на разходите, постигнато например чрез системи за подпомагане на клиничните решения или привеждане в действие на телеконсултантските услуги. Изпълнението на инвестицията трябва да приключи до 31 декември 2025 г.</w:t>
      </w:r>
    </w:p>
    <w:p w14:paraId="3446A72E" w14:textId="77777777" w:rsidR="00235E11" w:rsidRDefault="00F837E4">
      <w:pPr>
        <w:pStyle w:val="P68B1DB1-Text111"/>
        <w:ind w:left="0"/>
        <w:rPr>
          <w:noProof/>
        </w:rPr>
      </w:pPr>
      <w:r>
        <w:rPr>
          <w:noProof/>
        </w:rPr>
        <w:t>Инвестиция I-2.07: „Цифровизация на ЕДИН“ на френската общност</w:t>
      </w:r>
    </w:p>
    <w:p w14:paraId="2BF8A6E6" w14:textId="047C9B17" w:rsidR="00235E11" w:rsidRDefault="00F837E4">
      <w:pPr>
        <w:pStyle w:val="Text1"/>
        <w:ind w:left="0"/>
        <w:rPr>
          <w:noProof/>
        </w:rPr>
      </w:pPr>
      <w:r>
        <w:rPr>
          <w:noProof/>
        </w:rPr>
        <w:t>Мярката има за цел да допринесе за цифровата трансформация на Office de la Naissance et de l’Enfance (ONE), публичен референтен орган във Френската общност по всички въпроси, свързани с детството, политиките за децата, закрилата на майките и децата, медико-социалната подкрепа за (бъдещата) майка и детето, грижите за деца извън семейната среда и подкрепата за родителството. Изпълнението на инвестицията трябва да приключи до 31 декември 2025 г.</w:t>
      </w:r>
    </w:p>
    <w:p w14:paraId="7D278A43" w14:textId="77777777" w:rsidR="00235E11" w:rsidRDefault="00F837E4">
      <w:pPr>
        <w:pStyle w:val="P68B1DB1-Text111"/>
        <w:ind w:left="0"/>
        <w:rPr>
          <w:noProof/>
        </w:rPr>
      </w:pPr>
      <w:r>
        <w:rPr>
          <w:noProof/>
        </w:rPr>
        <w:t>Инвестиция I-2.08: „Цифровизация на културния и медийния сектор“ на Френската общност</w:t>
      </w:r>
    </w:p>
    <w:p w14:paraId="46689F02" w14:textId="7EEFB209" w:rsidR="00235E11" w:rsidRDefault="00F837E4">
      <w:pPr>
        <w:pStyle w:val="Text1"/>
        <w:ind w:left="0"/>
        <w:rPr>
          <w:noProof/>
        </w:rPr>
      </w:pPr>
      <w:r>
        <w:rPr>
          <w:noProof/>
        </w:rPr>
        <w:t>Целта на мярката е белгийският френскоезичен медиен и културен сектор да разполага с инструменти, които им помагат да цифровизират аудио-визуалните и аудио произведенията и да повишат видимостта на тези произведения. За да се повиши видимостта на белгийския френскоговорящ медиен и културен сектор в различните цифрови платформи, се разработва набор от технологични инструменти. Мярката включва също така цифровизацията на 37 аудио-визуални и аудио-визуални произведения, произведени във френскоезичната общност. Изпълнението на инвестицията трябва да приключи до 30 юни 2026 г.</w:t>
      </w:r>
    </w:p>
    <w:p w14:paraId="36A8E778" w14:textId="4C8DFC6E" w:rsidR="00235E11" w:rsidRDefault="00F837E4">
      <w:pPr>
        <w:pStyle w:val="P68B1DB1-Text111"/>
        <w:ind w:left="0"/>
        <w:rPr>
          <w:noProof/>
        </w:rPr>
      </w:pPr>
      <w:r>
        <w:rPr>
          <w:noProof/>
        </w:rPr>
        <w:t>Инвестиция I-2.09: „Цифровизация на фламандското правителство“ на Фламандския регион</w:t>
      </w:r>
    </w:p>
    <w:p w14:paraId="08C4B4F9" w14:textId="77777777" w:rsidR="00235E11" w:rsidRDefault="00F837E4">
      <w:pPr>
        <w:pStyle w:val="Text1"/>
        <w:ind w:left="0"/>
        <w:rPr>
          <w:noProof/>
        </w:rPr>
      </w:pPr>
      <w:r>
        <w:rPr>
          <w:noProof/>
        </w:rPr>
        <w:t>Тази мярка има четири основни цели:</w:t>
      </w:r>
    </w:p>
    <w:p w14:paraId="7D5F67C8" w14:textId="77777777" w:rsidR="00235E11" w:rsidRDefault="00F837E4">
      <w:pPr>
        <w:pStyle w:val="Text1"/>
        <w:numPr>
          <w:ilvl w:val="0"/>
          <w:numId w:val="29"/>
        </w:numPr>
        <w:ind w:left="357" w:hanging="357"/>
        <w:rPr>
          <w:noProof/>
        </w:rPr>
      </w:pPr>
      <w:r>
        <w:rPr>
          <w:noProof/>
        </w:rPr>
        <w:t xml:space="preserve">автоматизиране на възможно най-много услуги, по-специално тези, които включват автоматични права, плащания и проактивна информация, </w:t>
      </w:r>
    </w:p>
    <w:p w14:paraId="501D4DC1" w14:textId="77777777" w:rsidR="00235E11" w:rsidRDefault="00F837E4">
      <w:pPr>
        <w:pStyle w:val="Text1"/>
        <w:numPr>
          <w:ilvl w:val="0"/>
          <w:numId w:val="29"/>
        </w:numPr>
        <w:ind w:left="357" w:hanging="357"/>
        <w:rPr>
          <w:noProof/>
        </w:rPr>
      </w:pPr>
      <w:r>
        <w:rPr>
          <w:noProof/>
        </w:rPr>
        <w:t>даване на възможност за бързи и ефективни правителствени решения с данни, при които използването на данни все повече захранва правителствените решения. Във връзка с това се предвиждат инвестиции в разработването на платформи за данни от датчици, особено в областта на мобилността и околната среда.</w:t>
      </w:r>
    </w:p>
    <w:p w14:paraId="0F3CC6C0" w14:textId="77777777" w:rsidR="00235E11" w:rsidRDefault="00F837E4">
      <w:pPr>
        <w:pStyle w:val="Text1"/>
        <w:numPr>
          <w:ilvl w:val="0"/>
          <w:numId w:val="29"/>
        </w:numPr>
        <w:ind w:left="357" w:hanging="357"/>
        <w:rPr>
          <w:noProof/>
        </w:rPr>
      </w:pPr>
      <w:r>
        <w:rPr>
          <w:noProof/>
        </w:rPr>
        <w:t>осигуряване на надеждна основна инфраструктура чрез укрепване на общата основна информация и модулите на ИКТ и чрез предоставяне на подкрепа,</w:t>
      </w:r>
    </w:p>
    <w:p w14:paraId="29A15ADD" w14:textId="77777777" w:rsidR="00235E11" w:rsidRDefault="00F837E4">
      <w:pPr>
        <w:pStyle w:val="Text1"/>
        <w:numPr>
          <w:ilvl w:val="0"/>
          <w:numId w:val="29"/>
        </w:numPr>
        <w:ind w:left="357" w:hanging="357"/>
        <w:rPr>
          <w:noProof/>
        </w:rPr>
      </w:pPr>
      <w:r>
        <w:rPr>
          <w:noProof/>
        </w:rPr>
        <w:t>предлагане на хибридно, ориентирано към бъдещето работно място за всеки фламандски служител.</w:t>
      </w:r>
    </w:p>
    <w:p w14:paraId="41A82B74" w14:textId="5B880F00" w:rsidR="00235E11" w:rsidRDefault="00F837E4">
      <w:pPr>
        <w:pStyle w:val="Text1"/>
        <w:ind w:left="0"/>
        <w:rPr>
          <w:noProof/>
        </w:rPr>
      </w:pPr>
      <w:r>
        <w:rPr>
          <w:noProof/>
        </w:rPr>
        <w:t>Мярката се състои от 11 проекта, които трябва да бъдат реализирани по следните 4 схеми: 1. Към евтини обществени услуги за гражданите, предприятията и сдруженията; 2. Осигуряване на възможност за бързо и ефективно вземане на решения с данни; 3. Осигуряване на надеждна основна инфраструктура чрез укрепване на общата информация и градивните елементи на ИКТ; и 4 септември Осигуряване на хибридно работно място на бъдещето за всеки фламандски служител. Изпълнението на инвестицията трябва да приключи до 30 декември 2025 г.</w:t>
      </w:r>
    </w:p>
    <w:p w14:paraId="6B97DE46" w14:textId="77777777" w:rsidR="00235E11" w:rsidRDefault="00F837E4">
      <w:pPr>
        <w:pStyle w:val="P68B1DB1-Text111"/>
        <w:ind w:left="0"/>
        <w:rPr>
          <w:noProof/>
        </w:rPr>
      </w:pPr>
      <w:r>
        <w:rPr>
          <w:noProof/>
        </w:rPr>
        <w:t>Инвестиция I-2.10: „Регионална платформа за обмен на данни“ на регион Брюксел-столица</w:t>
      </w:r>
    </w:p>
    <w:p w14:paraId="2919FE4A" w14:textId="17123283" w:rsidR="00235E11" w:rsidRDefault="00F837E4">
      <w:pPr>
        <w:pStyle w:val="Text1"/>
        <w:ind w:left="0"/>
        <w:rPr>
          <w:noProof/>
        </w:rPr>
      </w:pPr>
      <w:r>
        <w:rPr>
          <w:noProof/>
        </w:rPr>
        <w:t>Целта на този проект е да се използват наличните данни в регион Брюксел в полза на гражданите и предприятията в Брюксел чрез разработване на Брюкселска платформа за обмен на данни. По-специално платформата улеснява създаването на градски „цифрови близнаци“ (виртуално представяне на физическите активи на града). Изпълнението на инвестицията трябва да приключи до 31 декември 2024 г.</w:t>
      </w:r>
    </w:p>
    <w:p w14:paraId="653D232A" w14:textId="77777777" w:rsidR="00235E11" w:rsidRDefault="00F837E4">
      <w:pPr>
        <w:pStyle w:val="P68B1DB1-Text111"/>
        <w:pageBreakBefore/>
        <w:ind w:left="0"/>
        <w:rPr>
          <w:noProof/>
        </w:rPr>
      </w:pPr>
      <w:r>
        <w:rPr>
          <w:noProof/>
        </w:rPr>
        <w:t>Инвестиция I-2.11: „Цифровизация на гражданските бизнес процеси“ на регион Брюксел-столица</w:t>
      </w:r>
    </w:p>
    <w:p w14:paraId="757AEAA1" w14:textId="77777777" w:rsidR="00235E11" w:rsidRDefault="00F837E4">
      <w:pPr>
        <w:pStyle w:val="Text1"/>
        <w:ind w:left="0"/>
        <w:rPr>
          <w:noProof/>
        </w:rPr>
      </w:pPr>
      <w:r>
        <w:rPr>
          <w:noProof/>
        </w:rPr>
        <w:t>Целта на този проект е да се отговори на нарастващата необходимост от административно опростяване и да се даде възможност на гражданите и предприятията да приключат процедурите си по съгласуван, ефикасен и прозрачен начин. В това отношение четири проекта допринасят за постигане на целта за административно опростяване:</w:t>
      </w:r>
    </w:p>
    <w:p w14:paraId="078823AB" w14:textId="77777777" w:rsidR="00235E11" w:rsidRDefault="00F837E4">
      <w:pPr>
        <w:pStyle w:val="Text1"/>
        <w:numPr>
          <w:ilvl w:val="0"/>
          <w:numId w:val="30"/>
        </w:numPr>
        <w:tabs>
          <w:tab w:val="left" w:pos="426"/>
        </w:tabs>
        <w:ind w:left="0" w:firstLine="0"/>
        <w:rPr>
          <w:noProof/>
        </w:rPr>
      </w:pPr>
      <w:r>
        <w:rPr>
          <w:noProof/>
        </w:rPr>
        <w:t>изграждане на Брюкселска регионална платформа за управление на връзките с гражданите (CIRM),</w:t>
      </w:r>
    </w:p>
    <w:p w14:paraId="0CCD104B" w14:textId="77777777" w:rsidR="00235E11" w:rsidRDefault="00F837E4">
      <w:pPr>
        <w:pStyle w:val="Text1"/>
        <w:numPr>
          <w:ilvl w:val="0"/>
          <w:numId w:val="30"/>
        </w:numPr>
        <w:tabs>
          <w:tab w:val="left" w:pos="426"/>
        </w:tabs>
        <w:ind w:left="0" w:firstLine="0"/>
        <w:rPr>
          <w:noProof/>
        </w:rPr>
      </w:pPr>
      <w:r>
        <w:rPr>
          <w:noProof/>
        </w:rPr>
        <w:t>стартиране на платформа за цифровизация на процедурите за издаване на разрешения,</w:t>
      </w:r>
    </w:p>
    <w:p w14:paraId="31F6D76D" w14:textId="77777777" w:rsidR="00235E11" w:rsidRDefault="00F837E4">
      <w:pPr>
        <w:pStyle w:val="Text1"/>
        <w:numPr>
          <w:ilvl w:val="0"/>
          <w:numId w:val="30"/>
        </w:numPr>
        <w:tabs>
          <w:tab w:val="left" w:pos="426"/>
        </w:tabs>
        <w:ind w:left="0" w:firstLine="0"/>
        <w:rPr>
          <w:noProof/>
        </w:rPr>
      </w:pPr>
      <w:r>
        <w:rPr>
          <w:noProof/>
        </w:rPr>
        <w:t xml:space="preserve">стартирането на платформа за цифровизация на градските информационни процедури и градските архиви. Този проект се придружава от реформите и корекциите, необходими за правилното му изпълнение. </w:t>
      </w:r>
    </w:p>
    <w:p w14:paraId="65B343B1" w14:textId="77777777" w:rsidR="00235E11" w:rsidRDefault="00F837E4">
      <w:pPr>
        <w:pStyle w:val="Text1"/>
        <w:numPr>
          <w:ilvl w:val="0"/>
          <w:numId w:val="30"/>
        </w:numPr>
        <w:tabs>
          <w:tab w:val="left" w:pos="426"/>
        </w:tabs>
        <w:ind w:left="0" w:firstLine="0"/>
        <w:rPr>
          <w:noProof/>
        </w:rPr>
      </w:pPr>
      <w:r>
        <w:rPr>
          <w:noProof/>
        </w:rPr>
        <w:t>стартиране на платформа за цифровизация на процедурите за екологични разрешителни.</w:t>
      </w:r>
    </w:p>
    <w:p w14:paraId="2938C800" w14:textId="77777777" w:rsidR="00235E11" w:rsidRDefault="00F837E4">
      <w:pPr>
        <w:pStyle w:val="Text1"/>
        <w:ind w:left="0"/>
        <w:rPr>
          <w:noProof/>
        </w:rPr>
      </w:pPr>
      <w:r>
        <w:rPr>
          <w:noProof/>
        </w:rPr>
        <w:t>Изпълнението на инвестицията трябва да приключи до 31 декември 2025 г.</w:t>
      </w:r>
    </w:p>
    <w:p w14:paraId="7317BFCC" w14:textId="605F6810" w:rsidR="00235E11" w:rsidRDefault="00F837E4">
      <w:pPr>
        <w:pStyle w:val="P68B1DB1-Text111"/>
        <w:ind w:left="0"/>
        <w:rPr>
          <w:noProof/>
        </w:rPr>
      </w:pPr>
      <w:r>
        <w:rPr>
          <w:noProof/>
        </w:rPr>
        <w:t>Реформа R-2.01: „Опростяване на административните процедури: електронно управление за предприятията, опростяване на административните процедури“ на федералната държава</w:t>
      </w:r>
    </w:p>
    <w:p w14:paraId="55471228" w14:textId="6920B67D" w:rsidR="00235E11" w:rsidRDefault="00F837E4">
      <w:pPr>
        <w:pStyle w:val="Text1"/>
        <w:ind w:left="0"/>
        <w:rPr>
          <w:noProof/>
        </w:rPr>
      </w:pPr>
      <w:r>
        <w:rPr>
          <w:noProof/>
        </w:rPr>
        <w:t>Тази реформа има за цел административно опростяване, по-специално чрез пълно цифровизиране на процедурите за създаване, изменение и прекратяване на стопански дейности и юридически лица. По-специално влиза в сила споразумение за сътрудничество, включващо мерки, позволяващи създаването, изменението и прекратяването на стопански дейности в пълен електронен формат. Новата цифрова система, въведена със споразумението за сътрудничество, която включва три електронни формуляра за създаване, изменение и прекратяване на стопанска дейност, е алтернативен административен канал, който предоставя опростена алтернатива на съществуващите формуляри. Освен това законите и кралските укази, които постепенно дават възможност за онлайн създаване, изменение и прекратяване на юридически лица за всички правни форми чрез нотариуси или чрез Закона за Just-Act, влизат в сила. Изпълнението на реформата трябва да приключи до 31 декември 2023 г.</w:t>
      </w:r>
    </w:p>
    <w:p w14:paraId="22905B7B" w14:textId="77777777" w:rsidR="00235E11" w:rsidRDefault="00F837E4">
      <w:pPr>
        <w:pStyle w:val="P68B1DB1-Text111"/>
        <w:ind w:left="0"/>
        <w:rPr>
          <w:noProof/>
        </w:rPr>
      </w:pPr>
      <w:r>
        <w:rPr>
          <w:noProof/>
        </w:rPr>
        <w:t>Реформа R-2.02: „Електронно управление: Процедура за възлагане на обществена поръчка“ на федералната държава</w:t>
      </w:r>
    </w:p>
    <w:p w14:paraId="3064DE86" w14:textId="4DD9FD1D" w:rsidR="00235E11" w:rsidRDefault="00F837E4">
      <w:pPr>
        <w:pStyle w:val="Text1"/>
        <w:ind w:left="0"/>
        <w:rPr>
          <w:noProof/>
        </w:rPr>
      </w:pPr>
      <w:r>
        <w:rPr>
          <w:noProof/>
        </w:rPr>
        <w:t>Тази реформа се състои от съгласуван набор от мерки за разширяване на използването на електронни обществени поръчки, включително нов кралски указ, с който се адаптира федералната регулаторна рамка за провеждане на тръжни процедури, за да се улесни използването на новата и подобрена платформа за електронно управление. Изпълнението на реформата трябва да приключи до 31 декември 2024 г.</w:t>
      </w:r>
    </w:p>
    <w:p w14:paraId="28B98CCE" w14:textId="77777777" w:rsidR="00235E11" w:rsidRDefault="00F837E4">
      <w:pPr>
        <w:pStyle w:val="P68B1DB1-Text16"/>
        <w:ind w:left="0"/>
        <w:rPr>
          <w:noProof/>
        </w:rPr>
      </w:pPr>
      <w:r>
        <w:rPr>
          <w:noProof/>
        </w:rPr>
        <w:t xml:space="preserve">Д.2. </w:t>
      </w:r>
      <w:r>
        <w:rPr>
          <w:noProof/>
        </w:rPr>
        <w:tab/>
        <w:t>Ключови етапи, цели, показатели и график за мониторинг и изпълнение на безвъзмездната финансова подкрепа</w:t>
      </w:r>
    </w:p>
    <w:p w14:paraId="715B714E" w14:textId="77777777" w:rsidR="00235E11" w:rsidRDefault="00235E11">
      <w:pPr>
        <w:pStyle w:val="Text1"/>
        <w:rPr>
          <w:noProof/>
        </w:rPr>
      </w:pPr>
    </w:p>
    <w:p w14:paraId="5C16BF8F" w14:textId="77777777" w:rsidR="00235E11" w:rsidRDefault="00235E11">
      <w:pPr>
        <w:pStyle w:val="Text1"/>
        <w:ind w:left="709"/>
        <w:rPr>
          <w:noProof/>
        </w:rPr>
        <w:sectPr w:rsidR="00235E11" w:rsidSect="007F56C3">
          <w:headerReference w:type="even" r:id="rId66"/>
          <w:headerReference w:type="default" r:id="rId67"/>
          <w:footerReference w:type="even" r:id="rId68"/>
          <w:footerReference w:type="default" r:id="rId69"/>
          <w:headerReference w:type="first" r:id="rId70"/>
          <w:footerReference w:type="first" r:id="rId71"/>
          <w:pgSz w:w="11907" w:h="16839"/>
          <w:pgMar w:top="1134" w:right="1134" w:bottom="1134" w:left="1134" w:header="567" w:footer="567" w:gutter="0"/>
          <w:cols w:space="720"/>
          <w:docGrid w:linePitch="360"/>
        </w:sectPr>
      </w:pPr>
    </w:p>
    <w:tbl>
      <w:tblPr>
        <w:tblW w:w="14895" w:type="dxa"/>
        <w:tblInd w:w="-318" w:type="dxa"/>
        <w:tblLayout w:type="fixed"/>
        <w:tblLook w:val="04A0" w:firstRow="1" w:lastRow="0" w:firstColumn="1" w:lastColumn="0" w:noHBand="0" w:noVBand="1"/>
      </w:tblPr>
      <w:tblGrid>
        <w:gridCol w:w="667"/>
        <w:gridCol w:w="1489"/>
        <w:gridCol w:w="851"/>
        <w:gridCol w:w="1417"/>
        <w:gridCol w:w="1276"/>
        <w:gridCol w:w="992"/>
        <w:gridCol w:w="709"/>
        <w:gridCol w:w="709"/>
        <w:gridCol w:w="708"/>
        <w:gridCol w:w="709"/>
        <w:gridCol w:w="5368"/>
      </w:tblGrid>
      <w:tr w:rsidR="00235E11" w14:paraId="1B42ADCD" w14:textId="77777777">
        <w:trPr>
          <w:trHeight w:val="927"/>
          <w:tblHeader/>
        </w:trPr>
        <w:tc>
          <w:tcPr>
            <w:tcW w:w="66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BFC576" w14:textId="5AB36C15" w:rsidR="00235E11" w:rsidRDefault="00F837E4">
            <w:pPr>
              <w:pStyle w:val="P68B1DB1-Normal7"/>
              <w:spacing w:after="0"/>
              <w:jc w:val="center"/>
              <w:rPr>
                <w:noProof/>
              </w:rPr>
            </w:pPr>
            <w:r>
              <w:rPr>
                <w:noProof/>
              </w:rPr>
              <w:t>SeqNb.</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072B04" w14:textId="77777777" w:rsidR="00235E11" w:rsidRDefault="00F837E4">
            <w:pPr>
              <w:pStyle w:val="P68B1DB1-Normal7"/>
              <w:spacing w:after="0"/>
              <w:jc w:val="center"/>
              <w:rPr>
                <w:noProof/>
              </w:rPr>
            </w:pPr>
            <w:r>
              <w:rPr>
                <w:noProof/>
              </w:rPr>
              <w:t>Свързана мярка (реформа или инвестиции)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0A08B3" w14:textId="77777777" w:rsidR="00235E11" w:rsidRDefault="00F837E4">
            <w:pPr>
              <w:pStyle w:val="P68B1DB1-Normal7"/>
              <w:spacing w:after="0"/>
              <w:jc w:val="center"/>
              <w:rPr>
                <w:noProof/>
              </w:rPr>
            </w:pPr>
            <w:r>
              <w:rPr>
                <w:noProof/>
              </w:rPr>
              <w:t>Ключов етап/Цел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4FCA979" w14:textId="77777777" w:rsidR="00235E11" w:rsidRDefault="00F837E4">
            <w:pPr>
              <w:pStyle w:val="P68B1DB1-Normal7"/>
              <w:spacing w:after="0"/>
              <w:jc w:val="center"/>
              <w:rPr>
                <w:noProof/>
              </w:rPr>
            </w:pPr>
            <w:r>
              <w:rPr>
                <w:noProof/>
              </w:rPr>
              <w:t>Име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FE56C2"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41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753151D"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7" w:type="dxa"/>
            <w:gridSpan w:val="2"/>
            <w:tcBorders>
              <w:top w:val="single" w:sz="4" w:space="0" w:color="auto"/>
              <w:left w:val="nil"/>
              <w:bottom w:val="single" w:sz="4" w:space="0" w:color="auto"/>
              <w:right w:val="single" w:sz="4" w:space="0" w:color="auto"/>
            </w:tcBorders>
            <w:shd w:val="clear" w:color="auto" w:fill="BDD7EE"/>
            <w:vAlign w:val="center"/>
            <w:hideMark/>
          </w:tcPr>
          <w:p w14:paraId="395DBBB3" w14:textId="77777777" w:rsidR="00235E11" w:rsidRDefault="00F837E4">
            <w:pPr>
              <w:pStyle w:val="P68B1DB1-Normal7"/>
              <w:spacing w:after="0"/>
              <w:jc w:val="center"/>
              <w:rPr>
                <w:noProof/>
              </w:rPr>
            </w:pPr>
            <w:r>
              <w:rPr>
                <w:noProof/>
              </w:rPr>
              <w:t xml:space="preserve">Примерен график за приключване </w:t>
            </w:r>
          </w:p>
        </w:tc>
        <w:tc>
          <w:tcPr>
            <w:tcW w:w="53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F6846A" w14:textId="77777777" w:rsidR="00235E11" w:rsidRDefault="00F837E4">
            <w:pPr>
              <w:pStyle w:val="P68B1DB1-Normal7"/>
              <w:spacing w:after="0"/>
              <w:jc w:val="center"/>
              <w:rPr>
                <w:noProof/>
              </w:rPr>
            </w:pPr>
            <w:r>
              <w:rPr>
                <w:noProof/>
              </w:rPr>
              <w:t>Описание на всеки ключов етап и цел</w:t>
            </w:r>
          </w:p>
        </w:tc>
      </w:tr>
      <w:tr w:rsidR="00235E11" w14:paraId="573092C2" w14:textId="77777777">
        <w:trPr>
          <w:trHeight w:val="1013"/>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68125C66" w14:textId="77777777" w:rsidR="00235E11" w:rsidRDefault="00235E11">
            <w:pPr>
              <w:spacing w:after="0"/>
              <w:rPr>
                <w:rFonts w:ascii="Times New Roman" w:eastAsia="Times New Roman" w:hAnsi="Times New Roman" w:cs="Times New Roman"/>
                <w:b/>
                <w:noProof/>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236FA779" w14:textId="77777777" w:rsidR="00235E11" w:rsidRDefault="00235E11">
            <w:pPr>
              <w:spacing w:after="0"/>
              <w:rPr>
                <w:rFonts w:ascii="Times New Roman" w:eastAsia="Times New Roman" w:hAnsi="Times New Roman" w:cs="Times New Roman"/>
                <w:b/>
                <w:noProof/>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788E73" w14:textId="77777777" w:rsidR="00235E11" w:rsidRDefault="00235E11">
            <w:pPr>
              <w:spacing w:after="0"/>
              <w:rPr>
                <w:rFonts w:ascii="Times New Roman" w:eastAsia="Times New Roman" w:hAnsi="Times New Roman" w:cs="Times New Roman"/>
                <w:b/>
                <w:noProo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FD7BCF" w14:textId="77777777" w:rsidR="00235E11" w:rsidRDefault="00235E11">
            <w:pPr>
              <w:spacing w:after="0"/>
              <w:rPr>
                <w:rFonts w:ascii="Times New Roman" w:eastAsia="Times New Roman" w:hAnsi="Times New Roman" w:cs="Times New Roman"/>
                <w:b/>
                <w:noProof/>
              </w:rPr>
            </w:pPr>
          </w:p>
        </w:tc>
        <w:tc>
          <w:tcPr>
            <w:tcW w:w="1276" w:type="dxa"/>
            <w:vMerge/>
            <w:tcBorders>
              <w:top w:val="single" w:sz="4" w:space="0" w:color="auto"/>
              <w:left w:val="single" w:sz="4" w:space="0" w:color="auto"/>
              <w:bottom w:val="single" w:sz="4" w:space="0" w:color="auto"/>
            </w:tcBorders>
            <w:vAlign w:val="center"/>
            <w:hideMark/>
          </w:tcPr>
          <w:p w14:paraId="6B83B094" w14:textId="77777777" w:rsidR="00235E11" w:rsidRDefault="00235E11">
            <w:pPr>
              <w:spacing w:after="0"/>
              <w:rPr>
                <w:rFonts w:ascii="Times New Roman" w:eastAsia="Times New Roman" w:hAnsi="Times New Roman" w:cs="Times New Roman"/>
                <w:b/>
                <w:noProof/>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61A0BB0" w14:textId="77777777" w:rsidR="00235E11" w:rsidRDefault="00F837E4">
            <w:pPr>
              <w:pStyle w:val="P68B1DB1-Normal7"/>
              <w:spacing w:after="0"/>
              <w:jc w:val="center"/>
              <w:rPr>
                <w:noProof/>
              </w:rPr>
            </w:pPr>
            <w:r>
              <w:rPr>
                <w:noProof/>
              </w:rPr>
              <w:t>Единица мярка</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203F2466" w14:textId="77777777" w:rsidR="00235E11" w:rsidRDefault="00F837E4">
            <w:pPr>
              <w:pStyle w:val="P68B1DB1-Normal7"/>
              <w:spacing w:after="0"/>
              <w:jc w:val="center"/>
              <w:rPr>
                <w:noProof/>
              </w:rPr>
            </w:pPr>
            <w:r>
              <w:rPr>
                <w:noProof/>
              </w:rPr>
              <w:t xml:space="preserve">Базова линия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31641F25" w14:textId="77777777" w:rsidR="00235E11" w:rsidRDefault="00F837E4">
            <w:pPr>
              <w:pStyle w:val="P68B1DB1-Normal7"/>
              <w:spacing w:after="0"/>
              <w:jc w:val="center"/>
              <w:rPr>
                <w:noProof/>
              </w:rPr>
            </w:pPr>
            <w:r>
              <w:rPr>
                <w:noProof/>
              </w:rPr>
              <w:t xml:space="preserve">Цел </w:t>
            </w:r>
          </w:p>
        </w:tc>
        <w:tc>
          <w:tcPr>
            <w:tcW w:w="708" w:type="dxa"/>
            <w:tcBorders>
              <w:top w:val="single" w:sz="4" w:space="0" w:color="auto"/>
              <w:left w:val="nil"/>
              <w:bottom w:val="single" w:sz="4" w:space="0" w:color="auto"/>
              <w:right w:val="single" w:sz="4" w:space="0" w:color="auto"/>
            </w:tcBorders>
            <w:shd w:val="clear" w:color="auto" w:fill="BDD7EE"/>
            <w:vAlign w:val="center"/>
            <w:hideMark/>
          </w:tcPr>
          <w:p w14:paraId="690B89DB" w14:textId="77777777" w:rsidR="00235E11" w:rsidRDefault="00F837E4">
            <w:pPr>
              <w:pStyle w:val="P68B1DB1-Normal7"/>
              <w:spacing w:after="0"/>
              <w:jc w:val="center"/>
              <w:rPr>
                <w:noProof/>
              </w:rPr>
            </w:pPr>
            <w:r>
              <w:rPr>
                <w:noProof/>
              </w:rPr>
              <w:t>Тримесечие</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7AB49855" w14:textId="77777777" w:rsidR="00235E11" w:rsidRDefault="00F837E4">
            <w:pPr>
              <w:pStyle w:val="P68B1DB1-Normal7"/>
              <w:spacing w:after="0"/>
              <w:jc w:val="center"/>
              <w:rPr>
                <w:noProof/>
              </w:rPr>
            </w:pPr>
            <w:r>
              <w:rPr>
                <w:noProof/>
              </w:rPr>
              <w:t>Година</w:t>
            </w:r>
          </w:p>
        </w:tc>
        <w:tc>
          <w:tcPr>
            <w:tcW w:w="5368" w:type="dxa"/>
            <w:vMerge/>
            <w:tcBorders>
              <w:top w:val="single" w:sz="4" w:space="0" w:color="auto"/>
              <w:bottom w:val="single" w:sz="4" w:space="0" w:color="auto"/>
              <w:right w:val="single" w:sz="4" w:space="0" w:color="auto"/>
            </w:tcBorders>
            <w:vAlign w:val="center"/>
            <w:hideMark/>
          </w:tcPr>
          <w:p w14:paraId="7D44E5CB" w14:textId="77777777" w:rsidR="00235E11" w:rsidRDefault="00235E11">
            <w:pPr>
              <w:spacing w:after="0"/>
              <w:rPr>
                <w:rFonts w:ascii="Times New Roman" w:eastAsia="Times New Roman" w:hAnsi="Times New Roman" w:cs="Times New Roman"/>
                <w:b/>
                <w:noProof/>
              </w:rPr>
            </w:pPr>
          </w:p>
        </w:tc>
      </w:tr>
      <w:tr w:rsidR="00235E11" w14:paraId="24D86FF1"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7AF99C" w14:textId="77777777" w:rsidR="00235E11" w:rsidRDefault="00F837E4">
            <w:pPr>
              <w:pStyle w:val="P68B1DB1-Normal10"/>
              <w:spacing w:after="0"/>
              <w:jc w:val="center"/>
              <w:rPr>
                <w:noProof/>
              </w:rPr>
            </w:pPr>
            <w:r>
              <w:rPr>
                <w:noProof/>
              </w:rPr>
              <w:t>51</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71C6CD68" w14:textId="77777777" w:rsidR="00235E11" w:rsidRDefault="00F837E4">
            <w:pPr>
              <w:pStyle w:val="P68B1DB1-Normal10"/>
              <w:spacing w:after="0"/>
              <w:rPr>
                <w:noProof/>
              </w:rPr>
            </w:pPr>
            <w:r>
              <w:rPr>
                <w:noProof/>
              </w:rPr>
              <w:t>Цифровизация на IPSS (I-2.04) (подмярка 2)</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2C2F2CF" w14:textId="4BBC11BA" w:rsidR="00235E11" w:rsidRDefault="00F837E4">
            <w:pPr>
              <w:pStyle w:val="P68B1DB1-Normal10"/>
              <w:spacing w:after="0"/>
              <w:rPr>
                <w:noProof/>
              </w:rPr>
            </w:pPr>
            <w:r>
              <w:rPr>
                <w:noProof/>
              </w:rPr>
              <w:t>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3BE9DBEC" w14:textId="77777777" w:rsidR="00235E11" w:rsidRDefault="00F837E4">
            <w:pPr>
              <w:pStyle w:val="P68B1DB1-Normal10"/>
              <w:spacing w:after="0"/>
              <w:rPr>
                <w:noProof/>
              </w:rPr>
            </w:pPr>
            <w:r>
              <w:rPr>
                <w:noProof/>
              </w:rPr>
              <w:t>Всички комуникации на Публичния институт за социална сигурност (IPSS) са цифрови и</w:t>
            </w:r>
          </w:p>
          <w:p w14:paraId="15A6B5CB" w14:textId="77777777" w:rsidR="00235E11" w:rsidRDefault="00F837E4">
            <w:pPr>
              <w:pStyle w:val="P68B1DB1-Normal10"/>
              <w:spacing w:after="0"/>
              <w:rPr>
                <w:noProof/>
              </w:rPr>
            </w:pPr>
            <w:r>
              <w:rPr>
                <w:noProof/>
              </w:rPr>
              <w:t>данните са централизирани/консолидирани</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3798E40B"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F7155C8" w14:textId="77777777" w:rsidR="00235E11" w:rsidRDefault="00F837E4">
            <w:pPr>
              <w:pStyle w:val="P68B1DB1-Normal10"/>
              <w:spacing w:after="0"/>
              <w:jc w:val="center"/>
              <w:rPr>
                <w:noProof/>
              </w:rPr>
            </w:pPr>
            <w:r>
              <w:rPr>
                <w:noProof/>
              </w:rPr>
              <w:t>%</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9F4C70D"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E851F0D" w14:textId="77777777" w:rsidR="00235E11" w:rsidRDefault="00F837E4">
            <w:pPr>
              <w:pStyle w:val="P68B1DB1-Normal10"/>
              <w:spacing w:after="0"/>
              <w:jc w:val="center"/>
              <w:rPr>
                <w:noProof/>
              </w:rPr>
            </w:pPr>
            <w:r>
              <w:rPr>
                <w:noProof/>
              </w:rPr>
              <w:t>100</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5405340D" w14:textId="77777777" w:rsidR="00235E11" w:rsidRDefault="00F837E4">
            <w:pPr>
              <w:pStyle w:val="P68B1DB1-Normal10"/>
              <w:spacing w:after="0"/>
              <w:jc w:val="center"/>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6AABA27" w14:textId="77777777" w:rsidR="00235E11" w:rsidRDefault="00F837E4">
            <w:pPr>
              <w:pStyle w:val="P68B1DB1-Normal10"/>
              <w:spacing w:after="0"/>
              <w:jc w:val="center"/>
              <w:rPr>
                <w:noProof/>
              </w:rPr>
            </w:pPr>
            <w:r>
              <w:rPr>
                <w:noProof/>
              </w:rPr>
              <w:t>2024</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3EB4456E" w14:textId="77777777" w:rsidR="00235E11" w:rsidRDefault="00F837E4">
            <w:pPr>
              <w:pStyle w:val="P68B1DB1-Normal10"/>
              <w:spacing w:after="0"/>
              <w:rPr>
                <w:noProof/>
              </w:rPr>
            </w:pPr>
            <w:r>
              <w:rPr>
                <w:noProof/>
              </w:rPr>
              <w:t>100 % от комуникацията между публичния институт за социална сигурност (IPSS) и работодателите по отношение на фактурирането/плащането са цифровизирани. Системата за фактуриране на Националната служба за социална сигурност (RSZ/ONSS) е интегрирана в общоевропейската мрежа за обществени поръчки онлайн (PEPPOL).</w:t>
            </w:r>
          </w:p>
        </w:tc>
      </w:tr>
      <w:tr w:rsidR="00235E11" w14:paraId="35F632E2" w14:textId="77777777">
        <w:trPr>
          <w:trHeight w:val="309"/>
        </w:trPr>
        <w:tc>
          <w:tcPr>
            <w:tcW w:w="667" w:type="dxa"/>
            <w:tcBorders>
              <w:top w:val="nil"/>
              <w:left w:val="single" w:sz="4" w:space="0" w:color="auto"/>
              <w:bottom w:val="single" w:sz="4" w:space="0" w:color="auto"/>
              <w:right w:val="single" w:sz="4" w:space="0" w:color="auto"/>
            </w:tcBorders>
            <w:shd w:val="clear" w:color="auto" w:fill="C6EFCE"/>
            <w:noWrap/>
            <w:vAlign w:val="center"/>
          </w:tcPr>
          <w:p w14:paraId="1E4B485E" w14:textId="77777777" w:rsidR="00235E11" w:rsidRDefault="00F837E4">
            <w:pPr>
              <w:pStyle w:val="P68B1DB1-Normal10"/>
              <w:spacing w:after="0"/>
              <w:jc w:val="center"/>
              <w:rPr>
                <w:noProof/>
              </w:rPr>
            </w:pPr>
            <w:r>
              <w:rPr>
                <w:noProof/>
              </w:rPr>
              <w:t>52</w:t>
            </w:r>
          </w:p>
        </w:tc>
        <w:tc>
          <w:tcPr>
            <w:tcW w:w="1489" w:type="dxa"/>
            <w:tcBorders>
              <w:top w:val="nil"/>
              <w:left w:val="nil"/>
              <w:bottom w:val="single" w:sz="4" w:space="0" w:color="auto"/>
              <w:right w:val="single" w:sz="4" w:space="0" w:color="auto"/>
            </w:tcBorders>
            <w:shd w:val="clear" w:color="auto" w:fill="C6EFCE"/>
            <w:noWrap/>
            <w:vAlign w:val="center"/>
          </w:tcPr>
          <w:p w14:paraId="080C9E58" w14:textId="7A264E53" w:rsidR="00235E11" w:rsidRDefault="00F837E4">
            <w:pPr>
              <w:pStyle w:val="P68B1DB1-Normal10"/>
              <w:spacing w:after="0"/>
              <w:rPr>
                <w:noProof/>
              </w:rPr>
            </w:pPr>
            <w:r>
              <w:rPr>
                <w:noProof/>
              </w:rPr>
              <w:t>Цифровизация на IPSS (I-2.04) (подмярка 1)</w:t>
            </w:r>
          </w:p>
        </w:tc>
        <w:tc>
          <w:tcPr>
            <w:tcW w:w="851" w:type="dxa"/>
            <w:tcBorders>
              <w:top w:val="nil"/>
              <w:left w:val="nil"/>
              <w:bottom w:val="single" w:sz="4" w:space="0" w:color="auto"/>
              <w:right w:val="single" w:sz="4" w:space="0" w:color="auto"/>
            </w:tcBorders>
            <w:shd w:val="clear" w:color="auto" w:fill="C6EFCE"/>
            <w:noWrap/>
            <w:vAlign w:val="center"/>
          </w:tcPr>
          <w:p w14:paraId="67235A14" w14:textId="4D832816" w:rsidR="00235E11" w:rsidRDefault="00F837E4">
            <w:pPr>
              <w:pStyle w:val="P68B1DB1-Normal10"/>
              <w:spacing w:after="0"/>
              <w:rPr>
                <w:noProof/>
              </w:rPr>
            </w:pPr>
            <w:r>
              <w:rPr>
                <w:noProof/>
              </w:rPr>
              <w:t>M</w:t>
            </w:r>
          </w:p>
        </w:tc>
        <w:tc>
          <w:tcPr>
            <w:tcW w:w="1417" w:type="dxa"/>
            <w:tcBorders>
              <w:top w:val="nil"/>
              <w:left w:val="nil"/>
              <w:bottom w:val="single" w:sz="4" w:space="0" w:color="auto"/>
              <w:right w:val="single" w:sz="4" w:space="0" w:color="auto"/>
            </w:tcBorders>
            <w:shd w:val="clear" w:color="auto" w:fill="C6EFCE"/>
            <w:noWrap/>
            <w:vAlign w:val="center"/>
          </w:tcPr>
          <w:p w14:paraId="52438F60" w14:textId="77777777" w:rsidR="00235E11" w:rsidRDefault="00F837E4">
            <w:pPr>
              <w:pStyle w:val="P68B1DB1-Normal10"/>
              <w:spacing w:after="0"/>
              <w:rPr>
                <w:noProof/>
              </w:rPr>
            </w:pPr>
            <w:r>
              <w:rPr>
                <w:noProof/>
              </w:rPr>
              <w:t>Налично цифрово решение — уеб интерфейс (IPSS)</w:t>
            </w:r>
          </w:p>
        </w:tc>
        <w:tc>
          <w:tcPr>
            <w:tcW w:w="1276" w:type="dxa"/>
            <w:tcBorders>
              <w:top w:val="nil"/>
              <w:left w:val="nil"/>
              <w:bottom w:val="single" w:sz="4" w:space="0" w:color="auto"/>
              <w:right w:val="single" w:sz="4" w:space="0" w:color="auto"/>
            </w:tcBorders>
            <w:shd w:val="clear" w:color="auto" w:fill="C6EFCE"/>
            <w:noWrap/>
            <w:vAlign w:val="center"/>
          </w:tcPr>
          <w:p w14:paraId="04E0351D" w14:textId="13F30F7B" w:rsidR="00235E11" w:rsidRDefault="00F837E4">
            <w:pPr>
              <w:pStyle w:val="P68B1DB1-Normal10"/>
              <w:spacing w:after="0"/>
              <w:rPr>
                <w:noProof/>
              </w:rPr>
            </w:pPr>
            <w:r>
              <w:rPr>
                <w:noProof/>
              </w:rPr>
              <w:t>Окончателната версия на интернет интерфейса на IPSS функционира</w:t>
            </w:r>
          </w:p>
        </w:tc>
        <w:tc>
          <w:tcPr>
            <w:tcW w:w="992" w:type="dxa"/>
            <w:tcBorders>
              <w:top w:val="nil"/>
              <w:left w:val="nil"/>
              <w:bottom w:val="single" w:sz="4" w:space="0" w:color="auto"/>
              <w:right w:val="single" w:sz="4" w:space="0" w:color="auto"/>
            </w:tcBorders>
            <w:shd w:val="clear" w:color="auto" w:fill="C6EFCE"/>
            <w:noWrap/>
            <w:vAlign w:val="center"/>
          </w:tcPr>
          <w:p w14:paraId="286247D8"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5D6AE6AF"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6920B0C5"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262A76AB" w14:textId="77777777" w:rsidR="00235E11" w:rsidRDefault="00F837E4">
            <w:pPr>
              <w:pStyle w:val="P68B1DB1-Normal10"/>
              <w:spacing w:after="0"/>
              <w:jc w:val="center"/>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461756B0" w14:textId="77777777" w:rsidR="00235E11" w:rsidRDefault="00F837E4">
            <w:pPr>
              <w:pStyle w:val="P68B1DB1-Normal10"/>
              <w:spacing w:after="0"/>
              <w:jc w:val="center"/>
              <w:rPr>
                <w:noProof/>
              </w:rPr>
            </w:pPr>
            <w:r>
              <w:rPr>
                <w:noProof/>
              </w:rPr>
              <w:t>2026</w:t>
            </w:r>
          </w:p>
        </w:tc>
        <w:tc>
          <w:tcPr>
            <w:tcW w:w="5368" w:type="dxa"/>
            <w:tcBorders>
              <w:top w:val="nil"/>
              <w:left w:val="nil"/>
              <w:bottom w:val="single" w:sz="4" w:space="0" w:color="auto"/>
              <w:right w:val="single" w:sz="4" w:space="0" w:color="auto"/>
            </w:tcBorders>
            <w:shd w:val="clear" w:color="auto" w:fill="C6EFCE"/>
            <w:noWrap/>
            <w:vAlign w:val="center"/>
          </w:tcPr>
          <w:p w14:paraId="08656C3E" w14:textId="77777777" w:rsidR="00235E11" w:rsidRDefault="00F837E4">
            <w:pPr>
              <w:pStyle w:val="P68B1DB1-Normal10"/>
              <w:spacing w:after="0"/>
              <w:rPr>
                <w:noProof/>
              </w:rPr>
            </w:pPr>
            <w:r>
              <w:rPr>
                <w:noProof/>
              </w:rPr>
              <w:t>На разположение са интерфейсите за управление на правата на крайните потребители за комуникациите на Публичния институт за социална сигурност (IPSS). Партньорите, предприятията и гражданите имат нови, ефективни интерфейси за управление на техните декларации и комуникация със социалната сигурност. Каналите за комуникация бяха автоматизирани и модернизирани. Въведени са инструментите за управление на всички нови приложения, разработени за управление на правата и достъпа на потребителите, за регистриране на нови работодатели и за деклариране на нови или актуализирани отношения между социалната сигурност и работодател/служител, които позволяват лесна поддръжка и улесняват бъдещото развитие. Заинтересованите страни имат достъп до своите данни, които могат да бъдат търсени и отворени. Новата платформа е напълно оперативна, модерна, пригодна за поддръжка и мащабируема. Инфраструктурата е изградена в подкрепа на всички нови заявления за регистрация на нови работодатели и за деклариране на нови или актуализирани отношения между социалната сигурност и работодател/служител.</w:t>
            </w:r>
          </w:p>
        </w:tc>
      </w:tr>
      <w:tr w:rsidR="00235E11" w14:paraId="08427E43"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0ACFF5" w14:textId="77777777" w:rsidR="00235E11" w:rsidRDefault="00F837E4">
            <w:pPr>
              <w:pStyle w:val="P68B1DB1-Normal10"/>
              <w:spacing w:after="0"/>
              <w:jc w:val="center"/>
              <w:rPr>
                <w:noProof/>
              </w:rPr>
            </w:pPr>
            <w:r>
              <w:rPr>
                <w:noProof/>
              </w:rPr>
              <w:t>53</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56D8CB42" w14:textId="77777777" w:rsidR="00235E11" w:rsidRDefault="00F837E4">
            <w:pPr>
              <w:pStyle w:val="P68B1DB1-Normal10"/>
              <w:spacing w:after="0"/>
              <w:rPr>
                <w:noProof/>
              </w:rPr>
            </w:pPr>
            <w:r>
              <w:rPr>
                <w:noProof/>
              </w:rPr>
              <w:t>Цифровизация на IPSS (I-2.04)</w:t>
            </w:r>
          </w:p>
          <w:p w14:paraId="09FFBCA6" w14:textId="210DD889" w:rsidR="00235E11" w:rsidRDefault="00F837E4">
            <w:pPr>
              <w:pStyle w:val="P68B1DB1-Normal10"/>
              <w:spacing w:after="0"/>
              <w:rPr>
                <w:noProof/>
              </w:rPr>
            </w:pPr>
            <w:r>
              <w:rPr>
                <w:noProof/>
              </w:rPr>
              <w:t>(подмярка 3)</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32F4D2E5" w14:textId="66597829"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754B6392" w14:textId="77777777" w:rsidR="00235E11" w:rsidRDefault="00F837E4">
            <w:pPr>
              <w:pStyle w:val="P68B1DB1-Normal10"/>
              <w:spacing w:after="0"/>
              <w:rPr>
                <w:noProof/>
              </w:rPr>
            </w:pPr>
            <w:r>
              <w:rPr>
                <w:noProof/>
              </w:rPr>
              <w:t>Налично цифрово решение — интерактивна платформа (IPSS)</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6837C3B5" w14:textId="77777777" w:rsidR="00235E11" w:rsidRDefault="00F837E4">
            <w:pPr>
              <w:pStyle w:val="P68B1DB1-Normal10"/>
              <w:spacing w:after="0"/>
              <w:rPr>
                <w:noProof/>
              </w:rPr>
            </w:pPr>
            <w:r>
              <w:rPr>
                <w:noProof/>
              </w:rPr>
              <w:t>Интерактивната платформа за самостоятелно заетите лица функционира пълноценно.</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E5BF7B5"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93AA561"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9E77726"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0FD2986B" w14:textId="77777777" w:rsidR="00235E11" w:rsidRDefault="00F837E4">
            <w:pPr>
              <w:pStyle w:val="P68B1DB1-Normal10"/>
              <w:spacing w:after="0"/>
              <w:jc w:val="center"/>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D2DE969" w14:textId="77777777" w:rsidR="00235E11" w:rsidRDefault="00F837E4">
            <w:pPr>
              <w:pStyle w:val="P68B1DB1-Normal10"/>
              <w:spacing w:after="0"/>
              <w:jc w:val="center"/>
              <w:rPr>
                <w:noProof/>
              </w:rPr>
            </w:pPr>
            <w:r>
              <w:rPr>
                <w:noProof/>
              </w:rPr>
              <w:t>2026</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05601EE4" w14:textId="77777777" w:rsidR="00235E11" w:rsidRDefault="00F837E4">
            <w:pPr>
              <w:pStyle w:val="P68B1DB1-Normal10"/>
              <w:spacing w:after="0"/>
              <w:rPr>
                <w:noProof/>
              </w:rPr>
            </w:pPr>
            <w:r>
              <w:rPr>
                <w:noProof/>
              </w:rPr>
              <w:t>Интерактивната платформа на публичния институт за социална сигурност (IPSS) за самостоятелно заети лица функционира пълноценно и предвижда следното:</w:t>
            </w:r>
          </w:p>
          <w:p w14:paraId="538DB7B7" w14:textId="77777777" w:rsidR="00235E11" w:rsidRDefault="00F837E4">
            <w:pPr>
              <w:pStyle w:val="P68B1DB1-ListParagraph12"/>
              <w:numPr>
                <w:ilvl w:val="0"/>
                <w:numId w:val="31"/>
              </w:numPr>
              <w:spacing w:after="0"/>
              <w:rPr>
                <w:noProof/>
              </w:rPr>
            </w:pPr>
            <w:r>
              <w:rPr>
                <w:noProof/>
              </w:rPr>
              <w:t xml:space="preserve">интерактивни електронни формуляри и автоматизация на процесите, като свързващото право и освобождаванията, на които самостоятелно заетите лица имат право. </w:t>
            </w:r>
          </w:p>
          <w:p w14:paraId="7ECDCBBB" w14:textId="77777777" w:rsidR="00235E11" w:rsidRDefault="00F837E4">
            <w:pPr>
              <w:pStyle w:val="P68B1DB1-ListParagraph12"/>
              <w:numPr>
                <w:ilvl w:val="0"/>
                <w:numId w:val="31"/>
              </w:numPr>
              <w:spacing w:after="0"/>
              <w:rPr>
                <w:noProof/>
              </w:rPr>
            </w:pPr>
            <w:r>
              <w:rPr>
                <w:noProof/>
              </w:rPr>
              <w:t>Цялата информация, свързана със социалната сигурност, се записва в „личното“ досие на самостоятелно заетото лице, с което участващите страни могат да се запознаят незабавно по всяко време.</w:t>
            </w:r>
          </w:p>
          <w:p w14:paraId="380DC67C" w14:textId="77777777" w:rsidR="00235E11" w:rsidRDefault="00F837E4">
            <w:pPr>
              <w:pStyle w:val="P68B1DB1-ListParagraph12"/>
              <w:numPr>
                <w:ilvl w:val="0"/>
                <w:numId w:val="31"/>
              </w:numPr>
              <w:spacing w:after="0"/>
              <w:rPr>
                <w:noProof/>
              </w:rPr>
            </w:pPr>
            <w:r>
              <w:rPr>
                <w:noProof/>
              </w:rPr>
              <w:t>Платформата дава възможност за автоматизиране на процесите, ускоряване на съобщаването на решенията и автоматично предоставяне на производни права.</w:t>
            </w:r>
          </w:p>
          <w:p w14:paraId="03845F23" w14:textId="77777777" w:rsidR="00235E11" w:rsidRDefault="00F837E4">
            <w:pPr>
              <w:pStyle w:val="P68B1DB1-ListParagraph12"/>
              <w:numPr>
                <w:ilvl w:val="0"/>
                <w:numId w:val="31"/>
              </w:numPr>
              <w:spacing w:after="0"/>
              <w:rPr>
                <w:noProof/>
              </w:rPr>
            </w:pPr>
            <w:r>
              <w:rPr>
                <w:noProof/>
              </w:rPr>
              <w:t>Платформата е свързана с други институции, включително Националната служба за социално осигуряване (NSSO) и Националния институт за здравно осигуряване и осигуряване при увреждания (NIHDI) или платформи, и позволява обмен с други държави в сектора на социалната сигурност.</w:t>
            </w:r>
          </w:p>
        </w:tc>
      </w:tr>
      <w:tr w:rsidR="00235E11" w14:paraId="62B4AABD"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F27AD2" w14:textId="77777777" w:rsidR="00235E11" w:rsidRDefault="00F837E4">
            <w:pPr>
              <w:pStyle w:val="P68B1DB1-Normal10"/>
              <w:spacing w:after="0"/>
              <w:jc w:val="center"/>
              <w:rPr>
                <w:noProof/>
              </w:rPr>
            </w:pPr>
            <w:r>
              <w:rPr>
                <w:noProof/>
              </w:rPr>
              <w:t>54</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665ECA1D" w14:textId="2705C755" w:rsidR="00235E11" w:rsidRDefault="00F837E4">
            <w:pPr>
              <w:pStyle w:val="P68B1DB1-Normal10"/>
              <w:spacing w:after="0"/>
              <w:rPr>
                <w:noProof/>
              </w:rPr>
            </w:pPr>
            <w:r>
              <w:rPr>
                <w:noProof/>
              </w:rPr>
              <w:t>Цифровизация на SPF (I-2.05) (подмярка: 2, 3, 4, 5, 6, 8, 9, 11 и 12)</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D7CB63E" w14:textId="4D1B2584"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14683E18" w14:textId="77777777" w:rsidR="00235E11" w:rsidRDefault="00F837E4">
            <w:pPr>
              <w:pStyle w:val="P68B1DB1-Normal10"/>
              <w:spacing w:after="0"/>
              <w:rPr>
                <w:noProof/>
              </w:rPr>
            </w:pPr>
            <w:r>
              <w:rPr>
                <w:noProof/>
              </w:rPr>
              <w:t xml:space="preserve">Определени са изискванията </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7E22E2D3" w14:textId="4129D5CD" w:rsidR="00235E11" w:rsidRDefault="00F837E4">
            <w:pPr>
              <w:pStyle w:val="P68B1DB1-Normal10"/>
              <w:spacing w:after="0"/>
              <w:rPr>
                <w:noProof/>
              </w:rPr>
            </w:pPr>
            <w:r>
              <w:rPr>
                <w:noProof/>
              </w:rPr>
              <w:t>Определят се и се одобряват изисквания, проектиране и решения за различните подмерки</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B64BD21"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2B853DD"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475F397"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C0ECB6F" w14:textId="77777777" w:rsidR="00235E11" w:rsidRDefault="00F837E4">
            <w:pPr>
              <w:pStyle w:val="P68B1DB1-Normal10"/>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E9F6188" w14:textId="77777777" w:rsidR="00235E11" w:rsidRDefault="00F837E4">
            <w:pPr>
              <w:pStyle w:val="P68B1DB1-Normal10"/>
              <w:spacing w:after="0"/>
              <w:jc w:val="center"/>
              <w:rPr>
                <w:noProof/>
              </w:rPr>
            </w:pPr>
            <w:r>
              <w:rPr>
                <w:noProof/>
              </w:rPr>
              <w:t>2022</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136D49CB" w14:textId="23BCCD44" w:rsidR="00235E11" w:rsidRDefault="00F837E4">
            <w:pPr>
              <w:pStyle w:val="P68B1DB1-Normal10"/>
              <w:spacing w:after="0"/>
              <w:rPr>
                <w:noProof/>
              </w:rPr>
            </w:pPr>
            <w:r>
              <w:rPr>
                <w:noProof/>
              </w:rPr>
              <w:t>Изискванията, проектирането и решенията, необходими за подмерки 2, 3, 4, 5, 6, 8, 9, 11 и 12, се определят от компетентните администрации и се одобряват от компетентното министерство.</w:t>
            </w:r>
          </w:p>
        </w:tc>
      </w:tr>
      <w:tr w:rsidR="00235E11" w14:paraId="6640DA12"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070521" w14:textId="77777777" w:rsidR="00235E11" w:rsidRDefault="00F837E4">
            <w:pPr>
              <w:pStyle w:val="P68B1DB1-Normal10"/>
              <w:spacing w:after="0"/>
              <w:jc w:val="center"/>
              <w:rPr>
                <w:noProof/>
              </w:rPr>
            </w:pPr>
            <w:r>
              <w:rPr>
                <w:noProof/>
              </w:rPr>
              <w:t>55</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505C8F1D" w14:textId="3B6AAB81" w:rsidR="00235E11" w:rsidRDefault="00F837E4">
            <w:pPr>
              <w:pStyle w:val="P68B1DB1-Normal10"/>
              <w:spacing w:after="0"/>
              <w:rPr>
                <w:noProof/>
              </w:rPr>
            </w:pPr>
            <w:r>
              <w:rPr>
                <w:noProof/>
              </w:rPr>
              <w:t>Цифровизация на SPF (I-2.05) (подмярка: 2, 3, 4, 5, 6, 8, 9, 11 и 12)</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9EB3A5C" w14:textId="7E1ECD67"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202A8156" w14:textId="77777777" w:rsidR="00235E11" w:rsidRDefault="00F837E4">
            <w:pPr>
              <w:pStyle w:val="P68B1DB1-Normal10"/>
              <w:spacing w:after="0"/>
              <w:rPr>
                <w:noProof/>
              </w:rPr>
            </w:pPr>
            <w:r>
              <w:rPr>
                <w:noProof/>
              </w:rPr>
              <w:t>Проектите са завършени и резултатите са оперативни</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19B096A3" w14:textId="3EF7B231" w:rsidR="00235E11" w:rsidRDefault="00F837E4">
            <w:pPr>
              <w:pStyle w:val="P68B1DB1-Normal10"/>
              <w:spacing w:after="0"/>
              <w:rPr>
                <w:noProof/>
              </w:rPr>
            </w:pPr>
            <w:r>
              <w:rPr>
                <w:noProof/>
              </w:rPr>
              <w:t>Проектите са завършени и функционират</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68FAF40"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1430164"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2993CAF"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3BB9DA05" w14:textId="77777777" w:rsidR="00235E11" w:rsidRDefault="00F837E4">
            <w:pPr>
              <w:pStyle w:val="P68B1DB1-Normal10"/>
              <w:spacing w:after="0"/>
              <w:jc w:val="center"/>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3EDC07D" w14:textId="77777777" w:rsidR="00235E11" w:rsidRDefault="00F837E4">
            <w:pPr>
              <w:pStyle w:val="P68B1DB1-Normal10"/>
              <w:spacing w:after="0"/>
              <w:jc w:val="center"/>
              <w:rPr>
                <w:noProof/>
              </w:rPr>
            </w:pPr>
            <w:r>
              <w:rPr>
                <w:noProof/>
              </w:rPr>
              <w:t>2026</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32FE70F9" w14:textId="0DD3F22F" w:rsidR="00235E11" w:rsidRDefault="00F837E4">
            <w:pPr>
              <w:pStyle w:val="P68B1DB1-Normal10"/>
              <w:spacing w:after="0"/>
              <w:rPr>
                <w:noProof/>
              </w:rPr>
            </w:pPr>
            <w:r>
              <w:rPr>
                <w:noProof/>
              </w:rPr>
              <w:t>Проектите, съответстващи на подмерки 2, 3, 4, 5, 6, 8, 9, 11 и 12, са завършени и функционират. Изплатени са 74 800 000 EUR.</w:t>
            </w:r>
          </w:p>
        </w:tc>
      </w:tr>
      <w:tr w:rsidR="00235E11" w14:paraId="42EAEEA9"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FAC7AB" w14:textId="77777777" w:rsidR="00235E11" w:rsidRDefault="00F837E4">
            <w:pPr>
              <w:pStyle w:val="P68B1DB1-Normal10"/>
              <w:spacing w:after="0"/>
              <w:jc w:val="center"/>
              <w:rPr>
                <w:noProof/>
              </w:rPr>
            </w:pPr>
            <w:r>
              <w:rPr>
                <w:noProof/>
              </w:rPr>
              <w:t>56</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0FCAD0E1" w14:textId="77777777" w:rsidR="00235E11" w:rsidRDefault="00F837E4">
            <w:pPr>
              <w:pStyle w:val="P68B1DB1-Normal10"/>
              <w:spacing w:after="0"/>
              <w:rPr>
                <w:noProof/>
              </w:rPr>
            </w:pPr>
            <w:r>
              <w:rPr>
                <w:noProof/>
              </w:rPr>
              <w:t>Цифровизация на SPF (I-2.05)</w:t>
            </w:r>
          </w:p>
          <w:p w14:paraId="72BBEE79" w14:textId="77777777" w:rsidR="00235E11" w:rsidRDefault="00F837E4">
            <w:pPr>
              <w:pStyle w:val="P68B1DB1-Normal10"/>
              <w:spacing w:after="0"/>
              <w:rPr>
                <w:noProof/>
              </w:rPr>
            </w:pPr>
            <w:r>
              <w:rPr>
                <w:noProof/>
              </w:rPr>
              <w:t>(Подмярка 1: Цифрова трансформация на правосъдието)</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2EB894A4" w14:textId="0C5AF857"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7A2B14A4" w14:textId="77777777" w:rsidR="00235E11" w:rsidRDefault="00F837E4">
            <w:pPr>
              <w:pStyle w:val="P68B1DB1-Normal10"/>
              <w:spacing w:after="0"/>
              <w:rPr>
                <w:noProof/>
              </w:rPr>
            </w:pPr>
            <w:r>
              <w:rPr>
                <w:noProof/>
              </w:rPr>
              <w:t>Управление на проекти за цифровата трансформация на правосъдието след приемането на указ</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61C3D934" w14:textId="77777777" w:rsidR="00235E11" w:rsidRDefault="00F837E4">
            <w:pPr>
              <w:pStyle w:val="P68B1DB1-Normal10"/>
              <w:spacing w:after="0"/>
              <w:rPr>
                <w:noProof/>
              </w:rPr>
            </w:pPr>
            <w:r>
              <w:rPr>
                <w:noProof/>
              </w:rPr>
              <w:t>Приемане на министерския указ на служба за програмно управление, която създава цифровата трансформация на правосъдието</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1708306"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45F3C92"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4A37A25"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5E918D65"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0EA3F20" w14:textId="77777777" w:rsidR="00235E11" w:rsidRDefault="00F837E4">
            <w:pPr>
              <w:pStyle w:val="P68B1DB1-Normal10"/>
              <w:spacing w:after="0"/>
              <w:jc w:val="center"/>
              <w:rPr>
                <w:noProof/>
              </w:rPr>
            </w:pPr>
            <w:r>
              <w:rPr>
                <w:noProof/>
              </w:rPr>
              <w:t>2021</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05846387" w14:textId="77777777" w:rsidR="00235E11" w:rsidRDefault="00F837E4">
            <w:pPr>
              <w:pStyle w:val="P68B1DB1-Normal10"/>
              <w:spacing w:after="0"/>
              <w:rPr>
                <w:noProof/>
              </w:rPr>
            </w:pPr>
            <w:r>
              <w:rPr>
                <w:noProof/>
              </w:rPr>
              <w:t>Приемане на министерско постановление от министъра на правосъдието за създаване на служба за управление на програмата с ясна управленска структура за цифровизиране на правосъдието на SPF. Това включва ясно определение на задачите и компетентностите, както и ясни договорености за различните страни, които участват в цифровата трансформация.</w:t>
            </w:r>
          </w:p>
        </w:tc>
      </w:tr>
      <w:tr w:rsidR="00235E11" w14:paraId="3869A00A"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D2A136" w14:textId="77777777" w:rsidR="00235E11" w:rsidRDefault="00F837E4">
            <w:pPr>
              <w:pStyle w:val="P68B1DB1-Normal10"/>
              <w:spacing w:after="0"/>
              <w:jc w:val="center"/>
              <w:rPr>
                <w:noProof/>
              </w:rPr>
            </w:pPr>
            <w:r>
              <w:rPr>
                <w:noProof/>
              </w:rPr>
              <w:t>57</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307F69F6" w14:textId="77777777" w:rsidR="00235E11" w:rsidRDefault="00F837E4">
            <w:pPr>
              <w:pStyle w:val="P68B1DB1-Normal10"/>
              <w:spacing w:after="0"/>
              <w:rPr>
                <w:noProof/>
              </w:rPr>
            </w:pPr>
            <w:r>
              <w:rPr>
                <w:noProof/>
              </w:rPr>
              <w:t>Цифровизация на SPF (I-2.05)</w:t>
            </w:r>
          </w:p>
          <w:p w14:paraId="2310D7F0" w14:textId="77777777" w:rsidR="00235E11" w:rsidRDefault="00F837E4">
            <w:pPr>
              <w:pStyle w:val="P68B1DB1-Normal10"/>
              <w:spacing w:after="0"/>
              <w:rPr>
                <w:noProof/>
              </w:rPr>
            </w:pPr>
            <w:r>
              <w:rPr>
                <w:noProof/>
              </w:rPr>
              <w:t>(Подмярка 1: Цифрова трансформация на правосъдието)</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838D64C" w14:textId="6E0382B7"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1781FFB9" w14:textId="77777777" w:rsidR="00235E11" w:rsidRDefault="00F837E4">
            <w:pPr>
              <w:pStyle w:val="P68B1DB1-Normal10"/>
              <w:spacing w:after="0"/>
              <w:rPr>
                <w:noProof/>
              </w:rPr>
            </w:pPr>
            <w:r>
              <w:rPr>
                <w:noProof/>
              </w:rPr>
              <w:t>Публикуване на онлайн портала JustOnWeb</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713C1513" w14:textId="77777777" w:rsidR="00235E11" w:rsidRDefault="00F837E4">
            <w:pPr>
              <w:pStyle w:val="P68B1DB1-Normal10"/>
              <w:spacing w:after="0"/>
              <w:rPr>
                <w:noProof/>
              </w:rPr>
            </w:pPr>
            <w:r>
              <w:rPr>
                <w:noProof/>
              </w:rPr>
              <w:t>Основният портал JustOnWeb е достъпен онлайн.</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90174F0"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7EFD88E"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753905D"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2BD5EBEB"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8C86FAF" w14:textId="77777777" w:rsidR="00235E11" w:rsidRDefault="00F837E4">
            <w:pPr>
              <w:pStyle w:val="P68B1DB1-Normal10"/>
              <w:spacing w:after="0"/>
              <w:jc w:val="center"/>
              <w:rPr>
                <w:noProof/>
              </w:rPr>
            </w:pPr>
            <w:r>
              <w:rPr>
                <w:noProof/>
              </w:rPr>
              <w:t>2022</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4C717A32" w14:textId="77777777" w:rsidR="00235E11" w:rsidRDefault="00F837E4">
            <w:pPr>
              <w:pStyle w:val="P68B1DB1-Normal10"/>
              <w:spacing w:after="0"/>
              <w:rPr>
                <w:noProof/>
              </w:rPr>
            </w:pPr>
            <w:r>
              <w:rPr>
                <w:noProof/>
              </w:rPr>
              <w:t>Основният портал JustOnWeb е достъпен онлайн. JustOnWeb е интернет порталът „One Stop“, където физически лица, предприятия, адвокати и публични органи могат да имат достъп до правосъдни услуги и информация. На първоначалния етап базовият портал JustOnWeb предоставя ограничен брой услуги, като например подаване на процесуални документи по дадено дело, консултиране по наказателни дела във връзка със сексуални престъпления, справки и плащане на пътни глоби, справка с лични официални актове (като брак, осиновяване), започване на дело за защита на лица.</w:t>
            </w:r>
          </w:p>
        </w:tc>
      </w:tr>
      <w:tr w:rsidR="00235E11" w14:paraId="4204F73D"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2D6B3C" w14:textId="77777777" w:rsidR="00235E11" w:rsidRDefault="00F837E4">
            <w:pPr>
              <w:pStyle w:val="P68B1DB1-Normal10"/>
              <w:spacing w:after="0"/>
              <w:jc w:val="center"/>
              <w:rPr>
                <w:noProof/>
              </w:rPr>
            </w:pPr>
            <w:r>
              <w:rPr>
                <w:noProof/>
              </w:rPr>
              <w:t>58</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3477C134" w14:textId="77777777" w:rsidR="00235E11" w:rsidRDefault="00F837E4">
            <w:pPr>
              <w:pStyle w:val="P68B1DB1-Normal10"/>
              <w:spacing w:after="0"/>
              <w:rPr>
                <w:noProof/>
              </w:rPr>
            </w:pPr>
            <w:r>
              <w:rPr>
                <w:noProof/>
              </w:rPr>
              <w:t>Цифровизация на SPF (I-2.05)</w:t>
            </w:r>
          </w:p>
          <w:p w14:paraId="713BAAA6" w14:textId="77777777" w:rsidR="00235E11" w:rsidRDefault="00F837E4">
            <w:pPr>
              <w:pStyle w:val="P68B1DB1-Normal10"/>
              <w:spacing w:after="0"/>
              <w:rPr>
                <w:noProof/>
              </w:rPr>
            </w:pPr>
            <w:r>
              <w:rPr>
                <w:noProof/>
              </w:rPr>
              <w:t>(Подмярка 1: Цифрова трансформация на правосъдието)</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190E9C71" w14:textId="3BC53D5A"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60945186" w14:textId="77777777" w:rsidR="00235E11" w:rsidRDefault="00F837E4">
            <w:pPr>
              <w:pStyle w:val="P68B1DB1-Normal10"/>
              <w:spacing w:after="0"/>
              <w:rPr>
                <w:noProof/>
              </w:rPr>
            </w:pPr>
            <w:r>
              <w:rPr>
                <w:noProof/>
              </w:rPr>
              <w:t>Вътрешна централизация на съдебните решения</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35085D8B" w14:textId="77777777" w:rsidR="00235E11" w:rsidRDefault="00F837E4">
            <w:pPr>
              <w:pStyle w:val="P68B1DB1-Normal10"/>
              <w:spacing w:after="0"/>
              <w:rPr>
                <w:noProof/>
              </w:rPr>
            </w:pPr>
            <w:r>
              <w:rPr>
                <w:noProof/>
              </w:rPr>
              <w:t>Съдебните присъди са достъпни за справка чрез портала „just-on-web“.</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CF96B80"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79DC459"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A8262AC"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2710403F"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57D699C" w14:textId="77777777" w:rsidR="00235E11" w:rsidRDefault="00F837E4">
            <w:pPr>
              <w:pStyle w:val="P68B1DB1-Normal10"/>
              <w:spacing w:after="0"/>
              <w:jc w:val="center"/>
              <w:rPr>
                <w:noProof/>
              </w:rPr>
            </w:pPr>
            <w:r>
              <w:rPr>
                <w:noProof/>
              </w:rPr>
              <w:t>2023</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27494C68" w14:textId="298DBE4A" w:rsidR="00235E11" w:rsidRDefault="00F837E4">
            <w:pPr>
              <w:pStyle w:val="P68B1DB1-Normal10"/>
              <w:spacing w:after="0"/>
              <w:rPr>
                <w:noProof/>
              </w:rPr>
            </w:pPr>
            <w:r>
              <w:rPr>
                <w:noProof/>
              </w:rPr>
              <w:t>Съответните нови съдебни решения на първоинстанционните съдилища (включително мировите съдилища и полицейските съдилища) и апелативните съдилища се централизират вътрешно. Напълно автоматизиран алгоритъм за псевдонимизация превръща този централизиран източник на данни във версия, която може да се публикува, в съответствие с разпоредбите относно неприкосновеността на личния живот. 50 % от общия брой съдебни присъди, постановени след влизането в сила на закона за създаване на централния регистър, са достъпни за справка чрез портала „just-on-web“.</w:t>
            </w:r>
          </w:p>
        </w:tc>
      </w:tr>
      <w:tr w:rsidR="00235E11" w14:paraId="5A62E0EF"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8DC79C" w14:textId="77777777" w:rsidR="00235E11" w:rsidRDefault="00F837E4">
            <w:pPr>
              <w:pStyle w:val="P68B1DB1-Normal10"/>
              <w:spacing w:after="0"/>
              <w:jc w:val="center"/>
              <w:rPr>
                <w:noProof/>
              </w:rPr>
            </w:pPr>
            <w:r>
              <w:rPr>
                <w:noProof/>
              </w:rPr>
              <w:t>59</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012F8D75" w14:textId="77777777" w:rsidR="00235E11" w:rsidRDefault="00F837E4">
            <w:pPr>
              <w:pStyle w:val="P68B1DB1-Normal10"/>
              <w:spacing w:after="0"/>
              <w:rPr>
                <w:noProof/>
              </w:rPr>
            </w:pPr>
            <w:r>
              <w:rPr>
                <w:noProof/>
              </w:rPr>
              <w:t>Цифровизация на SPF (I-2.05)</w:t>
            </w:r>
          </w:p>
          <w:p w14:paraId="1852768E" w14:textId="77777777" w:rsidR="00235E11" w:rsidRDefault="00F837E4">
            <w:pPr>
              <w:pStyle w:val="P68B1DB1-Normal10"/>
              <w:spacing w:after="0"/>
              <w:rPr>
                <w:noProof/>
              </w:rPr>
            </w:pPr>
            <w:r>
              <w:rPr>
                <w:noProof/>
              </w:rPr>
              <w:t xml:space="preserve">(Подмярка 1: Цифрова трансформация на правосъдието) </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2E9AF024" w14:textId="705DCAFF"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08FB7028" w14:textId="77777777" w:rsidR="00235E11" w:rsidRDefault="00F837E4">
            <w:pPr>
              <w:pStyle w:val="P68B1DB1-Normal10"/>
              <w:spacing w:after="0"/>
              <w:rPr>
                <w:noProof/>
              </w:rPr>
            </w:pPr>
            <w:r>
              <w:rPr>
                <w:noProof/>
              </w:rPr>
              <w:t>База данни за събиране на данни в реално време</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310A6CE9" w14:textId="16FEB2E5" w:rsidR="00235E11" w:rsidRDefault="00F837E4">
            <w:pPr>
              <w:pStyle w:val="P68B1DB1-Normal10"/>
              <w:spacing w:after="0"/>
              <w:rPr>
                <w:noProof/>
              </w:rPr>
            </w:pPr>
            <w:r>
              <w:rPr>
                <w:noProof/>
              </w:rPr>
              <w:t>Функционира база данни за събиране на данни в реално време за хода на съдебните производства</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800F594"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7DA2989"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7784B41"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0CEBD854"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ED6CE94" w14:textId="77777777" w:rsidR="00235E11" w:rsidRDefault="00F837E4">
            <w:pPr>
              <w:pStyle w:val="P68B1DB1-Normal10"/>
              <w:spacing w:after="0"/>
              <w:jc w:val="center"/>
              <w:rPr>
                <w:noProof/>
              </w:rPr>
            </w:pPr>
            <w:r>
              <w:rPr>
                <w:noProof/>
              </w:rPr>
              <w:t>2024</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21BFE939" w14:textId="77777777" w:rsidR="00235E11" w:rsidRDefault="00F837E4">
            <w:pPr>
              <w:pStyle w:val="P68B1DB1-Normal10"/>
              <w:spacing w:after="0"/>
              <w:rPr>
                <w:noProof/>
              </w:rPr>
            </w:pPr>
            <w:r>
              <w:rPr>
                <w:noProof/>
              </w:rPr>
              <w:t>Функционира база данни за събиране на данни в реално време относно провеждането на съдебни производства. Публикуваните данни обхващат броя на новите дела, броя на приключените дела, висящите дела и средния срок за изпълнение както за гражданските, търговските, така и за наказателните дела.</w:t>
            </w:r>
          </w:p>
        </w:tc>
      </w:tr>
      <w:tr w:rsidR="00235E11" w14:paraId="271495FD"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5C17A1" w14:textId="77777777" w:rsidR="00235E11" w:rsidRDefault="00F837E4">
            <w:pPr>
              <w:pStyle w:val="P68B1DB1-Normal10"/>
              <w:spacing w:after="0"/>
              <w:jc w:val="center"/>
              <w:rPr>
                <w:noProof/>
              </w:rPr>
            </w:pPr>
            <w:r>
              <w:rPr>
                <w:noProof/>
              </w:rPr>
              <w:t>60</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4E03370E" w14:textId="77777777" w:rsidR="00235E11" w:rsidRDefault="00F837E4">
            <w:pPr>
              <w:pStyle w:val="P68B1DB1-Normal10"/>
              <w:spacing w:after="0"/>
              <w:rPr>
                <w:noProof/>
              </w:rPr>
            </w:pPr>
            <w:r>
              <w:rPr>
                <w:noProof/>
              </w:rPr>
              <w:t>Цифровизация на SPF (I-2.05)</w:t>
            </w:r>
          </w:p>
          <w:p w14:paraId="6C63FD6F" w14:textId="77777777" w:rsidR="00235E11" w:rsidRDefault="00F837E4">
            <w:pPr>
              <w:pStyle w:val="P68B1DB1-Normal10"/>
              <w:spacing w:after="0"/>
              <w:rPr>
                <w:noProof/>
              </w:rPr>
            </w:pPr>
            <w:r>
              <w:rPr>
                <w:noProof/>
              </w:rPr>
              <w:t xml:space="preserve">(Подмярка 1: Цифрова трансформация на правосъдието) </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2FE7400" w14:textId="0A9D2210"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06B4F467" w14:textId="77777777" w:rsidR="00235E11" w:rsidRDefault="00F837E4">
            <w:pPr>
              <w:pStyle w:val="P68B1DB1-Normal10"/>
              <w:spacing w:after="0"/>
              <w:rPr>
                <w:noProof/>
              </w:rPr>
            </w:pPr>
            <w:r>
              <w:rPr>
                <w:noProof/>
              </w:rPr>
              <w:t>Нова деловодна система за седем субекта</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6710C312" w14:textId="77777777" w:rsidR="00235E11" w:rsidRDefault="00F837E4">
            <w:pPr>
              <w:pStyle w:val="P68B1DB1-Normal10"/>
              <w:spacing w:after="0"/>
              <w:rPr>
                <w:noProof/>
              </w:rPr>
            </w:pPr>
            <w:r>
              <w:rPr>
                <w:noProof/>
              </w:rPr>
              <w:t>Разработване и внедряване на нова деловодна система за седем субекта</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9187776"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AABAF41"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76F0BBB"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7A21EAD5"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23AEEC9" w14:textId="77777777" w:rsidR="00235E11" w:rsidRDefault="00F837E4">
            <w:pPr>
              <w:pStyle w:val="P68B1DB1-Normal10"/>
              <w:spacing w:after="0"/>
              <w:jc w:val="center"/>
              <w:rPr>
                <w:noProof/>
              </w:rPr>
            </w:pPr>
            <w:r>
              <w:rPr>
                <w:noProof/>
              </w:rPr>
              <w:t>2025</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29E73CCF" w14:textId="77777777" w:rsidR="00235E11" w:rsidRDefault="00F837E4">
            <w:pPr>
              <w:pStyle w:val="P68B1DB1-Normal14"/>
              <w:spacing w:after="0"/>
              <w:rPr>
                <w:noProof/>
                <w:color w:val="006100"/>
              </w:rPr>
            </w:pPr>
            <w:r>
              <w:rPr>
                <w:noProof/>
                <w:color w:val="006100"/>
              </w:rPr>
              <w:t>Разработва се и внедрява нова деловодна система</w:t>
            </w:r>
            <w:r>
              <w:rPr>
                <w:noProof/>
              </w:rPr>
              <w:t xml:space="preserve"> </w:t>
            </w:r>
            <w:r>
              <w:rPr>
                <w:noProof/>
                <w:color w:val="006100"/>
              </w:rPr>
              <w:t>за седем субекта, които използват остаряла система за управление на досиетата, за да се повиши ефективността на съдебната система чрез съсредоточаване върху широкообхватната цифровизация, което ще позволи обработването на досиетата да става по-бързо и в по-големи количества, отколкото днес. Изборът на субекти се извършва след консултации с колегията на съдилищата и трибуналите, колегията на публичното министерство, колегията на Касационния съд и Управителния комитет в областта на ИКТ, но по принцип се дава приоритет на субекти, които не са включени в договора за фаза 2 Mammouth at Central Hosting (MaCH).</w:t>
            </w:r>
          </w:p>
        </w:tc>
      </w:tr>
      <w:tr w:rsidR="00235E11" w14:paraId="4458EB82"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CACBA6" w14:textId="77777777" w:rsidR="00235E11" w:rsidRDefault="00F837E4">
            <w:pPr>
              <w:pStyle w:val="P68B1DB1-Normal10"/>
              <w:spacing w:after="0"/>
              <w:jc w:val="center"/>
              <w:rPr>
                <w:noProof/>
              </w:rPr>
            </w:pPr>
            <w:r>
              <w:rPr>
                <w:noProof/>
              </w:rPr>
              <w:t>61</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0DF376C0" w14:textId="77777777" w:rsidR="00235E11" w:rsidRDefault="00F837E4">
            <w:pPr>
              <w:pStyle w:val="P68B1DB1-Normal10"/>
              <w:spacing w:after="0"/>
              <w:rPr>
                <w:noProof/>
              </w:rPr>
            </w:pPr>
            <w:r>
              <w:rPr>
                <w:noProof/>
              </w:rPr>
              <w:t>Цифровизация на SPF (I-2.05)</w:t>
            </w:r>
          </w:p>
          <w:p w14:paraId="501F5640" w14:textId="77777777" w:rsidR="00235E11" w:rsidRDefault="00F837E4">
            <w:pPr>
              <w:pStyle w:val="P68B1DB1-Normal10"/>
              <w:spacing w:after="0"/>
              <w:rPr>
                <w:noProof/>
              </w:rPr>
            </w:pPr>
            <w:r>
              <w:rPr>
                <w:noProof/>
              </w:rPr>
              <w:t>(Подмярка 10: Единен цифров портал)</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D3CBF6C" w14:textId="3E395EC2"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7E887AD5" w14:textId="77777777" w:rsidR="00235E11" w:rsidRDefault="00F837E4">
            <w:pPr>
              <w:pStyle w:val="P68B1DB1-Normal10"/>
              <w:spacing w:after="0"/>
              <w:rPr>
                <w:noProof/>
              </w:rPr>
            </w:pPr>
            <w:r>
              <w:rPr>
                <w:noProof/>
              </w:rPr>
              <w:t>Разработено е предният интерфейс</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54DD2D19" w14:textId="77777777" w:rsidR="00235E11" w:rsidRDefault="00F837E4">
            <w:pPr>
              <w:pStyle w:val="P68B1DB1-Normal10"/>
              <w:spacing w:after="0"/>
              <w:rPr>
                <w:noProof/>
              </w:rPr>
            </w:pPr>
            <w:r>
              <w:rPr>
                <w:noProof/>
              </w:rPr>
              <w:t>За 10 области на дейност беше разработен, изпитан и валидиран само изцяло съответстващ на изискванията начален край.</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417EB54"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4ABC7C9"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D1C54CB"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32EDC35E"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66CBBE5" w14:textId="4421A90C" w:rsidR="00235E11" w:rsidRDefault="00F837E4">
            <w:pPr>
              <w:spacing w:after="0"/>
              <w:jc w:val="center"/>
              <w:rPr>
                <w:rFonts w:ascii="Times New Roman" w:eastAsia="Times New Roman" w:hAnsi="Times New Roman" w:cs="Times New Roman"/>
                <w:noProof/>
                <w:color w:val="006100"/>
              </w:rPr>
            </w:pPr>
            <w:r>
              <w:rPr>
                <w:rFonts w:ascii="Times New Roman" w:eastAsia="Times New Roman" w:hAnsi="Times New Roman" w:cs="Times New Roman"/>
                <w:noProof/>
                <w:color w:val="006100"/>
              </w:rPr>
              <w:t>2025</w:t>
            </w:r>
            <w:r>
              <w:rPr>
                <w:rStyle w:val="FootnoteReference"/>
                <w:rFonts w:ascii="Times New Roman" w:eastAsia="Times New Roman" w:hAnsi="Times New Roman" w:cs="Times New Roman"/>
                <w:noProof/>
                <w:color w:val="006100"/>
              </w:rPr>
              <w:footnoteReference w:id="6"/>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74713CB8" w14:textId="7CB0CBF8" w:rsidR="00235E11" w:rsidRDefault="00F837E4">
            <w:pPr>
              <w:pStyle w:val="P68B1DB1-Normal10"/>
              <w:spacing w:after="120"/>
              <w:rPr>
                <w:noProof/>
              </w:rPr>
            </w:pPr>
            <w:r>
              <w:rPr>
                <w:noProof/>
              </w:rPr>
              <w:t>За 10 области (т.е. граждански регистър, регистър на населението, социална сигурност (служители), социална сигурност (работодатели), регистър на моторните превозни средства, професионални квалификации, юридически лица, започване на стопанска дейност, промяна на предприятие, прекратяване на стопанска дейност) е разработен, тестван и валидиран само за области. Системата осигурява съответствие с Регламента относно електронната идентификация и удостоверителните услуги (eIDAS) (електронна идентификация, удостоверяване на автентичността и доверителни услуги) и е изцяло ориентирана към потребителя чрез пълно прилагане на принципа „без погрешни врати“.</w:t>
            </w:r>
          </w:p>
          <w:p w14:paraId="482B689B" w14:textId="77777777" w:rsidR="00235E11" w:rsidRDefault="00F837E4">
            <w:pPr>
              <w:pStyle w:val="P68B1DB1-Normal10"/>
              <w:spacing w:after="0"/>
              <w:rPr>
                <w:noProof/>
              </w:rPr>
            </w:pPr>
            <w:r>
              <w:rPr>
                <w:noProof/>
              </w:rPr>
              <w:t>Принципът „без погрешна врата „в този контекст означава, че крайният потребител (гражданин или предприемач) трябва да може да се свърже с услугите за оказване на помощ, независимо дали е „Вашата Европа„или „Белгия“, регионален портал, местен входен пункт или каквато и да е обществена услуга, независимо от устройството, което използва (като мобилен телефон, таблет, лаптоп) и предмета на неговия въпрос. Административната логика зад входната точка, на равнището на бекофиса, гарантира, че въпросът за крайния потребител ще пристигне на правилното бюро, без да е необходимо крайният потребител да се пита коя администрация отговаря за коя тема.</w:t>
            </w:r>
          </w:p>
        </w:tc>
      </w:tr>
      <w:tr w:rsidR="00235E11" w14:paraId="3850DC9E"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4FB4F8" w14:textId="77777777" w:rsidR="00235E11" w:rsidRDefault="00F837E4">
            <w:pPr>
              <w:pStyle w:val="P68B1DB1-Normal10"/>
              <w:spacing w:after="0"/>
              <w:jc w:val="center"/>
              <w:rPr>
                <w:noProof/>
              </w:rPr>
            </w:pPr>
            <w:r>
              <w:rPr>
                <w:noProof/>
              </w:rPr>
              <w:t>62</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66DE404B" w14:textId="77777777" w:rsidR="00235E11" w:rsidRDefault="00F837E4">
            <w:pPr>
              <w:pStyle w:val="P68B1DB1-Normal10"/>
              <w:spacing w:after="0"/>
              <w:rPr>
                <w:noProof/>
              </w:rPr>
            </w:pPr>
            <w:r>
              <w:rPr>
                <w:noProof/>
              </w:rPr>
              <w:t>електронни здравни услуги и здравни данни (I-2.06)</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75571E8" w14:textId="5E2DAB32"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23FFCA5E" w14:textId="77777777" w:rsidR="00235E11" w:rsidRDefault="00F837E4">
            <w:pPr>
              <w:pStyle w:val="P68B1DB1-Normal10"/>
              <w:spacing w:after="0"/>
              <w:rPr>
                <w:noProof/>
              </w:rPr>
            </w:pPr>
            <w:r>
              <w:rPr>
                <w:noProof/>
              </w:rPr>
              <w:t>Влизане в сила на закона за създаване на Органа за здравни данни</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27034002" w14:textId="77777777" w:rsidR="00235E11" w:rsidRDefault="00F837E4">
            <w:pPr>
              <w:pStyle w:val="P68B1DB1-Normal10"/>
              <w:spacing w:after="0"/>
              <w:rPr>
                <w:noProof/>
              </w:rPr>
            </w:pPr>
            <w:r>
              <w:rPr>
                <w:noProof/>
              </w:rPr>
              <w:t>Законова разпоредба, указваща влизането в сила на закона</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2BB479F"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5B76FC3"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9474CE2"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0F5D20B1" w14:textId="77777777" w:rsidR="00235E11" w:rsidRDefault="00F837E4">
            <w:pPr>
              <w:pStyle w:val="P68B1DB1-Normal10"/>
              <w:spacing w:after="0"/>
              <w:jc w:val="center"/>
              <w:rPr>
                <w:noProof/>
              </w:rPr>
            </w:pPr>
            <w:r>
              <w:rPr>
                <w:noProof/>
              </w:rPr>
              <w:t>Т1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2BBEEB0" w14:textId="77777777" w:rsidR="00235E11" w:rsidRDefault="00F837E4">
            <w:pPr>
              <w:pStyle w:val="P68B1DB1-Normal10"/>
              <w:spacing w:after="0"/>
              <w:jc w:val="center"/>
              <w:rPr>
                <w:noProof/>
              </w:rPr>
            </w:pPr>
            <w:r>
              <w:rPr>
                <w:noProof/>
              </w:rPr>
              <w:t>2022</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7EC074E1" w14:textId="77777777" w:rsidR="00235E11" w:rsidRDefault="00F837E4">
            <w:pPr>
              <w:pStyle w:val="P68B1DB1-Normal10"/>
              <w:spacing w:after="0"/>
              <w:rPr>
                <w:noProof/>
              </w:rPr>
            </w:pPr>
            <w:r>
              <w:rPr>
                <w:noProof/>
              </w:rPr>
              <w:t>Влизане в сила на закона за създаване на Органа за здравни данни, като се определят по-специално ролята и отговорностите на Органа. Разработване и валидиране на различните спецификации (наречени „набор от грижи“, който може да бъде интегриран в компютризираните регистри на пациентите) за интегрирането им в софтуера на доставчиците.</w:t>
            </w:r>
          </w:p>
        </w:tc>
      </w:tr>
      <w:tr w:rsidR="00235E11" w14:paraId="1AC0FE97"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2C7424" w14:textId="77777777" w:rsidR="00235E11" w:rsidRDefault="00F837E4">
            <w:pPr>
              <w:pStyle w:val="P68B1DB1-Normal10"/>
              <w:spacing w:after="0"/>
              <w:jc w:val="center"/>
              <w:rPr>
                <w:noProof/>
              </w:rPr>
            </w:pPr>
            <w:r>
              <w:rPr>
                <w:noProof/>
              </w:rPr>
              <w:t>63</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71703B47" w14:textId="77777777" w:rsidR="00235E11" w:rsidRDefault="00F837E4">
            <w:pPr>
              <w:pStyle w:val="P68B1DB1-Normal10"/>
              <w:spacing w:after="0"/>
              <w:rPr>
                <w:noProof/>
              </w:rPr>
            </w:pPr>
            <w:r>
              <w:rPr>
                <w:noProof/>
              </w:rPr>
              <w:t>електронни здравни услуги и здравни данни (I-2.06)</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99F0774" w14:textId="0A1FE459"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64EDE64C" w14:textId="77777777" w:rsidR="00235E11" w:rsidRDefault="00F837E4">
            <w:pPr>
              <w:pStyle w:val="P68B1DB1-Normal10"/>
              <w:spacing w:after="0"/>
              <w:rPr>
                <w:noProof/>
              </w:rPr>
            </w:pPr>
            <w:r>
              <w:rPr>
                <w:noProof/>
              </w:rPr>
              <w:t>Проектиране и решение за подпроектите</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15A8E6E0" w14:textId="77777777" w:rsidR="00235E11" w:rsidRDefault="00F837E4">
            <w:pPr>
              <w:pStyle w:val="P68B1DB1-Normal10"/>
              <w:spacing w:after="0"/>
              <w:rPr>
                <w:noProof/>
              </w:rPr>
            </w:pPr>
            <w:r>
              <w:rPr>
                <w:noProof/>
              </w:rPr>
              <w:t>Публикуване на техническите спецификации за подпроектите за електронно здравеопазване</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BADDD1F"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8089527"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C4EB70E"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22D195A4" w14:textId="77777777" w:rsidR="00235E11" w:rsidRDefault="00F837E4">
            <w:pPr>
              <w:pStyle w:val="P68B1DB1-Normal10"/>
              <w:spacing w:after="0"/>
              <w:jc w:val="center"/>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D666A4D" w14:textId="77777777" w:rsidR="00235E11" w:rsidRDefault="00F837E4">
            <w:pPr>
              <w:pStyle w:val="P68B1DB1-Normal10"/>
              <w:spacing w:after="0"/>
              <w:jc w:val="center"/>
              <w:rPr>
                <w:noProof/>
              </w:rPr>
            </w:pPr>
            <w:r>
              <w:rPr>
                <w:noProof/>
              </w:rPr>
              <w:t>2022</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3D08EEE1" w14:textId="77777777" w:rsidR="00235E11" w:rsidRDefault="00F837E4">
            <w:pPr>
              <w:pStyle w:val="P68B1DB1-Normal10"/>
              <w:spacing w:after="0"/>
              <w:rPr>
                <w:noProof/>
              </w:rPr>
            </w:pPr>
            <w:r>
              <w:rPr>
                <w:noProof/>
              </w:rPr>
              <w:t>Определени са изискванията, проектирането и решенията, необходими за различните подпроекти за електронно здравеопазване.</w:t>
            </w:r>
          </w:p>
        </w:tc>
      </w:tr>
      <w:tr w:rsidR="00235E11" w14:paraId="5626D644"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F399F4" w14:textId="77777777" w:rsidR="00235E11" w:rsidRDefault="00F837E4">
            <w:pPr>
              <w:pStyle w:val="P68B1DB1-Normal10"/>
              <w:spacing w:after="0"/>
              <w:jc w:val="center"/>
              <w:rPr>
                <w:noProof/>
              </w:rPr>
            </w:pPr>
            <w:r>
              <w:rPr>
                <w:noProof/>
              </w:rPr>
              <w:t>64</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34662133" w14:textId="77777777" w:rsidR="00235E11" w:rsidRDefault="00F837E4">
            <w:pPr>
              <w:pStyle w:val="P68B1DB1-Normal10"/>
              <w:spacing w:after="0"/>
              <w:rPr>
                <w:noProof/>
              </w:rPr>
            </w:pPr>
            <w:r>
              <w:rPr>
                <w:noProof/>
              </w:rPr>
              <w:t>набор от здравни данни за електронните здравни услуги (I-2.06)</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D14693C" w14:textId="168DBF7B"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2315F61F" w14:textId="77777777" w:rsidR="00235E11" w:rsidRDefault="00F837E4">
            <w:pPr>
              <w:pStyle w:val="P68B1DB1-Normal10"/>
              <w:spacing w:after="0"/>
              <w:rPr>
                <w:noProof/>
              </w:rPr>
            </w:pPr>
            <w:r>
              <w:rPr>
                <w:noProof/>
              </w:rPr>
              <w:t>Пълно разгръщане на проекта</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1C8FB624" w14:textId="77777777" w:rsidR="00235E11" w:rsidRDefault="00F837E4">
            <w:pPr>
              <w:pStyle w:val="P68B1DB1-Normal10"/>
              <w:spacing w:after="0"/>
              <w:rPr>
                <w:noProof/>
              </w:rPr>
            </w:pPr>
            <w:r>
              <w:rPr>
                <w:noProof/>
              </w:rPr>
              <w:t>Успешно приключване на различните подпроекти за електронно здравеопазване</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04B435E"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2644124"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B23F3AC"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7D47CF0B"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6DED6BA" w14:textId="77777777" w:rsidR="00235E11" w:rsidRDefault="00F837E4">
            <w:pPr>
              <w:pStyle w:val="P68B1DB1-Normal10"/>
              <w:spacing w:after="0"/>
              <w:jc w:val="center"/>
              <w:rPr>
                <w:noProof/>
              </w:rPr>
            </w:pPr>
            <w:r>
              <w:rPr>
                <w:noProof/>
              </w:rPr>
              <w:t>2025</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6DE06F9D" w14:textId="77777777" w:rsidR="00235E11" w:rsidRDefault="00F837E4">
            <w:pPr>
              <w:pStyle w:val="P68B1DB1-Normal10"/>
              <w:spacing w:after="0"/>
              <w:rPr>
                <w:noProof/>
              </w:rPr>
            </w:pPr>
            <w:r>
              <w:rPr>
                <w:noProof/>
              </w:rPr>
              <w:t>Всички подпроекти, свързани с електронните здравни услуги и здравните данни, доведоха до напълно оперативни и интегрирани услуги и способности.</w:t>
            </w:r>
          </w:p>
        </w:tc>
      </w:tr>
      <w:tr w:rsidR="00235E11" w14:paraId="654CEF42"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F6CED6" w14:textId="77777777" w:rsidR="00235E11" w:rsidRDefault="00F837E4">
            <w:pPr>
              <w:pStyle w:val="P68B1DB1-Normal10"/>
              <w:spacing w:after="0"/>
              <w:jc w:val="center"/>
              <w:rPr>
                <w:noProof/>
              </w:rPr>
            </w:pPr>
            <w:r>
              <w:rPr>
                <w:noProof/>
              </w:rPr>
              <w:t>65</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5969C34E" w14:textId="77777777" w:rsidR="00235E11" w:rsidRDefault="00F837E4">
            <w:pPr>
              <w:pStyle w:val="P68B1DB1-Normal10"/>
              <w:spacing w:after="0"/>
              <w:rPr>
                <w:noProof/>
              </w:rPr>
            </w:pPr>
            <w:r>
              <w:rPr>
                <w:noProof/>
              </w:rPr>
              <w:t>Цифровизация на ЕДИН (I-2.07)</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9765FD3" w14:textId="293C292E"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5D470F59" w14:textId="77777777" w:rsidR="00235E11" w:rsidRDefault="00F837E4">
            <w:pPr>
              <w:pStyle w:val="P68B1DB1-Normal10"/>
              <w:spacing w:after="0"/>
              <w:rPr>
                <w:noProof/>
              </w:rPr>
            </w:pPr>
            <w:r>
              <w:rPr>
                <w:noProof/>
              </w:rPr>
              <w:t>Въвеждане в експлоатация на нови цифрови платформи</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0A24A02D" w14:textId="77777777" w:rsidR="00235E11" w:rsidRDefault="00F837E4">
            <w:pPr>
              <w:pStyle w:val="P68B1DB1-Normal10"/>
              <w:spacing w:after="0"/>
              <w:rPr>
                <w:strike/>
                <w:noProof/>
              </w:rPr>
            </w:pPr>
            <w:r>
              <w:rPr>
                <w:noProof/>
              </w:rPr>
              <w:t>Създадени са цифрови платформи, които са достъпни за всички потребители.</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A21A5D4"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7E39ACC"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1B6435A"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384292DC"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D08E07B" w14:textId="77777777" w:rsidR="00235E11" w:rsidRDefault="00F837E4">
            <w:pPr>
              <w:pStyle w:val="P68B1DB1-Normal10"/>
              <w:spacing w:after="0"/>
              <w:jc w:val="center"/>
              <w:rPr>
                <w:noProof/>
              </w:rPr>
            </w:pPr>
            <w:r>
              <w:rPr>
                <w:noProof/>
              </w:rPr>
              <w:t>2025</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0898B15E" w14:textId="77777777" w:rsidR="00235E11" w:rsidRDefault="00F837E4">
            <w:pPr>
              <w:spacing w:after="0"/>
              <w:rPr>
                <w:rFonts w:ascii="Times New Roman" w:eastAsia="Times New Roman" w:hAnsi="Times New Roman" w:cs="Times New Roman"/>
                <w:noProof/>
                <w:color w:val="006100"/>
              </w:rPr>
            </w:pPr>
            <w:r>
              <w:rPr>
                <w:rFonts w:ascii="Times New Roman" w:eastAsia="Times New Roman" w:hAnsi="Times New Roman" w:cs="Times New Roman"/>
                <w:noProof/>
                <w:color w:val="006100"/>
              </w:rPr>
              <w:t>Цифровите платформи се създават</w:t>
            </w:r>
            <w:r>
              <w:rPr>
                <w:rFonts w:ascii="Times New Roman" w:hAnsi="Times New Roman" w:cs="Times New Roman"/>
                <w:noProof/>
              </w:rPr>
              <w:t xml:space="preserve"> </w:t>
            </w:r>
            <w:r>
              <w:rPr>
                <w:rFonts w:ascii="Times New Roman" w:eastAsia="Times New Roman" w:hAnsi="Times New Roman" w:cs="Times New Roman"/>
                <w:noProof/>
                <w:color w:val="006100"/>
              </w:rPr>
              <w:t>и са достъпни за всички потребители. Това включва следните платформи:</w:t>
            </w:r>
          </w:p>
          <w:p w14:paraId="64D91F2A" w14:textId="77777777" w:rsidR="00235E11" w:rsidRDefault="00F837E4">
            <w:pPr>
              <w:pStyle w:val="P68B1DB1-Normal10"/>
              <w:spacing w:after="0"/>
              <w:rPr>
                <w:noProof/>
              </w:rPr>
            </w:pPr>
            <w:r>
              <w:rPr>
                <w:noProof/>
              </w:rPr>
              <w:t>МОИТЕ: Платформа за бенефициерите, която има за цел да предоставя на бенефициерите по сигурен и частен начин подходяща и целенасочена информация в зависимост от техните нужди и положение (принципа на „сегментиране“).</w:t>
            </w:r>
          </w:p>
          <w:p w14:paraId="788D7B0D" w14:textId="77777777" w:rsidR="00235E11" w:rsidRDefault="00F837E4">
            <w:pPr>
              <w:pStyle w:val="P68B1DB1-Normal10"/>
              <w:spacing w:after="0"/>
              <w:rPr>
                <w:noProof/>
              </w:rPr>
            </w:pPr>
            <w:r>
              <w:rPr>
                <w:noProof/>
              </w:rPr>
              <w:t>ПРЕ: Професионална платформа, която има за цел да предостави на специалистите в областта на грижите за деца инструменти за управление на различните бизнес процеси, както и информацията, която да подпомага тяхното развитие, и взаимодействията с ЕДНА</w:t>
            </w:r>
          </w:p>
          <w:p w14:paraId="05F363EB" w14:textId="0C2EEA57" w:rsidR="00235E11" w:rsidRDefault="00F837E4">
            <w:pPr>
              <w:pStyle w:val="P68B1DB1-Normal10"/>
              <w:spacing w:after="0"/>
              <w:rPr>
                <w:strike/>
                <w:noProof/>
              </w:rPr>
            </w:pPr>
            <w:r>
              <w:rPr>
                <w:noProof/>
              </w:rPr>
              <w:t>КАБИНЕТ: Агенти на платформи, които са предназначени за агентите на ЕДИН и обединяват всички заявления за управление на бизнес процеси, помощни услуги, помощни средства за вземане на решения, информационни табла и съответната информация. Това е един от компонентите на цифровото работно място.</w:t>
            </w:r>
          </w:p>
        </w:tc>
      </w:tr>
      <w:tr w:rsidR="00235E11" w14:paraId="24DE7289"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839C5B" w14:textId="77777777" w:rsidR="00235E11" w:rsidRDefault="00F837E4">
            <w:pPr>
              <w:pStyle w:val="P68B1DB1-Normal10"/>
              <w:spacing w:after="0"/>
              <w:jc w:val="center"/>
              <w:rPr>
                <w:noProof/>
              </w:rPr>
            </w:pPr>
            <w:r>
              <w:rPr>
                <w:noProof/>
              </w:rPr>
              <w:t>66</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7B121FAE" w14:textId="77777777" w:rsidR="00235E11" w:rsidRDefault="00F837E4">
            <w:pPr>
              <w:pStyle w:val="P68B1DB1-Normal10"/>
              <w:spacing w:after="0"/>
              <w:rPr>
                <w:noProof/>
              </w:rPr>
            </w:pPr>
            <w:r>
              <w:rPr>
                <w:noProof/>
              </w:rPr>
              <w:t>Цифровизация на културния и медийния сектор (I-2.08)</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1564123" w14:textId="7285311E" w:rsidR="00235E11" w:rsidRDefault="00F837E4">
            <w:pPr>
              <w:pStyle w:val="P68B1DB1-Normal10"/>
              <w:spacing w:after="0"/>
              <w:rPr>
                <w:noProof/>
              </w:rPr>
            </w:pPr>
            <w:r>
              <w:rPr>
                <w:noProof/>
              </w:rPr>
              <w:t>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650D96FB" w14:textId="77777777" w:rsidR="00235E11" w:rsidRDefault="00F837E4">
            <w:pPr>
              <w:pStyle w:val="P68B1DB1-Normal10"/>
              <w:spacing w:after="0"/>
              <w:rPr>
                <w:noProof/>
              </w:rPr>
            </w:pPr>
            <w:r>
              <w:rPr>
                <w:noProof/>
              </w:rPr>
              <w:t xml:space="preserve">Приключване на проекти за цифровизирани и усъвършенствани аудио-визуални и аудио произведения </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55660F06"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75B3770" w14:textId="77777777" w:rsidR="00235E11" w:rsidRDefault="00F837E4">
            <w:pPr>
              <w:pStyle w:val="P68B1DB1-Normal10"/>
              <w:spacing w:after="0"/>
              <w:jc w:val="center"/>
              <w:rPr>
                <w:noProof/>
              </w:rPr>
            </w:pPr>
            <w:r>
              <w:rPr>
                <w:noProof/>
              </w:rPr>
              <w:t>Проектите да бъдат завършени</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16AB0DC"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50FB459" w14:textId="7EE0BDBB" w:rsidR="00235E11" w:rsidRDefault="00F837E4">
            <w:pPr>
              <w:pStyle w:val="P68B1DB1-Normal10"/>
              <w:spacing w:after="0"/>
              <w:jc w:val="center"/>
              <w:rPr>
                <w:noProof/>
              </w:rPr>
            </w:pPr>
            <w:r>
              <w:rPr>
                <w:noProof/>
              </w:rPr>
              <w:t>37</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06869EAA" w14:textId="77777777" w:rsidR="00235E11" w:rsidRDefault="00F837E4">
            <w:pPr>
              <w:pStyle w:val="P68B1DB1-Normal10"/>
              <w:spacing w:after="0"/>
              <w:jc w:val="center"/>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5819B8C" w14:textId="77777777" w:rsidR="00235E11" w:rsidRDefault="00F837E4">
            <w:pPr>
              <w:pStyle w:val="P68B1DB1-Normal10"/>
              <w:spacing w:after="0"/>
              <w:jc w:val="center"/>
              <w:rPr>
                <w:noProof/>
              </w:rPr>
            </w:pPr>
            <w:r>
              <w:rPr>
                <w:noProof/>
              </w:rPr>
              <w:t>2026</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0839481E" w14:textId="0EDB9CA2" w:rsidR="00235E11" w:rsidRDefault="00F837E4">
            <w:pPr>
              <w:pStyle w:val="P68B1DB1-Normal10"/>
              <w:spacing w:after="0"/>
              <w:rPr>
                <w:noProof/>
              </w:rPr>
            </w:pPr>
            <w:r>
              <w:rPr>
                <w:noProof/>
              </w:rPr>
              <w:t xml:space="preserve">Пълно приключване на 37 проекта, попадащи в следните категории: </w:t>
            </w:r>
          </w:p>
          <w:p w14:paraId="18905CED" w14:textId="77777777" w:rsidR="00235E11" w:rsidRDefault="00F837E4">
            <w:pPr>
              <w:pStyle w:val="P68B1DB1-ListParagraph12"/>
              <w:numPr>
                <w:ilvl w:val="0"/>
                <w:numId w:val="28"/>
              </w:numPr>
              <w:spacing w:after="0"/>
              <w:rPr>
                <w:noProof/>
              </w:rPr>
            </w:pPr>
            <w:r>
              <w:rPr>
                <w:noProof/>
              </w:rPr>
              <w:t xml:space="preserve"> цифровизирани и усъвършенствани аудио-визуални и аудио произведения: Проекти от 30 г. </w:t>
            </w:r>
          </w:p>
          <w:p w14:paraId="7549A226" w14:textId="1A14A355" w:rsidR="00235E11" w:rsidRDefault="00F837E4">
            <w:pPr>
              <w:pStyle w:val="P68B1DB1-ListParagraph12"/>
              <w:numPr>
                <w:ilvl w:val="0"/>
                <w:numId w:val="28"/>
              </w:numPr>
              <w:spacing w:after="0"/>
              <w:rPr>
                <w:noProof/>
                <w:sz w:val="20"/>
              </w:rPr>
            </w:pPr>
            <w:r>
              <w:rPr>
                <w:noProof/>
              </w:rPr>
              <w:t>създадени местни цифрови произведения: Проекти от 7 г.</w:t>
            </w:r>
          </w:p>
        </w:tc>
      </w:tr>
      <w:tr w:rsidR="00235E11" w14:paraId="3AFC4F1A"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DCA673" w14:textId="77777777" w:rsidR="00235E11" w:rsidRDefault="00F837E4">
            <w:pPr>
              <w:pStyle w:val="P68B1DB1-Normal10"/>
              <w:spacing w:after="0"/>
              <w:jc w:val="center"/>
              <w:rPr>
                <w:noProof/>
              </w:rPr>
            </w:pPr>
            <w:r>
              <w:rPr>
                <w:noProof/>
              </w:rPr>
              <w:t>67</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1FEA317E" w14:textId="77777777" w:rsidR="00235E11" w:rsidRDefault="00F837E4">
            <w:pPr>
              <w:pStyle w:val="P68B1DB1-Normal10"/>
              <w:spacing w:after="0"/>
              <w:rPr>
                <w:noProof/>
              </w:rPr>
            </w:pPr>
            <w:r>
              <w:rPr>
                <w:noProof/>
              </w:rPr>
              <w:t>Цифровизация на културния и медийния сектор (I-2.08)</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6796C96" w14:textId="235197EC" w:rsidR="00235E11" w:rsidRDefault="00F837E4">
            <w:pPr>
              <w:pStyle w:val="P68B1DB1-Normal10"/>
              <w:spacing w:after="0"/>
              <w:rPr>
                <w:noProof/>
              </w:rPr>
            </w:pPr>
            <w:r>
              <w:rPr>
                <w:noProof/>
              </w:rPr>
              <w:t>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2B47B114" w14:textId="24CABB5D" w:rsidR="00235E11" w:rsidRDefault="00F837E4">
            <w:pPr>
              <w:pStyle w:val="P68B1DB1-Normal10"/>
              <w:spacing w:after="0"/>
              <w:rPr>
                <w:noProof/>
              </w:rPr>
            </w:pPr>
            <w:r>
              <w:rPr>
                <w:noProof/>
              </w:rPr>
              <w:t>Интегриране на технологични инструменти от страна на пилотните оператори в областта на културата и медиите</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78610608"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D3162D5" w14:textId="10829D34" w:rsidR="00235E11" w:rsidRDefault="00F837E4">
            <w:pPr>
              <w:pStyle w:val="P68B1DB1-Normal10"/>
              <w:spacing w:after="0"/>
              <w:jc w:val="center"/>
              <w:rPr>
                <w:noProof/>
              </w:rPr>
            </w:pPr>
            <w:r>
              <w:rPr>
                <w:noProof/>
              </w:rPr>
              <w:t>Брой на операторите</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AA95E05"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E88BB16" w14:textId="7DD59320" w:rsidR="00235E11" w:rsidRDefault="00F837E4">
            <w:pPr>
              <w:pStyle w:val="P68B1DB1-Normal10"/>
              <w:spacing w:after="0"/>
              <w:jc w:val="center"/>
              <w:rPr>
                <w:noProof/>
              </w:rPr>
            </w:pPr>
            <w:r>
              <w:rPr>
                <w:noProof/>
              </w:rPr>
              <w:t>5</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1E7E0998" w14:textId="77777777" w:rsidR="00235E11" w:rsidRDefault="00F837E4">
            <w:pPr>
              <w:pStyle w:val="P68B1DB1-Normal10"/>
              <w:spacing w:after="0"/>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442D473" w14:textId="77777777" w:rsidR="00235E11" w:rsidRDefault="00F837E4">
            <w:pPr>
              <w:pStyle w:val="P68B1DB1-Normal10"/>
              <w:spacing w:after="0"/>
              <w:jc w:val="center"/>
              <w:rPr>
                <w:noProof/>
              </w:rPr>
            </w:pPr>
            <w:r>
              <w:rPr>
                <w:noProof/>
              </w:rPr>
              <w:t>2026</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72DD1D83" w14:textId="057A3E85" w:rsidR="00235E11" w:rsidRDefault="00F837E4">
            <w:pPr>
              <w:pStyle w:val="P68B1DB1-Normal10"/>
              <w:spacing w:after="120"/>
              <w:rPr>
                <w:noProof/>
              </w:rPr>
            </w:pPr>
            <w:r>
              <w:rPr>
                <w:noProof/>
              </w:rPr>
              <w:t>Интегриране на разработени технологични инструменти с поне двама пилотни медийни оператори (обединяващи дейности, свързани с пресата, радиото, телевизията и цифровите технологии) и поне трима пилотни културни оператори (включително поне две различни дисциплини).</w:t>
            </w:r>
          </w:p>
          <w:p w14:paraId="1DC21DC2" w14:textId="11BA1A12" w:rsidR="00235E11" w:rsidRDefault="00F837E4">
            <w:pPr>
              <w:pStyle w:val="P68B1DB1-Normal10"/>
              <w:spacing w:after="0"/>
              <w:rPr>
                <w:noProof/>
              </w:rPr>
            </w:pPr>
            <w:r>
              <w:rPr>
                <w:noProof/>
              </w:rPr>
              <w:t>Технологичните инструменти се разработват в „отворен код „и се предоставят безплатно с лиценз „Creative commons“.</w:t>
            </w:r>
          </w:p>
        </w:tc>
      </w:tr>
      <w:tr w:rsidR="00235E11" w14:paraId="0E209A9C"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73780D" w14:textId="77777777" w:rsidR="00235E11" w:rsidRDefault="00F837E4">
            <w:pPr>
              <w:pStyle w:val="P68B1DB1-Normal10"/>
              <w:spacing w:after="0"/>
              <w:jc w:val="center"/>
              <w:rPr>
                <w:noProof/>
              </w:rPr>
            </w:pPr>
            <w:r>
              <w:rPr>
                <w:noProof/>
              </w:rPr>
              <w:t>68</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74D1823B" w14:textId="2B86CE93" w:rsidR="00235E11" w:rsidRDefault="00F837E4">
            <w:pPr>
              <w:pStyle w:val="P68B1DB1-Normal10"/>
              <w:spacing w:after="0"/>
              <w:rPr>
                <w:noProof/>
              </w:rPr>
            </w:pPr>
            <w:r>
              <w:rPr>
                <w:noProof/>
              </w:rPr>
              <w:t>Цифровизация на фламандското правителство (I-2.09)</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247E06D9" w14:textId="70439076"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11D97E96" w14:textId="0882FDCB" w:rsidR="00235E11" w:rsidRDefault="00F837E4">
            <w:pPr>
              <w:pStyle w:val="P68B1DB1-Normal10"/>
              <w:spacing w:after="0"/>
              <w:rPr>
                <w:noProof/>
              </w:rPr>
            </w:pPr>
            <w:r>
              <w:rPr>
                <w:noProof/>
              </w:rPr>
              <w:t>Възлагане на обществена поръчка за 11 проекта</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5FDA0C78" w14:textId="77777777" w:rsidR="00235E11" w:rsidRDefault="00F837E4">
            <w:pPr>
              <w:pStyle w:val="P68B1DB1-Normal10"/>
              <w:spacing w:after="0"/>
              <w:rPr>
                <w:noProof/>
              </w:rPr>
            </w:pPr>
            <w:r>
              <w:rPr>
                <w:noProof/>
              </w:rPr>
              <w:t>Уведомление за отпускане на безвъзмездни средства за редица проекти</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B1D387A"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B0C74D7"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7EB31BF"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44E05DD4"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E7C6801" w14:textId="77777777" w:rsidR="00235E11" w:rsidRDefault="00F837E4">
            <w:pPr>
              <w:pStyle w:val="P68B1DB1-Normal10"/>
              <w:spacing w:after="0"/>
              <w:jc w:val="center"/>
              <w:rPr>
                <w:noProof/>
              </w:rPr>
            </w:pPr>
            <w:r>
              <w:rPr>
                <w:noProof/>
              </w:rPr>
              <w:t>2022</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35AECDF9" w14:textId="09AD2558" w:rsidR="00235E11" w:rsidRDefault="00F837E4">
            <w:pPr>
              <w:pStyle w:val="P68B1DB1-Normal10"/>
              <w:spacing w:after="0"/>
              <w:rPr>
                <w:noProof/>
              </w:rPr>
            </w:pPr>
            <w:r>
              <w:rPr>
                <w:noProof/>
              </w:rPr>
              <w:t>Уведомление за възлагане, изпратено от фламандското правителство или от съответния субект (нотифициращ орган) за 11 проекта (т.е. 100 % от общия брой) на успелите кандидати след поканата за представяне на предложения по схемите от 4 г. (1. Към евтини обществени услуги за гражданите, предприятията и сдруженията; 2. Осигуряване на възможност за бързо и ефективно вземане на решения с данни; 3. Осигуряване на надеждна основна инфраструктура чрез укрепване на общата информация и градивните елементи на ИКТ; и 4 септември Осигуряване на хибридно работно място на бъдещето за всяко фламандско длъжностно лице)</w:t>
            </w:r>
          </w:p>
        </w:tc>
      </w:tr>
      <w:tr w:rsidR="00235E11" w14:paraId="2CDC5A26"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D7FB49" w14:textId="77777777" w:rsidR="00235E11" w:rsidRDefault="00F837E4">
            <w:pPr>
              <w:pStyle w:val="P68B1DB1-Normal10"/>
              <w:spacing w:after="0"/>
              <w:jc w:val="center"/>
              <w:rPr>
                <w:noProof/>
              </w:rPr>
            </w:pPr>
            <w:r>
              <w:rPr>
                <w:noProof/>
              </w:rPr>
              <w:t>69</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5FCFE43A" w14:textId="527E5C63" w:rsidR="00235E11" w:rsidRDefault="00F837E4">
            <w:pPr>
              <w:pStyle w:val="P68B1DB1-Normal10"/>
              <w:spacing w:after="0"/>
              <w:rPr>
                <w:noProof/>
              </w:rPr>
            </w:pPr>
            <w:r>
              <w:rPr>
                <w:noProof/>
              </w:rPr>
              <w:t>Цифровизация на фламандското правителство (I-2.09)</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5737490" w14:textId="04BCC0AA"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794B9CF0" w14:textId="77777777" w:rsidR="00235E11" w:rsidRDefault="00F837E4">
            <w:pPr>
              <w:pStyle w:val="P68B1DB1-Normal10"/>
              <w:spacing w:after="0"/>
              <w:rPr>
                <w:noProof/>
              </w:rPr>
            </w:pPr>
            <w:r>
              <w:rPr>
                <w:noProof/>
              </w:rPr>
              <w:t>Разработване на 4 нови цифрови функции</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64D0A137" w14:textId="77777777" w:rsidR="00235E11" w:rsidRDefault="00F837E4">
            <w:pPr>
              <w:pStyle w:val="P68B1DB1-Normal10"/>
              <w:spacing w:after="0"/>
              <w:rPr>
                <w:noProof/>
              </w:rPr>
            </w:pPr>
            <w:r>
              <w:rPr>
                <w:noProof/>
              </w:rPr>
              <w:t>Всички одобрени проекти са завършени</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2C5A8E7"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3ED6B4D"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63A4A75"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25472A0C"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624C309" w14:textId="77777777" w:rsidR="00235E11" w:rsidRDefault="00F837E4">
            <w:pPr>
              <w:pStyle w:val="P68B1DB1-Normal10"/>
              <w:spacing w:after="0"/>
              <w:jc w:val="center"/>
              <w:rPr>
                <w:noProof/>
              </w:rPr>
            </w:pPr>
            <w:r>
              <w:rPr>
                <w:noProof/>
              </w:rPr>
              <w:t>2025</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3B5AFE58" w14:textId="77777777" w:rsidR="00235E11" w:rsidRDefault="00F837E4">
            <w:pPr>
              <w:pStyle w:val="P68B1DB1-Normal10"/>
              <w:spacing w:after="0"/>
              <w:rPr>
                <w:noProof/>
              </w:rPr>
            </w:pPr>
            <w:r>
              <w:rPr>
                <w:noProof/>
              </w:rPr>
              <w:t>Всички възложени проекти по 4-те схеми (1. Към евтини обществени услуги за гражданите, предприятията и сдруженията; 2. Осигуряване на възможност за бързо и ефективно вземане на решения с данни; 3. Осигуряване на надеждна основна инфраструктура чрез укрепване на общата информация и градивните елементи на ИКТ; и 4 септември Осигуряване на хибридно работно място на бъдещето за всеки фламандски служител).</w:t>
            </w:r>
          </w:p>
        </w:tc>
      </w:tr>
      <w:tr w:rsidR="00235E11" w14:paraId="74D41866"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7B3807" w14:textId="77777777" w:rsidR="00235E11" w:rsidRDefault="00F837E4">
            <w:pPr>
              <w:pStyle w:val="P68B1DB1-Normal10"/>
              <w:spacing w:after="0"/>
              <w:jc w:val="center"/>
              <w:rPr>
                <w:noProof/>
              </w:rPr>
            </w:pPr>
            <w:r>
              <w:rPr>
                <w:noProof/>
              </w:rPr>
              <w:t>70</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3E211E50" w14:textId="77777777" w:rsidR="00235E11" w:rsidRDefault="00F837E4">
            <w:pPr>
              <w:pStyle w:val="P68B1DB1-Normal10"/>
              <w:spacing w:after="0"/>
              <w:rPr>
                <w:noProof/>
              </w:rPr>
            </w:pPr>
            <w:r>
              <w:rPr>
                <w:noProof/>
              </w:rPr>
              <w:t>Регионална платформа за обмен на данни (I-2.10)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1794BEA1" w14:textId="1D9626B4"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4061D89E" w14:textId="77777777" w:rsidR="00235E11" w:rsidRDefault="00F837E4">
            <w:pPr>
              <w:pStyle w:val="P68B1DB1-Normal10"/>
              <w:spacing w:after="0"/>
              <w:rPr>
                <w:noProof/>
              </w:rPr>
            </w:pPr>
            <w:r>
              <w:rPr>
                <w:noProof/>
              </w:rPr>
              <w:t>Възлагане на обществената поръчка</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04BFECBC" w14:textId="77777777" w:rsidR="00235E11" w:rsidRDefault="00F837E4">
            <w:pPr>
              <w:pStyle w:val="P68B1DB1-Normal10"/>
              <w:spacing w:after="0"/>
              <w:rPr>
                <w:noProof/>
              </w:rPr>
            </w:pPr>
            <w:r>
              <w:rPr>
                <w:noProof/>
              </w:rPr>
              <w:t>Публикува се документ за командировъчна заповед</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1E998C6"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996D1C7"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9FA7DB4"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19B56E5C" w14:textId="77777777" w:rsidR="00235E11" w:rsidRDefault="00F837E4">
            <w:pPr>
              <w:pStyle w:val="P68B1DB1-Normal10"/>
              <w:spacing w:after="0"/>
              <w:jc w:val="center"/>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0577E96" w14:textId="77777777" w:rsidR="00235E11" w:rsidRDefault="00F837E4">
            <w:pPr>
              <w:pStyle w:val="P68B1DB1-Normal10"/>
              <w:spacing w:after="0"/>
              <w:jc w:val="center"/>
              <w:rPr>
                <w:noProof/>
              </w:rPr>
            </w:pPr>
            <w:r>
              <w:rPr>
                <w:noProof/>
              </w:rPr>
              <w:t>2021</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17A01F0E" w14:textId="77777777" w:rsidR="00235E11" w:rsidRDefault="00F837E4">
            <w:pPr>
              <w:pStyle w:val="P68B1DB1-Normal10"/>
              <w:spacing w:after="0"/>
              <w:rPr>
                <w:noProof/>
              </w:rPr>
            </w:pPr>
            <w:r>
              <w:rPr>
                <w:noProof/>
              </w:rPr>
              <w:t>Публикува се документ за командировъчна заповед, в който се представят изискванията на високо равнище за решението за платформа за обмен на данни, както и разпределението на ролите между Регионалния център по информатика в Брюксел (BRIC) и подизпълнителите, както и нуждите по отношение на управлението на данните и управлението, необходими за платформата.</w:t>
            </w:r>
          </w:p>
        </w:tc>
      </w:tr>
      <w:tr w:rsidR="00235E11" w14:paraId="3A0F89A9"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B909BA" w14:textId="77777777" w:rsidR="00235E11" w:rsidRDefault="00F837E4">
            <w:pPr>
              <w:pStyle w:val="P68B1DB1-Normal10"/>
              <w:spacing w:after="0"/>
              <w:jc w:val="center"/>
              <w:rPr>
                <w:noProof/>
              </w:rPr>
            </w:pPr>
            <w:r>
              <w:rPr>
                <w:noProof/>
              </w:rPr>
              <w:t>71</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60B6E408" w14:textId="77777777" w:rsidR="00235E11" w:rsidRDefault="00F837E4">
            <w:pPr>
              <w:pStyle w:val="P68B1DB1-Normal10"/>
              <w:spacing w:after="0"/>
              <w:rPr>
                <w:noProof/>
              </w:rPr>
            </w:pPr>
            <w:r>
              <w:rPr>
                <w:noProof/>
              </w:rPr>
              <w:t>Регионална платформа за обмен на данни (I-2.10)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63570156" w14:textId="4DD22413" w:rsidR="00235E11" w:rsidRDefault="00F837E4">
            <w:pPr>
              <w:pStyle w:val="P68B1DB1-Normal10"/>
              <w:spacing w:after="0"/>
              <w:rPr>
                <w:noProof/>
              </w:rPr>
            </w:pPr>
            <w:r>
              <w:rPr>
                <w:noProof/>
              </w:rPr>
              <w:t>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1BDB38CE" w14:textId="77777777" w:rsidR="00235E11" w:rsidRDefault="00F837E4">
            <w:pPr>
              <w:pStyle w:val="P68B1DB1-Normal10"/>
              <w:spacing w:after="0"/>
              <w:rPr>
                <w:noProof/>
              </w:rPr>
            </w:pPr>
            <w:r>
              <w:rPr>
                <w:noProof/>
              </w:rPr>
              <w:t>10 публични администрации получават подкрепа за разгръщането на проекти на регионалната платформа за данни</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441EF447"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28E1F88" w14:textId="77777777" w:rsidR="00235E11" w:rsidRDefault="00F837E4">
            <w:pPr>
              <w:pStyle w:val="P68B1DB1-Normal10"/>
              <w:spacing w:after="0"/>
              <w:jc w:val="center"/>
              <w:rPr>
                <w:noProof/>
              </w:rPr>
            </w:pPr>
            <w:r>
              <w:rPr>
                <w:noProof/>
              </w:rPr>
              <w:t>Публични администрации</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15C9925"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86BFA47" w14:textId="77777777" w:rsidR="00235E11" w:rsidRDefault="00F837E4">
            <w:pPr>
              <w:pStyle w:val="P68B1DB1-Normal10"/>
              <w:spacing w:after="0"/>
              <w:jc w:val="center"/>
              <w:rPr>
                <w:noProof/>
              </w:rPr>
            </w:pPr>
            <w:r>
              <w:rPr>
                <w:noProof/>
              </w:rPr>
              <w:t>10</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116D6DD5"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E1B3768" w14:textId="77777777" w:rsidR="00235E11" w:rsidRDefault="00F837E4">
            <w:pPr>
              <w:pStyle w:val="P68B1DB1-Normal10"/>
              <w:spacing w:after="0"/>
              <w:jc w:val="center"/>
              <w:rPr>
                <w:noProof/>
              </w:rPr>
            </w:pPr>
            <w:r>
              <w:rPr>
                <w:noProof/>
              </w:rPr>
              <w:t>2024</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65295F01" w14:textId="77777777" w:rsidR="00235E11" w:rsidRDefault="00F837E4">
            <w:pPr>
              <w:pStyle w:val="P68B1DB1-Normal10"/>
              <w:spacing w:after="0"/>
              <w:rPr>
                <w:noProof/>
              </w:rPr>
            </w:pPr>
            <w:r>
              <w:rPr>
                <w:noProof/>
              </w:rPr>
              <w:t>Няколко десет публични администрации получават подкрепа за разработването на проекти на новата регионална платформа за обмен на данни в регион Брюксел. Подкрепата се състои от развитие на интегрирането на данни, анализ на данни, но също така и от предоставяне на специфични ресурси от Регионалния център по информатика в Брюксел (BRIC), за да се помогне на публичните администрации в техните проекти, като например специалисти по данни и анализатори на данни.</w:t>
            </w:r>
          </w:p>
          <w:p w14:paraId="7F2E9B7A" w14:textId="59BF9549" w:rsidR="00235E11" w:rsidRDefault="00F837E4">
            <w:pPr>
              <w:pStyle w:val="P68B1DB1-Normal10"/>
              <w:spacing w:after="0"/>
              <w:rPr>
                <w:noProof/>
              </w:rPr>
            </w:pPr>
            <w:r>
              <w:rPr>
                <w:noProof/>
              </w:rPr>
              <w:t>Публичните администрации се избират измежду най-важните администрации в региона, където е установена необходимостта от обмен на данни съгласно изискванията и където това осигурява добавена стойност за регион Брюксел.</w:t>
            </w:r>
          </w:p>
        </w:tc>
      </w:tr>
      <w:tr w:rsidR="00235E11" w14:paraId="732663C2"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20F96E" w14:textId="77777777" w:rsidR="00235E11" w:rsidRDefault="00F837E4">
            <w:pPr>
              <w:pStyle w:val="P68B1DB1-Normal10"/>
              <w:spacing w:after="0"/>
              <w:jc w:val="center"/>
              <w:rPr>
                <w:noProof/>
              </w:rPr>
            </w:pPr>
            <w:r>
              <w:rPr>
                <w:noProof/>
              </w:rPr>
              <w:t>72</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690DAD0D" w14:textId="77777777" w:rsidR="00235E11" w:rsidRDefault="00F837E4">
            <w:pPr>
              <w:pStyle w:val="P68B1DB1-Normal10"/>
              <w:spacing w:after="0"/>
              <w:rPr>
                <w:noProof/>
              </w:rPr>
            </w:pPr>
            <w:r>
              <w:rPr>
                <w:noProof/>
              </w:rPr>
              <w:t>Цифровизация на гражданските и бизнес процесите (I-2.11)</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CB4BF7D" w14:textId="36050366"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4D22F5B3" w14:textId="77777777" w:rsidR="00235E11" w:rsidRDefault="00F837E4">
            <w:pPr>
              <w:pStyle w:val="P68B1DB1-Normal10"/>
              <w:spacing w:after="0"/>
              <w:rPr>
                <w:noProof/>
              </w:rPr>
            </w:pPr>
            <w:r>
              <w:rPr>
                <w:noProof/>
              </w:rPr>
              <w:t>Въвеждане в експлоатация на нови цифрови платформи</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5138C551" w14:textId="156A9FBB" w:rsidR="00235E11" w:rsidRDefault="00F837E4">
            <w:pPr>
              <w:pStyle w:val="P68B1DB1-Normal10"/>
              <w:spacing w:after="0"/>
              <w:rPr>
                <w:noProof/>
              </w:rPr>
            </w:pPr>
            <w:r>
              <w:rPr>
                <w:noProof/>
              </w:rPr>
              <w:t>В регион Брюксел функционира нова платформа (CRM), улесняваща взаимодействието между администрацията и гражданите/предприятията и между администрациите</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9F6A6D8"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66B6DF4"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2662066"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52F5E56F" w14:textId="77777777" w:rsidR="00235E11" w:rsidRDefault="00F837E4">
            <w:pPr>
              <w:pStyle w:val="P68B1DB1-Normal10"/>
              <w:spacing w:after="0"/>
              <w:jc w:val="center"/>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E6FC13F" w14:textId="77777777" w:rsidR="00235E11" w:rsidRDefault="00F837E4">
            <w:pPr>
              <w:pStyle w:val="P68B1DB1-Normal10"/>
              <w:spacing w:after="0"/>
              <w:jc w:val="center"/>
              <w:rPr>
                <w:noProof/>
              </w:rPr>
            </w:pPr>
            <w:r>
              <w:rPr>
                <w:noProof/>
              </w:rPr>
              <w:t>2021</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60555345" w14:textId="25CF09EE" w:rsidR="00235E11" w:rsidRDefault="00F837E4">
            <w:pPr>
              <w:pStyle w:val="P68B1DB1-Normal10"/>
              <w:spacing w:after="0"/>
              <w:rPr>
                <w:noProof/>
              </w:rPr>
            </w:pPr>
            <w:r>
              <w:rPr>
                <w:noProof/>
              </w:rPr>
              <w:t>В регион Брюксел функционира нова платформа (CRM), улесняваща взаимодействието между администрацията и гражданите/предприятията и между администрациите.</w:t>
            </w:r>
          </w:p>
          <w:p w14:paraId="44685F8C" w14:textId="77777777" w:rsidR="00235E11" w:rsidRDefault="00F837E4">
            <w:pPr>
              <w:pStyle w:val="P68B1DB1-Normal10"/>
              <w:spacing w:after="0"/>
              <w:rPr>
                <w:noProof/>
              </w:rPr>
            </w:pPr>
            <w:r>
              <w:rPr>
                <w:noProof/>
              </w:rPr>
              <w:t>Платформата на фондацията CRM е на разположение за разработването на конкретни проекти в областта на суровините от критично значение в регион Брюксел. Целта е до края на 2024 16 г. да бъдат разгърнати проекти, обхващащи регионални и/или местни администрации (Parking.Brussels, Hub.Brussels, Bruxelles Economie и Emploi).</w:t>
            </w:r>
          </w:p>
        </w:tc>
      </w:tr>
      <w:tr w:rsidR="00235E11" w14:paraId="330C8FC5"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CE0AE1" w14:textId="77777777" w:rsidR="00235E11" w:rsidRDefault="00F837E4">
            <w:pPr>
              <w:pStyle w:val="P68B1DB1-Normal10"/>
              <w:spacing w:after="0"/>
              <w:jc w:val="center"/>
              <w:rPr>
                <w:noProof/>
              </w:rPr>
            </w:pPr>
            <w:r>
              <w:rPr>
                <w:noProof/>
              </w:rPr>
              <w:t>73</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558427E3" w14:textId="77777777" w:rsidR="00235E11" w:rsidRDefault="00F837E4">
            <w:pPr>
              <w:pStyle w:val="P68B1DB1-Normal10"/>
              <w:spacing w:after="0"/>
              <w:rPr>
                <w:noProof/>
              </w:rPr>
            </w:pPr>
            <w:r>
              <w:rPr>
                <w:noProof/>
              </w:rPr>
              <w:t>Цифровизация на гражданските и бизнес процесите (I-2.11)</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9FB1A9D" w14:textId="728B5B70" w:rsidR="00235E11" w:rsidRDefault="00F837E4">
            <w:pPr>
              <w:pStyle w:val="P68B1DB1-Normal10"/>
              <w:spacing w:after="0"/>
              <w:rPr>
                <w:noProof/>
              </w:rPr>
            </w:pPr>
            <w:r>
              <w:rPr>
                <w:noProof/>
              </w:rPr>
              <w:t>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4138C922" w14:textId="77777777" w:rsidR="00235E11" w:rsidRDefault="00F837E4">
            <w:pPr>
              <w:pStyle w:val="P68B1DB1-Normal10"/>
              <w:spacing w:after="0"/>
              <w:rPr>
                <w:noProof/>
              </w:rPr>
            </w:pPr>
            <w:r>
              <w:rPr>
                <w:noProof/>
              </w:rPr>
              <w:t>Въвеждане в експлоатация на 3 онлайн платформи (разрешително за градоустройствено планиране, информация за градоустройственото планиране и екологично разрешително)</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3A88FDDC" w14:textId="58C83DE9"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47FB8F7" w14:textId="77777777" w:rsidR="00235E11" w:rsidRDefault="00F837E4">
            <w:pPr>
              <w:pStyle w:val="P68B1DB1-Normal10"/>
              <w:spacing w:after="0"/>
              <w:jc w:val="center"/>
              <w:rPr>
                <w:noProof/>
              </w:rPr>
            </w:pPr>
            <w:r>
              <w:rPr>
                <w:noProof/>
              </w:rPr>
              <w:t>Цифрови платформи</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2E79F9E"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AE3399B" w14:textId="77777777" w:rsidR="00235E11" w:rsidRDefault="00F837E4">
            <w:pPr>
              <w:pStyle w:val="P68B1DB1-Normal10"/>
              <w:spacing w:after="0"/>
              <w:jc w:val="center"/>
              <w:rPr>
                <w:noProof/>
              </w:rPr>
            </w:pPr>
            <w:r>
              <w:rPr>
                <w:noProof/>
              </w:rPr>
              <w:t>3</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A25B48A"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38C0C0B" w14:textId="77777777" w:rsidR="00235E11" w:rsidRDefault="00F837E4">
            <w:pPr>
              <w:pStyle w:val="P68B1DB1-Normal10"/>
              <w:spacing w:after="0"/>
              <w:jc w:val="center"/>
              <w:rPr>
                <w:noProof/>
              </w:rPr>
            </w:pPr>
            <w:r>
              <w:rPr>
                <w:noProof/>
              </w:rPr>
              <w:t>2025</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6EB6C9C6" w14:textId="519F18CC" w:rsidR="00235E11" w:rsidRDefault="00F837E4">
            <w:pPr>
              <w:pStyle w:val="P68B1DB1-Normal10"/>
              <w:spacing w:after="120"/>
              <w:rPr>
                <w:noProof/>
              </w:rPr>
            </w:pPr>
            <w:r>
              <w:rPr>
                <w:noProof/>
              </w:rPr>
              <w:t>В регион Брюксел функционират три цифрови платформи съответно за разрешителни за градоустройствено планиране, информация за градоустройствено планиране и екологични разрешителни.</w:t>
            </w:r>
          </w:p>
          <w:p w14:paraId="26147653" w14:textId="77777777" w:rsidR="00235E11" w:rsidRDefault="00F837E4">
            <w:pPr>
              <w:pStyle w:val="P68B1DB1-Normal10"/>
              <w:spacing w:after="120"/>
              <w:rPr>
                <w:noProof/>
              </w:rPr>
            </w:pPr>
            <w:r>
              <w:rPr>
                <w:noProof/>
              </w:rPr>
              <w:t xml:space="preserve">Платформата за цифровизация на разрешенията за строителство позволява на гражданите и предприятията да подават в цифров вид исканията си за различните видове разрешения за строителство, те трябва да могат да проследяват онлайн статуса на своите разрешения, да обменят по цифров път необходимите документи и да следят процеса на издаване на своите разрешения. </w:t>
            </w:r>
          </w:p>
          <w:p w14:paraId="3CAF6C3E" w14:textId="77777777" w:rsidR="00235E11" w:rsidRDefault="00F837E4">
            <w:pPr>
              <w:pStyle w:val="P68B1DB1-Normal10"/>
              <w:spacing w:after="120"/>
              <w:rPr>
                <w:noProof/>
              </w:rPr>
            </w:pPr>
            <w:r>
              <w:rPr>
                <w:noProof/>
              </w:rPr>
              <w:t xml:space="preserve">Платформата за цифровизация на информацията за градоустройственото планиране предлага услуги за управление на исканията и последващите действия във връзка с информацията за градоустройственото планиране чрез интегриране на трети страни (като агенции за недвижими имоти, нотариуси). Той предлага услуги за цифровизиране на архивите за градоустройствено планиране въз основа на стандарти. </w:t>
            </w:r>
          </w:p>
          <w:p w14:paraId="77DEA27D" w14:textId="77777777" w:rsidR="00235E11" w:rsidRDefault="00F837E4">
            <w:pPr>
              <w:pStyle w:val="P68B1DB1-Normal10"/>
              <w:spacing w:after="0"/>
              <w:rPr>
                <w:noProof/>
              </w:rPr>
            </w:pPr>
            <w:r>
              <w:rPr>
                <w:noProof/>
              </w:rPr>
              <w:t>Платформата за цифровизация на екологичните разрешителни позволява на гражданите и предприятията да въвеждат изисквания за различните видове екологични разрешителни, включително: обичайни разрешителни, класове, удължавания, специални разрешителни, смесени разрешителни. Платформата включва също така всички етапи на процедурата от искането за допълване, изменение на искането до издаването на разрешителното.</w:t>
            </w:r>
          </w:p>
        </w:tc>
      </w:tr>
      <w:tr w:rsidR="00235E11" w14:paraId="5185E5E7"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D1D4FC" w14:textId="29566EBF" w:rsidR="00235E11" w:rsidRDefault="00F837E4">
            <w:pPr>
              <w:pStyle w:val="P68B1DB1-Normal10"/>
              <w:spacing w:after="0"/>
              <w:jc w:val="center"/>
              <w:rPr>
                <w:noProof/>
              </w:rPr>
            </w:pPr>
            <w:r>
              <w:rPr>
                <w:noProof/>
              </w:rPr>
              <w:t>77</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57E4AE0C" w14:textId="77777777" w:rsidR="00235E11" w:rsidRDefault="00F837E4">
            <w:pPr>
              <w:pStyle w:val="P68B1DB1-Normal10"/>
              <w:spacing w:after="0"/>
              <w:rPr>
                <w:noProof/>
              </w:rPr>
            </w:pPr>
            <w:r>
              <w:rPr>
                <w:noProof/>
              </w:rPr>
              <w:t>Опростяване на административните процедури (R-2.01)</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AF5EEC7" w14:textId="0CE80B99"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47D64220" w14:textId="77777777" w:rsidR="00235E11" w:rsidRDefault="00F837E4">
            <w:pPr>
              <w:pStyle w:val="P68B1DB1-Normal10"/>
              <w:spacing w:after="0"/>
              <w:rPr>
                <w:noProof/>
              </w:rPr>
            </w:pPr>
            <w:r>
              <w:rPr>
                <w:noProof/>
              </w:rPr>
              <w:t>Влизане в сила на мерки за опростяване на онлайн създаването на предприятия</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1EE310A2" w14:textId="1D5F26EB" w:rsidR="00235E11" w:rsidRDefault="00F837E4">
            <w:pPr>
              <w:pStyle w:val="P68B1DB1-Normal10"/>
              <w:spacing w:after="0"/>
              <w:rPr>
                <w:noProof/>
              </w:rPr>
            </w:pPr>
            <w:r>
              <w:rPr>
                <w:noProof/>
              </w:rPr>
              <w:t>Публикуване в Moniteur belge на последния законодателен акт, с който се одобрява споразумението за сътрудничество, включително мерки за създаване, изменение и прекратяване на стопански дейности в пълен електронен формат. Разпоредби, посочващи влизането в сила на законите и кралските укази, които постепенно дават възможност за онлайн създаване, изменение и прекратяване на юридически лица за всички правни форми</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801CC6E"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80C4691"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9FC01C5"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73DC94EA"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049D79B" w14:textId="77777777" w:rsidR="00235E11" w:rsidRDefault="00F837E4">
            <w:pPr>
              <w:pStyle w:val="P68B1DB1-Normal10"/>
              <w:spacing w:after="0"/>
              <w:jc w:val="center"/>
              <w:rPr>
                <w:noProof/>
              </w:rPr>
            </w:pPr>
            <w:r>
              <w:rPr>
                <w:noProof/>
              </w:rPr>
              <w:t>2023</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1AA3B240" w14:textId="2C4CBA41" w:rsidR="00235E11" w:rsidRDefault="00F837E4">
            <w:pPr>
              <w:pStyle w:val="P68B1DB1-Normal10"/>
              <w:spacing w:after="0"/>
              <w:rPr>
                <w:noProof/>
              </w:rPr>
            </w:pPr>
            <w:r>
              <w:rPr>
                <w:noProof/>
              </w:rPr>
              <w:t xml:space="preserve">Влизане в сила на споразумението за сътрудничество между федералното правителство и федералните единици, включително мерки за създаване, изменение и прекратяване на стопанската дейност в пълен електронен формат. Новата цифрова система, въведена със споразумението за сътрудничество, която включва три електронни формуляра за създаване, изменение и прекратяване на стопанска дейност, е алтернативен административен канал, който предоставя опростена алтернатива на съществуващите формуляри. </w:t>
            </w:r>
          </w:p>
          <w:p w14:paraId="6C4FEEB7" w14:textId="2F51026D" w:rsidR="00235E11" w:rsidRDefault="00F837E4">
            <w:pPr>
              <w:pStyle w:val="P68B1DB1-Normal10"/>
              <w:spacing w:after="0"/>
              <w:rPr>
                <w:noProof/>
              </w:rPr>
            </w:pPr>
            <w:r>
              <w:rPr>
                <w:noProof/>
              </w:rPr>
              <w:t xml:space="preserve">Влизане в сила на законодателните разпоредби, които постепенно дават възможност за онлайн създаване, изменение и прекратяване на юридически лица за всички правни форми чрез нотариуси или чрез Закона за Just-Act. </w:t>
            </w:r>
          </w:p>
        </w:tc>
      </w:tr>
      <w:tr w:rsidR="00235E11" w14:paraId="778F6901"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D1BFD6" w14:textId="77777777" w:rsidR="00235E11" w:rsidRDefault="00F837E4">
            <w:pPr>
              <w:pStyle w:val="P68B1DB1-Normal10"/>
              <w:spacing w:after="0"/>
              <w:jc w:val="center"/>
              <w:rPr>
                <w:noProof/>
              </w:rPr>
            </w:pPr>
            <w:r>
              <w:rPr>
                <w:noProof/>
              </w:rPr>
              <w:t>78</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41B94451" w14:textId="77777777" w:rsidR="00235E11" w:rsidRDefault="00F837E4">
            <w:pPr>
              <w:pStyle w:val="P68B1DB1-Normal10"/>
              <w:spacing w:after="0"/>
              <w:rPr>
                <w:noProof/>
              </w:rPr>
            </w:pPr>
            <w:r>
              <w:rPr>
                <w:noProof/>
              </w:rPr>
              <w:t>Електронно правителство: тръжна процедура (R-2.02)</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B7EAD84" w14:textId="59FF2C78"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45D395D7" w14:textId="77777777" w:rsidR="00235E11" w:rsidRDefault="00F837E4">
            <w:pPr>
              <w:pStyle w:val="P68B1DB1-Normal10"/>
              <w:spacing w:after="0"/>
              <w:rPr>
                <w:noProof/>
              </w:rPr>
            </w:pPr>
            <w:r>
              <w:rPr>
                <w:noProof/>
              </w:rPr>
              <w:t>Влизане в сила на нов регулаторен контекст</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612840BB" w14:textId="77777777" w:rsidR="00235E11" w:rsidRDefault="00F837E4">
            <w:pPr>
              <w:pStyle w:val="P68B1DB1-Normal10"/>
              <w:spacing w:after="0"/>
              <w:rPr>
                <w:noProof/>
              </w:rPr>
            </w:pPr>
            <w:r>
              <w:rPr>
                <w:noProof/>
              </w:rPr>
              <w:t>Законова разпоредба, указваща влизането в сила на новия кралски указ</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04827CA"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B2B52C3"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812EFA2"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9801029" w14:textId="77777777" w:rsidR="00235E11" w:rsidRDefault="00F837E4">
            <w:pPr>
              <w:pStyle w:val="P68B1DB1-Normal10"/>
              <w:spacing w:after="0"/>
              <w:jc w:val="center"/>
              <w:rPr>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0F8EDD3" w14:textId="77777777" w:rsidR="00235E11" w:rsidRDefault="00F837E4">
            <w:pPr>
              <w:pStyle w:val="P68B1DB1-Normal10"/>
              <w:spacing w:after="0"/>
              <w:jc w:val="center"/>
              <w:rPr>
                <w:noProof/>
              </w:rPr>
            </w:pPr>
            <w:r>
              <w:rPr>
                <w:noProof/>
              </w:rPr>
              <w:t>2022</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18C8BE4D" w14:textId="1E95DB94" w:rsidR="00235E11" w:rsidRDefault="00F837E4">
            <w:pPr>
              <w:pStyle w:val="P68B1DB1-Normal10"/>
              <w:spacing w:after="0"/>
              <w:rPr>
                <w:noProof/>
              </w:rPr>
            </w:pPr>
            <w:r>
              <w:rPr>
                <w:noProof/>
              </w:rPr>
              <w:t xml:space="preserve">Влизане в сила на нов кралски указ, с който се адаптира федералната регулаторна рамка за провеждане на тръжни процедури, за да се улесни използването на новата и подобрена платформа за електронно управление. </w:t>
            </w:r>
          </w:p>
          <w:p w14:paraId="6839532E" w14:textId="77777777" w:rsidR="00235E11" w:rsidRDefault="00F837E4">
            <w:pPr>
              <w:pStyle w:val="P68B1DB1-Normal10"/>
              <w:spacing w:after="0"/>
              <w:rPr>
                <w:noProof/>
              </w:rPr>
            </w:pPr>
            <w:r>
              <w:rPr>
                <w:noProof/>
              </w:rPr>
              <w:t>Новият кралски указ има за цел:</w:t>
            </w:r>
          </w:p>
          <w:p w14:paraId="7A39094A" w14:textId="77777777" w:rsidR="00235E11" w:rsidRDefault="00F837E4">
            <w:pPr>
              <w:pStyle w:val="P68B1DB1-ListParagraph12"/>
              <w:numPr>
                <w:ilvl w:val="0"/>
                <w:numId w:val="24"/>
              </w:numPr>
              <w:spacing w:after="0"/>
              <w:rPr>
                <w:noProof/>
              </w:rPr>
            </w:pPr>
            <w:r>
              <w:rPr>
                <w:noProof/>
              </w:rPr>
              <w:t>Привеждане в съответствие на участниците във федералната политика за възлагане на обществени поръчки (един член/един глас), за да се подобри степента на навлизане на федералните съвместни обществени поръчки;</w:t>
            </w:r>
          </w:p>
          <w:p w14:paraId="79264634" w14:textId="77777777" w:rsidR="00235E11" w:rsidRDefault="00F837E4">
            <w:pPr>
              <w:pStyle w:val="P68B1DB1-ListParagraph12"/>
              <w:numPr>
                <w:ilvl w:val="0"/>
                <w:numId w:val="24"/>
              </w:numPr>
              <w:spacing w:after="0"/>
              <w:rPr>
                <w:noProof/>
              </w:rPr>
            </w:pPr>
            <w:r>
              <w:rPr>
                <w:noProof/>
              </w:rPr>
              <w:t>Приема обща пътна карта — отговор на по-целенасочени цели по отношение на устойчивото развитие и достъпа до МСП (включително иновации);</w:t>
            </w:r>
          </w:p>
          <w:p w14:paraId="4C602F80" w14:textId="77777777" w:rsidR="00235E11" w:rsidRDefault="00F837E4">
            <w:pPr>
              <w:pStyle w:val="P68B1DB1-ListParagraph12"/>
              <w:numPr>
                <w:ilvl w:val="0"/>
                <w:numId w:val="24"/>
              </w:numPr>
              <w:spacing w:after="0"/>
              <w:rPr>
                <w:noProof/>
              </w:rPr>
            </w:pPr>
            <w:r>
              <w:rPr>
                <w:noProof/>
              </w:rPr>
              <w:t>Разработване на стратегии за закупуване чрез сегменти на закупуване с планове за категории.</w:t>
            </w:r>
          </w:p>
          <w:p w14:paraId="210B3005" w14:textId="77777777" w:rsidR="00235E11" w:rsidRDefault="00F837E4">
            <w:pPr>
              <w:pStyle w:val="P68B1DB1-ListParagraph12"/>
              <w:numPr>
                <w:ilvl w:val="0"/>
                <w:numId w:val="24"/>
              </w:numPr>
              <w:spacing w:after="0"/>
              <w:rPr>
                <w:noProof/>
              </w:rPr>
            </w:pPr>
            <w:r>
              <w:rPr>
                <w:noProof/>
              </w:rPr>
              <w:t>Засилване на ролята на федералния център за покупки на SPF Bosa.</w:t>
            </w:r>
          </w:p>
          <w:p w14:paraId="453E0695" w14:textId="77777777" w:rsidR="00235E11" w:rsidRDefault="00F837E4">
            <w:pPr>
              <w:pStyle w:val="P68B1DB1-ListParagraph12"/>
              <w:numPr>
                <w:ilvl w:val="0"/>
                <w:numId w:val="24"/>
              </w:numPr>
              <w:spacing w:after="0"/>
              <w:rPr>
                <w:noProof/>
              </w:rPr>
            </w:pPr>
            <w:r>
              <w:rPr>
                <w:noProof/>
              </w:rPr>
              <w:t>Завършване на административното опростяване и стандартизиране на процесите, по-специално с оглед отчитане на нуждите на федералните участници</w:t>
            </w:r>
          </w:p>
        </w:tc>
      </w:tr>
      <w:tr w:rsidR="00235E11" w14:paraId="50DBC6CB" w14:textId="77777777">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BC3443" w14:textId="77777777" w:rsidR="00235E11" w:rsidRDefault="00F837E4">
            <w:pPr>
              <w:pStyle w:val="P68B1DB1-Normal10"/>
              <w:spacing w:after="0"/>
              <w:jc w:val="center"/>
              <w:rPr>
                <w:noProof/>
              </w:rPr>
            </w:pPr>
            <w:r>
              <w:rPr>
                <w:noProof/>
              </w:rPr>
              <w:t>79</w:t>
            </w:r>
          </w:p>
        </w:tc>
        <w:tc>
          <w:tcPr>
            <w:tcW w:w="1489" w:type="dxa"/>
            <w:tcBorders>
              <w:top w:val="single" w:sz="4" w:space="0" w:color="auto"/>
              <w:left w:val="nil"/>
              <w:bottom w:val="single" w:sz="4" w:space="0" w:color="auto"/>
              <w:right w:val="single" w:sz="4" w:space="0" w:color="auto"/>
            </w:tcBorders>
            <w:shd w:val="clear" w:color="auto" w:fill="C6EFCE"/>
            <w:noWrap/>
            <w:vAlign w:val="center"/>
          </w:tcPr>
          <w:p w14:paraId="762DD391" w14:textId="77777777" w:rsidR="00235E11" w:rsidRDefault="00F837E4">
            <w:pPr>
              <w:pStyle w:val="P68B1DB1-Normal10"/>
              <w:spacing w:after="0"/>
              <w:rPr>
                <w:noProof/>
              </w:rPr>
            </w:pPr>
            <w:r>
              <w:rPr>
                <w:noProof/>
              </w:rPr>
              <w:t>Електронно правителство: тръжна процедура (R-2.02)</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571A4AB9" w14:textId="34CD0A81"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26B18E86" w14:textId="77777777" w:rsidR="00235E11" w:rsidRDefault="00F837E4">
            <w:pPr>
              <w:pStyle w:val="P68B1DB1-Normal10"/>
              <w:spacing w:after="0"/>
              <w:rPr>
                <w:noProof/>
              </w:rPr>
            </w:pPr>
            <w:r>
              <w:rPr>
                <w:noProof/>
              </w:rPr>
              <w:t>Прилагане на новия инструмент</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04B57310" w14:textId="77777777" w:rsidR="00235E11" w:rsidRDefault="00F837E4">
            <w:pPr>
              <w:pStyle w:val="P68B1DB1-Normal10"/>
              <w:spacing w:after="0"/>
              <w:rPr>
                <w:noProof/>
              </w:rPr>
            </w:pPr>
            <w:r>
              <w:rPr>
                <w:noProof/>
              </w:rPr>
              <w:t>Функционира нова платформа за електронни обществени поръчки</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00BF21F"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55469C7"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26ABAF4"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4392FD4E" w14:textId="77777777" w:rsidR="00235E11" w:rsidRDefault="00F837E4">
            <w:pPr>
              <w:pStyle w:val="P68B1DB1-Normal10"/>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90C6AEE" w14:textId="77777777" w:rsidR="00235E11" w:rsidRDefault="00F837E4">
            <w:pPr>
              <w:pStyle w:val="P68B1DB1-Normal10"/>
              <w:spacing w:after="0"/>
              <w:jc w:val="center"/>
              <w:rPr>
                <w:noProof/>
              </w:rPr>
            </w:pPr>
            <w:r>
              <w:rPr>
                <w:noProof/>
              </w:rPr>
              <w:t>2024</w:t>
            </w:r>
          </w:p>
        </w:tc>
        <w:tc>
          <w:tcPr>
            <w:tcW w:w="5368" w:type="dxa"/>
            <w:tcBorders>
              <w:top w:val="single" w:sz="4" w:space="0" w:color="auto"/>
              <w:left w:val="nil"/>
              <w:bottom w:val="single" w:sz="4" w:space="0" w:color="auto"/>
              <w:right w:val="single" w:sz="4" w:space="0" w:color="auto"/>
            </w:tcBorders>
            <w:shd w:val="clear" w:color="auto" w:fill="C6EFCE"/>
            <w:noWrap/>
            <w:vAlign w:val="center"/>
          </w:tcPr>
          <w:p w14:paraId="6C6F253E" w14:textId="77777777" w:rsidR="00235E11" w:rsidRDefault="00F837E4">
            <w:pPr>
              <w:pStyle w:val="P68B1DB1-Normal10"/>
              <w:spacing w:after="120"/>
              <w:rPr>
                <w:noProof/>
              </w:rPr>
            </w:pPr>
            <w:r>
              <w:rPr>
                <w:noProof/>
              </w:rPr>
              <w:t>Функционира нова платформа за електронни обществени поръчки. Новата платформа предоставя данни в реално време относно обществените поръчки в цялата страна.</w:t>
            </w:r>
          </w:p>
          <w:p w14:paraId="0CB32D41" w14:textId="77777777" w:rsidR="00235E11" w:rsidRDefault="00F837E4">
            <w:pPr>
              <w:pStyle w:val="P68B1DB1-Normal10"/>
              <w:spacing w:after="0"/>
              <w:rPr>
                <w:noProof/>
              </w:rPr>
            </w:pPr>
            <w:r>
              <w:rPr>
                <w:noProof/>
              </w:rPr>
              <w:t>Новата „подобрена платформа“ се състои най-малко от следните модули: Вътрешни потоци на одобрение с цифрови подписи, с които се премахват одобренията на хартиен носител, шаблон за повишаване на съгласуваността и намаляване на грешките, подаване чрез структурирани въпросници, които намаляват сложността и грешките по време на подаването и ускоряват процеса на оценяване, изчерпателен контролен списък за купувачите, който ги насочва към по-добро и по-съгласувано възлагане на обществени поръчки за услуги и стоки; Новата платформа предоставя данни в реално време относно обществените поръчки в цялата страна и предвижда възможности за взаимодействие с инструментите за фактуриране на федералния бюджет. По време на проекта се вземат решения за евентуални допълнителни функции с оглед на очакваната възвръщаемост на инвестициите за федералните клиентски организации на платформата.</w:t>
            </w:r>
          </w:p>
        </w:tc>
      </w:tr>
    </w:tbl>
    <w:p w14:paraId="5CA800BE" w14:textId="77777777" w:rsidR="00235E11" w:rsidRDefault="00235E11">
      <w:pPr>
        <w:rPr>
          <w:rFonts w:ascii="Times New Roman" w:hAnsi="Times New Roman" w:cs="Times New Roman"/>
          <w:noProof/>
        </w:rPr>
        <w:sectPr w:rsidR="00235E11" w:rsidSect="007F56C3">
          <w:headerReference w:type="even" r:id="rId72"/>
          <w:headerReference w:type="default" r:id="rId73"/>
          <w:footerReference w:type="even" r:id="rId74"/>
          <w:footerReference w:type="default" r:id="rId75"/>
          <w:headerReference w:type="first" r:id="rId76"/>
          <w:footerReference w:type="first" r:id="rId77"/>
          <w:pgSz w:w="16839" w:h="11907" w:orient="landscape"/>
          <w:pgMar w:top="1134" w:right="1134" w:bottom="1134" w:left="1134" w:header="567" w:footer="567" w:gutter="0"/>
          <w:cols w:space="720"/>
          <w:docGrid w:linePitch="360"/>
        </w:sectPr>
      </w:pPr>
    </w:p>
    <w:p w14:paraId="34315D21" w14:textId="26978BAB" w:rsidR="00235E11" w:rsidRDefault="00F837E4">
      <w:pPr>
        <w:spacing w:before="120" w:after="120"/>
        <w:jc w:val="both"/>
        <w:rPr>
          <w:rFonts w:ascii="Times New Roman" w:eastAsia="Times New Roman" w:hAnsi="Times New Roman" w:cs="Times New Roman"/>
          <w:b/>
          <w:smallCaps/>
          <w:noProof/>
          <w:u w:val="single"/>
        </w:rPr>
      </w:pPr>
      <w:r>
        <w:rPr>
          <w:rFonts w:ascii="Times New Roman" w:eastAsia="Times New Roman" w:hAnsi="Times New Roman" w:cs="Times New Roman"/>
          <w:b/>
          <w:noProof/>
          <w:u w:val="single"/>
        </w:rPr>
        <w:t xml:space="preserve">Д.3. </w:t>
      </w:r>
      <w:r>
        <w:rPr>
          <w:noProof/>
        </w:rPr>
        <w:tab/>
      </w:r>
      <w:r>
        <w:rPr>
          <w:rFonts w:ascii="Times New Roman" w:eastAsia="Times New Roman" w:hAnsi="Times New Roman" w:cs="Times New Roman"/>
          <w:b/>
          <w:noProof/>
          <w:u w:val="single"/>
        </w:rPr>
        <w:t>Описание на реформите и инвестициите за заема</w:t>
      </w:r>
    </w:p>
    <w:p w14:paraId="64CE883D" w14:textId="77777777" w:rsidR="00235E11" w:rsidRDefault="00F837E4">
      <w:pPr>
        <w:pStyle w:val="P68B1DB1-Text111"/>
        <w:ind w:left="0"/>
        <w:rPr>
          <w:noProof/>
        </w:rPr>
      </w:pPr>
      <w:r>
        <w:rPr>
          <w:noProof/>
        </w:rPr>
        <w:t>Инвестиция I-2.05 [L]: „Цифровизация на SPF: Цифровизация на процесите на управление на убежището и имиграцията“ на федералната държава</w:t>
      </w:r>
    </w:p>
    <w:p w14:paraId="4FDE6DB2" w14:textId="1ED5DD64" w:rsidR="00235E11" w:rsidRDefault="00F837E4">
      <w:pPr>
        <w:pStyle w:val="Text1"/>
        <w:ind w:left="0"/>
        <w:rPr>
          <w:noProof/>
        </w:rPr>
      </w:pPr>
      <w:r>
        <w:rPr>
          <w:noProof/>
        </w:rPr>
        <w:t>Тази подмярка има за цел модернизиране на цифровата инфраструктура, за да се даде възможност за по-добра и контролирана интеграция с вътрешните и публичните служби, модернизиране и развитие на миграционните услуги с акцент върху опита на потребителите; стандартизиране и гарантиране на взаимния обмен на данни и документи. Проектът включва създаването на платформа за цифрова интеграция, междупътна база данни за чужденци и разработване на хранилище за данни, което ще позволи генерирането, съхранението, структурирането и комбинирането на данни и статистически данни, свързани с миграцията. Изпълнението на мярката трябва да приключи до 30 юни 2026 г.</w:t>
      </w:r>
    </w:p>
    <w:p w14:paraId="232321AE" w14:textId="77777777" w:rsidR="00235E11" w:rsidRDefault="00235E11">
      <w:pPr>
        <w:pStyle w:val="Text1"/>
        <w:ind w:left="0"/>
        <w:rPr>
          <w:noProof/>
        </w:rPr>
      </w:pPr>
    </w:p>
    <w:p w14:paraId="15CFC5CA" w14:textId="799B44CC" w:rsidR="00235E11" w:rsidRDefault="00F837E4">
      <w:pPr>
        <w:spacing w:before="120" w:after="120"/>
        <w:jc w:val="both"/>
        <w:rPr>
          <w:rFonts w:ascii="Times New Roman" w:eastAsia="Times New Roman" w:hAnsi="Times New Roman" w:cs="Times New Roman"/>
          <w:b/>
          <w:smallCaps/>
          <w:noProof/>
          <w:u w:val="single"/>
        </w:rPr>
      </w:pPr>
      <w:r>
        <w:rPr>
          <w:rFonts w:ascii="Times New Roman" w:eastAsia="Times New Roman" w:hAnsi="Times New Roman" w:cs="Times New Roman"/>
          <w:b/>
          <w:noProof/>
          <w:sz w:val="24"/>
          <w:u w:val="single"/>
        </w:rPr>
        <w:t>E</w:t>
      </w:r>
      <w:r>
        <w:rPr>
          <w:rFonts w:ascii="Times New Roman" w:eastAsia="Times New Roman" w:hAnsi="Times New Roman" w:cs="Times New Roman"/>
          <w:b/>
          <w:noProof/>
          <w:u w:val="single"/>
        </w:rPr>
        <w:t>.4.</w:t>
      </w:r>
      <w:r>
        <w:rPr>
          <w:noProof/>
        </w:rPr>
        <w:tab/>
      </w:r>
      <w:r>
        <w:rPr>
          <w:rFonts w:ascii="Times New Roman" w:eastAsia="Times New Roman" w:hAnsi="Times New Roman" w:cs="Times New Roman"/>
          <w:b/>
          <w:noProof/>
          <w:u w:val="single"/>
        </w:rPr>
        <w:t>Ключови етапи, цели, показатели и график за мониторинг и изпълнение на заема</w:t>
      </w:r>
    </w:p>
    <w:p w14:paraId="5EE384FD" w14:textId="77777777" w:rsidR="00235E11" w:rsidRDefault="00235E11">
      <w:pPr>
        <w:spacing w:before="120" w:after="120"/>
        <w:jc w:val="both"/>
        <w:rPr>
          <w:noProof/>
          <w:u w:val="single"/>
        </w:rPr>
        <w:sectPr w:rsidR="00235E11" w:rsidSect="007F56C3">
          <w:headerReference w:type="even" r:id="rId78"/>
          <w:headerReference w:type="default" r:id="rId79"/>
          <w:footerReference w:type="even" r:id="rId80"/>
          <w:footerReference w:type="default" r:id="rId81"/>
          <w:headerReference w:type="first" r:id="rId82"/>
          <w:footerReference w:type="first" r:id="rId83"/>
          <w:pgSz w:w="11907" w:h="16839"/>
          <w:pgMar w:top="1134" w:right="1134" w:bottom="1134" w:left="1134" w:header="567" w:footer="567" w:gutter="0"/>
          <w:cols w:space="720"/>
          <w:docGrid w:linePitch="360"/>
        </w:sectPr>
      </w:pPr>
    </w:p>
    <w:tbl>
      <w:tblPr>
        <w:tblW w:w="155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701"/>
        <w:gridCol w:w="1134"/>
        <w:gridCol w:w="1559"/>
        <w:gridCol w:w="1559"/>
        <w:gridCol w:w="992"/>
        <w:gridCol w:w="709"/>
        <w:gridCol w:w="709"/>
        <w:gridCol w:w="709"/>
        <w:gridCol w:w="708"/>
        <w:gridCol w:w="4983"/>
      </w:tblGrid>
      <w:tr w:rsidR="00235E11" w14:paraId="68B63E3D" w14:textId="77777777">
        <w:trPr>
          <w:trHeight w:val="927"/>
        </w:trPr>
        <w:tc>
          <w:tcPr>
            <w:tcW w:w="739" w:type="dxa"/>
            <w:vMerge w:val="restart"/>
            <w:shd w:val="clear" w:color="auto" w:fill="BDD7EE"/>
            <w:vAlign w:val="center"/>
            <w:hideMark/>
          </w:tcPr>
          <w:p w14:paraId="75984220" w14:textId="571097D9" w:rsidR="00235E11" w:rsidRDefault="00F837E4">
            <w:pPr>
              <w:pStyle w:val="P68B1DB1-Normal7"/>
              <w:spacing w:after="0"/>
              <w:jc w:val="center"/>
              <w:rPr>
                <w:noProof/>
              </w:rPr>
            </w:pPr>
            <w:r>
              <w:rPr>
                <w:noProof/>
              </w:rPr>
              <w:t>Следващи</w:t>
            </w:r>
            <w:r>
              <w:rPr>
                <w:noProof/>
              </w:rPr>
              <w:br/>
              <w:t>Забележка:</w:t>
            </w:r>
          </w:p>
        </w:tc>
        <w:tc>
          <w:tcPr>
            <w:tcW w:w="1701" w:type="dxa"/>
            <w:vMerge w:val="restart"/>
            <w:shd w:val="clear" w:color="auto" w:fill="BDD7EE"/>
            <w:vAlign w:val="center"/>
            <w:hideMark/>
          </w:tcPr>
          <w:p w14:paraId="6D2DC66D" w14:textId="77777777" w:rsidR="00235E11" w:rsidRDefault="00F837E4">
            <w:pPr>
              <w:pStyle w:val="P68B1DB1-Normal7"/>
              <w:spacing w:after="0"/>
              <w:jc w:val="center"/>
              <w:rPr>
                <w:noProof/>
              </w:rPr>
            </w:pPr>
            <w:r>
              <w:rPr>
                <w:noProof/>
              </w:rPr>
              <w:t>Свързана мярка (реформа или инвестиции)</w:t>
            </w:r>
          </w:p>
        </w:tc>
        <w:tc>
          <w:tcPr>
            <w:tcW w:w="1134" w:type="dxa"/>
            <w:vMerge w:val="restart"/>
            <w:shd w:val="clear" w:color="auto" w:fill="BDD7EE"/>
            <w:vAlign w:val="center"/>
            <w:hideMark/>
          </w:tcPr>
          <w:p w14:paraId="102226BB" w14:textId="77777777" w:rsidR="00235E11" w:rsidRDefault="00F837E4">
            <w:pPr>
              <w:pStyle w:val="P68B1DB1-Normal7"/>
              <w:spacing w:after="0"/>
              <w:jc w:val="center"/>
              <w:rPr>
                <w:noProof/>
              </w:rPr>
            </w:pPr>
            <w:r>
              <w:rPr>
                <w:noProof/>
              </w:rPr>
              <w:t>Ключов етап/Цел</w:t>
            </w:r>
          </w:p>
        </w:tc>
        <w:tc>
          <w:tcPr>
            <w:tcW w:w="1559" w:type="dxa"/>
            <w:vMerge w:val="restart"/>
            <w:shd w:val="clear" w:color="auto" w:fill="BDD7EE"/>
            <w:vAlign w:val="center"/>
            <w:hideMark/>
          </w:tcPr>
          <w:p w14:paraId="09349367" w14:textId="77777777" w:rsidR="00235E11" w:rsidRDefault="00F837E4">
            <w:pPr>
              <w:pStyle w:val="P68B1DB1-Normal7"/>
              <w:spacing w:after="0"/>
              <w:jc w:val="center"/>
              <w:rPr>
                <w:noProof/>
              </w:rPr>
            </w:pPr>
            <w:r>
              <w:rPr>
                <w:noProof/>
              </w:rPr>
              <w:t>Име</w:t>
            </w:r>
          </w:p>
        </w:tc>
        <w:tc>
          <w:tcPr>
            <w:tcW w:w="1559" w:type="dxa"/>
            <w:vMerge w:val="restart"/>
            <w:shd w:val="clear" w:color="auto" w:fill="BDD7EE"/>
            <w:vAlign w:val="center"/>
            <w:hideMark/>
          </w:tcPr>
          <w:p w14:paraId="41078420"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410" w:type="dxa"/>
            <w:gridSpan w:val="3"/>
            <w:shd w:val="clear" w:color="auto" w:fill="BDD7EE"/>
            <w:vAlign w:val="center"/>
            <w:hideMark/>
          </w:tcPr>
          <w:p w14:paraId="586491D2"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7" w:type="dxa"/>
            <w:gridSpan w:val="2"/>
            <w:shd w:val="clear" w:color="auto" w:fill="BDD7EE"/>
            <w:vAlign w:val="center"/>
            <w:hideMark/>
          </w:tcPr>
          <w:p w14:paraId="253B0918" w14:textId="77777777" w:rsidR="00235E11" w:rsidRDefault="00F837E4">
            <w:pPr>
              <w:pStyle w:val="P68B1DB1-Normal7"/>
              <w:spacing w:after="0"/>
              <w:jc w:val="center"/>
              <w:rPr>
                <w:noProof/>
              </w:rPr>
            </w:pPr>
            <w:r>
              <w:rPr>
                <w:noProof/>
              </w:rPr>
              <w:t xml:space="preserve">Примерен график за приключване </w:t>
            </w:r>
          </w:p>
        </w:tc>
        <w:tc>
          <w:tcPr>
            <w:tcW w:w="4983" w:type="dxa"/>
            <w:vMerge w:val="restart"/>
            <w:shd w:val="clear" w:color="auto" w:fill="BDD7EE"/>
            <w:vAlign w:val="center"/>
            <w:hideMark/>
          </w:tcPr>
          <w:p w14:paraId="64D8B575" w14:textId="77777777" w:rsidR="00235E11" w:rsidRDefault="00F837E4">
            <w:pPr>
              <w:pStyle w:val="P68B1DB1-Normal7"/>
              <w:spacing w:after="0"/>
              <w:jc w:val="center"/>
              <w:rPr>
                <w:noProof/>
              </w:rPr>
            </w:pPr>
            <w:r>
              <w:rPr>
                <w:noProof/>
              </w:rPr>
              <w:t>Описание на всеки ключов етап и цел</w:t>
            </w:r>
          </w:p>
        </w:tc>
      </w:tr>
      <w:tr w:rsidR="00235E11" w14:paraId="17583E88" w14:textId="77777777">
        <w:trPr>
          <w:trHeight w:val="1013"/>
        </w:trPr>
        <w:tc>
          <w:tcPr>
            <w:tcW w:w="739" w:type="dxa"/>
            <w:vMerge/>
            <w:vAlign w:val="center"/>
            <w:hideMark/>
          </w:tcPr>
          <w:p w14:paraId="327EAA37" w14:textId="77777777" w:rsidR="00235E11" w:rsidRDefault="00235E11">
            <w:pPr>
              <w:spacing w:after="0"/>
              <w:rPr>
                <w:rFonts w:ascii="Times New Roman" w:eastAsia="Times New Roman" w:hAnsi="Times New Roman" w:cs="Times New Roman"/>
                <w:b/>
                <w:noProof/>
              </w:rPr>
            </w:pPr>
          </w:p>
        </w:tc>
        <w:tc>
          <w:tcPr>
            <w:tcW w:w="1701" w:type="dxa"/>
            <w:vMerge/>
            <w:vAlign w:val="center"/>
            <w:hideMark/>
          </w:tcPr>
          <w:p w14:paraId="4054C3B7" w14:textId="77777777" w:rsidR="00235E11" w:rsidRDefault="00235E11">
            <w:pPr>
              <w:spacing w:after="0"/>
              <w:rPr>
                <w:rFonts w:ascii="Times New Roman" w:eastAsia="Times New Roman" w:hAnsi="Times New Roman" w:cs="Times New Roman"/>
                <w:b/>
                <w:noProof/>
              </w:rPr>
            </w:pPr>
          </w:p>
        </w:tc>
        <w:tc>
          <w:tcPr>
            <w:tcW w:w="1134" w:type="dxa"/>
            <w:vMerge/>
            <w:vAlign w:val="center"/>
            <w:hideMark/>
          </w:tcPr>
          <w:p w14:paraId="0EE5251E" w14:textId="77777777" w:rsidR="00235E11" w:rsidRDefault="00235E11">
            <w:pPr>
              <w:spacing w:after="0"/>
              <w:rPr>
                <w:rFonts w:ascii="Times New Roman" w:eastAsia="Times New Roman" w:hAnsi="Times New Roman" w:cs="Times New Roman"/>
                <w:b/>
                <w:noProof/>
              </w:rPr>
            </w:pPr>
          </w:p>
        </w:tc>
        <w:tc>
          <w:tcPr>
            <w:tcW w:w="1559" w:type="dxa"/>
            <w:vMerge/>
            <w:vAlign w:val="center"/>
            <w:hideMark/>
          </w:tcPr>
          <w:p w14:paraId="07CD9704" w14:textId="77777777" w:rsidR="00235E11" w:rsidRDefault="00235E11">
            <w:pPr>
              <w:spacing w:after="0"/>
              <w:rPr>
                <w:rFonts w:ascii="Times New Roman" w:eastAsia="Times New Roman" w:hAnsi="Times New Roman" w:cs="Times New Roman"/>
                <w:b/>
                <w:noProof/>
              </w:rPr>
            </w:pPr>
          </w:p>
        </w:tc>
        <w:tc>
          <w:tcPr>
            <w:tcW w:w="1559" w:type="dxa"/>
            <w:vMerge/>
            <w:vAlign w:val="center"/>
            <w:hideMark/>
          </w:tcPr>
          <w:p w14:paraId="752720E2" w14:textId="77777777" w:rsidR="00235E11" w:rsidRDefault="00235E11">
            <w:pPr>
              <w:spacing w:after="0"/>
              <w:rPr>
                <w:rFonts w:ascii="Times New Roman" w:eastAsia="Times New Roman" w:hAnsi="Times New Roman" w:cs="Times New Roman"/>
                <w:b/>
                <w:noProof/>
              </w:rPr>
            </w:pPr>
          </w:p>
        </w:tc>
        <w:tc>
          <w:tcPr>
            <w:tcW w:w="992" w:type="dxa"/>
            <w:shd w:val="clear" w:color="auto" w:fill="BDD7EE"/>
            <w:vAlign w:val="center"/>
            <w:hideMark/>
          </w:tcPr>
          <w:p w14:paraId="79257349" w14:textId="77777777" w:rsidR="00235E11" w:rsidRDefault="00F837E4">
            <w:pPr>
              <w:pStyle w:val="P68B1DB1-Normal7"/>
              <w:spacing w:after="0"/>
              <w:jc w:val="center"/>
              <w:rPr>
                <w:noProof/>
              </w:rPr>
            </w:pPr>
            <w:r>
              <w:rPr>
                <w:noProof/>
              </w:rPr>
              <w:t>Единица мярка</w:t>
            </w:r>
          </w:p>
        </w:tc>
        <w:tc>
          <w:tcPr>
            <w:tcW w:w="709" w:type="dxa"/>
            <w:shd w:val="clear" w:color="auto" w:fill="BDD7EE"/>
            <w:vAlign w:val="center"/>
            <w:hideMark/>
          </w:tcPr>
          <w:p w14:paraId="2CC4BB05" w14:textId="77777777" w:rsidR="00235E11" w:rsidRDefault="00F837E4">
            <w:pPr>
              <w:pStyle w:val="P68B1DB1-Normal7"/>
              <w:spacing w:after="0"/>
              <w:jc w:val="center"/>
              <w:rPr>
                <w:noProof/>
              </w:rPr>
            </w:pPr>
            <w:r>
              <w:rPr>
                <w:noProof/>
              </w:rPr>
              <w:t xml:space="preserve">Базова линия </w:t>
            </w:r>
          </w:p>
        </w:tc>
        <w:tc>
          <w:tcPr>
            <w:tcW w:w="709" w:type="dxa"/>
            <w:shd w:val="clear" w:color="auto" w:fill="BDD7EE"/>
            <w:vAlign w:val="center"/>
            <w:hideMark/>
          </w:tcPr>
          <w:p w14:paraId="12478044" w14:textId="0C684B8C" w:rsidR="00235E11" w:rsidRDefault="00F837E4">
            <w:pPr>
              <w:pStyle w:val="P68B1DB1-Normal7"/>
              <w:spacing w:after="0"/>
              <w:jc w:val="center"/>
              <w:rPr>
                <w:noProof/>
              </w:rPr>
            </w:pPr>
            <w:r>
              <w:rPr>
                <w:noProof/>
              </w:rPr>
              <w:t>Цел</w:t>
            </w:r>
          </w:p>
        </w:tc>
        <w:tc>
          <w:tcPr>
            <w:tcW w:w="709" w:type="dxa"/>
            <w:shd w:val="clear" w:color="auto" w:fill="BDD7EE"/>
            <w:vAlign w:val="center"/>
            <w:hideMark/>
          </w:tcPr>
          <w:p w14:paraId="5C107530" w14:textId="77777777" w:rsidR="00235E11" w:rsidRDefault="00F837E4">
            <w:pPr>
              <w:pStyle w:val="P68B1DB1-Normal7"/>
              <w:spacing w:after="0"/>
              <w:jc w:val="center"/>
              <w:rPr>
                <w:noProof/>
              </w:rPr>
            </w:pPr>
            <w:r>
              <w:rPr>
                <w:noProof/>
              </w:rPr>
              <w:t>Тримесечие</w:t>
            </w:r>
          </w:p>
        </w:tc>
        <w:tc>
          <w:tcPr>
            <w:tcW w:w="708" w:type="dxa"/>
            <w:shd w:val="clear" w:color="auto" w:fill="BDD7EE"/>
            <w:vAlign w:val="center"/>
            <w:hideMark/>
          </w:tcPr>
          <w:p w14:paraId="7E6C8D06" w14:textId="77777777" w:rsidR="00235E11" w:rsidRDefault="00F837E4">
            <w:pPr>
              <w:pStyle w:val="P68B1DB1-Normal7"/>
              <w:spacing w:after="0"/>
              <w:jc w:val="center"/>
              <w:rPr>
                <w:noProof/>
              </w:rPr>
            </w:pPr>
            <w:r>
              <w:rPr>
                <w:noProof/>
              </w:rPr>
              <w:t>Година</w:t>
            </w:r>
          </w:p>
        </w:tc>
        <w:tc>
          <w:tcPr>
            <w:tcW w:w="4983" w:type="dxa"/>
            <w:vMerge/>
            <w:vAlign w:val="center"/>
            <w:hideMark/>
          </w:tcPr>
          <w:p w14:paraId="256B102C" w14:textId="77777777" w:rsidR="00235E11" w:rsidRDefault="00235E11">
            <w:pPr>
              <w:spacing w:after="0"/>
              <w:rPr>
                <w:rFonts w:ascii="Times New Roman" w:eastAsia="Times New Roman" w:hAnsi="Times New Roman" w:cs="Times New Roman"/>
                <w:b/>
                <w:noProof/>
              </w:rPr>
            </w:pPr>
          </w:p>
        </w:tc>
      </w:tr>
      <w:tr w:rsidR="00235E11" w14:paraId="30AE7A75" w14:textId="77777777">
        <w:trPr>
          <w:trHeight w:val="309"/>
        </w:trPr>
        <w:tc>
          <w:tcPr>
            <w:tcW w:w="73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639304" w14:textId="34B91F7C" w:rsidR="00235E11" w:rsidRDefault="00F837E4">
            <w:pPr>
              <w:pStyle w:val="P68B1DB1-Normal10"/>
              <w:spacing w:after="0"/>
              <w:jc w:val="center"/>
              <w:rPr>
                <w:noProof/>
              </w:rPr>
            </w:pPr>
            <w:r>
              <w:rPr>
                <w:noProof/>
              </w:rPr>
              <w:t>54б</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0BCF5B" w14:textId="2B158410" w:rsidR="00235E11" w:rsidRDefault="00F837E4">
            <w:pPr>
              <w:pStyle w:val="P68B1DB1-Normal10"/>
              <w:spacing w:after="0"/>
              <w:rPr>
                <w:noProof/>
              </w:rPr>
            </w:pPr>
            <w:r>
              <w:rPr>
                <w:noProof/>
              </w:rPr>
              <w:t>Цифровизация на SPF (I-2.05) [L]</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1E93CC" w14:textId="2C9054E9" w:rsidR="00235E11" w:rsidRDefault="00F837E4">
            <w:pPr>
              <w:pStyle w:val="P68B1DB1-Normal10"/>
              <w:spacing w:after="0"/>
              <w:rPr>
                <w:noProof/>
              </w:rPr>
            </w:pPr>
            <w:r>
              <w:rPr>
                <w:noProof/>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18ECB8" w14:textId="77777777" w:rsidR="00235E11" w:rsidRDefault="00F837E4">
            <w:pPr>
              <w:pStyle w:val="P68B1DB1-Normal10"/>
              <w:spacing w:after="0"/>
              <w:rPr>
                <w:noProof/>
              </w:rPr>
            </w:pPr>
            <w:r>
              <w:rPr>
                <w:noProof/>
              </w:rPr>
              <w:t>Определени са изискванията</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3E5976" w14:textId="6F643573" w:rsidR="00235E11" w:rsidRDefault="00F837E4">
            <w:pPr>
              <w:pStyle w:val="P68B1DB1-Normal10"/>
              <w:spacing w:after="0"/>
              <w:rPr>
                <w:noProof/>
              </w:rPr>
            </w:pPr>
            <w:r>
              <w:rPr>
                <w:noProof/>
              </w:rPr>
              <w:t>Изискванията, проектирането и решенията са определени и одобрени</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FADF34"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51B7D7"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0686CD"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6E3C32" w14:textId="77777777" w:rsidR="00235E11" w:rsidRDefault="00F837E4">
            <w:pPr>
              <w:pStyle w:val="P68B1DB1-Normal10"/>
              <w:spacing w:after="0"/>
              <w:rPr>
                <w:noProof/>
              </w:rPr>
            </w:pPr>
            <w:r>
              <w:rPr>
                <w:noProof/>
              </w:rPr>
              <w:t>Т2 Г.</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07F5D8" w14:textId="77777777" w:rsidR="00235E11" w:rsidRDefault="00F837E4">
            <w:pPr>
              <w:pStyle w:val="P68B1DB1-Normal10"/>
              <w:spacing w:after="0"/>
              <w:jc w:val="center"/>
              <w:rPr>
                <w:noProof/>
              </w:rPr>
            </w:pPr>
            <w:r>
              <w:rPr>
                <w:noProof/>
              </w:rPr>
              <w:t>2022</w:t>
            </w:r>
          </w:p>
        </w:tc>
        <w:tc>
          <w:tcPr>
            <w:tcW w:w="498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1DC22A" w14:textId="45A8029E" w:rsidR="00235E11" w:rsidRDefault="00F837E4">
            <w:pPr>
              <w:pStyle w:val="P68B1DB1-Normal10"/>
              <w:spacing w:after="0"/>
              <w:rPr>
                <w:noProof/>
              </w:rPr>
            </w:pPr>
            <w:r>
              <w:rPr>
                <w:noProof/>
              </w:rPr>
              <w:t>Изискванията, проектирането и необходимите решения се определят от компетентните администрации и се одобряват от компетентното министерство.</w:t>
            </w:r>
          </w:p>
        </w:tc>
      </w:tr>
      <w:tr w:rsidR="00235E11" w14:paraId="68A33433" w14:textId="77777777">
        <w:trPr>
          <w:trHeight w:val="309"/>
        </w:trPr>
        <w:tc>
          <w:tcPr>
            <w:tcW w:w="73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9CB2FF" w14:textId="054AB09D" w:rsidR="00235E11" w:rsidRDefault="00F837E4">
            <w:pPr>
              <w:pStyle w:val="P68B1DB1-Normal10"/>
              <w:spacing w:after="0"/>
              <w:jc w:val="center"/>
              <w:rPr>
                <w:noProof/>
              </w:rPr>
            </w:pPr>
            <w:r>
              <w:rPr>
                <w:noProof/>
              </w:rPr>
              <w:t>55б</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8BA7F9" w14:textId="45D7B1DD" w:rsidR="00235E11" w:rsidRDefault="00F837E4">
            <w:pPr>
              <w:pStyle w:val="P68B1DB1-Normal10"/>
              <w:spacing w:after="0"/>
              <w:rPr>
                <w:noProof/>
              </w:rPr>
            </w:pPr>
            <w:r>
              <w:rPr>
                <w:noProof/>
              </w:rPr>
              <w:t>Цифровизация на SPF (I-2.05) [L]</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4BDDAB" w14:textId="48310967" w:rsidR="00235E11" w:rsidRDefault="00F837E4">
            <w:pPr>
              <w:pStyle w:val="P68B1DB1-Normal10"/>
              <w:spacing w:after="0"/>
              <w:rPr>
                <w:noProof/>
              </w:rPr>
            </w:pPr>
            <w:r>
              <w:rPr>
                <w:noProof/>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83CDE6" w14:textId="77777777" w:rsidR="00235E11" w:rsidRDefault="00F837E4">
            <w:pPr>
              <w:pStyle w:val="P68B1DB1-Normal10"/>
              <w:spacing w:after="0"/>
              <w:rPr>
                <w:noProof/>
              </w:rPr>
            </w:pPr>
            <w:r>
              <w:rPr>
                <w:noProof/>
              </w:rPr>
              <w:t>Проектите са завършени и резултатите са оперативни</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7ED628" w14:textId="77777777" w:rsidR="00235E11" w:rsidRDefault="00F837E4">
            <w:pPr>
              <w:pStyle w:val="P68B1DB1-Normal10"/>
              <w:spacing w:after="0"/>
              <w:rPr>
                <w:noProof/>
              </w:rPr>
            </w:pPr>
            <w:r>
              <w:rPr>
                <w:noProof/>
              </w:rPr>
              <w:t>Проектът е завършен и функционира</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EAA20F"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57F803"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D24768"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0A4317" w14:textId="77777777" w:rsidR="00235E11" w:rsidRDefault="00F837E4">
            <w:pPr>
              <w:pStyle w:val="P68B1DB1-Normal10"/>
              <w:spacing w:after="0"/>
              <w:rPr>
                <w:noProof/>
              </w:rPr>
            </w:pPr>
            <w:r>
              <w:rPr>
                <w:noProof/>
              </w:rPr>
              <w:t>Т2 Г.</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BC88D2" w14:textId="77777777" w:rsidR="00235E11" w:rsidRDefault="00F837E4">
            <w:pPr>
              <w:pStyle w:val="P68B1DB1-Normal10"/>
              <w:spacing w:after="0"/>
              <w:jc w:val="center"/>
              <w:rPr>
                <w:noProof/>
              </w:rPr>
            </w:pPr>
            <w:r>
              <w:rPr>
                <w:noProof/>
              </w:rPr>
              <w:t>2026</w:t>
            </w:r>
          </w:p>
        </w:tc>
        <w:tc>
          <w:tcPr>
            <w:tcW w:w="498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E8FF9E" w14:textId="771E6333" w:rsidR="00235E11" w:rsidRDefault="00F837E4">
            <w:pPr>
              <w:pStyle w:val="P68B1DB1-Normal10"/>
              <w:spacing w:after="0"/>
              <w:rPr>
                <w:noProof/>
              </w:rPr>
            </w:pPr>
            <w:r>
              <w:rPr>
                <w:noProof/>
              </w:rPr>
              <w:t>Проектът е завършен и функционира. Изплатени са 17 700 000 EUR.</w:t>
            </w:r>
          </w:p>
        </w:tc>
      </w:tr>
    </w:tbl>
    <w:p w14:paraId="0FE9F193" w14:textId="77777777" w:rsidR="00235E11" w:rsidRDefault="00235E11">
      <w:pPr>
        <w:pStyle w:val="Text1"/>
        <w:ind w:left="0"/>
        <w:rPr>
          <w:noProof/>
        </w:rPr>
      </w:pPr>
    </w:p>
    <w:p w14:paraId="24FE9E54" w14:textId="77777777" w:rsidR="00235E11" w:rsidRDefault="00235E11">
      <w:pPr>
        <w:pStyle w:val="Text1"/>
        <w:ind w:left="0"/>
        <w:rPr>
          <w:noProof/>
        </w:rPr>
      </w:pPr>
    </w:p>
    <w:p w14:paraId="76D7A99B" w14:textId="6A60F75D" w:rsidR="00235E11" w:rsidRDefault="00235E11">
      <w:pPr>
        <w:pStyle w:val="Text1"/>
        <w:rPr>
          <w:noProof/>
        </w:rPr>
        <w:sectPr w:rsidR="00235E11" w:rsidSect="007F56C3">
          <w:headerReference w:type="even" r:id="rId84"/>
          <w:headerReference w:type="default" r:id="rId85"/>
          <w:footerReference w:type="even" r:id="rId86"/>
          <w:footerReference w:type="default" r:id="rId87"/>
          <w:headerReference w:type="first" r:id="rId88"/>
          <w:footerReference w:type="first" r:id="rId89"/>
          <w:pgSz w:w="16839" w:h="11907" w:orient="landscape"/>
          <w:pgMar w:top="1134" w:right="1134" w:bottom="1134" w:left="1134" w:header="567" w:footer="567" w:gutter="0"/>
          <w:cols w:space="720"/>
          <w:docGrid w:linePitch="360"/>
        </w:sectPr>
      </w:pPr>
    </w:p>
    <w:p w14:paraId="4A929A57" w14:textId="77777777" w:rsidR="00235E11" w:rsidRDefault="00F837E4">
      <w:pPr>
        <w:pStyle w:val="ManualHeading1"/>
        <w:spacing w:before="120"/>
        <w:ind w:left="0" w:firstLine="0"/>
        <w:rPr>
          <w:noProof/>
        </w:rPr>
      </w:pPr>
      <w:r>
        <w:rPr>
          <w:noProof/>
        </w:rPr>
        <w:t>Е. КОМПОНЕНТ 2.3: Оптични влакна, 5G и нови технологии</w:t>
      </w:r>
    </w:p>
    <w:p w14:paraId="7537DF55" w14:textId="77777777" w:rsidR="00235E11" w:rsidRDefault="00F837E4">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Този компонент на белгийския план за възстановяване и устойчивост съдържа </w:t>
      </w:r>
      <w:r>
        <w:rPr>
          <w:rStyle w:val="normaltextrun"/>
          <w:rFonts w:ascii="Times New Roman" w:hAnsi="Times New Roman" w:cs="Times New Roman"/>
          <w:noProof/>
          <w:sz w:val="24"/>
          <w:bdr w:val="none" w:sz="0" w:space="0" w:color="auto" w:frame="1"/>
        </w:rPr>
        <w:t>реформи и инвестиции, свързани с 5G, инфраструктура за свързаност с много голям капацитет и изкуствен интелект (ИИ), които се очаква да осигурят основни градивни елементи за цифровия преход в Белгия.</w:t>
      </w:r>
    </w:p>
    <w:p w14:paraId="7B7FB703" w14:textId="77777777" w:rsidR="00235E11" w:rsidRDefault="00F837E4">
      <w:pPr>
        <w:pStyle w:val="NormalLeft"/>
        <w:jc w:val="both"/>
        <w:rPr>
          <w:noProof/>
        </w:rPr>
      </w:pPr>
      <w:r>
        <w:rPr>
          <w:noProof/>
        </w:rPr>
        <w:t>Компонентът допринася за изпълнението на специфична за държавата препоръка 2020.3, тъй като в него се призовава за съсредоточаване на инвестициите върху цифровия преход, по-специално върху цифровата инфраструктура, като например 5G и гигабитовите мрежи, и към специфична за държавата препоръка 2019.3, тъй като призовава за съсредоточаване на свързаните с инвестициите икономически политики върху устойчивите научни изследвания и иновации, по-специално в областта на цифровизацията, като се вземат предвид регионалните различия.</w:t>
      </w:r>
    </w:p>
    <w:p w14:paraId="6D9CE719"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375A9169" w14:textId="77777777" w:rsidR="00235E11" w:rsidRDefault="00F837E4">
      <w:pPr>
        <w:pStyle w:val="P68B1DB1-Normal1"/>
        <w:spacing w:before="120" w:after="120"/>
        <w:jc w:val="both"/>
        <w:rPr>
          <w:noProof/>
        </w:rPr>
      </w:pPr>
      <w:r>
        <w:rPr>
          <w:noProof/>
        </w:rPr>
        <w:t xml:space="preserve">Е.1. </w:t>
      </w:r>
      <w:r>
        <w:rPr>
          <w:noProof/>
        </w:rPr>
        <w:tab/>
        <w:t>Описание на реформите и инвестициите за безвъзмездна финансова подкрепа</w:t>
      </w:r>
    </w:p>
    <w:p w14:paraId="28892F34" w14:textId="316F1196" w:rsidR="00235E11" w:rsidRDefault="00F837E4">
      <w:pPr>
        <w:pStyle w:val="P68B1DB1-Text111"/>
        <w:ind w:left="0"/>
        <w:rPr>
          <w:noProof/>
        </w:rPr>
      </w:pPr>
      <w:r>
        <w:rPr>
          <w:noProof/>
        </w:rPr>
        <w:t>Инвестиция I-2.13: „Покритие на бели райони чрез развитие на високоскоростни влакнестооптични мрежи“ на немскоезичната общност</w:t>
      </w:r>
    </w:p>
    <w:p w14:paraId="31E4B15D" w14:textId="0D9AF6A2" w:rsidR="00235E11" w:rsidRDefault="00F837E4">
      <w:pPr>
        <w:pStyle w:val="Text1"/>
        <w:ind w:left="0"/>
        <w:rPr>
          <w:noProof/>
        </w:rPr>
      </w:pPr>
      <w:r>
        <w:rPr>
          <w:noProof/>
        </w:rPr>
        <w:t>Инвестицията има за цел да насърчи готовността за използване на оптични влакна в Белгия. Тази мярка се състои от инвестиции чрез съвместно предприятие за разгръщане на оптични кабели, обхващащи цялата немскоезична територия на Общността — област, в която такава инвестиция не се счита за жизнеспособна от търговска гледна точка. Изпълнението на инвестицията трябва да приключи до 30 юни 2026 г.</w:t>
      </w:r>
    </w:p>
    <w:p w14:paraId="2D74FD99" w14:textId="738CF16E" w:rsidR="00235E11" w:rsidRDefault="00F837E4">
      <w:pPr>
        <w:pStyle w:val="P68B1DB1-Text111"/>
        <w:ind w:left="0"/>
        <w:rPr>
          <w:noProof/>
        </w:rPr>
      </w:pPr>
      <w:r>
        <w:rPr>
          <w:noProof/>
        </w:rPr>
        <w:t>Инвестиция I-2.14: „Разработване на институт за ИИ с цел използване на тази технология за посрещане на обществените предизвикателства“ на регион Брюксел-столица</w:t>
      </w:r>
    </w:p>
    <w:p w14:paraId="7C31B4FD" w14:textId="77777777" w:rsidR="00235E11" w:rsidRDefault="00F837E4">
      <w:pPr>
        <w:pStyle w:val="Text1"/>
        <w:ind w:left="0"/>
        <w:rPr>
          <w:noProof/>
        </w:rPr>
      </w:pPr>
      <w:r>
        <w:rPr>
          <w:noProof/>
        </w:rPr>
        <w:t>Тези инвестиции насърчават ориентираното към човека използване на ИИ в области като здравето и благосъстоянието, околната среда, мобилността, енергетиката, медиите и демокрацията, също и в подкрепа на двойния екологичен и цифров преход, като се гарантира, че обществените и индивидуалните интереси са отразени в процесите на научни изследвания, иновации и внедряване в областта на ИИ. Институтът за ИИ за общото благо в Брюксел (FARI) ще служи като мост между академичните среди, предприятията, изготвянето на политики и гражданите и се основава на три стълба: (1) център за научни изследвания и иновации в областта на ИИ: обединяване на силите между академичните среди, промишлеността, създателите на политики и гражданите за разработване на решения в областта на ИИ, които са широко приети, (2) Информационен център за ИИ: обмисляне и позициониране на ИИ в обществото; и (3) лаборатория за изпитване и опит с ИИ: представяне на технологии, основани на ИИ и данни, за да се създаде осведоменост за широката общественост и промишлеността (включително измерение, свързано с обучението). Стълбове (1) и (3) са включени в плана. Услугите включват</w:t>
      </w:r>
      <w:r>
        <w:rPr>
          <w:noProof/>
        </w:rPr>
        <w:footnoteReference w:id="7"/>
      </w:r>
      <w:r>
        <w:rPr>
          <w:noProof/>
        </w:rPr>
        <w:t xml:space="preserve"> подкрепа за местните органи в областта на градоустройственото планиране и ангажираността на гражданите в областта на цифровите технологии. Изпълнението на инвестицията трябва да приключи до 31 декември 2024 г.</w:t>
      </w:r>
    </w:p>
    <w:p w14:paraId="19F94905" w14:textId="3B99FD6C" w:rsidR="00235E11" w:rsidRDefault="00F837E4">
      <w:pPr>
        <w:pStyle w:val="P68B1DB1-Text111"/>
        <w:ind w:left="0"/>
        <w:rPr>
          <w:noProof/>
        </w:rPr>
      </w:pPr>
      <w:r>
        <w:rPr>
          <w:noProof/>
        </w:rPr>
        <w:t>Инвестиция I-2.15: „Подобряване на свързаността на 35-те бизнес парка във Валония“ на Валонския регион</w:t>
      </w:r>
    </w:p>
    <w:p w14:paraId="0C97718F" w14:textId="16CCA6CD" w:rsidR="00235E11" w:rsidRDefault="00F837E4">
      <w:pPr>
        <w:pStyle w:val="Text1"/>
        <w:tabs>
          <w:tab w:val="left" w:pos="426"/>
        </w:tabs>
        <w:ind w:left="0"/>
        <w:rPr>
          <w:noProof/>
        </w:rPr>
      </w:pPr>
      <w:r>
        <w:rPr>
          <w:noProof/>
        </w:rPr>
        <w:t>Тази инвестиция ще разгърне оптични влакна в 35 публични бизнес парка във Валонския регион</w:t>
      </w:r>
      <w:r>
        <w:rPr>
          <w:rStyle w:val="normaltextrun"/>
          <w:noProof/>
          <w:shd w:val="clear" w:color="auto" w:fill="FFFFFF"/>
        </w:rPr>
        <w:t xml:space="preserve"> от страна на регионалното дружество за финансиране на инфраструктура Sofico</w:t>
      </w:r>
      <w:r>
        <w:rPr>
          <w:noProof/>
        </w:rPr>
        <w:t xml:space="preserve">, </w:t>
      </w:r>
      <w:r>
        <w:rPr>
          <w:rStyle w:val="normaltextrun"/>
          <w:noProof/>
          <w:shd w:val="clear" w:color="auto" w:fill="FFFFFF"/>
        </w:rPr>
        <w:t>когато тези инвестиции не се считат за икономически жизнеспособни, за да се постигне 100 % покритие с оптични влакна за всички публични бизнес паркове във Валонския регион („Свързаност с оптични влакна за 35 бизнес парка“)</w:t>
      </w:r>
      <w:r>
        <w:rPr>
          <w:noProof/>
        </w:rPr>
        <w:t>. Изпълнението на инвестицията трябва да приключи до 30 юни 2026 г.</w:t>
      </w:r>
    </w:p>
    <w:p w14:paraId="28EC3A0A" w14:textId="21F8C447" w:rsidR="00235E11" w:rsidRDefault="00F837E4">
      <w:pPr>
        <w:pStyle w:val="P68B1DB1-Text111"/>
        <w:ind w:left="0"/>
        <w:rPr>
          <w:noProof/>
        </w:rPr>
      </w:pPr>
      <w:r>
        <w:rPr>
          <w:noProof/>
        </w:rPr>
        <w:t>Реформа R-2.03: „Въвеждане на 5G — Национален план за фиксиран и мобилен широколентов достъп — федерално и регионално равнище“</w:t>
      </w:r>
    </w:p>
    <w:p w14:paraId="097B693A" w14:textId="7EAB0188" w:rsidR="00235E11" w:rsidRDefault="00F837E4">
      <w:pPr>
        <w:pStyle w:val="Text1"/>
        <w:ind w:left="0"/>
        <w:rPr>
          <w:rFonts w:eastAsia="Times New Roman"/>
          <w:noProof/>
        </w:rPr>
      </w:pPr>
      <w:r>
        <w:rPr>
          <w:noProof/>
        </w:rPr>
        <w:t xml:space="preserve">Тази мярка се състои от реформи както на федерално, така и на регионално равнище, които се очаква да премахнат пречките, включително регулаторните пречки, за разгръщането на 5G и за разгръщането на инфраструктура за свръхбърза свързаност, като например оптични кабели. На федерално равнище Законът </w:t>
      </w:r>
      <w:r>
        <w:rPr>
          <w:rFonts w:eastAsia="Times New Roman"/>
          <w:noProof/>
        </w:rPr>
        <w:t>за 5G и кралските укази за предоставяне на пионерни радиочестотни ленти в ЕС влизат в сила най-късно до 1 януари 2022 г. Търгът за 5G радиочестотен спектър, при благоприятни за инвестициите условия</w:t>
      </w:r>
      <w:r>
        <w:rPr>
          <w:rStyle w:val="FootnoteReference"/>
          <w:rFonts w:eastAsia="Times New Roman"/>
          <w:noProof/>
        </w:rPr>
        <w:footnoteReference w:id="8"/>
      </w:r>
      <w:r>
        <w:rPr>
          <w:rFonts w:eastAsia="Times New Roman"/>
          <w:noProof/>
        </w:rPr>
        <w:t>, трябва да приключи до 30 юни 2022 г. Освен това и трите региона трябва да преразгледат радиационните стандарти, като се</w:t>
      </w:r>
      <w:r w:rsidR="00B22925">
        <w:rPr>
          <w:rFonts w:eastAsia="Times New Roman"/>
          <w:noProof/>
          <w:lang w:val="en-US"/>
        </w:rPr>
        <w:t xml:space="preserve"> </w:t>
      </w:r>
      <w:r>
        <w:rPr>
          <w:noProof/>
        </w:rPr>
        <w:t xml:space="preserve">даде възможност за ефективно разгръщане на радиочестотния спектър за 5G както за частно, така и за промишлено използване, ако това бъде счетено за необходимо и препоръчано от съответните комитети, като в този случай преразгледаните регионални стандарти влизат </w:t>
      </w:r>
      <w:r>
        <w:rPr>
          <w:rFonts w:eastAsia="Times New Roman"/>
          <w:noProof/>
        </w:rPr>
        <w:t>в сила до 31 март 2022 г.</w:t>
      </w:r>
    </w:p>
    <w:p w14:paraId="5E809682" w14:textId="77777777" w:rsidR="00235E11" w:rsidRDefault="00F837E4">
      <w:pPr>
        <w:pStyle w:val="Text1"/>
        <w:ind w:left="0"/>
        <w:rPr>
          <w:rFonts w:eastAsia="Times New Roman"/>
          <w:noProof/>
        </w:rPr>
      </w:pPr>
      <w:r>
        <w:rPr>
          <w:rFonts w:eastAsia="Times New Roman"/>
          <w:noProof/>
        </w:rPr>
        <w:t xml:space="preserve">Белгия също така прилага инструментариума за свързаност, който трябва да съдържа най-добри практики за свързаност за намаляване на разходите за разгръщане на електронни съобщителни мрежи и за ефективен достъп до 5G радиочестотен спектър, съобразен с Белгия. Това включва национална пътна карта за </w:t>
      </w:r>
      <w:r>
        <w:rPr>
          <w:rStyle w:val="normaltextrun"/>
          <w:noProof/>
          <w:shd w:val="clear" w:color="auto" w:fill="FFFFFF"/>
        </w:rPr>
        <w:t>опростяване на процедурите за лицензиране и издаване на разрешения, които са от значение за разгръщането на 5G мрежи и мрежи с много голям капацитет, като например оптични кабели</w:t>
      </w:r>
      <w:r>
        <w:rPr>
          <w:rFonts w:eastAsia="Times New Roman"/>
          <w:noProof/>
        </w:rPr>
        <w:t>. До 30 юни 2022 г. се публикува доклад за актуалното състояние на прилагането на инструментариума за свързаност.</w:t>
      </w:r>
    </w:p>
    <w:p w14:paraId="061ADB29" w14:textId="77777777" w:rsidR="00235E11" w:rsidRDefault="00235E11">
      <w:pPr>
        <w:spacing w:before="120" w:after="120"/>
        <w:jc w:val="both"/>
        <w:rPr>
          <w:rFonts w:ascii="Times New Roman" w:hAnsi="Times New Roman" w:cs="Times New Roman"/>
          <w:noProof/>
          <w:sz w:val="24"/>
        </w:rPr>
      </w:pPr>
    </w:p>
    <w:p w14:paraId="4F5676E1" w14:textId="77777777" w:rsidR="00235E11" w:rsidRDefault="00F837E4">
      <w:pPr>
        <w:pStyle w:val="P68B1DB1-Text16"/>
        <w:ind w:left="0"/>
        <w:rPr>
          <w:noProof/>
        </w:rPr>
      </w:pPr>
      <w:r>
        <w:rPr>
          <w:noProof/>
        </w:rPr>
        <w:t xml:space="preserve">Е.2. </w:t>
      </w:r>
      <w:r>
        <w:rPr>
          <w:noProof/>
        </w:rPr>
        <w:tab/>
        <w:t>Ключови етапи, цели, показатели и график за мониторинг и изпълнение на безвъзмездната финансова подкрепа</w:t>
      </w:r>
    </w:p>
    <w:p w14:paraId="431B7E6A" w14:textId="77777777" w:rsidR="00235E11" w:rsidRDefault="00235E11">
      <w:pPr>
        <w:pStyle w:val="Text1"/>
        <w:rPr>
          <w:noProof/>
        </w:rPr>
      </w:pPr>
    </w:p>
    <w:p w14:paraId="10CD78D6" w14:textId="77777777" w:rsidR="00235E11" w:rsidRDefault="00235E11">
      <w:pPr>
        <w:pStyle w:val="Text1"/>
        <w:ind w:left="0"/>
        <w:rPr>
          <w:noProof/>
        </w:rPr>
        <w:sectPr w:rsidR="00235E11" w:rsidSect="007F56C3">
          <w:headerReference w:type="even" r:id="rId90"/>
          <w:headerReference w:type="default" r:id="rId91"/>
          <w:footerReference w:type="even" r:id="rId92"/>
          <w:footerReference w:type="default" r:id="rId93"/>
          <w:headerReference w:type="first" r:id="rId94"/>
          <w:footerReference w:type="first" r:id="rId95"/>
          <w:pgSz w:w="11907" w:h="16839"/>
          <w:pgMar w:top="1134" w:right="1134" w:bottom="1134" w:left="1134" w:header="567" w:footer="567" w:gutter="0"/>
          <w:cols w:space="720"/>
          <w:docGrid w:linePitch="360"/>
        </w:sectPr>
      </w:pPr>
    </w:p>
    <w:tbl>
      <w:tblPr>
        <w:tblW w:w="15502" w:type="dxa"/>
        <w:jc w:val="center"/>
        <w:tblLayout w:type="fixed"/>
        <w:tblLook w:val="04A0" w:firstRow="1" w:lastRow="0" w:firstColumn="1" w:lastColumn="0" w:noHBand="0" w:noVBand="1"/>
      </w:tblPr>
      <w:tblGrid>
        <w:gridCol w:w="880"/>
        <w:gridCol w:w="1667"/>
        <w:gridCol w:w="1310"/>
        <w:gridCol w:w="1100"/>
        <w:gridCol w:w="2160"/>
        <w:gridCol w:w="1134"/>
        <w:gridCol w:w="1134"/>
        <w:gridCol w:w="851"/>
        <w:gridCol w:w="992"/>
        <w:gridCol w:w="850"/>
        <w:gridCol w:w="3424"/>
      </w:tblGrid>
      <w:tr w:rsidR="00235E11" w14:paraId="6507148F" w14:textId="77777777">
        <w:trPr>
          <w:trHeight w:val="927"/>
          <w:tblHeader/>
          <w:jc w:val="center"/>
        </w:trPr>
        <w:tc>
          <w:tcPr>
            <w:tcW w:w="8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E411A4" w14:textId="09FCCAA7" w:rsidR="00235E11" w:rsidRDefault="00F837E4">
            <w:pPr>
              <w:pStyle w:val="P68B1DB1-Normal15"/>
              <w:spacing w:after="0"/>
              <w:jc w:val="center"/>
              <w:rPr>
                <w:noProof/>
              </w:rPr>
            </w:pPr>
            <w:r>
              <w:rPr>
                <w:noProof/>
              </w:rPr>
              <w:t>Следващи Забележка:</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858597" w14:textId="77777777" w:rsidR="00235E11" w:rsidRDefault="00F837E4">
            <w:pPr>
              <w:pStyle w:val="P68B1DB1-Normal15"/>
              <w:spacing w:after="0"/>
              <w:jc w:val="center"/>
              <w:rPr>
                <w:noProof/>
              </w:rPr>
            </w:pPr>
            <w:r>
              <w:rPr>
                <w:noProof/>
              </w:rPr>
              <w:t>Свързана мярка (реформа или инвестиции)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62B080" w14:textId="77777777" w:rsidR="00235E11" w:rsidRDefault="00F837E4">
            <w:pPr>
              <w:pStyle w:val="P68B1DB1-Normal15"/>
              <w:spacing w:after="0"/>
              <w:jc w:val="center"/>
              <w:rPr>
                <w:noProof/>
              </w:rPr>
            </w:pPr>
            <w:r>
              <w:rPr>
                <w:noProof/>
              </w:rPr>
              <w:t>Ключов етап/Цел</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19CC49" w14:textId="77777777" w:rsidR="00235E11" w:rsidRDefault="00F837E4">
            <w:pPr>
              <w:pStyle w:val="P68B1DB1-Normal15"/>
              <w:spacing w:after="0"/>
              <w:jc w:val="center"/>
              <w:rPr>
                <w:noProof/>
              </w:rPr>
            </w:pPr>
            <w:r>
              <w:rPr>
                <w:noProof/>
              </w:rPr>
              <w:t>Име</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BEBF52"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6BE8C79"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842" w:type="dxa"/>
            <w:gridSpan w:val="2"/>
            <w:tcBorders>
              <w:top w:val="single" w:sz="4" w:space="0" w:color="auto"/>
              <w:left w:val="nil"/>
              <w:bottom w:val="single" w:sz="4" w:space="0" w:color="auto"/>
              <w:right w:val="single" w:sz="4" w:space="0" w:color="auto"/>
            </w:tcBorders>
            <w:shd w:val="clear" w:color="auto" w:fill="BDD7EE"/>
            <w:vAlign w:val="center"/>
            <w:hideMark/>
          </w:tcPr>
          <w:p w14:paraId="671FD612" w14:textId="77777777" w:rsidR="00235E11" w:rsidRDefault="00F837E4">
            <w:pPr>
              <w:pStyle w:val="P68B1DB1-Normal15"/>
              <w:spacing w:after="0"/>
              <w:jc w:val="center"/>
              <w:rPr>
                <w:noProof/>
              </w:rPr>
            </w:pPr>
            <w:r>
              <w:rPr>
                <w:noProof/>
              </w:rPr>
              <w:t xml:space="preserve">Примерен график за приключване </w:t>
            </w:r>
          </w:p>
        </w:tc>
        <w:tc>
          <w:tcPr>
            <w:tcW w:w="34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6461C1" w14:textId="77777777" w:rsidR="00235E11" w:rsidRDefault="00F837E4">
            <w:pPr>
              <w:pStyle w:val="P68B1DB1-Normal15"/>
              <w:spacing w:after="0"/>
              <w:jc w:val="center"/>
              <w:rPr>
                <w:noProof/>
              </w:rPr>
            </w:pPr>
            <w:r>
              <w:rPr>
                <w:noProof/>
              </w:rPr>
              <w:t>Описание на всеки ключов етап и цел</w:t>
            </w:r>
          </w:p>
        </w:tc>
      </w:tr>
      <w:tr w:rsidR="00235E11" w14:paraId="3CF5C453" w14:textId="77777777">
        <w:trPr>
          <w:trHeight w:val="1013"/>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5BAC9DEB" w14:textId="77777777" w:rsidR="00235E11" w:rsidRDefault="00235E11">
            <w:pPr>
              <w:spacing w:after="0"/>
              <w:rPr>
                <w:rFonts w:ascii="Times New Roman" w:eastAsia="Times New Roman" w:hAnsi="Times New Roman" w:cs="Times New Roman"/>
                <w:b/>
                <w:noProof/>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083336C3" w14:textId="77777777" w:rsidR="00235E11" w:rsidRDefault="00235E11">
            <w:pPr>
              <w:spacing w:after="0"/>
              <w:rPr>
                <w:rFonts w:ascii="Times New Roman" w:eastAsia="Times New Roman" w:hAnsi="Times New Roman" w:cs="Times New Roman"/>
                <w:b/>
                <w:noProof/>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2FC88A04" w14:textId="77777777" w:rsidR="00235E11" w:rsidRDefault="00235E11">
            <w:pPr>
              <w:spacing w:after="0"/>
              <w:rPr>
                <w:rFonts w:ascii="Times New Roman" w:eastAsia="Times New Roman" w:hAnsi="Times New Roman" w:cs="Times New Roman"/>
                <w:b/>
                <w:noProof/>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B63979E" w14:textId="77777777" w:rsidR="00235E11" w:rsidRDefault="00235E11">
            <w:pPr>
              <w:spacing w:after="0"/>
              <w:rPr>
                <w:rFonts w:ascii="Times New Roman" w:eastAsia="Times New Roman" w:hAnsi="Times New Roman" w:cs="Times New Roman"/>
                <w:b/>
                <w:noProof/>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76BC4BE8" w14:textId="77777777" w:rsidR="00235E11" w:rsidRDefault="00235E11">
            <w:pPr>
              <w:spacing w:after="0"/>
              <w:rPr>
                <w:rFonts w:ascii="Times New Roman" w:eastAsia="Times New Roman" w:hAnsi="Times New Roman" w:cs="Times New Roman"/>
                <w:b/>
                <w:noProof/>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0B8F65F" w14:textId="77777777" w:rsidR="00235E11" w:rsidRDefault="00F837E4">
            <w:pPr>
              <w:pStyle w:val="P68B1DB1-Normal15"/>
              <w:spacing w:after="0"/>
              <w:jc w:val="center"/>
              <w:rPr>
                <w:noProof/>
              </w:rPr>
            </w:pPr>
            <w:r>
              <w:rPr>
                <w:noProof/>
              </w:rPr>
              <w:t>Единица мярка</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42D0745A" w14:textId="77777777" w:rsidR="00235E11" w:rsidRDefault="00F837E4">
            <w:pPr>
              <w:pStyle w:val="P68B1DB1-Normal15"/>
              <w:spacing w:after="0"/>
              <w:jc w:val="center"/>
              <w:rPr>
                <w:noProof/>
              </w:rPr>
            </w:pPr>
            <w:r>
              <w:rPr>
                <w:noProof/>
              </w:rPr>
              <w:t xml:space="preserve">Базова линия </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14:paraId="520C725E" w14:textId="77777777" w:rsidR="00235E11" w:rsidRDefault="00F837E4">
            <w:pPr>
              <w:pStyle w:val="P68B1DB1-Normal15"/>
              <w:spacing w:after="0"/>
              <w:jc w:val="center"/>
              <w:rPr>
                <w:noProof/>
              </w:rPr>
            </w:pPr>
            <w:r>
              <w:rPr>
                <w:noProof/>
              </w:rPr>
              <w:t xml:space="preserve">Цел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428C598A" w14:textId="77777777" w:rsidR="00235E11" w:rsidRDefault="00F837E4">
            <w:pPr>
              <w:pStyle w:val="P68B1DB1-Normal15"/>
              <w:spacing w:after="0"/>
              <w:jc w:val="center"/>
              <w:rPr>
                <w:noProof/>
              </w:rPr>
            </w:pPr>
            <w:r>
              <w:rPr>
                <w:noProof/>
              </w:rPr>
              <w:t>Тримесечие</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14:paraId="1D53D15C" w14:textId="77777777" w:rsidR="00235E11" w:rsidRDefault="00F837E4">
            <w:pPr>
              <w:pStyle w:val="P68B1DB1-Normal15"/>
              <w:spacing w:after="0"/>
              <w:jc w:val="center"/>
              <w:rPr>
                <w:noProof/>
              </w:rPr>
            </w:pPr>
            <w:r>
              <w:rPr>
                <w:noProof/>
              </w:rPr>
              <w:t>Година</w:t>
            </w:r>
          </w:p>
        </w:tc>
        <w:tc>
          <w:tcPr>
            <w:tcW w:w="3424" w:type="dxa"/>
            <w:vMerge/>
            <w:tcBorders>
              <w:top w:val="single" w:sz="4" w:space="0" w:color="auto"/>
              <w:bottom w:val="single" w:sz="4" w:space="0" w:color="auto"/>
              <w:right w:val="single" w:sz="4" w:space="0" w:color="auto"/>
            </w:tcBorders>
            <w:vAlign w:val="center"/>
            <w:hideMark/>
          </w:tcPr>
          <w:p w14:paraId="3393822D" w14:textId="77777777" w:rsidR="00235E11" w:rsidRDefault="00235E11">
            <w:pPr>
              <w:spacing w:after="0"/>
              <w:rPr>
                <w:rFonts w:ascii="Times New Roman" w:eastAsia="Times New Roman" w:hAnsi="Times New Roman" w:cs="Times New Roman"/>
                <w:b/>
                <w:noProof/>
              </w:rPr>
            </w:pPr>
          </w:p>
        </w:tc>
      </w:tr>
      <w:tr w:rsidR="00235E11" w14:paraId="5AC1C8C6" w14:textId="77777777">
        <w:trPr>
          <w:trHeight w:val="309"/>
          <w:jc w:val="center"/>
        </w:trPr>
        <w:tc>
          <w:tcPr>
            <w:tcW w:w="8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798509" w14:textId="77777777" w:rsidR="00235E11" w:rsidRDefault="00F837E4">
            <w:pPr>
              <w:pStyle w:val="P68B1DB1-Normal10"/>
              <w:spacing w:after="0"/>
              <w:jc w:val="center"/>
              <w:rPr>
                <w:noProof/>
              </w:rPr>
            </w:pPr>
            <w:r>
              <w:rPr>
                <w:noProof/>
              </w:rPr>
              <w:t>80</w:t>
            </w:r>
          </w:p>
        </w:tc>
        <w:tc>
          <w:tcPr>
            <w:tcW w:w="1667" w:type="dxa"/>
            <w:tcBorders>
              <w:top w:val="single" w:sz="4" w:space="0" w:color="auto"/>
              <w:left w:val="nil"/>
              <w:bottom w:val="single" w:sz="4" w:space="0" w:color="auto"/>
              <w:right w:val="single" w:sz="4" w:space="0" w:color="auto"/>
            </w:tcBorders>
            <w:shd w:val="clear" w:color="auto" w:fill="C6EFCE"/>
            <w:noWrap/>
            <w:vAlign w:val="center"/>
            <w:hideMark/>
          </w:tcPr>
          <w:p w14:paraId="3FF17ECA" w14:textId="77777777" w:rsidR="00235E11" w:rsidRDefault="00F837E4">
            <w:pPr>
              <w:pStyle w:val="P68B1DB1-Normal10"/>
              <w:spacing w:after="0"/>
              <w:rPr>
                <w:noProof/>
              </w:rPr>
            </w:pPr>
            <w:r>
              <w:rPr>
                <w:noProof/>
              </w:rPr>
              <w:t>Покритие на бели райони чрез разработване на високоскоростни влакнестооптични мрежи (I-2.13)</w:t>
            </w:r>
          </w:p>
        </w:tc>
        <w:tc>
          <w:tcPr>
            <w:tcW w:w="1310" w:type="dxa"/>
            <w:tcBorders>
              <w:top w:val="single" w:sz="4" w:space="0" w:color="auto"/>
              <w:left w:val="nil"/>
              <w:bottom w:val="single" w:sz="4" w:space="0" w:color="auto"/>
              <w:right w:val="single" w:sz="4" w:space="0" w:color="auto"/>
            </w:tcBorders>
            <w:shd w:val="clear" w:color="auto" w:fill="C6EFCE"/>
            <w:noWrap/>
            <w:vAlign w:val="center"/>
            <w:hideMark/>
          </w:tcPr>
          <w:p w14:paraId="2E99E107" w14:textId="234FECA0" w:rsidR="00235E11" w:rsidRDefault="00F837E4">
            <w:pPr>
              <w:pStyle w:val="P68B1DB1-Normal10"/>
              <w:spacing w:after="0"/>
              <w:rPr>
                <w:noProof/>
              </w:rPr>
            </w:pPr>
            <w:r>
              <w:rPr>
                <w:noProof/>
              </w:rPr>
              <w:t>T</w:t>
            </w:r>
          </w:p>
        </w:tc>
        <w:tc>
          <w:tcPr>
            <w:tcW w:w="1100" w:type="dxa"/>
            <w:tcBorders>
              <w:top w:val="single" w:sz="4" w:space="0" w:color="auto"/>
              <w:left w:val="nil"/>
              <w:bottom w:val="single" w:sz="4" w:space="0" w:color="auto"/>
              <w:right w:val="single" w:sz="4" w:space="0" w:color="auto"/>
            </w:tcBorders>
            <w:shd w:val="clear" w:color="auto" w:fill="C6EFCE"/>
            <w:noWrap/>
            <w:vAlign w:val="center"/>
            <w:hideMark/>
          </w:tcPr>
          <w:p w14:paraId="605A949F" w14:textId="77777777" w:rsidR="00235E11" w:rsidRDefault="00F837E4">
            <w:pPr>
              <w:pStyle w:val="P68B1DB1-Normal10"/>
              <w:spacing w:after="0"/>
              <w:rPr>
                <w:noProof/>
              </w:rPr>
            </w:pPr>
            <w:r>
              <w:rPr>
                <w:noProof/>
              </w:rPr>
              <w:t>Покритие</w:t>
            </w:r>
          </w:p>
        </w:tc>
        <w:tc>
          <w:tcPr>
            <w:tcW w:w="2160" w:type="dxa"/>
            <w:tcBorders>
              <w:top w:val="single" w:sz="4" w:space="0" w:color="auto"/>
              <w:left w:val="nil"/>
              <w:bottom w:val="single" w:sz="4" w:space="0" w:color="auto"/>
              <w:right w:val="single" w:sz="4" w:space="0" w:color="auto"/>
            </w:tcBorders>
            <w:shd w:val="clear" w:color="auto" w:fill="C6EFCE"/>
            <w:noWrap/>
            <w:vAlign w:val="bottom"/>
            <w:hideMark/>
          </w:tcPr>
          <w:p w14:paraId="0E0471C1"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5B8CB25B" w14:textId="77777777" w:rsidR="00235E11" w:rsidRDefault="00F837E4">
            <w:pPr>
              <w:pStyle w:val="P68B1DB1-Normal10"/>
              <w:spacing w:after="0"/>
              <w:rPr>
                <w:noProof/>
              </w:rPr>
            </w:pPr>
            <w:r>
              <w:rPr>
                <w:noProof/>
              </w:rPr>
              <w:t>% (в проценти)</w:t>
            </w:r>
          </w:p>
        </w:tc>
        <w:tc>
          <w:tcPr>
            <w:tcW w:w="1134" w:type="dxa"/>
            <w:tcBorders>
              <w:top w:val="nil"/>
              <w:left w:val="nil"/>
              <w:bottom w:val="single" w:sz="4" w:space="0" w:color="auto"/>
              <w:right w:val="single" w:sz="4" w:space="0" w:color="auto"/>
            </w:tcBorders>
            <w:shd w:val="clear" w:color="auto" w:fill="C6EFCE"/>
            <w:noWrap/>
            <w:vAlign w:val="center"/>
          </w:tcPr>
          <w:p w14:paraId="3FA34492" w14:textId="77777777" w:rsidR="00235E11" w:rsidRDefault="00F837E4">
            <w:pPr>
              <w:pStyle w:val="P68B1DB1-Normal10"/>
              <w:spacing w:after="0"/>
              <w:jc w:val="right"/>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758A6403" w14:textId="77777777" w:rsidR="00235E11" w:rsidRDefault="00F837E4">
            <w:pPr>
              <w:pStyle w:val="P68B1DB1-Normal10"/>
              <w:spacing w:after="0"/>
              <w:jc w:val="right"/>
              <w:rPr>
                <w:noProof/>
              </w:rPr>
            </w:pPr>
            <w:r>
              <w:rPr>
                <w:noProof/>
              </w:rPr>
              <w:t>20</w:t>
            </w:r>
          </w:p>
        </w:tc>
        <w:tc>
          <w:tcPr>
            <w:tcW w:w="992" w:type="dxa"/>
            <w:tcBorders>
              <w:top w:val="nil"/>
              <w:left w:val="nil"/>
              <w:bottom w:val="single" w:sz="4" w:space="0" w:color="auto"/>
              <w:right w:val="single" w:sz="4" w:space="0" w:color="auto"/>
            </w:tcBorders>
            <w:shd w:val="clear" w:color="auto" w:fill="C6EFCE"/>
            <w:noWrap/>
            <w:vAlign w:val="center"/>
            <w:hideMark/>
          </w:tcPr>
          <w:p w14:paraId="592BB229" w14:textId="77777777" w:rsidR="00235E11" w:rsidRDefault="00F837E4">
            <w:pPr>
              <w:pStyle w:val="P68B1DB1-Normal10"/>
              <w:spacing w:after="0"/>
              <w:jc w:val="center"/>
              <w:rPr>
                <w:noProof/>
              </w:rPr>
            </w:pPr>
            <w:r>
              <w:rPr>
                <w:noProof/>
              </w:rPr>
              <w:t>Т2 Г.</w:t>
            </w:r>
          </w:p>
        </w:tc>
        <w:tc>
          <w:tcPr>
            <w:tcW w:w="850" w:type="dxa"/>
            <w:tcBorders>
              <w:top w:val="nil"/>
              <w:left w:val="nil"/>
              <w:bottom w:val="single" w:sz="4" w:space="0" w:color="auto"/>
              <w:right w:val="single" w:sz="4" w:space="0" w:color="auto"/>
            </w:tcBorders>
            <w:shd w:val="clear" w:color="auto" w:fill="C6EFCE"/>
            <w:noWrap/>
            <w:vAlign w:val="center"/>
            <w:hideMark/>
          </w:tcPr>
          <w:p w14:paraId="7C5EBE76" w14:textId="77777777" w:rsidR="00235E11" w:rsidRDefault="00F837E4">
            <w:pPr>
              <w:pStyle w:val="P68B1DB1-Normal10"/>
              <w:spacing w:after="0"/>
              <w:jc w:val="center"/>
              <w:rPr>
                <w:noProof/>
              </w:rPr>
            </w:pPr>
            <w:r>
              <w:rPr>
                <w:noProof/>
              </w:rPr>
              <w:t>2026</w:t>
            </w:r>
          </w:p>
        </w:tc>
        <w:tc>
          <w:tcPr>
            <w:tcW w:w="3424" w:type="dxa"/>
            <w:tcBorders>
              <w:top w:val="single" w:sz="4" w:space="0" w:color="auto"/>
              <w:left w:val="nil"/>
              <w:bottom w:val="single" w:sz="4" w:space="0" w:color="auto"/>
              <w:right w:val="single" w:sz="4" w:space="0" w:color="auto"/>
            </w:tcBorders>
            <w:shd w:val="clear" w:color="auto" w:fill="C6EFCE"/>
            <w:noWrap/>
            <w:vAlign w:val="center"/>
          </w:tcPr>
          <w:p w14:paraId="59BDA077" w14:textId="77777777" w:rsidR="00235E11" w:rsidRDefault="00F837E4">
            <w:pPr>
              <w:pStyle w:val="P68B1DB1-Normal10"/>
              <w:spacing w:after="0"/>
              <w:rPr>
                <w:noProof/>
              </w:rPr>
            </w:pPr>
            <w:r>
              <w:rPr>
                <w:noProof/>
              </w:rPr>
              <w:t>20 % от домакинствата (7.400 жилища) в немскоговорящата общност в оптични бели зони получават достъп до фиксирани оптични мрежи с много голям капацитет.</w:t>
            </w:r>
          </w:p>
        </w:tc>
      </w:tr>
      <w:tr w:rsidR="00235E11" w14:paraId="46E141BA"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hideMark/>
          </w:tcPr>
          <w:p w14:paraId="57404213" w14:textId="77777777" w:rsidR="00235E11" w:rsidRDefault="00F837E4">
            <w:pPr>
              <w:pStyle w:val="P68B1DB1-Normal10"/>
              <w:spacing w:after="0"/>
              <w:jc w:val="center"/>
              <w:rPr>
                <w:noProof/>
              </w:rPr>
            </w:pPr>
            <w:r>
              <w:rPr>
                <w:noProof/>
              </w:rPr>
              <w:t>81</w:t>
            </w:r>
          </w:p>
        </w:tc>
        <w:tc>
          <w:tcPr>
            <w:tcW w:w="1667" w:type="dxa"/>
            <w:tcBorders>
              <w:top w:val="nil"/>
              <w:left w:val="nil"/>
              <w:bottom w:val="single" w:sz="4" w:space="0" w:color="auto"/>
              <w:right w:val="single" w:sz="4" w:space="0" w:color="auto"/>
            </w:tcBorders>
            <w:shd w:val="clear" w:color="auto" w:fill="C6EFCE"/>
            <w:noWrap/>
            <w:vAlign w:val="center"/>
            <w:hideMark/>
          </w:tcPr>
          <w:p w14:paraId="5733AD31" w14:textId="77777777" w:rsidR="00235E11" w:rsidRDefault="00F837E4">
            <w:pPr>
              <w:pStyle w:val="P68B1DB1-Normal10"/>
              <w:spacing w:after="0"/>
              <w:rPr>
                <w:noProof/>
              </w:rPr>
            </w:pPr>
            <w:r>
              <w:rPr>
                <w:noProof/>
              </w:rPr>
              <w:t>Разработване на институт за ИИ с цел използване на тази технология за посрещане на обществени предизвикателства (I-2.14)</w:t>
            </w:r>
          </w:p>
        </w:tc>
        <w:tc>
          <w:tcPr>
            <w:tcW w:w="1310" w:type="dxa"/>
            <w:tcBorders>
              <w:top w:val="nil"/>
              <w:left w:val="nil"/>
              <w:bottom w:val="single" w:sz="4" w:space="0" w:color="auto"/>
              <w:right w:val="single" w:sz="4" w:space="0" w:color="auto"/>
            </w:tcBorders>
            <w:shd w:val="clear" w:color="auto" w:fill="C6EFCE"/>
            <w:noWrap/>
            <w:vAlign w:val="center"/>
          </w:tcPr>
          <w:p w14:paraId="748805EB" w14:textId="262F71E7" w:rsidR="00235E11" w:rsidRDefault="00F837E4">
            <w:pPr>
              <w:pStyle w:val="P68B1DB1-Normal10"/>
              <w:spacing w:after="0"/>
              <w:rPr>
                <w:noProof/>
              </w:rPr>
            </w:pPr>
            <w:r>
              <w:rPr>
                <w:noProof/>
              </w:rPr>
              <w:t>M</w:t>
            </w:r>
          </w:p>
        </w:tc>
        <w:tc>
          <w:tcPr>
            <w:tcW w:w="1100" w:type="dxa"/>
            <w:tcBorders>
              <w:top w:val="nil"/>
              <w:left w:val="nil"/>
              <w:bottom w:val="single" w:sz="4" w:space="0" w:color="auto"/>
              <w:right w:val="single" w:sz="4" w:space="0" w:color="auto"/>
            </w:tcBorders>
            <w:shd w:val="clear" w:color="auto" w:fill="C6EFCE"/>
            <w:noWrap/>
            <w:vAlign w:val="center"/>
          </w:tcPr>
          <w:p w14:paraId="2157EF66" w14:textId="77777777" w:rsidR="00235E11" w:rsidRDefault="00F837E4">
            <w:pPr>
              <w:pStyle w:val="P68B1DB1-Normal10"/>
              <w:spacing w:after="0"/>
              <w:rPr>
                <w:noProof/>
              </w:rPr>
            </w:pPr>
            <w:r>
              <w:rPr>
                <w:noProof/>
              </w:rPr>
              <w:t>Приключване на пилотни проекти от ИИ за Института за общо благо</w:t>
            </w:r>
          </w:p>
        </w:tc>
        <w:tc>
          <w:tcPr>
            <w:tcW w:w="2160" w:type="dxa"/>
            <w:tcBorders>
              <w:top w:val="nil"/>
              <w:left w:val="nil"/>
              <w:bottom w:val="single" w:sz="4" w:space="0" w:color="auto"/>
              <w:right w:val="single" w:sz="4" w:space="0" w:color="auto"/>
            </w:tcBorders>
            <w:shd w:val="clear" w:color="auto" w:fill="C6EFCE"/>
            <w:noWrap/>
            <w:vAlign w:val="center"/>
          </w:tcPr>
          <w:p w14:paraId="4587EC9A" w14:textId="77777777" w:rsidR="00235E11" w:rsidRDefault="00F837E4">
            <w:pPr>
              <w:pStyle w:val="P68B1DB1-Normal10"/>
              <w:spacing w:after="0"/>
              <w:rPr>
                <w:noProof/>
              </w:rPr>
            </w:pPr>
            <w:r>
              <w:rPr>
                <w:noProof/>
              </w:rPr>
              <w:t xml:space="preserve">Окончателен доклад относно пилотните проекти на Института за общо благо в областта на ИИ </w:t>
            </w:r>
          </w:p>
        </w:tc>
        <w:tc>
          <w:tcPr>
            <w:tcW w:w="1134" w:type="dxa"/>
            <w:tcBorders>
              <w:top w:val="nil"/>
              <w:left w:val="nil"/>
              <w:bottom w:val="single" w:sz="4" w:space="0" w:color="auto"/>
              <w:right w:val="single" w:sz="4" w:space="0" w:color="auto"/>
            </w:tcBorders>
            <w:shd w:val="clear" w:color="auto" w:fill="C6EFCE"/>
            <w:noWrap/>
            <w:vAlign w:val="center"/>
          </w:tcPr>
          <w:p w14:paraId="0A8CB3E7"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52DE643B" w14:textId="77777777"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38B817EE"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097ADFE7" w14:textId="77777777" w:rsidR="00235E11" w:rsidRDefault="00F837E4">
            <w:pPr>
              <w:pStyle w:val="P68B1DB1-Normal10"/>
              <w:spacing w:after="0"/>
              <w:jc w:val="center"/>
              <w:rPr>
                <w:noProof/>
              </w:rPr>
            </w:pPr>
            <w:r>
              <w:rPr>
                <w:noProof/>
              </w:rPr>
              <w:t>Т2 Г.</w:t>
            </w:r>
          </w:p>
        </w:tc>
        <w:tc>
          <w:tcPr>
            <w:tcW w:w="850" w:type="dxa"/>
            <w:tcBorders>
              <w:top w:val="nil"/>
              <w:left w:val="nil"/>
              <w:bottom w:val="single" w:sz="4" w:space="0" w:color="auto"/>
              <w:right w:val="single" w:sz="4" w:space="0" w:color="auto"/>
            </w:tcBorders>
            <w:shd w:val="clear" w:color="auto" w:fill="C6EFCE"/>
            <w:noWrap/>
            <w:vAlign w:val="center"/>
          </w:tcPr>
          <w:p w14:paraId="49EC5D9C" w14:textId="77777777" w:rsidR="00235E11" w:rsidRDefault="00F837E4">
            <w:pPr>
              <w:pStyle w:val="P68B1DB1-Normal10"/>
              <w:spacing w:after="0"/>
              <w:jc w:val="center"/>
              <w:rPr>
                <w:noProof/>
              </w:rPr>
            </w:pPr>
            <w:r>
              <w:rPr>
                <w:noProof/>
              </w:rPr>
              <w:t>2022</w:t>
            </w:r>
          </w:p>
        </w:tc>
        <w:tc>
          <w:tcPr>
            <w:tcW w:w="3424" w:type="dxa"/>
            <w:tcBorders>
              <w:top w:val="nil"/>
              <w:left w:val="nil"/>
              <w:bottom w:val="single" w:sz="4" w:space="0" w:color="auto"/>
              <w:right w:val="single" w:sz="4" w:space="0" w:color="auto"/>
            </w:tcBorders>
            <w:shd w:val="clear" w:color="auto" w:fill="C6EFCE"/>
            <w:noWrap/>
            <w:vAlign w:val="center"/>
          </w:tcPr>
          <w:p w14:paraId="0BD00876" w14:textId="77777777" w:rsidR="00235E11" w:rsidRDefault="00F837E4">
            <w:pPr>
              <w:pStyle w:val="P68B1DB1-Normal10"/>
              <w:spacing w:after="0"/>
              <w:rPr>
                <w:noProof/>
              </w:rPr>
            </w:pPr>
            <w:r>
              <w:rPr>
                <w:noProof/>
              </w:rPr>
              <w:t>Приключиха четири пилотни проекта на Института за ИИ за общото благо, предоставящи услуги за подкрепа (като обучение, разработване на доказателства за концепции за софтуерни решения) на организации със стопанска или нестопанска цел или публични организации в области като образованието в областта на ИИ, здравеопазването и заетостта в регион Брюксел.</w:t>
            </w:r>
          </w:p>
        </w:tc>
      </w:tr>
      <w:tr w:rsidR="00235E11" w14:paraId="5976ECD3"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4AA35283" w14:textId="77777777" w:rsidR="00235E11" w:rsidRDefault="00F837E4">
            <w:pPr>
              <w:pStyle w:val="P68B1DB1-Normal10"/>
              <w:spacing w:after="0"/>
              <w:jc w:val="center"/>
              <w:rPr>
                <w:noProof/>
              </w:rPr>
            </w:pPr>
            <w:r>
              <w:rPr>
                <w:noProof/>
              </w:rPr>
              <w:t>82</w:t>
            </w:r>
          </w:p>
        </w:tc>
        <w:tc>
          <w:tcPr>
            <w:tcW w:w="1667" w:type="dxa"/>
            <w:tcBorders>
              <w:top w:val="nil"/>
              <w:left w:val="nil"/>
              <w:bottom w:val="single" w:sz="4" w:space="0" w:color="auto"/>
              <w:right w:val="single" w:sz="4" w:space="0" w:color="auto"/>
            </w:tcBorders>
            <w:shd w:val="clear" w:color="auto" w:fill="C6EFCE"/>
            <w:noWrap/>
            <w:vAlign w:val="center"/>
          </w:tcPr>
          <w:p w14:paraId="76A1528A" w14:textId="77777777" w:rsidR="00235E11" w:rsidRDefault="00F837E4">
            <w:pPr>
              <w:pStyle w:val="P68B1DB1-Normal10"/>
              <w:spacing w:after="0"/>
              <w:rPr>
                <w:noProof/>
              </w:rPr>
            </w:pPr>
            <w:r>
              <w:rPr>
                <w:noProof/>
              </w:rPr>
              <w:t>Разработване на институт за ИИ с цел използване на тази технология за посрещане на обществени предизвикателства (I-2.14)</w:t>
            </w:r>
          </w:p>
        </w:tc>
        <w:tc>
          <w:tcPr>
            <w:tcW w:w="1310" w:type="dxa"/>
            <w:tcBorders>
              <w:top w:val="nil"/>
              <w:left w:val="nil"/>
              <w:bottom w:val="single" w:sz="4" w:space="0" w:color="auto"/>
              <w:right w:val="single" w:sz="4" w:space="0" w:color="auto"/>
            </w:tcBorders>
            <w:shd w:val="clear" w:color="auto" w:fill="C6EFCE"/>
            <w:noWrap/>
            <w:vAlign w:val="center"/>
          </w:tcPr>
          <w:p w14:paraId="25E86801" w14:textId="7A6412E0" w:rsidR="00235E11" w:rsidRDefault="00F837E4">
            <w:pPr>
              <w:pStyle w:val="P68B1DB1-Normal10"/>
              <w:spacing w:after="0"/>
              <w:rPr>
                <w:noProof/>
              </w:rPr>
            </w:pPr>
            <w:r>
              <w:rPr>
                <w:noProof/>
              </w:rPr>
              <w:t>M</w:t>
            </w:r>
          </w:p>
        </w:tc>
        <w:tc>
          <w:tcPr>
            <w:tcW w:w="1100" w:type="dxa"/>
            <w:tcBorders>
              <w:top w:val="nil"/>
              <w:left w:val="nil"/>
              <w:bottom w:val="single" w:sz="4" w:space="0" w:color="auto"/>
              <w:right w:val="single" w:sz="4" w:space="0" w:color="auto"/>
            </w:tcBorders>
            <w:shd w:val="clear" w:color="auto" w:fill="C6EFCE"/>
            <w:noWrap/>
            <w:vAlign w:val="center"/>
          </w:tcPr>
          <w:p w14:paraId="5FEAA92E" w14:textId="77777777" w:rsidR="00235E11" w:rsidRDefault="00F837E4">
            <w:pPr>
              <w:pStyle w:val="P68B1DB1-Normal10"/>
              <w:spacing w:after="0"/>
              <w:rPr>
                <w:noProof/>
              </w:rPr>
            </w:pPr>
            <w:r>
              <w:rPr>
                <w:noProof/>
              </w:rPr>
              <w:t>Екип от експерти, създаден в рамките на Института за ИИ за общото благо</w:t>
            </w:r>
          </w:p>
        </w:tc>
        <w:tc>
          <w:tcPr>
            <w:tcW w:w="2160" w:type="dxa"/>
            <w:tcBorders>
              <w:top w:val="nil"/>
              <w:left w:val="nil"/>
              <w:bottom w:val="single" w:sz="4" w:space="0" w:color="auto"/>
              <w:right w:val="single" w:sz="4" w:space="0" w:color="auto"/>
            </w:tcBorders>
            <w:shd w:val="clear" w:color="auto" w:fill="C6EFCE"/>
            <w:noWrap/>
            <w:vAlign w:val="center"/>
          </w:tcPr>
          <w:p w14:paraId="48693A1A" w14:textId="77777777" w:rsidR="00235E11" w:rsidRDefault="00F837E4">
            <w:pPr>
              <w:pStyle w:val="P68B1DB1-Normal10"/>
              <w:spacing w:after="0"/>
              <w:rPr>
                <w:noProof/>
              </w:rPr>
            </w:pPr>
            <w:r>
              <w:rPr>
                <w:noProof/>
              </w:rPr>
              <w:t>Мултидисциплинарен екип от експерти в областта на ИИ, Robotics, създаден в рамките на Института за ИИ за общото благо</w:t>
            </w:r>
          </w:p>
        </w:tc>
        <w:tc>
          <w:tcPr>
            <w:tcW w:w="1134" w:type="dxa"/>
            <w:tcBorders>
              <w:top w:val="nil"/>
              <w:left w:val="nil"/>
              <w:bottom w:val="single" w:sz="4" w:space="0" w:color="auto"/>
              <w:right w:val="single" w:sz="4" w:space="0" w:color="auto"/>
            </w:tcBorders>
            <w:shd w:val="clear" w:color="auto" w:fill="C6EFCE"/>
            <w:noWrap/>
            <w:vAlign w:val="center"/>
          </w:tcPr>
          <w:p w14:paraId="07E6E2F9"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3F9E10AC" w14:textId="77777777"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2DF26263"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46B549E1"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tcPr>
          <w:p w14:paraId="33E01561" w14:textId="77777777" w:rsidR="00235E11" w:rsidRDefault="00F837E4">
            <w:pPr>
              <w:pStyle w:val="P68B1DB1-Normal10"/>
              <w:spacing w:after="0"/>
              <w:jc w:val="center"/>
              <w:rPr>
                <w:noProof/>
              </w:rPr>
            </w:pPr>
            <w:r>
              <w:rPr>
                <w:noProof/>
              </w:rPr>
              <w:t>2023</w:t>
            </w:r>
          </w:p>
        </w:tc>
        <w:tc>
          <w:tcPr>
            <w:tcW w:w="3424" w:type="dxa"/>
            <w:tcBorders>
              <w:top w:val="nil"/>
              <w:left w:val="nil"/>
              <w:bottom w:val="single" w:sz="4" w:space="0" w:color="auto"/>
              <w:right w:val="single" w:sz="4" w:space="0" w:color="auto"/>
            </w:tcBorders>
            <w:shd w:val="clear" w:color="auto" w:fill="C6EFCE"/>
            <w:noWrap/>
            <w:vAlign w:val="center"/>
          </w:tcPr>
          <w:p w14:paraId="36A0FF82" w14:textId="77777777" w:rsidR="00235E11" w:rsidRDefault="00F837E4">
            <w:pPr>
              <w:pStyle w:val="P68B1DB1-Normal10"/>
              <w:spacing w:after="0"/>
              <w:rPr>
                <w:noProof/>
              </w:rPr>
            </w:pPr>
            <w:r>
              <w:rPr>
                <w:noProof/>
              </w:rPr>
              <w:t>Създава се мултидисциплинарен екип от експерти по ИИ и Роботика в рамките на Института за ИИ за общото благо, който ще бъде готов да подкрепя обществените услуги, предоставяни от регион Брюксел-столица, и цифровия преход в този регион.</w:t>
            </w:r>
          </w:p>
        </w:tc>
      </w:tr>
      <w:tr w:rsidR="00235E11" w14:paraId="00850065"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4268493F" w14:textId="77777777" w:rsidR="00235E11" w:rsidRDefault="00F837E4">
            <w:pPr>
              <w:pStyle w:val="P68B1DB1-Normal10"/>
              <w:spacing w:after="0"/>
              <w:jc w:val="center"/>
              <w:rPr>
                <w:noProof/>
              </w:rPr>
            </w:pPr>
            <w:r>
              <w:rPr>
                <w:noProof/>
              </w:rPr>
              <w:t>83</w:t>
            </w:r>
          </w:p>
        </w:tc>
        <w:tc>
          <w:tcPr>
            <w:tcW w:w="1667" w:type="dxa"/>
            <w:tcBorders>
              <w:top w:val="nil"/>
              <w:left w:val="nil"/>
              <w:bottom w:val="single" w:sz="4" w:space="0" w:color="auto"/>
              <w:right w:val="single" w:sz="4" w:space="0" w:color="auto"/>
            </w:tcBorders>
            <w:shd w:val="clear" w:color="auto" w:fill="C6EFCE"/>
            <w:noWrap/>
            <w:vAlign w:val="center"/>
          </w:tcPr>
          <w:p w14:paraId="35CED39F" w14:textId="77777777" w:rsidR="00235E11" w:rsidRDefault="00F837E4">
            <w:pPr>
              <w:pStyle w:val="P68B1DB1-Normal10"/>
              <w:spacing w:after="0"/>
              <w:rPr>
                <w:noProof/>
              </w:rPr>
            </w:pPr>
            <w:r>
              <w:rPr>
                <w:noProof/>
              </w:rPr>
              <w:t>Разработване на институт за ИИ с цел използване на тази технология за посрещане на обществени предизвикателства (I-2.14)</w:t>
            </w:r>
          </w:p>
        </w:tc>
        <w:tc>
          <w:tcPr>
            <w:tcW w:w="1310" w:type="dxa"/>
            <w:tcBorders>
              <w:top w:val="nil"/>
              <w:left w:val="nil"/>
              <w:bottom w:val="single" w:sz="4" w:space="0" w:color="auto"/>
              <w:right w:val="single" w:sz="4" w:space="0" w:color="auto"/>
            </w:tcBorders>
            <w:shd w:val="clear" w:color="auto" w:fill="C6EFCE"/>
            <w:noWrap/>
            <w:vAlign w:val="center"/>
          </w:tcPr>
          <w:p w14:paraId="5A995D84" w14:textId="163580CA" w:rsidR="00235E11" w:rsidRDefault="00F837E4">
            <w:pPr>
              <w:pStyle w:val="P68B1DB1-Normal10"/>
              <w:spacing w:after="0"/>
              <w:rPr>
                <w:noProof/>
              </w:rPr>
            </w:pPr>
            <w:r>
              <w:rPr>
                <w:noProof/>
              </w:rPr>
              <w:t>T</w:t>
            </w:r>
          </w:p>
        </w:tc>
        <w:tc>
          <w:tcPr>
            <w:tcW w:w="1100" w:type="dxa"/>
            <w:tcBorders>
              <w:top w:val="nil"/>
              <w:left w:val="nil"/>
              <w:bottom w:val="single" w:sz="4" w:space="0" w:color="auto"/>
              <w:right w:val="single" w:sz="4" w:space="0" w:color="auto"/>
            </w:tcBorders>
            <w:shd w:val="clear" w:color="auto" w:fill="C6EFCE"/>
            <w:noWrap/>
            <w:vAlign w:val="center"/>
          </w:tcPr>
          <w:p w14:paraId="48A57A3A" w14:textId="77777777" w:rsidR="00235E11" w:rsidRDefault="00F837E4">
            <w:pPr>
              <w:pStyle w:val="P68B1DB1-Normal10"/>
              <w:spacing w:after="0"/>
              <w:rPr>
                <w:noProof/>
              </w:rPr>
            </w:pPr>
            <w:r>
              <w:rPr>
                <w:noProof/>
              </w:rPr>
              <w:t>Услуги в областта на ИИ, предоставяни от Института за общо благо</w:t>
            </w:r>
          </w:p>
        </w:tc>
        <w:tc>
          <w:tcPr>
            <w:tcW w:w="2160" w:type="dxa"/>
            <w:tcBorders>
              <w:top w:val="nil"/>
              <w:left w:val="nil"/>
              <w:bottom w:val="single" w:sz="4" w:space="0" w:color="auto"/>
              <w:right w:val="single" w:sz="4" w:space="0" w:color="auto"/>
            </w:tcBorders>
            <w:shd w:val="clear" w:color="auto" w:fill="C6EFCE"/>
            <w:noWrap/>
            <w:vAlign w:val="center"/>
          </w:tcPr>
          <w:p w14:paraId="0F4EE4C8"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60AB7ABC" w14:textId="77777777" w:rsidR="00235E11" w:rsidRDefault="00F837E4">
            <w:pPr>
              <w:pStyle w:val="P68B1DB1-Normal10"/>
              <w:spacing w:after="0"/>
              <w:rPr>
                <w:noProof/>
              </w:rPr>
            </w:pPr>
            <w:r>
              <w:rPr>
                <w:noProof/>
              </w:rPr>
              <w:t>Брой</w:t>
            </w:r>
          </w:p>
        </w:tc>
        <w:tc>
          <w:tcPr>
            <w:tcW w:w="1134" w:type="dxa"/>
            <w:tcBorders>
              <w:top w:val="nil"/>
              <w:left w:val="nil"/>
              <w:bottom w:val="single" w:sz="4" w:space="0" w:color="auto"/>
              <w:right w:val="single" w:sz="4" w:space="0" w:color="auto"/>
            </w:tcBorders>
            <w:shd w:val="clear" w:color="auto" w:fill="C6EFCE"/>
            <w:noWrap/>
            <w:vAlign w:val="center"/>
          </w:tcPr>
          <w:p w14:paraId="2D907356" w14:textId="77777777" w:rsidR="00235E11" w:rsidRDefault="00F837E4">
            <w:pPr>
              <w:pStyle w:val="P68B1DB1-Normal10"/>
              <w:spacing w:after="0"/>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19A57972" w14:textId="77777777" w:rsidR="00235E11" w:rsidRDefault="00F837E4">
            <w:pPr>
              <w:pStyle w:val="P68B1DB1-Normal10"/>
              <w:spacing w:after="0"/>
              <w:rPr>
                <w:noProof/>
              </w:rPr>
            </w:pPr>
            <w:r>
              <w:rPr>
                <w:noProof/>
              </w:rPr>
              <w:t>3</w:t>
            </w:r>
          </w:p>
        </w:tc>
        <w:tc>
          <w:tcPr>
            <w:tcW w:w="992" w:type="dxa"/>
            <w:tcBorders>
              <w:top w:val="nil"/>
              <w:left w:val="nil"/>
              <w:bottom w:val="single" w:sz="4" w:space="0" w:color="auto"/>
              <w:right w:val="single" w:sz="4" w:space="0" w:color="auto"/>
            </w:tcBorders>
            <w:shd w:val="clear" w:color="auto" w:fill="C6EFCE"/>
            <w:noWrap/>
            <w:vAlign w:val="center"/>
          </w:tcPr>
          <w:p w14:paraId="7C30BDA9"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tcPr>
          <w:p w14:paraId="74E905E3" w14:textId="77777777" w:rsidR="00235E11" w:rsidRDefault="00F837E4">
            <w:pPr>
              <w:pStyle w:val="P68B1DB1-Normal10"/>
              <w:spacing w:after="0"/>
              <w:jc w:val="center"/>
              <w:rPr>
                <w:noProof/>
              </w:rPr>
            </w:pPr>
            <w:r>
              <w:rPr>
                <w:noProof/>
              </w:rPr>
              <w:t>2024</w:t>
            </w:r>
          </w:p>
        </w:tc>
        <w:tc>
          <w:tcPr>
            <w:tcW w:w="3424" w:type="dxa"/>
            <w:tcBorders>
              <w:top w:val="nil"/>
              <w:left w:val="nil"/>
              <w:bottom w:val="single" w:sz="4" w:space="0" w:color="auto"/>
              <w:right w:val="single" w:sz="4" w:space="0" w:color="auto"/>
            </w:tcBorders>
            <w:shd w:val="clear" w:color="auto" w:fill="C6EFCE"/>
            <w:noWrap/>
            <w:vAlign w:val="center"/>
          </w:tcPr>
          <w:p w14:paraId="2A93BB4B" w14:textId="77777777" w:rsidR="00235E11" w:rsidRDefault="00F837E4">
            <w:pPr>
              <w:pStyle w:val="P68B1DB1-Normal10"/>
              <w:spacing w:after="0"/>
              <w:rPr>
                <w:noProof/>
              </w:rPr>
            </w:pPr>
            <w:r>
              <w:rPr>
                <w:noProof/>
              </w:rPr>
              <w:t>Три услуги в областта на ИИ от Института за общо благо, предоставени на местните органи, т.е. подкрепа за близнаци в областта на цифровите технологии, обучения и консултантски дейности, свързани с гражданските услуги (като например ангажираност).</w:t>
            </w:r>
          </w:p>
        </w:tc>
      </w:tr>
      <w:tr w:rsidR="00235E11" w14:paraId="10A71E4D"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096CD57F" w14:textId="77777777" w:rsidR="00235E11" w:rsidRDefault="00F837E4">
            <w:pPr>
              <w:pStyle w:val="P68B1DB1-Normal10"/>
              <w:spacing w:after="0"/>
              <w:jc w:val="center"/>
              <w:rPr>
                <w:noProof/>
              </w:rPr>
            </w:pPr>
            <w:r>
              <w:rPr>
                <w:noProof/>
              </w:rPr>
              <w:t>84</w:t>
            </w:r>
          </w:p>
        </w:tc>
        <w:tc>
          <w:tcPr>
            <w:tcW w:w="1667" w:type="dxa"/>
            <w:tcBorders>
              <w:top w:val="nil"/>
              <w:left w:val="nil"/>
              <w:bottom w:val="single" w:sz="4" w:space="0" w:color="auto"/>
              <w:right w:val="single" w:sz="4" w:space="0" w:color="auto"/>
            </w:tcBorders>
            <w:shd w:val="clear" w:color="auto" w:fill="C6EFCE"/>
            <w:noWrap/>
            <w:vAlign w:val="center"/>
          </w:tcPr>
          <w:p w14:paraId="2F472276" w14:textId="748D6BF0" w:rsidR="00235E11" w:rsidRDefault="00F837E4">
            <w:pPr>
              <w:pStyle w:val="P68B1DB1-Normal10"/>
              <w:spacing w:after="0"/>
              <w:rPr>
                <w:noProof/>
              </w:rPr>
            </w:pPr>
            <w:r>
              <w:rPr>
                <w:noProof/>
              </w:rPr>
              <w:t>Подобряване на свързаността на 35 бизнес парка във Валония (I-2.15)</w:t>
            </w:r>
          </w:p>
        </w:tc>
        <w:tc>
          <w:tcPr>
            <w:tcW w:w="1310" w:type="dxa"/>
            <w:tcBorders>
              <w:top w:val="nil"/>
              <w:left w:val="nil"/>
              <w:bottom w:val="single" w:sz="4" w:space="0" w:color="auto"/>
              <w:right w:val="single" w:sz="4" w:space="0" w:color="auto"/>
            </w:tcBorders>
            <w:shd w:val="clear" w:color="auto" w:fill="C6EFCE"/>
            <w:noWrap/>
            <w:vAlign w:val="center"/>
          </w:tcPr>
          <w:p w14:paraId="5701C61F" w14:textId="263F6F9F" w:rsidR="00235E11" w:rsidRDefault="00F837E4">
            <w:pPr>
              <w:pStyle w:val="P68B1DB1-Normal10"/>
              <w:spacing w:after="0"/>
              <w:rPr>
                <w:noProof/>
              </w:rPr>
            </w:pPr>
            <w:r>
              <w:rPr>
                <w:noProof/>
              </w:rPr>
              <w:t>T</w:t>
            </w:r>
          </w:p>
        </w:tc>
        <w:tc>
          <w:tcPr>
            <w:tcW w:w="1100" w:type="dxa"/>
            <w:tcBorders>
              <w:top w:val="nil"/>
              <w:left w:val="nil"/>
              <w:bottom w:val="single" w:sz="4" w:space="0" w:color="auto"/>
              <w:right w:val="single" w:sz="4" w:space="0" w:color="auto"/>
            </w:tcBorders>
            <w:shd w:val="clear" w:color="auto" w:fill="C6EFCE"/>
            <w:noWrap/>
            <w:vAlign w:val="center"/>
          </w:tcPr>
          <w:p w14:paraId="7A1A6CC3" w14:textId="7072DE54" w:rsidR="00235E11" w:rsidRDefault="00F837E4">
            <w:pPr>
              <w:pStyle w:val="P68B1DB1-Normal10"/>
              <w:spacing w:after="0"/>
              <w:rPr>
                <w:noProof/>
              </w:rPr>
            </w:pPr>
            <w:r>
              <w:rPr>
                <w:noProof/>
              </w:rPr>
              <w:t>Влакнеста конективост за 35 бизнес парка</w:t>
            </w:r>
          </w:p>
        </w:tc>
        <w:tc>
          <w:tcPr>
            <w:tcW w:w="2160" w:type="dxa"/>
            <w:tcBorders>
              <w:top w:val="nil"/>
              <w:left w:val="nil"/>
              <w:bottom w:val="single" w:sz="4" w:space="0" w:color="auto"/>
              <w:right w:val="single" w:sz="4" w:space="0" w:color="auto"/>
            </w:tcBorders>
            <w:shd w:val="clear" w:color="auto" w:fill="C6EFCE"/>
            <w:noWrap/>
            <w:vAlign w:val="center"/>
          </w:tcPr>
          <w:p w14:paraId="62CB60BC"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2F4AFBB7" w14:textId="77777777" w:rsidR="00235E11" w:rsidRDefault="00F837E4">
            <w:pPr>
              <w:pStyle w:val="P68B1DB1-Normal10"/>
              <w:spacing w:after="0"/>
              <w:rPr>
                <w:noProof/>
              </w:rPr>
            </w:pPr>
            <w:r>
              <w:rPr>
                <w:noProof/>
              </w:rPr>
              <w:t>Брой</w:t>
            </w:r>
          </w:p>
        </w:tc>
        <w:tc>
          <w:tcPr>
            <w:tcW w:w="1134" w:type="dxa"/>
            <w:tcBorders>
              <w:top w:val="nil"/>
              <w:left w:val="nil"/>
              <w:bottom w:val="single" w:sz="4" w:space="0" w:color="auto"/>
              <w:right w:val="single" w:sz="4" w:space="0" w:color="auto"/>
            </w:tcBorders>
            <w:shd w:val="clear" w:color="auto" w:fill="C6EFCE"/>
            <w:noWrap/>
            <w:vAlign w:val="center"/>
          </w:tcPr>
          <w:p w14:paraId="6AA77923" w14:textId="77777777" w:rsidR="00235E11" w:rsidRDefault="00F837E4">
            <w:pPr>
              <w:pStyle w:val="P68B1DB1-Normal10"/>
              <w:spacing w:after="0"/>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35DF35DE" w14:textId="77777777" w:rsidR="00235E11" w:rsidRDefault="00F837E4">
            <w:pPr>
              <w:pStyle w:val="P68B1DB1-Normal10"/>
              <w:spacing w:after="0"/>
              <w:rPr>
                <w:noProof/>
              </w:rPr>
            </w:pPr>
            <w:r>
              <w:rPr>
                <w:noProof/>
              </w:rPr>
              <w:t>35</w:t>
            </w:r>
          </w:p>
        </w:tc>
        <w:tc>
          <w:tcPr>
            <w:tcW w:w="992" w:type="dxa"/>
            <w:tcBorders>
              <w:top w:val="nil"/>
              <w:left w:val="nil"/>
              <w:bottom w:val="single" w:sz="4" w:space="0" w:color="auto"/>
              <w:right w:val="single" w:sz="4" w:space="0" w:color="auto"/>
            </w:tcBorders>
            <w:shd w:val="clear" w:color="auto" w:fill="C6EFCE"/>
            <w:noWrap/>
            <w:vAlign w:val="center"/>
          </w:tcPr>
          <w:p w14:paraId="4F224CAE"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tcPr>
          <w:p w14:paraId="71E4908A" w14:textId="77777777" w:rsidR="00235E11" w:rsidRDefault="00F837E4">
            <w:pPr>
              <w:pStyle w:val="P68B1DB1-Normal10"/>
              <w:spacing w:after="0"/>
              <w:jc w:val="center"/>
              <w:rPr>
                <w:noProof/>
              </w:rPr>
            </w:pPr>
            <w:r>
              <w:rPr>
                <w:noProof/>
              </w:rPr>
              <w:t>2025</w:t>
            </w:r>
          </w:p>
        </w:tc>
        <w:tc>
          <w:tcPr>
            <w:tcW w:w="3424" w:type="dxa"/>
            <w:tcBorders>
              <w:top w:val="nil"/>
              <w:left w:val="nil"/>
              <w:bottom w:val="single" w:sz="4" w:space="0" w:color="auto"/>
              <w:right w:val="single" w:sz="4" w:space="0" w:color="auto"/>
            </w:tcBorders>
            <w:shd w:val="clear" w:color="auto" w:fill="C6EFCE"/>
            <w:noWrap/>
            <w:vAlign w:val="center"/>
          </w:tcPr>
          <w:p w14:paraId="6889FC76" w14:textId="77777777" w:rsidR="00235E11" w:rsidRDefault="00F837E4">
            <w:pPr>
              <w:pStyle w:val="P68B1DB1-Normal10"/>
              <w:spacing w:after="0"/>
              <w:rPr>
                <w:noProof/>
              </w:rPr>
            </w:pPr>
            <w:r>
              <w:rPr>
                <w:noProof/>
              </w:rPr>
              <w:t>35 публични регионални бизнес парка във Валония получават достъп до фиксирани оптични мрежи с много голям капацитет.</w:t>
            </w:r>
          </w:p>
        </w:tc>
      </w:tr>
      <w:tr w:rsidR="00235E11" w14:paraId="408F66A6" w14:textId="77777777">
        <w:trPr>
          <w:trHeight w:val="309"/>
          <w:jc w:val="center"/>
        </w:trPr>
        <w:tc>
          <w:tcPr>
            <w:tcW w:w="8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250C7C" w14:textId="77777777" w:rsidR="00235E11" w:rsidRDefault="00F837E4">
            <w:pPr>
              <w:pStyle w:val="P68B1DB1-Normal10"/>
              <w:spacing w:after="0"/>
              <w:jc w:val="center"/>
              <w:rPr>
                <w:noProof/>
              </w:rPr>
            </w:pPr>
            <w:r>
              <w:rPr>
                <w:noProof/>
              </w:rPr>
              <w:t>89</w:t>
            </w:r>
          </w:p>
        </w:tc>
        <w:tc>
          <w:tcPr>
            <w:tcW w:w="1667" w:type="dxa"/>
            <w:tcBorders>
              <w:top w:val="single" w:sz="4" w:space="0" w:color="auto"/>
              <w:left w:val="nil"/>
              <w:bottom w:val="single" w:sz="4" w:space="0" w:color="auto"/>
              <w:right w:val="single" w:sz="4" w:space="0" w:color="auto"/>
            </w:tcBorders>
            <w:shd w:val="clear" w:color="auto" w:fill="C6EFCE"/>
            <w:noWrap/>
            <w:vAlign w:val="center"/>
          </w:tcPr>
          <w:p w14:paraId="1B5CB77B" w14:textId="77777777" w:rsidR="00235E11" w:rsidRDefault="00F837E4">
            <w:pPr>
              <w:pStyle w:val="P68B1DB1-Normal10"/>
              <w:spacing w:after="0"/>
              <w:rPr>
                <w:noProof/>
              </w:rPr>
            </w:pPr>
            <w:r>
              <w:rPr>
                <w:noProof/>
              </w:rPr>
              <w:t>Въвеждане на 5G — Национален план за фиксиран и мобилен широколентов достъп (R-2.03)</w:t>
            </w:r>
          </w:p>
        </w:tc>
        <w:tc>
          <w:tcPr>
            <w:tcW w:w="1310" w:type="dxa"/>
            <w:tcBorders>
              <w:top w:val="single" w:sz="4" w:space="0" w:color="auto"/>
              <w:left w:val="nil"/>
              <w:bottom w:val="single" w:sz="4" w:space="0" w:color="auto"/>
              <w:right w:val="single" w:sz="4" w:space="0" w:color="auto"/>
            </w:tcBorders>
            <w:shd w:val="clear" w:color="auto" w:fill="C6EFCE"/>
            <w:noWrap/>
            <w:vAlign w:val="center"/>
          </w:tcPr>
          <w:p w14:paraId="4EF7B9A2" w14:textId="48D517AA" w:rsidR="00235E11" w:rsidRDefault="00F837E4">
            <w:pPr>
              <w:pStyle w:val="P68B1DB1-Normal10"/>
              <w:spacing w:after="0"/>
              <w:rPr>
                <w:noProof/>
                <w:highlight w:val="yellow"/>
              </w:rPr>
            </w:pPr>
            <w:r>
              <w:rPr>
                <w:noProof/>
              </w:rPr>
              <w:t>M</w:t>
            </w:r>
          </w:p>
        </w:tc>
        <w:tc>
          <w:tcPr>
            <w:tcW w:w="1100" w:type="dxa"/>
            <w:tcBorders>
              <w:top w:val="single" w:sz="4" w:space="0" w:color="auto"/>
              <w:left w:val="nil"/>
              <w:bottom w:val="single" w:sz="4" w:space="0" w:color="auto"/>
              <w:right w:val="single" w:sz="4" w:space="0" w:color="auto"/>
            </w:tcBorders>
            <w:shd w:val="clear" w:color="auto" w:fill="C6EFCE"/>
            <w:noWrap/>
            <w:vAlign w:val="center"/>
          </w:tcPr>
          <w:p w14:paraId="10994E6D" w14:textId="77777777" w:rsidR="00235E11" w:rsidRDefault="00F837E4">
            <w:pPr>
              <w:pStyle w:val="P68B1DB1-Normal10"/>
              <w:spacing w:after="0"/>
              <w:rPr>
                <w:noProof/>
              </w:rPr>
            </w:pPr>
            <w:r>
              <w:rPr>
                <w:noProof/>
              </w:rPr>
              <w:t>Инструментариум на ЕС за свързаност</w:t>
            </w:r>
          </w:p>
        </w:tc>
        <w:tc>
          <w:tcPr>
            <w:tcW w:w="2160" w:type="dxa"/>
            <w:tcBorders>
              <w:top w:val="single" w:sz="4" w:space="0" w:color="auto"/>
              <w:left w:val="nil"/>
              <w:bottom w:val="single" w:sz="4" w:space="0" w:color="auto"/>
              <w:right w:val="single" w:sz="4" w:space="0" w:color="auto"/>
            </w:tcBorders>
            <w:shd w:val="clear" w:color="auto" w:fill="C6EFCE"/>
            <w:noWrap/>
            <w:vAlign w:val="center"/>
          </w:tcPr>
          <w:p w14:paraId="64626584" w14:textId="77777777" w:rsidR="00235E11" w:rsidRDefault="00F837E4">
            <w:pPr>
              <w:pStyle w:val="P68B1DB1-Normal10"/>
              <w:spacing w:after="0"/>
              <w:rPr>
                <w:noProof/>
              </w:rPr>
            </w:pPr>
            <w:r>
              <w:rPr>
                <w:noProof/>
              </w:rPr>
              <w:t>Приложен инструментариум на ЕС за свързаност, включително пътна карта</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DDD6274"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116CC64" w14:textId="77777777" w:rsidR="00235E11" w:rsidRDefault="00235E11">
            <w:pPr>
              <w:spacing w:after="0"/>
              <w:rPr>
                <w:rFonts w:ascii="Times New Roman" w:eastAsia="Times New Roman" w:hAnsi="Times New Roman" w:cs="Times New Roman"/>
                <w:noProof/>
                <w:color w:val="006100"/>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2ABE06A"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6CCEBF2" w14:textId="77777777" w:rsidR="00235E11" w:rsidRDefault="00F837E4">
            <w:pPr>
              <w:pStyle w:val="P68B1DB1-Normal10"/>
              <w:spacing w:after="0"/>
              <w:jc w:val="center"/>
              <w:rPr>
                <w:noProof/>
              </w:rPr>
            </w:pPr>
            <w:r>
              <w:rPr>
                <w:noProof/>
              </w:rPr>
              <w:t>Т2 Г.</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4E84678D" w14:textId="77777777" w:rsidR="00235E11" w:rsidRDefault="00F837E4">
            <w:pPr>
              <w:pStyle w:val="P68B1DB1-Normal10"/>
              <w:spacing w:after="0"/>
              <w:jc w:val="center"/>
              <w:rPr>
                <w:noProof/>
              </w:rPr>
            </w:pPr>
            <w:r>
              <w:rPr>
                <w:noProof/>
              </w:rPr>
              <w:t>2021</w:t>
            </w:r>
          </w:p>
        </w:tc>
        <w:tc>
          <w:tcPr>
            <w:tcW w:w="3424" w:type="dxa"/>
            <w:tcBorders>
              <w:top w:val="single" w:sz="4" w:space="0" w:color="auto"/>
              <w:left w:val="nil"/>
              <w:bottom w:val="single" w:sz="4" w:space="0" w:color="auto"/>
              <w:right w:val="single" w:sz="4" w:space="0" w:color="auto"/>
            </w:tcBorders>
            <w:shd w:val="clear" w:color="auto" w:fill="C6EFCE"/>
            <w:noWrap/>
            <w:vAlign w:val="center"/>
          </w:tcPr>
          <w:p w14:paraId="48856563" w14:textId="77777777" w:rsidR="00235E11" w:rsidRDefault="00F837E4">
            <w:pPr>
              <w:pStyle w:val="P68B1DB1-Normal10"/>
              <w:spacing w:after="0"/>
              <w:rPr>
                <w:noProof/>
              </w:rPr>
            </w:pPr>
            <w:r>
              <w:rPr>
                <w:noProof/>
              </w:rPr>
              <w:t>План за прилагане на приетите най-добри практики от инструментариума на ЕС за свързаност, включително приемането на пътна карта за опростяване на процедурите за лицензиране и издаване на разрешения, които са от значение за разгръщането на 5G мрежи и мрежи с много голям капацитет, като например оптични кабели.</w:t>
            </w:r>
          </w:p>
        </w:tc>
      </w:tr>
      <w:tr w:rsidR="00235E11" w14:paraId="0808D025" w14:textId="77777777">
        <w:trPr>
          <w:trHeight w:val="309"/>
          <w:jc w:val="center"/>
        </w:trPr>
        <w:tc>
          <w:tcPr>
            <w:tcW w:w="8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61C66B" w14:textId="77777777" w:rsidR="00235E11" w:rsidRDefault="00F837E4">
            <w:pPr>
              <w:pStyle w:val="P68B1DB1-Normal10"/>
              <w:spacing w:after="0"/>
              <w:jc w:val="center"/>
              <w:rPr>
                <w:noProof/>
              </w:rPr>
            </w:pPr>
            <w:r>
              <w:rPr>
                <w:noProof/>
              </w:rPr>
              <w:t>90</w:t>
            </w:r>
          </w:p>
        </w:tc>
        <w:tc>
          <w:tcPr>
            <w:tcW w:w="1667" w:type="dxa"/>
            <w:tcBorders>
              <w:top w:val="single" w:sz="4" w:space="0" w:color="auto"/>
              <w:left w:val="nil"/>
              <w:bottom w:val="single" w:sz="4" w:space="0" w:color="auto"/>
              <w:right w:val="single" w:sz="4" w:space="0" w:color="auto"/>
            </w:tcBorders>
            <w:shd w:val="clear" w:color="auto" w:fill="C6EFCE"/>
            <w:noWrap/>
            <w:vAlign w:val="center"/>
          </w:tcPr>
          <w:p w14:paraId="3A05E817" w14:textId="77777777" w:rsidR="00235E11" w:rsidRDefault="00F837E4">
            <w:pPr>
              <w:pStyle w:val="P68B1DB1-Normal10"/>
              <w:spacing w:after="0"/>
              <w:rPr>
                <w:noProof/>
              </w:rPr>
            </w:pPr>
            <w:r>
              <w:rPr>
                <w:noProof/>
              </w:rPr>
              <w:t>Въвеждане на 5G — Национален план за фиксиран и мобилен широколентов достъп (R-2.03)</w:t>
            </w:r>
          </w:p>
        </w:tc>
        <w:tc>
          <w:tcPr>
            <w:tcW w:w="1310" w:type="dxa"/>
            <w:tcBorders>
              <w:top w:val="single" w:sz="4" w:space="0" w:color="auto"/>
              <w:left w:val="nil"/>
              <w:bottom w:val="single" w:sz="4" w:space="0" w:color="auto"/>
              <w:right w:val="single" w:sz="4" w:space="0" w:color="auto"/>
            </w:tcBorders>
            <w:shd w:val="clear" w:color="auto" w:fill="C6EFCE"/>
            <w:noWrap/>
            <w:vAlign w:val="center"/>
          </w:tcPr>
          <w:p w14:paraId="0FA57F71" w14:textId="74BB5AA5" w:rsidR="00235E11" w:rsidRDefault="00F837E4">
            <w:pPr>
              <w:pStyle w:val="P68B1DB1-Normal10"/>
              <w:spacing w:after="0"/>
              <w:rPr>
                <w:noProof/>
              </w:rPr>
            </w:pPr>
            <w:r>
              <w:rPr>
                <w:noProof/>
              </w:rPr>
              <w:t>M</w:t>
            </w:r>
          </w:p>
        </w:tc>
        <w:tc>
          <w:tcPr>
            <w:tcW w:w="1100" w:type="dxa"/>
            <w:tcBorders>
              <w:top w:val="single" w:sz="4" w:space="0" w:color="auto"/>
              <w:left w:val="nil"/>
              <w:bottom w:val="single" w:sz="4" w:space="0" w:color="auto"/>
              <w:right w:val="single" w:sz="4" w:space="0" w:color="auto"/>
            </w:tcBorders>
            <w:shd w:val="clear" w:color="auto" w:fill="C6EFCE"/>
            <w:noWrap/>
            <w:vAlign w:val="center"/>
          </w:tcPr>
          <w:p w14:paraId="5B16D7A8" w14:textId="77777777" w:rsidR="00235E11" w:rsidRDefault="00F837E4">
            <w:pPr>
              <w:pStyle w:val="P68B1DB1-Normal10"/>
              <w:spacing w:after="0"/>
              <w:rPr>
                <w:noProof/>
              </w:rPr>
            </w:pPr>
            <w:r>
              <w:rPr>
                <w:noProof/>
              </w:rPr>
              <w:t xml:space="preserve">Публикуване на законодателната рамка за разпределяне на радиочестотния спектър за 5G </w:t>
            </w:r>
          </w:p>
        </w:tc>
        <w:tc>
          <w:tcPr>
            <w:tcW w:w="2160" w:type="dxa"/>
            <w:tcBorders>
              <w:top w:val="single" w:sz="4" w:space="0" w:color="auto"/>
              <w:left w:val="nil"/>
              <w:bottom w:val="single" w:sz="4" w:space="0" w:color="auto"/>
              <w:right w:val="single" w:sz="4" w:space="0" w:color="auto"/>
            </w:tcBorders>
            <w:shd w:val="clear" w:color="auto" w:fill="C6EFCE"/>
            <w:noWrap/>
            <w:vAlign w:val="center"/>
          </w:tcPr>
          <w:p w14:paraId="165C3E6C" w14:textId="77777777" w:rsidR="00235E11" w:rsidRDefault="00F837E4">
            <w:pPr>
              <w:pStyle w:val="P68B1DB1-Normal10"/>
              <w:spacing w:after="0"/>
              <w:rPr>
                <w:noProof/>
              </w:rPr>
            </w:pPr>
            <w:r>
              <w:rPr>
                <w:noProof/>
              </w:rPr>
              <w:t>Публикуване на законодателната рамка за разпределяне на радиочестотния спектър за 5G</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BD36868"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859604F" w14:textId="77777777" w:rsidR="00235E11" w:rsidRDefault="00235E11">
            <w:pPr>
              <w:spacing w:after="0"/>
              <w:rPr>
                <w:rFonts w:ascii="Times New Roman" w:eastAsia="Times New Roman" w:hAnsi="Times New Roman" w:cs="Times New Roman"/>
                <w:noProof/>
                <w:color w:val="006100"/>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7D07A5D"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3F2F615" w14:textId="77777777" w:rsidR="00235E11" w:rsidRDefault="00F837E4">
            <w:pPr>
              <w:pStyle w:val="P68B1DB1-Normal10"/>
              <w:spacing w:after="0"/>
              <w:jc w:val="center"/>
              <w:rPr>
                <w:noProof/>
              </w:rPr>
            </w:pPr>
            <w:r>
              <w:rPr>
                <w:noProof/>
              </w:rPr>
              <w:t>Т4 Г.</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7AD77B96" w14:textId="77777777" w:rsidR="00235E11" w:rsidRDefault="00F837E4">
            <w:pPr>
              <w:pStyle w:val="P68B1DB1-Normal10"/>
              <w:spacing w:after="0"/>
              <w:jc w:val="center"/>
              <w:rPr>
                <w:noProof/>
              </w:rPr>
            </w:pPr>
            <w:r>
              <w:rPr>
                <w:noProof/>
              </w:rPr>
              <w:t>2021</w:t>
            </w:r>
          </w:p>
        </w:tc>
        <w:tc>
          <w:tcPr>
            <w:tcW w:w="3424" w:type="dxa"/>
            <w:tcBorders>
              <w:top w:val="single" w:sz="4" w:space="0" w:color="auto"/>
              <w:left w:val="nil"/>
              <w:bottom w:val="single" w:sz="4" w:space="0" w:color="auto"/>
              <w:right w:val="single" w:sz="4" w:space="0" w:color="auto"/>
            </w:tcBorders>
            <w:shd w:val="clear" w:color="auto" w:fill="C6EFCE"/>
            <w:noWrap/>
            <w:vAlign w:val="center"/>
          </w:tcPr>
          <w:p w14:paraId="37AD2247" w14:textId="77777777" w:rsidR="00235E11" w:rsidRDefault="00F837E4">
            <w:pPr>
              <w:pStyle w:val="P68B1DB1-Normal10"/>
              <w:spacing w:after="0"/>
              <w:rPr>
                <w:noProof/>
              </w:rPr>
            </w:pPr>
            <w:r>
              <w:rPr>
                <w:noProof/>
              </w:rPr>
              <w:t>Публикуване на закона за 5G и кралските укази за предоставяне на пионерни радиочестотни ленти в ЕС, определени от Групата за политиката в областта на радиочестотния спектър за 5G мрежи при благоприятни за инвестициите условия.</w:t>
            </w:r>
          </w:p>
        </w:tc>
      </w:tr>
      <w:tr w:rsidR="00235E11" w14:paraId="08CF5AC0" w14:textId="77777777">
        <w:trPr>
          <w:trHeight w:val="309"/>
          <w:jc w:val="center"/>
        </w:trPr>
        <w:tc>
          <w:tcPr>
            <w:tcW w:w="8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25C074" w14:textId="77777777" w:rsidR="00235E11" w:rsidRDefault="00F837E4">
            <w:pPr>
              <w:pStyle w:val="P68B1DB1-Normal10"/>
              <w:spacing w:after="0"/>
              <w:jc w:val="center"/>
              <w:rPr>
                <w:noProof/>
              </w:rPr>
            </w:pPr>
            <w:r>
              <w:rPr>
                <w:noProof/>
              </w:rPr>
              <w:t>91</w:t>
            </w:r>
          </w:p>
        </w:tc>
        <w:tc>
          <w:tcPr>
            <w:tcW w:w="1667" w:type="dxa"/>
            <w:tcBorders>
              <w:top w:val="single" w:sz="4" w:space="0" w:color="auto"/>
              <w:left w:val="nil"/>
              <w:bottom w:val="single" w:sz="4" w:space="0" w:color="auto"/>
              <w:right w:val="single" w:sz="4" w:space="0" w:color="auto"/>
            </w:tcBorders>
            <w:shd w:val="clear" w:color="auto" w:fill="C6EFCE"/>
            <w:noWrap/>
            <w:vAlign w:val="center"/>
          </w:tcPr>
          <w:p w14:paraId="24551801" w14:textId="77777777" w:rsidR="00235E11" w:rsidRDefault="00F837E4">
            <w:pPr>
              <w:pStyle w:val="P68B1DB1-Normal10"/>
              <w:spacing w:after="0"/>
              <w:rPr>
                <w:noProof/>
              </w:rPr>
            </w:pPr>
            <w:r>
              <w:rPr>
                <w:noProof/>
              </w:rPr>
              <w:t>Въвеждане на 5G — Национален план за фиксиран и мобилен широколентов достъп (R-2.03)</w:t>
            </w:r>
          </w:p>
        </w:tc>
        <w:tc>
          <w:tcPr>
            <w:tcW w:w="1310" w:type="dxa"/>
            <w:tcBorders>
              <w:top w:val="single" w:sz="4" w:space="0" w:color="auto"/>
              <w:left w:val="nil"/>
              <w:bottom w:val="single" w:sz="4" w:space="0" w:color="auto"/>
              <w:right w:val="single" w:sz="4" w:space="0" w:color="auto"/>
            </w:tcBorders>
            <w:shd w:val="clear" w:color="auto" w:fill="C6EFCE"/>
            <w:noWrap/>
            <w:vAlign w:val="center"/>
          </w:tcPr>
          <w:p w14:paraId="6F86AD7C" w14:textId="3658CA31" w:rsidR="00235E11" w:rsidRDefault="00F837E4">
            <w:pPr>
              <w:pStyle w:val="P68B1DB1-Normal10"/>
              <w:spacing w:after="0"/>
              <w:rPr>
                <w:noProof/>
              </w:rPr>
            </w:pPr>
            <w:r>
              <w:rPr>
                <w:noProof/>
              </w:rPr>
              <w:t>M</w:t>
            </w:r>
          </w:p>
        </w:tc>
        <w:tc>
          <w:tcPr>
            <w:tcW w:w="1100" w:type="dxa"/>
            <w:tcBorders>
              <w:top w:val="single" w:sz="4" w:space="0" w:color="auto"/>
              <w:left w:val="nil"/>
              <w:bottom w:val="single" w:sz="4" w:space="0" w:color="auto"/>
              <w:right w:val="single" w:sz="4" w:space="0" w:color="auto"/>
            </w:tcBorders>
            <w:shd w:val="clear" w:color="auto" w:fill="C6EFCE"/>
            <w:noWrap/>
            <w:vAlign w:val="center"/>
          </w:tcPr>
          <w:p w14:paraId="1CBA670F" w14:textId="77777777" w:rsidR="00235E11" w:rsidRDefault="00F837E4">
            <w:pPr>
              <w:pStyle w:val="P68B1DB1-Normal10"/>
              <w:spacing w:after="0"/>
              <w:rPr>
                <w:noProof/>
              </w:rPr>
            </w:pPr>
            <w:r>
              <w:rPr>
                <w:noProof/>
              </w:rPr>
              <w:t>Търг 5G</w:t>
            </w:r>
          </w:p>
        </w:tc>
        <w:tc>
          <w:tcPr>
            <w:tcW w:w="2160" w:type="dxa"/>
            <w:tcBorders>
              <w:top w:val="single" w:sz="4" w:space="0" w:color="auto"/>
              <w:left w:val="nil"/>
              <w:bottom w:val="single" w:sz="4" w:space="0" w:color="auto"/>
              <w:right w:val="single" w:sz="4" w:space="0" w:color="auto"/>
            </w:tcBorders>
            <w:shd w:val="clear" w:color="auto" w:fill="C6EFCE"/>
            <w:noWrap/>
            <w:vAlign w:val="center"/>
          </w:tcPr>
          <w:p w14:paraId="36106B6A" w14:textId="77777777" w:rsidR="00235E11" w:rsidRDefault="00F837E4">
            <w:pPr>
              <w:pStyle w:val="P68B1DB1-Normal10"/>
              <w:spacing w:after="0"/>
              <w:rPr>
                <w:noProof/>
              </w:rPr>
            </w:pPr>
            <w:r>
              <w:rPr>
                <w:noProof/>
              </w:rPr>
              <w:t xml:space="preserve">Организиране и провеждане на търг за 5G при благоприятни за инвеститорите условия от Белгийския институт за пощенски услуги и телекомуникации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EF5877E"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C5BB947" w14:textId="77777777" w:rsidR="00235E11" w:rsidRDefault="00235E11">
            <w:pPr>
              <w:spacing w:after="0"/>
              <w:rPr>
                <w:rFonts w:ascii="Times New Roman" w:eastAsia="Times New Roman" w:hAnsi="Times New Roman" w:cs="Times New Roman"/>
                <w:noProof/>
                <w:color w:val="006100"/>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5DF9DBB"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EB2C69A" w14:textId="77777777" w:rsidR="00235E11" w:rsidRDefault="00F837E4">
            <w:pPr>
              <w:pStyle w:val="P68B1DB1-Normal10"/>
              <w:spacing w:after="0"/>
              <w:jc w:val="center"/>
              <w:rPr>
                <w:noProof/>
              </w:rPr>
            </w:pPr>
            <w:r>
              <w:rPr>
                <w:noProof/>
              </w:rPr>
              <w:t>Т2 Г.</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5B7A0093" w14:textId="77777777" w:rsidR="00235E11" w:rsidRDefault="00F837E4">
            <w:pPr>
              <w:pStyle w:val="P68B1DB1-Normal10"/>
              <w:spacing w:after="0"/>
              <w:jc w:val="center"/>
              <w:rPr>
                <w:noProof/>
              </w:rPr>
            </w:pPr>
            <w:r>
              <w:rPr>
                <w:noProof/>
              </w:rPr>
              <w:t>2022</w:t>
            </w:r>
          </w:p>
        </w:tc>
        <w:tc>
          <w:tcPr>
            <w:tcW w:w="3424" w:type="dxa"/>
            <w:tcBorders>
              <w:top w:val="single" w:sz="4" w:space="0" w:color="auto"/>
              <w:left w:val="nil"/>
              <w:bottom w:val="single" w:sz="4" w:space="0" w:color="auto"/>
              <w:right w:val="single" w:sz="4" w:space="0" w:color="auto"/>
            </w:tcBorders>
            <w:shd w:val="clear" w:color="auto" w:fill="C6EFCE"/>
            <w:noWrap/>
            <w:vAlign w:val="center"/>
          </w:tcPr>
          <w:p w14:paraId="7274E057" w14:textId="77777777" w:rsidR="00235E11" w:rsidRDefault="00F837E4">
            <w:pPr>
              <w:pStyle w:val="P68B1DB1-Normal10"/>
              <w:spacing w:after="0"/>
              <w:rPr>
                <w:noProof/>
              </w:rPr>
            </w:pPr>
            <w:r>
              <w:rPr>
                <w:noProof/>
              </w:rPr>
              <w:t>Приключване на търга за 5G от федералния регулаторен орган в областта на далекосъобщенията (Белгийски институт за пощенски услуги и телекомуникации) при благоприятни за инвестициите условия, по-специално: покана за представяне на кандидатури, разработване на софтуер (въз основа на кралски укази), софтуерни тестове, ръководства и насоки за потребителите, проверка на допустимостта на кандидатите, софтуерно обучение за екипа на тръжния продавач, организиране на търгове, решение за лицензиране на Белгийския институт за пощенски услуги и телекомуникации (с консултации с регионите).</w:t>
            </w:r>
          </w:p>
        </w:tc>
      </w:tr>
      <w:tr w:rsidR="00235E11" w14:paraId="1A557E6C" w14:textId="77777777">
        <w:trPr>
          <w:trHeight w:val="309"/>
          <w:jc w:val="center"/>
        </w:trPr>
        <w:tc>
          <w:tcPr>
            <w:tcW w:w="8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D93605" w14:textId="77777777" w:rsidR="00235E11" w:rsidRDefault="00F837E4">
            <w:pPr>
              <w:pStyle w:val="P68B1DB1-Normal10"/>
              <w:spacing w:after="0"/>
              <w:jc w:val="center"/>
              <w:rPr>
                <w:noProof/>
              </w:rPr>
            </w:pPr>
            <w:r>
              <w:rPr>
                <w:noProof/>
              </w:rPr>
              <w:t>92</w:t>
            </w:r>
          </w:p>
        </w:tc>
        <w:tc>
          <w:tcPr>
            <w:tcW w:w="1667" w:type="dxa"/>
            <w:tcBorders>
              <w:top w:val="single" w:sz="4" w:space="0" w:color="auto"/>
              <w:left w:val="nil"/>
              <w:bottom w:val="single" w:sz="4" w:space="0" w:color="auto"/>
              <w:right w:val="single" w:sz="4" w:space="0" w:color="auto"/>
            </w:tcBorders>
            <w:shd w:val="clear" w:color="auto" w:fill="C6EFCE"/>
            <w:noWrap/>
            <w:vAlign w:val="center"/>
          </w:tcPr>
          <w:p w14:paraId="48FA0F1E" w14:textId="77777777" w:rsidR="00235E11" w:rsidRDefault="00F837E4">
            <w:pPr>
              <w:pStyle w:val="P68B1DB1-Normal10"/>
              <w:spacing w:after="0"/>
              <w:rPr>
                <w:noProof/>
              </w:rPr>
            </w:pPr>
            <w:r>
              <w:rPr>
                <w:noProof/>
              </w:rPr>
              <w:t>Въвеждане на 5G — Национален план за фиксиран и мобилен широколентов достъп (R-2.03)</w:t>
            </w:r>
          </w:p>
        </w:tc>
        <w:tc>
          <w:tcPr>
            <w:tcW w:w="1310" w:type="dxa"/>
            <w:tcBorders>
              <w:top w:val="single" w:sz="4" w:space="0" w:color="auto"/>
              <w:left w:val="nil"/>
              <w:bottom w:val="single" w:sz="4" w:space="0" w:color="auto"/>
              <w:right w:val="single" w:sz="4" w:space="0" w:color="auto"/>
            </w:tcBorders>
            <w:shd w:val="clear" w:color="auto" w:fill="C6EFCE"/>
            <w:noWrap/>
            <w:vAlign w:val="center"/>
          </w:tcPr>
          <w:p w14:paraId="3C22DFAB" w14:textId="7892F934" w:rsidR="00235E11" w:rsidRDefault="00F837E4">
            <w:pPr>
              <w:pStyle w:val="P68B1DB1-Normal10"/>
              <w:spacing w:after="0"/>
              <w:rPr>
                <w:noProof/>
              </w:rPr>
            </w:pPr>
            <w:r>
              <w:rPr>
                <w:noProof/>
              </w:rPr>
              <w:t>M</w:t>
            </w:r>
          </w:p>
        </w:tc>
        <w:tc>
          <w:tcPr>
            <w:tcW w:w="1100" w:type="dxa"/>
            <w:tcBorders>
              <w:top w:val="single" w:sz="4" w:space="0" w:color="auto"/>
              <w:left w:val="nil"/>
              <w:bottom w:val="single" w:sz="4" w:space="0" w:color="auto"/>
              <w:right w:val="single" w:sz="4" w:space="0" w:color="auto"/>
            </w:tcBorders>
            <w:shd w:val="clear" w:color="auto" w:fill="C6EFCE"/>
            <w:noWrap/>
            <w:vAlign w:val="center"/>
          </w:tcPr>
          <w:p w14:paraId="20EB80EF" w14:textId="77777777" w:rsidR="00235E11" w:rsidRDefault="00F837E4">
            <w:pPr>
              <w:pStyle w:val="P68B1DB1-Normal10"/>
              <w:spacing w:after="0"/>
              <w:rPr>
                <w:noProof/>
              </w:rPr>
            </w:pPr>
            <w:r>
              <w:rPr>
                <w:noProof/>
              </w:rPr>
              <w:t>Прилагане на инструментариума „Свързаност — свързаност“</w:t>
            </w:r>
          </w:p>
        </w:tc>
        <w:tc>
          <w:tcPr>
            <w:tcW w:w="2160" w:type="dxa"/>
            <w:tcBorders>
              <w:top w:val="single" w:sz="4" w:space="0" w:color="auto"/>
              <w:left w:val="nil"/>
              <w:bottom w:val="single" w:sz="4" w:space="0" w:color="auto"/>
              <w:right w:val="single" w:sz="4" w:space="0" w:color="auto"/>
            </w:tcBorders>
            <w:shd w:val="clear" w:color="auto" w:fill="C6EFCE"/>
            <w:noWrap/>
            <w:vAlign w:val="center"/>
          </w:tcPr>
          <w:p w14:paraId="05BE1430" w14:textId="77777777" w:rsidR="00235E11" w:rsidRDefault="00F837E4">
            <w:pPr>
              <w:pStyle w:val="P68B1DB1-Normal10"/>
              <w:spacing w:after="0"/>
              <w:rPr>
                <w:noProof/>
              </w:rPr>
            </w:pPr>
            <w:r>
              <w:rPr>
                <w:noProof/>
              </w:rPr>
              <w:t>Публикуване на доклад относно актуалното състояние на прилагането на инструментариума за свързаност</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819343A"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9F57727" w14:textId="77777777" w:rsidR="00235E11" w:rsidRDefault="00235E11">
            <w:pPr>
              <w:spacing w:after="0"/>
              <w:rPr>
                <w:rFonts w:ascii="Times New Roman" w:eastAsia="Times New Roman" w:hAnsi="Times New Roman" w:cs="Times New Roman"/>
                <w:noProof/>
                <w:color w:val="006100"/>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8E8E417"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98326CA" w14:textId="77777777" w:rsidR="00235E11" w:rsidRDefault="00F837E4">
            <w:pPr>
              <w:pStyle w:val="P68B1DB1-Normal10"/>
              <w:spacing w:after="0"/>
              <w:jc w:val="center"/>
              <w:rPr>
                <w:noProof/>
              </w:rPr>
            </w:pPr>
            <w:r>
              <w:rPr>
                <w:noProof/>
              </w:rPr>
              <w:t>Т2 Г.</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2773E475" w14:textId="77777777" w:rsidR="00235E11" w:rsidRDefault="00F837E4">
            <w:pPr>
              <w:pStyle w:val="P68B1DB1-Normal10"/>
              <w:spacing w:after="0"/>
              <w:jc w:val="center"/>
              <w:rPr>
                <w:noProof/>
              </w:rPr>
            </w:pPr>
            <w:r>
              <w:rPr>
                <w:noProof/>
              </w:rPr>
              <w:t>2022</w:t>
            </w:r>
          </w:p>
        </w:tc>
        <w:tc>
          <w:tcPr>
            <w:tcW w:w="3424" w:type="dxa"/>
            <w:tcBorders>
              <w:top w:val="single" w:sz="4" w:space="0" w:color="auto"/>
              <w:left w:val="nil"/>
              <w:bottom w:val="single" w:sz="4" w:space="0" w:color="auto"/>
              <w:right w:val="single" w:sz="4" w:space="0" w:color="auto"/>
            </w:tcBorders>
            <w:shd w:val="clear" w:color="auto" w:fill="C6EFCE"/>
            <w:noWrap/>
            <w:vAlign w:val="center"/>
          </w:tcPr>
          <w:p w14:paraId="24102483" w14:textId="77777777" w:rsidR="00235E11" w:rsidRDefault="00F837E4">
            <w:pPr>
              <w:pStyle w:val="P68B1DB1-Normal10"/>
              <w:spacing w:after="0"/>
              <w:rPr>
                <w:noProof/>
              </w:rPr>
            </w:pPr>
            <w:r>
              <w:rPr>
                <w:noProof/>
              </w:rPr>
              <w:t>Доклад, публикуван от федералното министерство на телекомуникациите, относно актуалното състояние на прилагането на инструментариума за свързаност в съответствие с обхвата и процеса, очертани в пътната карта за прилагане на белгийския инструментариум за свързаност.</w:t>
            </w:r>
          </w:p>
        </w:tc>
      </w:tr>
      <w:tr w:rsidR="00235E11" w14:paraId="63218DC2" w14:textId="77777777">
        <w:trPr>
          <w:trHeight w:val="309"/>
          <w:jc w:val="center"/>
        </w:trPr>
        <w:tc>
          <w:tcPr>
            <w:tcW w:w="8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DFBDFD" w14:textId="77777777" w:rsidR="00235E11" w:rsidRDefault="00F837E4">
            <w:pPr>
              <w:pStyle w:val="P68B1DB1-Normal10"/>
              <w:spacing w:after="0"/>
              <w:jc w:val="center"/>
              <w:rPr>
                <w:noProof/>
              </w:rPr>
            </w:pPr>
            <w:r>
              <w:rPr>
                <w:noProof/>
              </w:rPr>
              <w:t>93</w:t>
            </w:r>
          </w:p>
        </w:tc>
        <w:tc>
          <w:tcPr>
            <w:tcW w:w="1667" w:type="dxa"/>
            <w:tcBorders>
              <w:top w:val="single" w:sz="4" w:space="0" w:color="auto"/>
              <w:left w:val="nil"/>
              <w:bottom w:val="single" w:sz="4" w:space="0" w:color="auto"/>
              <w:right w:val="single" w:sz="4" w:space="0" w:color="auto"/>
            </w:tcBorders>
            <w:shd w:val="clear" w:color="auto" w:fill="C6EFCE"/>
            <w:noWrap/>
            <w:vAlign w:val="center"/>
          </w:tcPr>
          <w:p w14:paraId="0E887B10" w14:textId="77777777" w:rsidR="00235E11" w:rsidRDefault="00F837E4">
            <w:pPr>
              <w:pStyle w:val="P68B1DB1-Normal10"/>
              <w:spacing w:after="0"/>
              <w:rPr>
                <w:noProof/>
              </w:rPr>
            </w:pPr>
            <w:r>
              <w:rPr>
                <w:noProof/>
              </w:rPr>
              <w:t>Въвеждане на 5G — Национален план за фиксиран и мобилен широколентов достъп (R-2.03)</w:t>
            </w:r>
          </w:p>
        </w:tc>
        <w:tc>
          <w:tcPr>
            <w:tcW w:w="1310" w:type="dxa"/>
            <w:tcBorders>
              <w:top w:val="single" w:sz="4" w:space="0" w:color="auto"/>
              <w:left w:val="nil"/>
              <w:bottom w:val="single" w:sz="4" w:space="0" w:color="auto"/>
              <w:right w:val="single" w:sz="4" w:space="0" w:color="auto"/>
            </w:tcBorders>
            <w:shd w:val="clear" w:color="auto" w:fill="C6EFCE"/>
            <w:noWrap/>
            <w:vAlign w:val="center"/>
          </w:tcPr>
          <w:p w14:paraId="24E5DAB9" w14:textId="004B6CC7" w:rsidR="00235E11" w:rsidRDefault="00F837E4">
            <w:pPr>
              <w:pStyle w:val="P68B1DB1-Normal10"/>
              <w:spacing w:after="0"/>
              <w:rPr>
                <w:noProof/>
              </w:rPr>
            </w:pPr>
            <w:r>
              <w:rPr>
                <w:noProof/>
              </w:rPr>
              <w:t>M</w:t>
            </w:r>
          </w:p>
        </w:tc>
        <w:tc>
          <w:tcPr>
            <w:tcW w:w="1100" w:type="dxa"/>
            <w:tcBorders>
              <w:top w:val="single" w:sz="4" w:space="0" w:color="auto"/>
              <w:left w:val="nil"/>
              <w:bottom w:val="single" w:sz="4" w:space="0" w:color="auto"/>
              <w:right w:val="single" w:sz="4" w:space="0" w:color="auto"/>
            </w:tcBorders>
            <w:shd w:val="clear" w:color="auto" w:fill="C6EFCE"/>
            <w:noWrap/>
            <w:vAlign w:val="center"/>
          </w:tcPr>
          <w:p w14:paraId="2104B0BE" w14:textId="77777777" w:rsidR="00235E11" w:rsidRDefault="00F837E4">
            <w:pPr>
              <w:pStyle w:val="P68B1DB1-Normal10"/>
              <w:spacing w:after="0"/>
              <w:rPr>
                <w:noProof/>
              </w:rPr>
            </w:pPr>
            <w:r>
              <w:rPr>
                <w:noProof/>
              </w:rPr>
              <w:t>Преразглеждане на законодателната рамка на трите региона относно радиационните стандарти</w:t>
            </w:r>
          </w:p>
        </w:tc>
        <w:tc>
          <w:tcPr>
            <w:tcW w:w="2160" w:type="dxa"/>
            <w:tcBorders>
              <w:top w:val="single" w:sz="4" w:space="0" w:color="auto"/>
              <w:left w:val="nil"/>
              <w:bottom w:val="single" w:sz="4" w:space="0" w:color="auto"/>
              <w:right w:val="single" w:sz="4" w:space="0" w:color="auto"/>
            </w:tcBorders>
            <w:shd w:val="clear" w:color="auto" w:fill="C6EFCE"/>
            <w:noWrap/>
            <w:vAlign w:val="center"/>
          </w:tcPr>
          <w:p w14:paraId="4BFD3214" w14:textId="77777777" w:rsidR="00235E11" w:rsidRDefault="00F837E4">
            <w:pPr>
              <w:pStyle w:val="P68B1DB1-Normal10"/>
              <w:spacing w:after="0"/>
              <w:rPr>
                <w:noProof/>
              </w:rPr>
            </w:pPr>
            <w:r>
              <w:rPr>
                <w:noProof/>
              </w:rPr>
              <w:t>Преразглеждане на регионалните законодателни рамки относно радиационните стандарти въз основа на препоръки от компетентните комисии и комисии</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B7706ED"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0518DE3" w14:textId="77777777" w:rsidR="00235E11" w:rsidRDefault="00235E11">
            <w:pPr>
              <w:spacing w:after="0"/>
              <w:rPr>
                <w:rFonts w:ascii="Times New Roman" w:eastAsia="Times New Roman" w:hAnsi="Times New Roman" w:cs="Times New Roman"/>
                <w:noProof/>
                <w:color w:val="006100"/>
              </w:rPr>
            </w:pP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43BD047F"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5625D78" w14:textId="77777777" w:rsidR="00235E11" w:rsidRDefault="00F837E4">
            <w:pPr>
              <w:pStyle w:val="P68B1DB1-Normal10"/>
              <w:spacing w:after="0"/>
              <w:jc w:val="center"/>
              <w:rPr>
                <w:noProof/>
              </w:rPr>
            </w:pPr>
            <w:r>
              <w:rPr>
                <w:noProof/>
              </w:rPr>
              <w:t>Т3 Г.</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69A89C8F" w14:textId="77777777" w:rsidR="00235E11" w:rsidRDefault="00F837E4">
            <w:pPr>
              <w:pStyle w:val="P68B1DB1-Normal10"/>
              <w:spacing w:after="0"/>
              <w:jc w:val="center"/>
              <w:rPr>
                <w:noProof/>
              </w:rPr>
            </w:pPr>
            <w:r>
              <w:rPr>
                <w:noProof/>
              </w:rPr>
              <w:t>2022</w:t>
            </w:r>
          </w:p>
        </w:tc>
        <w:tc>
          <w:tcPr>
            <w:tcW w:w="3424" w:type="dxa"/>
            <w:tcBorders>
              <w:top w:val="single" w:sz="4" w:space="0" w:color="auto"/>
              <w:left w:val="nil"/>
              <w:bottom w:val="single" w:sz="4" w:space="0" w:color="auto"/>
              <w:right w:val="single" w:sz="4" w:space="0" w:color="auto"/>
            </w:tcBorders>
            <w:shd w:val="clear" w:color="auto" w:fill="C6EFCE"/>
            <w:noWrap/>
            <w:vAlign w:val="center"/>
          </w:tcPr>
          <w:p w14:paraId="048AFD3C" w14:textId="3ECB9D36" w:rsidR="00235E11" w:rsidRDefault="00F837E4">
            <w:pPr>
              <w:pStyle w:val="P68B1DB1-Normal10"/>
              <w:spacing w:after="0"/>
              <w:rPr>
                <w:noProof/>
              </w:rPr>
            </w:pPr>
            <w:r>
              <w:rPr>
                <w:noProof/>
              </w:rPr>
              <w:t>Въз основа на препоръките на съответните комисии и комисии и доклади, в които се оценява възможността за изменение на съответните им законодателни рамки относно радиационните стандарти, адаптирането и влизането в сила на съответните законодателни рамки на Фламандския регион, регион Брюксел-столица и Валонския регион, за изменение на радиационните стандарти, ако това се счита за необходимо и препоръчано от съответните комисии, за да се даде възможност за ефективно разгръщане на радиочестотния спектър за 5G както за частно, така и за промишлено използване.</w:t>
            </w:r>
          </w:p>
        </w:tc>
      </w:tr>
    </w:tbl>
    <w:p w14:paraId="362E9E0B" w14:textId="77777777" w:rsidR="00235E11" w:rsidRDefault="00235E11">
      <w:pPr>
        <w:pStyle w:val="Text1"/>
        <w:rPr>
          <w:noProof/>
        </w:rPr>
      </w:pPr>
    </w:p>
    <w:p w14:paraId="3571DFC4" w14:textId="77777777" w:rsidR="00235E11" w:rsidRDefault="00235E11">
      <w:pPr>
        <w:pStyle w:val="Text1"/>
        <w:ind w:left="0"/>
        <w:rPr>
          <w:noProof/>
        </w:rPr>
        <w:sectPr w:rsidR="00235E11" w:rsidSect="007F56C3">
          <w:headerReference w:type="even" r:id="rId96"/>
          <w:headerReference w:type="default" r:id="rId97"/>
          <w:footerReference w:type="even" r:id="rId98"/>
          <w:footerReference w:type="default" r:id="rId99"/>
          <w:headerReference w:type="first" r:id="rId100"/>
          <w:footerReference w:type="first" r:id="rId101"/>
          <w:pgSz w:w="16839" w:h="11907" w:orient="landscape"/>
          <w:pgMar w:top="1134" w:right="1134" w:bottom="1134" w:left="1134" w:header="567" w:footer="567" w:gutter="0"/>
          <w:cols w:space="720"/>
          <w:docGrid w:linePitch="360"/>
        </w:sectPr>
      </w:pPr>
    </w:p>
    <w:p w14:paraId="5F76CD87" w14:textId="22D7B764" w:rsidR="00235E11" w:rsidRDefault="00F837E4">
      <w:pPr>
        <w:pStyle w:val="ManualHeading1"/>
        <w:spacing w:before="120"/>
        <w:ind w:left="0" w:firstLine="0"/>
        <w:rPr>
          <w:noProof/>
        </w:rPr>
      </w:pPr>
      <w:r>
        <w:rPr>
          <w:noProof/>
        </w:rPr>
        <w:t>Ж. КОМПОНЕНТ 3.1: Велосипедна и пешеходна инфраструктура</w:t>
      </w:r>
    </w:p>
    <w:p w14:paraId="6BB7AA34" w14:textId="77777777" w:rsidR="00235E11" w:rsidRDefault="00F837E4">
      <w:pPr>
        <w:pStyle w:val="P68B1DB1-Normal16"/>
        <w:spacing w:before="120" w:after="120" w:line="240" w:lineRule="auto"/>
        <w:jc w:val="both"/>
        <w:rPr>
          <w:noProof/>
        </w:rPr>
      </w:pPr>
      <w:r>
        <w:rPr>
          <w:noProof/>
        </w:rPr>
        <w:t>Мерките, предложени в рамките на този компонент от белгийския план за възстановяване и устойчивост, имат за цел разширяване и модернизиране на инфраструктурата за колоездене и ходене пеша в цяла Белгия.</w:t>
      </w:r>
    </w:p>
    <w:p w14:paraId="000977E4" w14:textId="77777777" w:rsidR="00235E11" w:rsidRDefault="00F837E4">
      <w:pPr>
        <w:pStyle w:val="P68B1DB1-Normal16"/>
        <w:spacing w:before="120" w:after="120" w:line="240" w:lineRule="auto"/>
        <w:jc w:val="both"/>
        <w:rPr>
          <w:noProof/>
        </w:rPr>
      </w:pPr>
      <w:r>
        <w:rPr>
          <w:noProof/>
        </w:rPr>
        <w:t>Компонентът допринася за изпълнението на специфична за държавата препоръка 2020.3, в която Белгия се призовава да съсредоточи инвестициите си върху екологичния и цифровия преход, по-специално върху инфраструктурата за устойчив транспорт.</w:t>
      </w:r>
    </w:p>
    <w:p w14:paraId="064927FE" w14:textId="55B71F0B"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3F8FFDA9" w14:textId="77777777" w:rsidR="00235E11" w:rsidRDefault="00F837E4">
      <w:pPr>
        <w:pStyle w:val="P68B1DB1-Normal1"/>
        <w:spacing w:before="120" w:after="120"/>
        <w:jc w:val="both"/>
        <w:rPr>
          <w:noProof/>
        </w:rPr>
      </w:pPr>
      <w:r>
        <w:rPr>
          <w:noProof/>
        </w:rPr>
        <w:t xml:space="preserve">Ж.1. </w:t>
      </w:r>
      <w:r>
        <w:rPr>
          <w:noProof/>
        </w:rPr>
        <w:tab/>
        <w:t>Описание на реформите и инвестициите за безвъзмездна финансова подкрепа</w:t>
      </w:r>
    </w:p>
    <w:p w14:paraId="12032158" w14:textId="77777777" w:rsidR="00235E11" w:rsidRDefault="00F837E4">
      <w:pPr>
        <w:pStyle w:val="P68B1DB1-Text111"/>
        <w:ind w:left="0"/>
        <w:rPr>
          <w:noProof/>
        </w:rPr>
      </w:pPr>
      <w:r>
        <w:rPr>
          <w:noProof/>
        </w:rPr>
        <w:t>Инвестиция I-3А: „Велосипедна инфраструктура“</w:t>
      </w:r>
    </w:p>
    <w:p w14:paraId="1D22F248" w14:textId="77777777" w:rsidR="00235E11" w:rsidRDefault="00F837E4">
      <w:pPr>
        <w:pStyle w:val="P68B1DB1-Text13"/>
        <w:ind w:left="0"/>
        <w:rPr>
          <w:noProof/>
          <w:color w:val="000000"/>
        </w:rPr>
      </w:pPr>
      <w:r>
        <w:rPr>
          <w:noProof/>
        </w:rPr>
        <w:t>Целта на инвестицията е да се създаде допълнителна велосипедна инфраструктура и да се подобри съществуващата инфраструктура. Тази мярка се състои от следните четири подмерки.</w:t>
      </w:r>
    </w:p>
    <w:p w14:paraId="60B5684E" w14:textId="77777777" w:rsidR="00235E11" w:rsidRDefault="00F837E4">
      <w:pPr>
        <w:pStyle w:val="Text1"/>
        <w:numPr>
          <w:ilvl w:val="0"/>
          <w:numId w:val="35"/>
        </w:numPr>
        <w:tabs>
          <w:tab w:val="left" w:pos="426"/>
        </w:tabs>
        <w:ind w:left="0" w:firstLine="0"/>
        <w:contextualSpacing/>
        <w:rPr>
          <w:noProof/>
        </w:rPr>
      </w:pPr>
      <w:r>
        <w:rPr>
          <w:noProof/>
        </w:rPr>
        <w:t>Инвестиция I-3.01: „Велосипедна инфраструктура“ на Фламандския регион</w:t>
      </w:r>
    </w:p>
    <w:p w14:paraId="2A6F625C" w14:textId="77777777" w:rsidR="00235E11" w:rsidRDefault="00F837E4">
      <w:pPr>
        <w:pStyle w:val="Text1"/>
        <w:numPr>
          <w:ilvl w:val="0"/>
          <w:numId w:val="35"/>
        </w:numPr>
        <w:tabs>
          <w:tab w:val="left" w:pos="426"/>
        </w:tabs>
        <w:ind w:left="0" w:firstLine="0"/>
        <w:contextualSpacing/>
        <w:rPr>
          <w:noProof/>
        </w:rPr>
      </w:pPr>
      <w:r>
        <w:rPr>
          <w:noProof/>
        </w:rPr>
        <w:t>Инвестиция I-3.02: „Велосипедна инфраструктура — коридори Vélo“ на Валонския регион</w:t>
      </w:r>
    </w:p>
    <w:p w14:paraId="0E1D3E17" w14:textId="25003E17" w:rsidR="00235E11" w:rsidRDefault="00F837E4">
      <w:pPr>
        <w:pStyle w:val="Text1"/>
        <w:numPr>
          <w:ilvl w:val="0"/>
          <w:numId w:val="35"/>
        </w:numPr>
        <w:tabs>
          <w:tab w:val="left" w:pos="426"/>
        </w:tabs>
        <w:ind w:left="0" w:firstLine="0"/>
        <w:rPr>
          <w:noProof/>
        </w:rPr>
      </w:pPr>
      <w:r>
        <w:rPr>
          <w:noProof/>
        </w:rPr>
        <w:t>Инвестиция I-3.03a: „Велосипедна инфраструктура — Vélo Plus — RBC“ на регион Брюксел-столица</w:t>
      </w:r>
    </w:p>
    <w:p w14:paraId="4207AA47" w14:textId="77777777" w:rsidR="00235E11" w:rsidRDefault="00F837E4">
      <w:pPr>
        <w:pStyle w:val="P68B1DB1-Text111"/>
        <w:ind w:left="0"/>
        <w:rPr>
          <w:noProof/>
        </w:rPr>
      </w:pPr>
      <w:r>
        <w:rPr>
          <w:noProof/>
        </w:rPr>
        <w:t>Инвестиция I-3.01: „Велосипедна инфраструктура“ на Фламандския регион</w:t>
      </w:r>
    </w:p>
    <w:p w14:paraId="3B1C3824" w14:textId="69348A57" w:rsidR="00235E11" w:rsidRDefault="00F837E4">
      <w:pPr>
        <w:pStyle w:val="NormalLeft"/>
        <w:jc w:val="both"/>
        <w:rPr>
          <w:noProof/>
        </w:rPr>
      </w:pPr>
      <w:r>
        <w:rPr>
          <w:noProof/>
        </w:rPr>
        <w:t>Тази инвестиция се състои в изграждане на 40 км нови велосипедни алеи и обновяване на 365 км велосипедни алеи. Изпълнението на инвестицията трябва да приключи до 30 юни 2026 г.</w:t>
      </w:r>
    </w:p>
    <w:p w14:paraId="44A28875" w14:textId="77777777" w:rsidR="00235E11" w:rsidRDefault="00F837E4">
      <w:pPr>
        <w:pStyle w:val="P68B1DB1-Text111"/>
        <w:ind w:left="0"/>
        <w:rPr>
          <w:noProof/>
        </w:rPr>
      </w:pPr>
      <w:r>
        <w:rPr>
          <w:noProof/>
        </w:rPr>
        <w:t>Инвестиция I-3.02: „Велосипедна инфраструктура — коридори Vélo“ на Валонския регион</w:t>
      </w:r>
    </w:p>
    <w:p w14:paraId="2A59C001" w14:textId="56C6531C" w:rsidR="00235E11" w:rsidRDefault="00F837E4">
      <w:pPr>
        <w:pStyle w:val="NormalLeft"/>
        <w:jc w:val="both"/>
        <w:rPr>
          <w:noProof/>
        </w:rPr>
      </w:pPr>
      <w:r>
        <w:rPr>
          <w:noProof/>
        </w:rPr>
        <w:t>Тази инвестиция се състои в изграждането на най-малко 11.57 км велосипедни алеи през два велосипедни коридора по магистрала Е411 и път N275. Изпълнението на инвестицията трябва да приключи до 30 юни 2026 г.</w:t>
      </w:r>
    </w:p>
    <w:p w14:paraId="5027B57D" w14:textId="6EEA13A3" w:rsidR="00235E11" w:rsidRDefault="00F837E4">
      <w:pPr>
        <w:pStyle w:val="P68B1DB1-Text111"/>
        <w:ind w:left="0"/>
        <w:rPr>
          <w:noProof/>
        </w:rPr>
      </w:pPr>
      <w:r>
        <w:rPr>
          <w:noProof/>
        </w:rPr>
        <w:t>Инвестиция I-3.03a: „Велосипедна инфраструктура — Vélo Plus — RBC“ на регион Брюксел-столица</w:t>
      </w:r>
    </w:p>
    <w:p w14:paraId="1E6A4F0F" w14:textId="475650E2" w:rsidR="00235E11" w:rsidRDefault="00F837E4">
      <w:pPr>
        <w:pStyle w:val="P68B1DB1-Normal17"/>
        <w:spacing w:before="120" w:after="120" w:line="240" w:lineRule="auto"/>
        <w:jc w:val="both"/>
        <w:rPr>
          <w:noProof/>
          <w:sz w:val="24"/>
        </w:rPr>
      </w:pPr>
      <w:r>
        <w:rPr>
          <w:noProof/>
          <w:sz w:val="24"/>
        </w:rPr>
        <w:t>Тази инвестиция се състои в изграждане на най-малко 7</w:t>
      </w:r>
      <w:r>
        <w:rPr>
          <w:noProof/>
          <w:color w:val="006100"/>
        </w:rPr>
        <w:t xml:space="preserve"> </w:t>
      </w:r>
      <w:r>
        <w:rPr>
          <w:noProof/>
          <w:sz w:val="24"/>
        </w:rPr>
        <w:t>000 места за паркиране на велосипеди и най-малко 11.7 км велосипедни алеи и модернизиране на 4.5 км велосипедни алеи в Брюксел. Изпълнението на инвестицията трябва да приключи до 30 юни 2026 г.</w:t>
      </w:r>
    </w:p>
    <w:p w14:paraId="449500FF" w14:textId="77777777" w:rsidR="00235E11" w:rsidRDefault="00235E11">
      <w:pPr>
        <w:spacing w:before="120" w:after="120" w:line="240" w:lineRule="auto"/>
        <w:jc w:val="both"/>
        <w:rPr>
          <w:rFonts w:ascii="Times New Roman" w:hAnsi="Times New Roman" w:cs="Times New Roman"/>
          <w:noProof/>
          <w:sz w:val="24"/>
        </w:rPr>
      </w:pPr>
    </w:p>
    <w:p w14:paraId="23541FC3" w14:textId="77777777" w:rsidR="00235E11" w:rsidRDefault="00F837E4">
      <w:pPr>
        <w:pStyle w:val="P68B1DB1-Text16"/>
        <w:ind w:left="0"/>
        <w:rPr>
          <w:noProof/>
        </w:rPr>
      </w:pPr>
      <w:r>
        <w:rPr>
          <w:noProof/>
        </w:rPr>
        <w:t xml:space="preserve">Ж.2. </w:t>
      </w:r>
      <w:r>
        <w:rPr>
          <w:noProof/>
        </w:rPr>
        <w:tab/>
        <w:t>Ключови етапи, цели, показатели и график за мониторинг и изпълнение на безвъзмездната финансова подкрепа</w:t>
      </w:r>
    </w:p>
    <w:p w14:paraId="6D534F9B" w14:textId="77777777" w:rsidR="00235E11" w:rsidRDefault="00235E11">
      <w:pPr>
        <w:pStyle w:val="Text1"/>
        <w:rPr>
          <w:noProof/>
        </w:rPr>
      </w:pPr>
    </w:p>
    <w:p w14:paraId="3021F05C" w14:textId="77777777" w:rsidR="00235E11" w:rsidRDefault="00235E11">
      <w:pPr>
        <w:pStyle w:val="Text1"/>
        <w:ind w:left="709"/>
        <w:rPr>
          <w:noProof/>
        </w:rPr>
        <w:sectPr w:rsidR="00235E11" w:rsidSect="007F56C3">
          <w:headerReference w:type="even" r:id="rId102"/>
          <w:headerReference w:type="default" r:id="rId103"/>
          <w:footerReference w:type="even" r:id="rId104"/>
          <w:footerReference w:type="default" r:id="rId105"/>
          <w:headerReference w:type="first" r:id="rId106"/>
          <w:footerReference w:type="first" r:id="rId107"/>
          <w:pgSz w:w="11907" w:h="16839"/>
          <w:pgMar w:top="1134" w:right="1134" w:bottom="1134" w:left="1134" w:header="567" w:footer="567" w:gutter="0"/>
          <w:cols w:space="720"/>
          <w:docGrid w:linePitch="360"/>
        </w:sectPr>
      </w:pPr>
    </w:p>
    <w:tbl>
      <w:tblPr>
        <w:tblW w:w="15502" w:type="dxa"/>
        <w:jc w:val="center"/>
        <w:tblLayout w:type="fixed"/>
        <w:tblLook w:val="04A0" w:firstRow="1" w:lastRow="0" w:firstColumn="1" w:lastColumn="0" w:noHBand="0" w:noVBand="1"/>
      </w:tblPr>
      <w:tblGrid>
        <w:gridCol w:w="704"/>
        <w:gridCol w:w="1559"/>
        <w:gridCol w:w="709"/>
        <w:gridCol w:w="1276"/>
        <w:gridCol w:w="1134"/>
        <w:gridCol w:w="992"/>
        <w:gridCol w:w="709"/>
        <w:gridCol w:w="850"/>
        <w:gridCol w:w="709"/>
        <w:gridCol w:w="709"/>
        <w:gridCol w:w="6151"/>
      </w:tblGrid>
      <w:tr w:rsidR="00235E11" w14:paraId="40935581" w14:textId="77777777">
        <w:trPr>
          <w:trHeight w:val="927"/>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0EC76D" w14:textId="04396236" w:rsidR="00235E11" w:rsidRDefault="00F837E4">
            <w:pPr>
              <w:pStyle w:val="P68B1DB1-Normal15"/>
              <w:spacing w:after="0"/>
              <w:jc w:val="center"/>
              <w:rPr>
                <w:noProof/>
              </w:rPr>
            </w:pPr>
            <w:r>
              <w:rPr>
                <w:noProof/>
              </w:rPr>
              <w:t>Следващи Забележка: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F055772" w14:textId="77777777" w:rsidR="00235E11" w:rsidRDefault="00F837E4">
            <w:pPr>
              <w:pStyle w:val="P68B1DB1-Normal15"/>
              <w:spacing w:after="0"/>
              <w:jc w:val="center"/>
              <w:rPr>
                <w:noProof/>
              </w:rPr>
            </w:pPr>
            <w:r>
              <w:rPr>
                <w:noProof/>
              </w:rPr>
              <w:t>Свързана мярка (реформа или инвестиции)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F888C2" w14:textId="77777777" w:rsidR="00235E11" w:rsidRDefault="00F837E4">
            <w:pPr>
              <w:pStyle w:val="P68B1DB1-Normal15"/>
              <w:spacing w:after="0"/>
              <w:jc w:val="center"/>
              <w:rPr>
                <w:noProof/>
              </w:rPr>
            </w:pPr>
            <w:r>
              <w:rPr>
                <w:noProof/>
              </w:rPr>
              <w:t>Ключов етап/Цел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A333DF" w14:textId="77777777" w:rsidR="00235E11" w:rsidRDefault="00F837E4">
            <w:pPr>
              <w:pStyle w:val="P68B1DB1-Normal15"/>
              <w:spacing w:after="0"/>
              <w:jc w:val="center"/>
              <w:rPr>
                <w:noProof/>
              </w:rPr>
            </w:pPr>
            <w:r>
              <w:rPr>
                <w:noProof/>
              </w:rPr>
              <w:t>Име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F09D118"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55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6A772D0"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8" w:type="dxa"/>
            <w:gridSpan w:val="2"/>
            <w:tcBorders>
              <w:top w:val="single" w:sz="4" w:space="0" w:color="auto"/>
              <w:left w:val="nil"/>
              <w:bottom w:val="single" w:sz="4" w:space="0" w:color="auto"/>
              <w:right w:val="single" w:sz="4" w:space="0" w:color="auto"/>
            </w:tcBorders>
            <w:shd w:val="clear" w:color="auto" w:fill="BDD7EE"/>
            <w:vAlign w:val="center"/>
            <w:hideMark/>
          </w:tcPr>
          <w:p w14:paraId="20EC8163" w14:textId="77777777" w:rsidR="00235E11" w:rsidRDefault="00F837E4">
            <w:pPr>
              <w:pStyle w:val="P68B1DB1-Normal15"/>
              <w:spacing w:after="0"/>
              <w:jc w:val="center"/>
              <w:rPr>
                <w:noProof/>
              </w:rPr>
            </w:pPr>
            <w:r>
              <w:rPr>
                <w:noProof/>
              </w:rPr>
              <w:t xml:space="preserve">Примерен график за приключване </w:t>
            </w:r>
          </w:p>
        </w:tc>
        <w:tc>
          <w:tcPr>
            <w:tcW w:w="61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2C750E" w14:textId="77777777" w:rsidR="00235E11" w:rsidRDefault="00F837E4">
            <w:pPr>
              <w:pStyle w:val="P68B1DB1-Normal15"/>
              <w:spacing w:after="0"/>
              <w:jc w:val="center"/>
              <w:rPr>
                <w:noProof/>
              </w:rPr>
            </w:pPr>
            <w:r>
              <w:rPr>
                <w:noProof/>
              </w:rPr>
              <w:t>Описание на всеки ключов етап и цел</w:t>
            </w:r>
          </w:p>
        </w:tc>
      </w:tr>
      <w:tr w:rsidR="00235E11" w14:paraId="389332F0" w14:textId="77777777">
        <w:trPr>
          <w:trHeight w:val="1013"/>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F441146" w14:textId="77777777" w:rsidR="00235E11" w:rsidRDefault="00235E11">
            <w:pPr>
              <w:spacing w:after="0"/>
              <w:rPr>
                <w:rFonts w:ascii="Times New Roman" w:eastAsia="Times New Roman" w:hAnsi="Times New Roman" w:cs="Times New Roman"/>
                <w:b/>
                <w:noProof/>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579B59" w14:textId="77777777" w:rsidR="00235E11" w:rsidRDefault="00235E11">
            <w:pPr>
              <w:spacing w:after="0"/>
              <w:rPr>
                <w:rFonts w:ascii="Times New Roman" w:eastAsia="Times New Roman" w:hAnsi="Times New Roman" w:cs="Times New Roman"/>
                <w:b/>
                <w:noProof/>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EF74FB" w14:textId="77777777" w:rsidR="00235E11" w:rsidRDefault="00235E11">
            <w:pPr>
              <w:spacing w:after="0"/>
              <w:rPr>
                <w:rFonts w:ascii="Times New Roman" w:eastAsia="Times New Roman" w:hAnsi="Times New Roman" w:cs="Times New Roman"/>
                <w:b/>
                <w:noProo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679E3E" w14:textId="77777777" w:rsidR="00235E11" w:rsidRDefault="00235E11">
            <w:pPr>
              <w:spacing w:after="0"/>
              <w:rPr>
                <w:rFonts w:ascii="Times New Roman" w:eastAsia="Times New Roman" w:hAnsi="Times New Roman" w:cs="Times New Roman"/>
                <w:b/>
                <w:noProof/>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2EA14B" w14:textId="77777777" w:rsidR="00235E11" w:rsidRDefault="00235E11">
            <w:pPr>
              <w:spacing w:after="0"/>
              <w:rPr>
                <w:rFonts w:ascii="Times New Roman" w:eastAsia="Times New Roman" w:hAnsi="Times New Roman" w:cs="Times New Roman"/>
                <w:b/>
                <w:noProof/>
              </w:rPr>
            </w:pPr>
          </w:p>
        </w:tc>
        <w:tc>
          <w:tcPr>
            <w:tcW w:w="992" w:type="dxa"/>
            <w:tcBorders>
              <w:top w:val="nil"/>
              <w:left w:val="single" w:sz="4" w:space="0" w:color="auto"/>
              <w:bottom w:val="single" w:sz="4" w:space="0" w:color="auto"/>
              <w:right w:val="single" w:sz="4" w:space="0" w:color="auto"/>
            </w:tcBorders>
            <w:shd w:val="clear" w:color="auto" w:fill="BDD7EE"/>
            <w:vAlign w:val="center"/>
            <w:hideMark/>
          </w:tcPr>
          <w:p w14:paraId="2EEE7BE2" w14:textId="77777777" w:rsidR="00235E11" w:rsidRDefault="00F837E4">
            <w:pPr>
              <w:pStyle w:val="P68B1DB1-Normal15"/>
              <w:spacing w:after="0"/>
              <w:jc w:val="center"/>
              <w:rPr>
                <w:noProof/>
              </w:rPr>
            </w:pPr>
            <w:r>
              <w:rPr>
                <w:noProof/>
              </w:rPr>
              <w:t>Единица мярка</w:t>
            </w:r>
          </w:p>
        </w:tc>
        <w:tc>
          <w:tcPr>
            <w:tcW w:w="709" w:type="dxa"/>
            <w:tcBorders>
              <w:top w:val="nil"/>
              <w:left w:val="nil"/>
              <w:bottom w:val="single" w:sz="4" w:space="0" w:color="auto"/>
              <w:right w:val="single" w:sz="4" w:space="0" w:color="auto"/>
            </w:tcBorders>
            <w:shd w:val="clear" w:color="auto" w:fill="BDD7EE"/>
            <w:vAlign w:val="center"/>
            <w:hideMark/>
          </w:tcPr>
          <w:p w14:paraId="0E136B71" w14:textId="77777777" w:rsidR="00235E11" w:rsidRDefault="00F837E4">
            <w:pPr>
              <w:pStyle w:val="P68B1DB1-Normal15"/>
              <w:spacing w:after="0"/>
              <w:jc w:val="center"/>
              <w:rPr>
                <w:noProof/>
              </w:rPr>
            </w:pPr>
            <w:r>
              <w:rPr>
                <w:noProof/>
              </w:rPr>
              <w:t xml:space="preserve">Базова линия </w:t>
            </w:r>
          </w:p>
        </w:tc>
        <w:tc>
          <w:tcPr>
            <w:tcW w:w="850" w:type="dxa"/>
            <w:tcBorders>
              <w:top w:val="nil"/>
              <w:left w:val="nil"/>
              <w:bottom w:val="single" w:sz="4" w:space="0" w:color="auto"/>
              <w:right w:val="single" w:sz="4" w:space="0" w:color="auto"/>
            </w:tcBorders>
            <w:shd w:val="clear" w:color="auto" w:fill="BDD7EE"/>
            <w:vAlign w:val="center"/>
            <w:hideMark/>
          </w:tcPr>
          <w:p w14:paraId="1A0D8C78" w14:textId="77777777" w:rsidR="00235E11" w:rsidRDefault="00F837E4">
            <w:pPr>
              <w:pStyle w:val="P68B1DB1-Normal15"/>
              <w:spacing w:after="0"/>
              <w:jc w:val="center"/>
              <w:rPr>
                <w:noProof/>
              </w:rPr>
            </w:pPr>
            <w:r>
              <w:rPr>
                <w:noProof/>
              </w:rPr>
              <w:t xml:space="preserve">Цел </w:t>
            </w:r>
          </w:p>
        </w:tc>
        <w:tc>
          <w:tcPr>
            <w:tcW w:w="709" w:type="dxa"/>
            <w:tcBorders>
              <w:top w:val="nil"/>
              <w:left w:val="nil"/>
              <w:bottom w:val="single" w:sz="4" w:space="0" w:color="auto"/>
              <w:right w:val="single" w:sz="4" w:space="0" w:color="auto"/>
            </w:tcBorders>
            <w:shd w:val="clear" w:color="auto" w:fill="BDD7EE"/>
            <w:vAlign w:val="center"/>
            <w:hideMark/>
          </w:tcPr>
          <w:p w14:paraId="14D296D6" w14:textId="77777777" w:rsidR="00235E11" w:rsidRDefault="00F837E4">
            <w:pPr>
              <w:pStyle w:val="P68B1DB1-Normal15"/>
              <w:spacing w:after="0"/>
              <w:jc w:val="center"/>
              <w:rPr>
                <w:noProof/>
              </w:rPr>
            </w:pPr>
            <w:r>
              <w:rPr>
                <w:noProof/>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6DF14EE7" w14:textId="77777777" w:rsidR="00235E11" w:rsidRDefault="00F837E4">
            <w:pPr>
              <w:pStyle w:val="P68B1DB1-Normal15"/>
              <w:spacing w:after="0"/>
              <w:jc w:val="center"/>
              <w:rPr>
                <w:noProof/>
              </w:rPr>
            </w:pPr>
            <w:r>
              <w:rPr>
                <w:noProof/>
              </w:rPr>
              <w:t>Година</w:t>
            </w:r>
          </w:p>
        </w:tc>
        <w:tc>
          <w:tcPr>
            <w:tcW w:w="6151" w:type="dxa"/>
            <w:vMerge/>
            <w:tcBorders>
              <w:top w:val="single" w:sz="4" w:space="0" w:color="auto"/>
              <w:bottom w:val="single" w:sz="4" w:space="0" w:color="auto"/>
              <w:right w:val="single" w:sz="4" w:space="0" w:color="auto"/>
            </w:tcBorders>
            <w:vAlign w:val="center"/>
            <w:hideMark/>
          </w:tcPr>
          <w:p w14:paraId="5D6CF8D7" w14:textId="77777777" w:rsidR="00235E11" w:rsidRDefault="00235E11">
            <w:pPr>
              <w:spacing w:after="0"/>
              <w:rPr>
                <w:rFonts w:ascii="Times New Roman" w:eastAsia="Times New Roman" w:hAnsi="Times New Roman" w:cs="Times New Roman"/>
                <w:b/>
                <w:noProof/>
              </w:rPr>
            </w:pPr>
          </w:p>
        </w:tc>
      </w:tr>
      <w:tr w:rsidR="00235E11" w14:paraId="4119EDED" w14:textId="77777777">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215EB12" w14:textId="77777777" w:rsidR="00235E11" w:rsidRDefault="00F837E4">
            <w:pPr>
              <w:pStyle w:val="P68B1DB1-Normal10"/>
              <w:spacing w:after="0"/>
              <w:jc w:val="center"/>
              <w:rPr>
                <w:noProof/>
              </w:rPr>
            </w:pPr>
            <w:r>
              <w:rPr>
                <w:noProof/>
              </w:rPr>
              <w:t>94</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E7C8C3" w14:textId="77777777" w:rsidR="00235E11" w:rsidRDefault="00F837E4">
            <w:pPr>
              <w:pStyle w:val="P68B1DB1-Normal9"/>
              <w:spacing w:after="0"/>
              <w:rPr>
                <w:rFonts w:eastAsia="Times New Roman"/>
                <w:noProof/>
              </w:rPr>
            </w:pPr>
            <w:r>
              <w:rPr>
                <w:noProof/>
              </w:rPr>
              <w:t>Велосипедна инфраструктура (I-3A)</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600DB5A9" w14:textId="2C330D49" w:rsidR="00235E11" w:rsidRDefault="00F837E4">
            <w:pPr>
              <w:pStyle w:val="P68B1DB1-Normal9"/>
              <w:spacing w:after="0"/>
              <w:rPr>
                <w:rFonts w:eastAsia="Times New Roman"/>
                <w:noProof/>
              </w:rPr>
            </w:pPr>
            <w:r>
              <w:rPr>
                <w:noProof/>
              </w:rPr>
              <w:t>M</w:t>
            </w:r>
          </w:p>
        </w:tc>
        <w:tc>
          <w:tcPr>
            <w:tcW w:w="1276" w:type="dxa"/>
            <w:tcBorders>
              <w:top w:val="single" w:sz="4" w:space="0" w:color="auto"/>
              <w:left w:val="nil"/>
              <w:bottom w:val="single" w:sz="4" w:space="0" w:color="auto"/>
              <w:right w:val="single" w:sz="4" w:space="0" w:color="auto"/>
            </w:tcBorders>
            <w:shd w:val="clear" w:color="auto" w:fill="C6EFCE"/>
            <w:noWrap/>
            <w:vAlign w:val="center"/>
            <w:hideMark/>
          </w:tcPr>
          <w:p w14:paraId="08FEF68E" w14:textId="77777777" w:rsidR="00235E11" w:rsidRDefault="00F837E4">
            <w:pPr>
              <w:pStyle w:val="P68B1DB1-Normal9"/>
              <w:spacing w:after="0"/>
              <w:rPr>
                <w:rFonts w:eastAsia="Times New Roman"/>
                <w:noProof/>
              </w:rPr>
            </w:pPr>
            <w:r>
              <w:rPr>
                <w:noProof/>
              </w:rPr>
              <w:t>Начало на всички проекти за колоездене и ходене пеша</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845571D" w14:textId="77777777" w:rsidR="00235E11" w:rsidRDefault="00F837E4">
            <w:pPr>
              <w:pStyle w:val="P68B1DB1-Normal10"/>
              <w:spacing w:after="0"/>
              <w:rPr>
                <w:noProof/>
              </w:rPr>
            </w:pPr>
            <w:r>
              <w:rPr>
                <w:noProof/>
              </w:rPr>
              <w:t>Приемане на решението или възлагане на поръчката</w:t>
            </w:r>
          </w:p>
        </w:tc>
        <w:tc>
          <w:tcPr>
            <w:tcW w:w="992" w:type="dxa"/>
            <w:tcBorders>
              <w:top w:val="nil"/>
              <w:left w:val="nil"/>
              <w:bottom w:val="single" w:sz="4" w:space="0" w:color="auto"/>
              <w:right w:val="single" w:sz="4" w:space="0" w:color="auto"/>
            </w:tcBorders>
            <w:shd w:val="clear" w:color="auto" w:fill="C6EFCE"/>
            <w:noWrap/>
            <w:vAlign w:val="center"/>
            <w:hideMark/>
          </w:tcPr>
          <w:p w14:paraId="572BCFD9" w14:textId="77777777" w:rsidR="00235E11" w:rsidRDefault="00235E11">
            <w:pPr>
              <w:spacing w:after="0"/>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D18947" w14:textId="77777777" w:rsidR="00235E11" w:rsidRDefault="00235E11">
            <w:pPr>
              <w:spacing w:after="0"/>
              <w:jc w:val="right"/>
              <w:rPr>
                <w:rFonts w:ascii="Times New Roman" w:eastAsia="Times New Roman" w:hAnsi="Times New Roman" w:cs="Times New Roman"/>
                <w:noProof/>
                <w:color w:val="006100"/>
              </w:rPr>
            </w:pPr>
          </w:p>
        </w:tc>
        <w:tc>
          <w:tcPr>
            <w:tcW w:w="850" w:type="dxa"/>
            <w:tcBorders>
              <w:top w:val="single" w:sz="4" w:space="0" w:color="auto"/>
              <w:left w:val="nil"/>
              <w:bottom w:val="single" w:sz="4" w:space="0" w:color="auto"/>
              <w:right w:val="single" w:sz="4" w:space="0" w:color="auto"/>
            </w:tcBorders>
            <w:shd w:val="clear" w:color="auto" w:fill="C6EFCE"/>
            <w:noWrap/>
            <w:vAlign w:val="center"/>
            <w:hideMark/>
          </w:tcPr>
          <w:p w14:paraId="6F8C53A3"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7571952A" w14:textId="77777777" w:rsidR="00235E11" w:rsidRDefault="00F837E4">
            <w:pPr>
              <w:pStyle w:val="P68B1DB1-Normal9"/>
              <w:spacing w:after="0"/>
              <w:jc w:val="center"/>
              <w:rPr>
                <w:rFonts w:eastAsia="Times New Roman"/>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21745D54" w14:textId="77777777" w:rsidR="00235E11" w:rsidRDefault="00F837E4">
            <w:pPr>
              <w:pStyle w:val="P68B1DB1-Normal9"/>
              <w:spacing w:after="0"/>
              <w:jc w:val="center"/>
              <w:rPr>
                <w:rFonts w:eastAsia="Times New Roman"/>
                <w:noProof/>
              </w:rPr>
            </w:pPr>
            <w:r>
              <w:rPr>
                <w:noProof/>
              </w:rPr>
              <w:t>2024</w:t>
            </w:r>
          </w:p>
        </w:tc>
        <w:tc>
          <w:tcPr>
            <w:tcW w:w="615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CE257B" w14:textId="25A24293" w:rsidR="00235E11" w:rsidRDefault="00F837E4">
            <w:pPr>
              <w:pStyle w:val="P68B1DB1-Normal9"/>
              <w:spacing w:after="120"/>
              <w:rPr>
                <w:noProof/>
              </w:rPr>
            </w:pPr>
            <w:r>
              <w:rPr>
                <w:noProof/>
                <w:u w:val="single"/>
              </w:rPr>
              <w:t>Велосипедна инфраструктура — VLA (I-3.01)</w:t>
            </w:r>
            <w:r>
              <w:rPr>
                <w:noProof/>
              </w:rPr>
              <w:t>: Приемане на решенията относно бюджетните и/или субсидираните условия за програмата на Beleidsdomein Mobiliteit en Openbare Werken.</w:t>
            </w:r>
          </w:p>
          <w:p w14:paraId="69EF1283" w14:textId="65FD20AB" w:rsidR="00235E11" w:rsidRDefault="00F837E4">
            <w:pPr>
              <w:pStyle w:val="P68B1DB1-Normal9"/>
              <w:spacing w:after="120"/>
              <w:rPr>
                <w:noProof/>
              </w:rPr>
            </w:pPr>
            <w:r>
              <w:rPr>
                <w:noProof/>
                <w:u w:val="single"/>
              </w:rPr>
              <w:t>Велосипедна инфраструктура — коридори vélo — WAL (I-3.02)</w:t>
            </w:r>
            <w:r>
              <w:rPr>
                <w:noProof/>
              </w:rPr>
              <w:t>: Възлагане на поръчки за четири участъка във Валония</w:t>
            </w:r>
          </w:p>
          <w:p w14:paraId="00FE9154" w14:textId="375A42AA" w:rsidR="00235E11" w:rsidRDefault="00F837E4">
            <w:pPr>
              <w:pStyle w:val="P68B1DB1-Normal9"/>
              <w:spacing w:after="120"/>
              <w:rPr>
                <w:rFonts w:eastAsia="Times New Roman"/>
                <w:noProof/>
                <w:highlight w:val="cyan"/>
              </w:rPr>
            </w:pPr>
            <w:r>
              <w:rPr>
                <w:noProof/>
                <w:u w:val="single"/>
              </w:rPr>
              <w:t>Велосипедна инфраструктура — VeloPlus — RBC (I-3.03)</w:t>
            </w:r>
            <w:r>
              <w:rPr>
                <w:noProof/>
              </w:rPr>
              <w:t>: Приемане на решение относно маршрутите на велосипедния транспорт в Брюксел</w:t>
            </w:r>
          </w:p>
        </w:tc>
      </w:tr>
      <w:tr w:rsidR="00235E11" w14:paraId="4B4938D1"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1AC96F99" w14:textId="77777777" w:rsidR="00235E11" w:rsidRDefault="00F837E4">
            <w:pPr>
              <w:pStyle w:val="P68B1DB1-Normal10"/>
              <w:spacing w:after="0"/>
              <w:jc w:val="center"/>
              <w:rPr>
                <w:noProof/>
              </w:rPr>
            </w:pPr>
            <w:r>
              <w:rPr>
                <w:noProof/>
              </w:rPr>
              <w:t>95</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CCAFEFF" w14:textId="77777777" w:rsidR="00235E11" w:rsidRDefault="00F837E4">
            <w:pPr>
              <w:pStyle w:val="P68B1DB1-Normal9"/>
              <w:spacing w:after="0"/>
              <w:rPr>
                <w:rFonts w:eastAsia="Times New Roman"/>
                <w:noProof/>
              </w:rPr>
            </w:pPr>
            <w:r>
              <w:rPr>
                <w:noProof/>
              </w:rPr>
              <w:t>Велосипедна инфраструктура (I-3A)</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52A5623D" w14:textId="3D83E24A" w:rsidR="00235E11" w:rsidRDefault="00F837E4">
            <w:pPr>
              <w:pStyle w:val="P68B1DB1-Normal9"/>
              <w:spacing w:after="0"/>
              <w:rPr>
                <w:rFonts w:eastAsia="Times New Roman"/>
                <w:noProof/>
              </w:rPr>
            </w:pPr>
            <w:r>
              <w:rPr>
                <w:noProof/>
              </w:rPr>
              <w:t>T</w:t>
            </w:r>
          </w:p>
        </w:tc>
        <w:tc>
          <w:tcPr>
            <w:tcW w:w="1276" w:type="dxa"/>
            <w:tcBorders>
              <w:top w:val="single" w:sz="4" w:space="0" w:color="auto"/>
              <w:left w:val="nil"/>
              <w:bottom w:val="single" w:sz="4" w:space="0" w:color="auto"/>
              <w:right w:val="single" w:sz="4" w:space="0" w:color="auto"/>
            </w:tcBorders>
            <w:shd w:val="clear" w:color="auto" w:fill="C6EFCE"/>
            <w:noWrap/>
            <w:vAlign w:val="center"/>
            <w:hideMark/>
          </w:tcPr>
          <w:p w14:paraId="2DB6A3B0" w14:textId="77777777" w:rsidR="00235E11" w:rsidRDefault="00F837E4">
            <w:pPr>
              <w:pStyle w:val="P68B1DB1-Normal9"/>
              <w:spacing w:after="0"/>
              <w:rPr>
                <w:rFonts w:eastAsia="Times New Roman"/>
                <w:noProof/>
              </w:rPr>
            </w:pPr>
            <w:r>
              <w:rPr>
                <w:noProof/>
              </w:rPr>
              <w:t>Нови и ремонтирани велосипедни пътища</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52B2757F"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23526BD2" w14:textId="77777777" w:rsidR="00235E11" w:rsidRDefault="00F837E4">
            <w:pPr>
              <w:pStyle w:val="P68B1DB1-Normal9"/>
              <w:spacing w:after="0"/>
              <w:rPr>
                <w:rFonts w:eastAsia="Times New Roman"/>
                <w:noProof/>
              </w:rPr>
            </w:pPr>
            <w:r>
              <w:rPr>
                <w:noProof/>
              </w:rPr>
              <w:t>километър</w:t>
            </w:r>
          </w:p>
        </w:tc>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2BFF133C" w14:textId="77777777" w:rsidR="00235E11" w:rsidRDefault="00F837E4">
            <w:pPr>
              <w:pStyle w:val="P68B1DB1-Normal9"/>
              <w:spacing w:after="0"/>
              <w:jc w:val="right"/>
              <w:rPr>
                <w:rFonts w:eastAsia="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vAlign w:val="center"/>
            <w:hideMark/>
          </w:tcPr>
          <w:p w14:paraId="7391A442" w14:textId="1DD1601B" w:rsidR="00235E11" w:rsidRDefault="00F837E4">
            <w:pPr>
              <w:pStyle w:val="P68B1DB1-Normal9"/>
              <w:spacing w:after="0"/>
              <w:jc w:val="right"/>
              <w:rPr>
                <w:rFonts w:eastAsia="Times New Roman"/>
                <w:noProof/>
              </w:rPr>
            </w:pPr>
            <w:r>
              <w:rPr>
                <w:noProof/>
              </w:rPr>
              <w:t>6.3</w:t>
            </w:r>
          </w:p>
        </w:tc>
        <w:tc>
          <w:tcPr>
            <w:tcW w:w="709" w:type="dxa"/>
            <w:tcBorders>
              <w:top w:val="nil"/>
              <w:left w:val="nil"/>
              <w:bottom w:val="single" w:sz="4" w:space="0" w:color="auto"/>
              <w:right w:val="single" w:sz="4" w:space="0" w:color="auto"/>
            </w:tcBorders>
            <w:shd w:val="clear" w:color="auto" w:fill="C6EFCE"/>
            <w:noWrap/>
            <w:vAlign w:val="center"/>
            <w:hideMark/>
          </w:tcPr>
          <w:p w14:paraId="35577269" w14:textId="77777777" w:rsidR="00235E11" w:rsidRDefault="00F837E4">
            <w:pPr>
              <w:pStyle w:val="P68B1DB1-Normal9"/>
              <w:spacing w:after="0"/>
              <w:jc w:val="center"/>
              <w:rPr>
                <w:rFonts w:eastAsia="Times New Roman"/>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hideMark/>
          </w:tcPr>
          <w:p w14:paraId="76CCF87D" w14:textId="77777777" w:rsidR="00235E11" w:rsidRDefault="00F837E4">
            <w:pPr>
              <w:pStyle w:val="P68B1DB1-Normal9"/>
              <w:spacing w:after="0"/>
              <w:jc w:val="center"/>
              <w:rPr>
                <w:rFonts w:eastAsia="Times New Roman"/>
                <w:noProof/>
              </w:rPr>
            </w:pPr>
            <w:r>
              <w:rPr>
                <w:noProof/>
              </w:rPr>
              <w:t>2024</w:t>
            </w:r>
          </w:p>
        </w:tc>
        <w:tc>
          <w:tcPr>
            <w:tcW w:w="6151" w:type="dxa"/>
            <w:tcBorders>
              <w:top w:val="nil"/>
              <w:left w:val="single" w:sz="4" w:space="0" w:color="auto"/>
              <w:bottom w:val="single" w:sz="4" w:space="0" w:color="auto"/>
              <w:right w:val="single" w:sz="4" w:space="0" w:color="auto"/>
            </w:tcBorders>
            <w:shd w:val="clear" w:color="auto" w:fill="C6EFCE"/>
            <w:noWrap/>
            <w:vAlign w:val="center"/>
            <w:hideMark/>
          </w:tcPr>
          <w:p w14:paraId="33D8A490" w14:textId="4B3BEC78" w:rsidR="00235E11" w:rsidRDefault="00F837E4">
            <w:pPr>
              <w:pStyle w:val="P68B1DB1-Normal9"/>
              <w:spacing w:after="120"/>
              <w:rPr>
                <w:noProof/>
              </w:rPr>
            </w:pPr>
            <w:r>
              <w:rPr>
                <w:noProof/>
              </w:rPr>
              <w:t>6.3 км нови и обновени велосипедни алеи.</w:t>
            </w:r>
          </w:p>
          <w:p w14:paraId="279EA139" w14:textId="53D46B0E" w:rsidR="00235E11" w:rsidRDefault="00F837E4">
            <w:pPr>
              <w:pStyle w:val="P68B1DB1-Normal9"/>
              <w:spacing w:after="0"/>
              <w:rPr>
                <w:noProof/>
              </w:rPr>
            </w:pPr>
            <w:r>
              <w:rPr>
                <w:noProof/>
              </w:rPr>
              <w:t xml:space="preserve">Тази цел е разделена индикативно на следните подцели, които не трябва да бъдат постигнати поотделно, при условие че са постигнати горепосочените километри велосипедни алеи: </w:t>
            </w:r>
          </w:p>
          <w:p w14:paraId="3065C527" w14:textId="6E8A2639" w:rsidR="00235E11" w:rsidRDefault="00F837E4">
            <w:pPr>
              <w:pStyle w:val="P68B1DB1-Normal9"/>
              <w:spacing w:after="0"/>
              <w:rPr>
                <w:noProof/>
              </w:rPr>
            </w:pPr>
            <w:r>
              <w:rPr>
                <w:noProof/>
              </w:rPr>
              <w:t>I) Регион Брюксел-столица (във връзка с I-3.03): 6.3 реконструирани и нови км</w:t>
            </w:r>
          </w:p>
        </w:tc>
      </w:tr>
      <w:tr w:rsidR="00235E11" w14:paraId="5A07D63A"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531586FC" w14:textId="77777777" w:rsidR="00235E11" w:rsidRDefault="00F837E4">
            <w:pPr>
              <w:pStyle w:val="P68B1DB1-Normal10"/>
              <w:spacing w:after="0"/>
              <w:jc w:val="center"/>
              <w:rPr>
                <w:noProof/>
              </w:rPr>
            </w:pPr>
            <w:r>
              <w:rPr>
                <w:noProof/>
              </w:rPr>
              <w:t>96</w:t>
            </w:r>
          </w:p>
        </w:tc>
        <w:tc>
          <w:tcPr>
            <w:tcW w:w="1559" w:type="dxa"/>
            <w:tcBorders>
              <w:top w:val="nil"/>
              <w:left w:val="single" w:sz="4" w:space="0" w:color="auto"/>
              <w:bottom w:val="single" w:sz="4" w:space="0" w:color="auto"/>
              <w:right w:val="single" w:sz="4" w:space="0" w:color="auto"/>
            </w:tcBorders>
            <w:shd w:val="clear" w:color="auto" w:fill="C6EFCE"/>
            <w:noWrap/>
            <w:vAlign w:val="center"/>
            <w:hideMark/>
          </w:tcPr>
          <w:p w14:paraId="7BE86250" w14:textId="77777777" w:rsidR="00235E11" w:rsidRDefault="00F837E4">
            <w:pPr>
              <w:pStyle w:val="P68B1DB1-Normal9"/>
              <w:spacing w:after="0"/>
              <w:rPr>
                <w:rFonts w:eastAsia="Times New Roman"/>
                <w:noProof/>
              </w:rPr>
            </w:pPr>
            <w:r>
              <w:rPr>
                <w:noProof/>
              </w:rPr>
              <w:t>Велосипедна инфраструктура (I-3A)</w:t>
            </w:r>
          </w:p>
        </w:tc>
        <w:tc>
          <w:tcPr>
            <w:tcW w:w="709" w:type="dxa"/>
            <w:tcBorders>
              <w:top w:val="nil"/>
              <w:left w:val="nil"/>
              <w:bottom w:val="single" w:sz="4" w:space="0" w:color="auto"/>
              <w:right w:val="single" w:sz="4" w:space="0" w:color="auto"/>
            </w:tcBorders>
            <w:shd w:val="clear" w:color="auto" w:fill="C6EFCE"/>
            <w:noWrap/>
            <w:vAlign w:val="center"/>
            <w:hideMark/>
          </w:tcPr>
          <w:p w14:paraId="1D107F11" w14:textId="5868106D" w:rsidR="00235E11" w:rsidRDefault="00F837E4">
            <w:pPr>
              <w:pStyle w:val="P68B1DB1-Normal9"/>
              <w:spacing w:after="0"/>
              <w:rPr>
                <w:rFonts w:eastAsia="Times New Roman"/>
                <w:noProof/>
              </w:rPr>
            </w:pPr>
            <w:r>
              <w:rPr>
                <w:noProof/>
              </w:rPr>
              <w:t>T</w:t>
            </w:r>
          </w:p>
        </w:tc>
        <w:tc>
          <w:tcPr>
            <w:tcW w:w="1276" w:type="dxa"/>
            <w:tcBorders>
              <w:top w:val="nil"/>
              <w:left w:val="nil"/>
              <w:bottom w:val="single" w:sz="4" w:space="0" w:color="auto"/>
              <w:right w:val="single" w:sz="4" w:space="0" w:color="auto"/>
            </w:tcBorders>
            <w:shd w:val="clear" w:color="auto" w:fill="C6EFCE"/>
            <w:noWrap/>
            <w:vAlign w:val="center"/>
            <w:hideMark/>
          </w:tcPr>
          <w:p w14:paraId="1CE76726" w14:textId="77777777" w:rsidR="00235E11" w:rsidRDefault="00F837E4">
            <w:pPr>
              <w:pStyle w:val="P68B1DB1-Normal9"/>
              <w:spacing w:after="0"/>
              <w:rPr>
                <w:rFonts w:eastAsia="Times New Roman"/>
                <w:noProof/>
              </w:rPr>
            </w:pPr>
            <w:r>
              <w:rPr>
                <w:noProof/>
              </w:rPr>
              <w:t>Нови и ремонтирани велосипедни пътища</w:t>
            </w:r>
          </w:p>
        </w:tc>
        <w:tc>
          <w:tcPr>
            <w:tcW w:w="1134" w:type="dxa"/>
            <w:tcBorders>
              <w:top w:val="nil"/>
              <w:left w:val="nil"/>
              <w:bottom w:val="single" w:sz="4" w:space="0" w:color="auto"/>
              <w:right w:val="single" w:sz="4" w:space="0" w:color="auto"/>
            </w:tcBorders>
            <w:shd w:val="clear" w:color="auto" w:fill="C6EFCE"/>
            <w:noWrap/>
            <w:vAlign w:val="center"/>
            <w:hideMark/>
          </w:tcPr>
          <w:p w14:paraId="746CEA94" w14:textId="77777777" w:rsidR="00235E11" w:rsidRDefault="00235E11">
            <w:pPr>
              <w:spacing w:after="0"/>
              <w:rPr>
                <w:rFonts w:ascii="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11701E70" w14:textId="77777777" w:rsidR="00235E11" w:rsidRDefault="00F837E4">
            <w:pPr>
              <w:pStyle w:val="P68B1DB1-Normal9"/>
              <w:spacing w:after="0"/>
              <w:rPr>
                <w:rFonts w:eastAsia="Times New Roman"/>
                <w:noProof/>
              </w:rPr>
            </w:pPr>
            <w:r>
              <w:rPr>
                <w:noProof/>
              </w:rPr>
              <w:t>километър</w:t>
            </w:r>
          </w:p>
        </w:tc>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154C6D1B" w14:textId="02F36D15" w:rsidR="00235E11" w:rsidRDefault="00F837E4">
            <w:pPr>
              <w:pStyle w:val="P68B1DB1-Normal9"/>
              <w:spacing w:after="0"/>
              <w:jc w:val="right"/>
              <w:rPr>
                <w:rFonts w:eastAsia="Times New Roman"/>
                <w:noProof/>
              </w:rPr>
            </w:pPr>
            <w:r>
              <w:rPr>
                <w:noProof/>
              </w:rPr>
              <w:t>6.3</w:t>
            </w:r>
          </w:p>
        </w:tc>
        <w:tc>
          <w:tcPr>
            <w:tcW w:w="850" w:type="dxa"/>
            <w:tcBorders>
              <w:top w:val="nil"/>
              <w:left w:val="nil"/>
              <w:bottom w:val="single" w:sz="4" w:space="0" w:color="auto"/>
              <w:right w:val="single" w:sz="4" w:space="0" w:color="auto"/>
            </w:tcBorders>
            <w:shd w:val="clear" w:color="auto" w:fill="C6EFCE"/>
            <w:noWrap/>
            <w:vAlign w:val="center"/>
            <w:hideMark/>
          </w:tcPr>
          <w:p w14:paraId="3002640D" w14:textId="0E0FD40D" w:rsidR="00235E11" w:rsidRDefault="00F837E4">
            <w:pPr>
              <w:pStyle w:val="P68B1DB1-Normal9"/>
              <w:spacing w:after="0"/>
              <w:jc w:val="right"/>
              <w:rPr>
                <w:rFonts w:eastAsia="Times New Roman"/>
                <w:noProof/>
              </w:rPr>
            </w:pPr>
            <w:r>
              <w:rPr>
                <w:noProof/>
              </w:rPr>
              <w:t>432.77</w:t>
            </w:r>
          </w:p>
        </w:tc>
        <w:tc>
          <w:tcPr>
            <w:tcW w:w="709" w:type="dxa"/>
            <w:tcBorders>
              <w:top w:val="nil"/>
              <w:left w:val="nil"/>
              <w:bottom w:val="single" w:sz="4" w:space="0" w:color="auto"/>
              <w:right w:val="single" w:sz="4" w:space="0" w:color="auto"/>
            </w:tcBorders>
            <w:shd w:val="clear" w:color="auto" w:fill="C6EFCE"/>
            <w:noWrap/>
            <w:vAlign w:val="center"/>
            <w:hideMark/>
          </w:tcPr>
          <w:p w14:paraId="66C505E3"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2F7FB407" w14:textId="77777777" w:rsidR="00235E11" w:rsidRDefault="00F837E4">
            <w:pPr>
              <w:pStyle w:val="P68B1DB1-Normal9"/>
              <w:spacing w:after="0"/>
              <w:jc w:val="center"/>
              <w:rPr>
                <w:rFonts w:eastAsia="Times New Roman"/>
                <w:noProof/>
              </w:rPr>
            </w:pPr>
            <w:r>
              <w:rPr>
                <w:noProof/>
              </w:rPr>
              <w:t>2026</w:t>
            </w:r>
          </w:p>
        </w:tc>
        <w:tc>
          <w:tcPr>
            <w:tcW w:w="6151" w:type="dxa"/>
            <w:tcBorders>
              <w:top w:val="nil"/>
              <w:left w:val="single" w:sz="4" w:space="0" w:color="auto"/>
              <w:bottom w:val="single" w:sz="4" w:space="0" w:color="auto"/>
              <w:right w:val="single" w:sz="4" w:space="0" w:color="auto"/>
            </w:tcBorders>
            <w:shd w:val="clear" w:color="auto" w:fill="C6EFCE"/>
            <w:noWrap/>
            <w:vAlign w:val="center"/>
            <w:hideMark/>
          </w:tcPr>
          <w:p w14:paraId="7E75B6DC" w14:textId="2432580A" w:rsidR="00235E11" w:rsidRDefault="00F837E4">
            <w:pPr>
              <w:pStyle w:val="P68B1DB1-Normal9"/>
              <w:spacing w:after="120"/>
              <w:rPr>
                <w:noProof/>
              </w:rPr>
            </w:pPr>
            <w:r>
              <w:rPr>
                <w:noProof/>
              </w:rPr>
              <w:t>432.77 км нови и обновени велосипедни алеи.</w:t>
            </w:r>
          </w:p>
          <w:p w14:paraId="01D38CCC" w14:textId="778FB325" w:rsidR="00235E11" w:rsidRDefault="00F837E4">
            <w:pPr>
              <w:pStyle w:val="P68B1DB1-Normal9"/>
              <w:spacing w:after="120"/>
              <w:rPr>
                <w:noProof/>
              </w:rPr>
            </w:pPr>
            <w:r>
              <w:rPr>
                <w:noProof/>
              </w:rPr>
              <w:t xml:space="preserve">Тази цел е разделена индикативно на следните подцели, които не трябва да бъдат постигнати поотделно, при условие че са постигнати горепосочените километри велосипедни алеи: </w:t>
            </w:r>
          </w:p>
          <w:p w14:paraId="78A7FC7D" w14:textId="33512F98" w:rsidR="00235E11" w:rsidRDefault="00F837E4">
            <w:pPr>
              <w:pStyle w:val="P68B1DB1-Normal9"/>
              <w:spacing w:after="0"/>
              <w:rPr>
                <w:noProof/>
              </w:rPr>
            </w:pPr>
            <w:r>
              <w:rPr>
                <w:noProof/>
              </w:rPr>
              <w:t>I) Регион Брюксел-столица (във връзка с I-3.03): 4.5 реконструирани и 11.7 нови км</w:t>
            </w:r>
          </w:p>
          <w:p w14:paraId="5F8E49EF" w14:textId="7891A611" w:rsidR="00235E11" w:rsidRDefault="00F837E4">
            <w:pPr>
              <w:pStyle w:val="P68B1DB1-Normal9"/>
              <w:spacing w:after="0"/>
              <w:rPr>
                <w:noProof/>
              </w:rPr>
            </w:pPr>
            <w:r>
              <w:rPr>
                <w:noProof/>
              </w:rPr>
              <w:t>II) Фламандски регион (във връзка с I-3.01): 365.0 реконструирани и 40.0 нови км</w:t>
            </w:r>
          </w:p>
          <w:p w14:paraId="512A2CDC" w14:textId="0D613667" w:rsidR="00235E11" w:rsidRDefault="00F837E4">
            <w:pPr>
              <w:pStyle w:val="P68B1DB1-Normal9"/>
              <w:spacing w:after="0"/>
              <w:rPr>
                <w:noProof/>
              </w:rPr>
            </w:pPr>
            <w:r>
              <w:rPr>
                <w:noProof/>
              </w:rPr>
              <w:t>III) Валонски регион (във връзка с I-3.02): 11.57 нови километра</w:t>
            </w:r>
          </w:p>
        </w:tc>
      </w:tr>
      <w:tr w:rsidR="00235E11" w14:paraId="113BAB51"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79B254E5" w14:textId="77777777" w:rsidR="00235E11" w:rsidRDefault="00F837E4">
            <w:pPr>
              <w:pStyle w:val="P68B1DB1-Normal10"/>
              <w:spacing w:after="0"/>
              <w:jc w:val="center"/>
              <w:rPr>
                <w:noProof/>
              </w:rPr>
            </w:pPr>
            <w:r>
              <w:rPr>
                <w:noProof/>
              </w:rPr>
              <w:t>97</w:t>
            </w:r>
          </w:p>
        </w:tc>
        <w:tc>
          <w:tcPr>
            <w:tcW w:w="1559" w:type="dxa"/>
            <w:tcBorders>
              <w:top w:val="nil"/>
              <w:left w:val="single" w:sz="4" w:space="0" w:color="auto"/>
              <w:bottom w:val="single" w:sz="4" w:space="0" w:color="auto"/>
              <w:right w:val="single" w:sz="4" w:space="0" w:color="auto"/>
            </w:tcBorders>
            <w:shd w:val="clear" w:color="auto" w:fill="C6EFCE"/>
            <w:noWrap/>
            <w:vAlign w:val="center"/>
            <w:hideMark/>
          </w:tcPr>
          <w:p w14:paraId="496FCFA0" w14:textId="155AC529" w:rsidR="00235E11" w:rsidRDefault="00F837E4">
            <w:pPr>
              <w:pStyle w:val="P68B1DB1-Normal9"/>
              <w:spacing w:after="0"/>
              <w:rPr>
                <w:rFonts w:eastAsia="Times New Roman"/>
                <w:noProof/>
              </w:rPr>
            </w:pPr>
            <w:r>
              <w:rPr>
                <w:noProof/>
              </w:rPr>
              <w:t>Велосипедна инфраструктура — VeloPlus — RBC (I-3.03a)</w:t>
            </w:r>
          </w:p>
        </w:tc>
        <w:tc>
          <w:tcPr>
            <w:tcW w:w="709" w:type="dxa"/>
            <w:tcBorders>
              <w:top w:val="nil"/>
              <w:left w:val="nil"/>
              <w:bottom w:val="single" w:sz="4" w:space="0" w:color="auto"/>
              <w:right w:val="single" w:sz="4" w:space="0" w:color="auto"/>
            </w:tcBorders>
            <w:shd w:val="clear" w:color="auto" w:fill="C6EFCE"/>
            <w:noWrap/>
            <w:vAlign w:val="center"/>
            <w:hideMark/>
          </w:tcPr>
          <w:p w14:paraId="617CFF78" w14:textId="2EF49FA2" w:rsidR="00235E11" w:rsidRDefault="00F837E4">
            <w:pPr>
              <w:pStyle w:val="P68B1DB1-Normal9"/>
              <w:spacing w:after="0"/>
              <w:rPr>
                <w:rFonts w:eastAsia="Times New Roman"/>
                <w:noProof/>
              </w:rPr>
            </w:pPr>
            <w:r>
              <w:rPr>
                <w:noProof/>
              </w:rPr>
              <w:t>T</w:t>
            </w:r>
          </w:p>
        </w:tc>
        <w:tc>
          <w:tcPr>
            <w:tcW w:w="1276" w:type="dxa"/>
            <w:tcBorders>
              <w:top w:val="nil"/>
              <w:left w:val="nil"/>
              <w:bottom w:val="single" w:sz="4" w:space="0" w:color="auto"/>
              <w:right w:val="single" w:sz="4" w:space="0" w:color="auto"/>
            </w:tcBorders>
            <w:shd w:val="clear" w:color="auto" w:fill="C6EFCE"/>
            <w:noWrap/>
            <w:vAlign w:val="center"/>
            <w:hideMark/>
          </w:tcPr>
          <w:p w14:paraId="13619057" w14:textId="77777777" w:rsidR="00235E11" w:rsidRDefault="00F837E4">
            <w:pPr>
              <w:pStyle w:val="P68B1DB1-Normal9"/>
              <w:spacing w:after="0"/>
              <w:rPr>
                <w:rFonts w:eastAsia="Times New Roman"/>
                <w:noProof/>
              </w:rPr>
            </w:pPr>
            <w:r>
              <w:rPr>
                <w:noProof/>
              </w:rPr>
              <w:t>Нов обществен велосипеден паркинг за жителите</w:t>
            </w:r>
          </w:p>
        </w:tc>
        <w:tc>
          <w:tcPr>
            <w:tcW w:w="1134" w:type="dxa"/>
            <w:tcBorders>
              <w:top w:val="nil"/>
              <w:left w:val="nil"/>
              <w:bottom w:val="single" w:sz="4" w:space="0" w:color="auto"/>
              <w:right w:val="single" w:sz="4" w:space="0" w:color="auto"/>
            </w:tcBorders>
            <w:shd w:val="clear" w:color="auto" w:fill="C6EFCE"/>
            <w:noWrap/>
            <w:vAlign w:val="center"/>
            <w:hideMark/>
          </w:tcPr>
          <w:p w14:paraId="20EB02BE" w14:textId="77777777" w:rsidR="00235E11" w:rsidRDefault="00235E11">
            <w:pPr>
              <w:spacing w:after="0"/>
              <w:rPr>
                <w:rFonts w:ascii="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72D50225" w14:textId="77777777" w:rsidR="00235E11" w:rsidRDefault="00F837E4">
            <w:pPr>
              <w:pStyle w:val="P68B1DB1-Normal9"/>
              <w:spacing w:after="0"/>
              <w:rPr>
                <w:rFonts w:eastAsia="Times New Roman"/>
                <w:noProof/>
              </w:rPr>
            </w:pPr>
            <w:r>
              <w:rPr>
                <w:noProof/>
              </w:rPr>
              <w:t>Места за паркиране с велосипед</w:t>
            </w:r>
          </w:p>
        </w:tc>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70C03E73" w14:textId="77777777" w:rsidR="00235E11" w:rsidRDefault="00F837E4">
            <w:pPr>
              <w:pStyle w:val="P68B1DB1-Normal9"/>
              <w:spacing w:after="0"/>
              <w:rPr>
                <w:rFonts w:eastAsia="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vAlign w:val="center"/>
            <w:hideMark/>
          </w:tcPr>
          <w:p w14:paraId="1A28A91B" w14:textId="1AC837C4" w:rsidR="00235E11" w:rsidRDefault="00F837E4">
            <w:pPr>
              <w:pStyle w:val="P68B1DB1-Normal9"/>
              <w:spacing w:after="0"/>
              <w:rPr>
                <w:rFonts w:eastAsia="Times New Roman"/>
                <w:noProof/>
              </w:rPr>
            </w:pPr>
            <w:r>
              <w:rPr>
                <w:noProof/>
              </w:rPr>
              <w:t>7 000</w:t>
            </w:r>
          </w:p>
        </w:tc>
        <w:tc>
          <w:tcPr>
            <w:tcW w:w="709" w:type="dxa"/>
            <w:tcBorders>
              <w:top w:val="nil"/>
              <w:left w:val="nil"/>
              <w:bottom w:val="single" w:sz="4" w:space="0" w:color="auto"/>
              <w:right w:val="single" w:sz="4" w:space="0" w:color="auto"/>
            </w:tcBorders>
            <w:shd w:val="clear" w:color="auto" w:fill="C6EFCE"/>
            <w:noWrap/>
            <w:vAlign w:val="center"/>
            <w:hideMark/>
          </w:tcPr>
          <w:p w14:paraId="24EC36DE"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1501B61F" w14:textId="77777777" w:rsidR="00235E11" w:rsidRDefault="00F837E4">
            <w:pPr>
              <w:pStyle w:val="P68B1DB1-Normal9"/>
              <w:spacing w:after="0"/>
              <w:jc w:val="center"/>
              <w:rPr>
                <w:rFonts w:eastAsia="Times New Roman"/>
                <w:noProof/>
              </w:rPr>
            </w:pPr>
            <w:r>
              <w:rPr>
                <w:noProof/>
              </w:rPr>
              <w:t>2026</w:t>
            </w:r>
          </w:p>
        </w:tc>
        <w:tc>
          <w:tcPr>
            <w:tcW w:w="6151" w:type="dxa"/>
            <w:tcBorders>
              <w:top w:val="nil"/>
              <w:left w:val="single" w:sz="4" w:space="0" w:color="auto"/>
              <w:bottom w:val="single" w:sz="4" w:space="0" w:color="auto"/>
              <w:right w:val="single" w:sz="4" w:space="0" w:color="auto"/>
            </w:tcBorders>
            <w:shd w:val="clear" w:color="auto" w:fill="C6EFCE"/>
            <w:noWrap/>
            <w:vAlign w:val="center"/>
            <w:hideMark/>
          </w:tcPr>
          <w:p w14:paraId="7DB48412" w14:textId="602C33B3" w:rsidR="00235E11" w:rsidRDefault="00F837E4">
            <w:pPr>
              <w:pStyle w:val="P68B1DB1-Normal9"/>
              <w:spacing w:after="0"/>
              <w:rPr>
                <w:rFonts w:eastAsia="Times New Roman"/>
                <w:noProof/>
                <w:highlight w:val="cyan"/>
              </w:rPr>
            </w:pPr>
            <w:r>
              <w:rPr>
                <w:noProof/>
              </w:rPr>
              <w:t>7 000 нови обществени места за паркиране на велосипеди.</w:t>
            </w:r>
          </w:p>
        </w:tc>
      </w:tr>
    </w:tbl>
    <w:p w14:paraId="01EC916C" w14:textId="77777777" w:rsidR="00235E11" w:rsidRDefault="00235E11">
      <w:pPr>
        <w:pStyle w:val="Text1"/>
        <w:ind w:left="709"/>
        <w:rPr>
          <w:noProof/>
        </w:rPr>
      </w:pPr>
    </w:p>
    <w:p w14:paraId="6B93831F" w14:textId="77777777" w:rsidR="00235E11" w:rsidRDefault="00235E11">
      <w:pPr>
        <w:ind w:left="709"/>
        <w:rPr>
          <w:rFonts w:ascii="Times New Roman" w:hAnsi="Times New Roman" w:cs="Times New Roman"/>
          <w:noProof/>
        </w:rPr>
        <w:sectPr w:rsidR="00235E11" w:rsidSect="007F56C3">
          <w:headerReference w:type="even" r:id="rId108"/>
          <w:headerReference w:type="default" r:id="rId109"/>
          <w:footerReference w:type="even" r:id="rId110"/>
          <w:footerReference w:type="default" r:id="rId111"/>
          <w:headerReference w:type="first" r:id="rId112"/>
          <w:footerReference w:type="first" r:id="rId113"/>
          <w:pgSz w:w="16839" w:h="11907" w:orient="landscape"/>
          <w:pgMar w:top="1134" w:right="1134" w:bottom="1134" w:left="1134" w:header="567" w:footer="567" w:gutter="0"/>
          <w:cols w:space="720"/>
          <w:docGrid w:linePitch="360"/>
        </w:sectPr>
      </w:pPr>
    </w:p>
    <w:p w14:paraId="151A2085" w14:textId="2FA17AE7" w:rsidR="00235E11" w:rsidRDefault="00F837E4">
      <w:pPr>
        <w:pStyle w:val="paragraph"/>
        <w:spacing w:before="0" w:beforeAutospacing="0" w:after="120" w:afterAutospacing="0"/>
        <w:textAlignment w:val="baseline"/>
        <w:rPr>
          <w:noProof/>
        </w:rPr>
      </w:pPr>
      <w:r>
        <w:rPr>
          <w:rStyle w:val="normaltextrun"/>
          <w:rFonts w:eastAsiaTheme="majorEastAsia"/>
          <w:b/>
          <w:noProof/>
          <w:u w:val="single"/>
        </w:rPr>
        <w:t>Ж.3. Описание на реформите и инвестициите за заема</w:t>
      </w:r>
    </w:p>
    <w:p w14:paraId="265E5A38" w14:textId="48BCB4D6" w:rsidR="00235E11" w:rsidRDefault="00F837E4">
      <w:pPr>
        <w:pStyle w:val="P68B1DB1-Normal13"/>
        <w:spacing w:before="120" w:after="120" w:line="240" w:lineRule="auto"/>
        <w:jc w:val="both"/>
        <w:rPr>
          <w:noProof/>
        </w:rPr>
      </w:pPr>
      <w:r>
        <w:rPr>
          <w:noProof/>
        </w:rPr>
        <w:t>Инвестиция I-3.03б: „Велосипедна инфраструктура — Vélo Plus — FED“ на федералната държава</w:t>
      </w:r>
    </w:p>
    <w:p w14:paraId="0CB7F043" w14:textId="77777777" w:rsidR="00235E11" w:rsidRDefault="00F837E4">
      <w:pPr>
        <w:pStyle w:val="NormalLeft"/>
        <w:jc w:val="both"/>
        <w:rPr>
          <w:noProof/>
        </w:rPr>
      </w:pPr>
      <w:r>
        <w:rPr>
          <w:noProof/>
        </w:rPr>
        <w:t>Тази инвестиция се състои в изграждането на най-малко 4.8 км велосипедни алеи в Брюксел. Изпълнението на инвестицията трябва да приключи до 30 юни 2026 г.</w:t>
      </w:r>
    </w:p>
    <w:p w14:paraId="0788EC9F" w14:textId="2811AA3D" w:rsidR="00235E11" w:rsidRDefault="00F837E4">
      <w:pPr>
        <w:pStyle w:val="P68B1DB1-Text111"/>
        <w:ind w:left="0"/>
        <w:rPr>
          <w:noProof/>
        </w:rPr>
      </w:pPr>
      <w:r>
        <w:rPr>
          <w:noProof/>
        </w:rPr>
        <w:t>Инвестиция I-3.04: „Велосипедна и пешеходна инфраструктура — Шуман“ на федералната държава</w:t>
      </w:r>
    </w:p>
    <w:p w14:paraId="2AEA3EAB" w14:textId="2C0D0A95" w:rsidR="00235E11" w:rsidRDefault="00F837E4">
      <w:pPr>
        <w:pStyle w:val="P68B1DB1-Normal17"/>
        <w:spacing w:before="120" w:after="120" w:line="240" w:lineRule="auto"/>
        <w:jc w:val="both"/>
        <w:rPr>
          <w:noProof/>
          <w:sz w:val="24"/>
        </w:rPr>
      </w:pPr>
      <w:r>
        <w:rPr>
          <w:noProof/>
          <w:sz w:val="24"/>
        </w:rPr>
        <w:t>Тази инвестиция се състои в изграждането на най-малко 25</w:t>
      </w:r>
      <w:r>
        <w:rPr>
          <w:noProof/>
          <w:color w:val="006100"/>
        </w:rPr>
        <w:t xml:space="preserve"> </w:t>
      </w:r>
      <w:r>
        <w:rPr>
          <w:noProof/>
          <w:sz w:val="24"/>
        </w:rPr>
        <w:t>000 m² велосипедна и пешеходна инфраструктура около площад „Шуман“ в Брюксел. Изпълнението на инвестицията трябва да приключи до 30 юни 2026 г.</w:t>
      </w:r>
    </w:p>
    <w:p w14:paraId="10232571" w14:textId="77777777" w:rsidR="00235E11" w:rsidRDefault="00235E11">
      <w:pPr>
        <w:spacing w:before="120" w:after="120" w:line="240" w:lineRule="auto"/>
        <w:jc w:val="both"/>
        <w:rPr>
          <w:rFonts w:ascii="Times New Roman" w:hAnsi="Times New Roman" w:cs="Times New Roman"/>
          <w:noProof/>
          <w:sz w:val="24"/>
        </w:rPr>
      </w:pPr>
    </w:p>
    <w:p w14:paraId="2F60176D" w14:textId="1C51E4C6" w:rsidR="00235E11" w:rsidRDefault="00F837E4">
      <w:pPr>
        <w:pStyle w:val="paragraph"/>
        <w:spacing w:before="0" w:beforeAutospacing="0" w:after="120" w:afterAutospacing="0"/>
        <w:jc w:val="both"/>
        <w:textAlignment w:val="baseline"/>
        <w:rPr>
          <w:rStyle w:val="eop"/>
          <w:b/>
          <w:noProof/>
          <w:color w:val="000000" w:themeColor="text1"/>
        </w:rPr>
      </w:pPr>
      <w:r>
        <w:rPr>
          <w:rStyle w:val="normaltextrun"/>
          <w:rFonts w:eastAsiaTheme="majorEastAsia"/>
          <w:b/>
          <w:noProof/>
          <w:color w:val="000000" w:themeColor="text1"/>
          <w:u w:val="single"/>
        </w:rPr>
        <w:t>Ж.4. Ключови етапи, цели, показатели и график за мониторинг и изпълнение на заема</w:t>
      </w:r>
    </w:p>
    <w:p w14:paraId="05CA948C" w14:textId="77777777" w:rsidR="00235E11" w:rsidRDefault="00235E11">
      <w:pPr>
        <w:pStyle w:val="Text1"/>
        <w:ind w:left="709"/>
        <w:rPr>
          <w:noProof/>
        </w:rPr>
      </w:pPr>
    </w:p>
    <w:p w14:paraId="47B15FE7" w14:textId="77777777" w:rsidR="00235E11" w:rsidRDefault="00235E11">
      <w:pPr>
        <w:ind w:left="709"/>
        <w:rPr>
          <w:rFonts w:ascii="Times New Roman" w:hAnsi="Times New Roman" w:cs="Times New Roman"/>
          <w:noProof/>
        </w:rPr>
        <w:sectPr w:rsidR="00235E11" w:rsidSect="007F56C3">
          <w:headerReference w:type="even" r:id="rId114"/>
          <w:headerReference w:type="default" r:id="rId115"/>
          <w:footerReference w:type="even" r:id="rId116"/>
          <w:footerReference w:type="default" r:id="rId117"/>
          <w:headerReference w:type="first" r:id="rId118"/>
          <w:footerReference w:type="first" r:id="rId119"/>
          <w:pgSz w:w="11907" w:h="16839"/>
          <w:pgMar w:top="1134" w:right="1134" w:bottom="1134" w:left="1134" w:header="567" w:footer="567" w:gutter="0"/>
          <w:cols w:space="720"/>
          <w:docGrid w:linePitch="360"/>
        </w:sectPr>
      </w:pPr>
    </w:p>
    <w:p w14:paraId="14832261" w14:textId="77777777" w:rsidR="00235E11" w:rsidRDefault="00235E11">
      <w:pPr>
        <w:pStyle w:val="paragraph"/>
        <w:spacing w:before="0" w:beforeAutospacing="0" w:after="120" w:afterAutospacing="0"/>
        <w:jc w:val="both"/>
        <w:textAlignment w:val="baseline"/>
        <w:rPr>
          <w:rFonts w:ascii="Segoe UI" w:hAnsi="Segoe UI" w:cs="Segoe UI"/>
          <w:b/>
          <w:noProof/>
          <w:color w:val="44546A"/>
          <w:sz w:val="18"/>
        </w:rPr>
      </w:pPr>
    </w:p>
    <w:tbl>
      <w:tblPr>
        <w:tblW w:w="15502" w:type="dxa"/>
        <w:jc w:val="center"/>
        <w:tblLayout w:type="fixed"/>
        <w:tblLook w:val="04A0" w:firstRow="1" w:lastRow="0" w:firstColumn="1" w:lastColumn="0" w:noHBand="0" w:noVBand="1"/>
      </w:tblPr>
      <w:tblGrid>
        <w:gridCol w:w="704"/>
        <w:gridCol w:w="1418"/>
        <w:gridCol w:w="1417"/>
        <w:gridCol w:w="1559"/>
        <w:gridCol w:w="1560"/>
        <w:gridCol w:w="850"/>
        <w:gridCol w:w="709"/>
        <w:gridCol w:w="850"/>
        <w:gridCol w:w="993"/>
        <w:gridCol w:w="708"/>
        <w:gridCol w:w="4734"/>
      </w:tblGrid>
      <w:tr w:rsidR="00235E11" w14:paraId="0D2A8688" w14:textId="77777777">
        <w:trPr>
          <w:trHeight w:val="927"/>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B50F30" w14:textId="4F8C5470" w:rsidR="00235E11" w:rsidRDefault="00F837E4">
            <w:pPr>
              <w:pStyle w:val="P68B1DB1-Normal15"/>
              <w:spacing w:after="0"/>
              <w:jc w:val="center"/>
              <w:rPr>
                <w:noProof/>
              </w:rPr>
            </w:pPr>
            <w:r>
              <w:rPr>
                <w:noProof/>
              </w:rPr>
              <w:t>Seq.Nb.</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145FC7" w14:textId="77777777" w:rsidR="00235E11" w:rsidRDefault="00F837E4">
            <w:pPr>
              <w:pStyle w:val="P68B1DB1-Normal15"/>
              <w:spacing w:after="0"/>
              <w:jc w:val="center"/>
              <w:rPr>
                <w:noProof/>
              </w:rPr>
            </w:pPr>
            <w:r>
              <w:rPr>
                <w:noProof/>
              </w:rPr>
              <w:t>Свързана мярка (реформа или инвестиции)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AB501A" w14:textId="77777777" w:rsidR="00235E11" w:rsidRDefault="00F837E4">
            <w:pPr>
              <w:pStyle w:val="P68B1DB1-Normal15"/>
              <w:spacing w:after="0"/>
              <w:jc w:val="center"/>
              <w:rPr>
                <w:noProof/>
              </w:rPr>
            </w:pPr>
            <w:r>
              <w:rPr>
                <w:noProof/>
              </w:rPr>
              <w:t>Ключов етап/Цел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92CC420" w14:textId="77777777" w:rsidR="00235E11" w:rsidRDefault="00F837E4">
            <w:pPr>
              <w:pStyle w:val="P68B1DB1-Normal15"/>
              <w:spacing w:after="0"/>
              <w:jc w:val="center"/>
              <w:rPr>
                <w:noProof/>
              </w:rPr>
            </w:pPr>
            <w:r>
              <w:rPr>
                <w:noProof/>
              </w:rPr>
              <w:t>Име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56CA877"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409" w:type="dxa"/>
            <w:gridSpan w:val="3"/>
            <w:tcBorders>
              <w:top w:val="single" w:sz="4" w:space="0" w:color="auto"/>
              <w:left w:val="nil"/>
              <w:bottom w:val="single" w:sz="4" w:space="0" w:color="auto"/>
              <w:right w:val="single" w:sz="4" w:space="0" w:color="auto"/>
            </w:tcBorders>
            <w:shd w:val="clear" w:color="auto" w:fill="BDD7EE"/>
            <w:vAlign w:val="center"/>
            <w:hideMark/>
          </w:tcPr>
          <w:p w14:paraId="0487907C"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14:paraId="5FBEA1D0" w14:textId="77777777" w:rsidR="00235E11" w:rsidRDefault="00F837E4">
            <w:pPr>
              <w:pStyle w:val="P68B1DB1-Normal15"/>
              <w:spacing w:after="0"/>
              <w:jc w:val="center"/>
              <w:rPr>
                <w:noProof/>
              </w:rPr>
            </w:pPr>
            <w:r>
              <w:rPr>
                <w:noProof/>
              </w:rPr>
              <w:t xml:space="preserve">Примерен график за приключване </w:t>
            </w:r>
          </w:p>
        </w:tc>
        <w:tc>
          <w:tcPr>
            <w:tcW w:w="47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F528E51" w14:textId="77777777" w:rsidR="00235E11" w:rsidRDefault="00F837E4">
            <w:pPr>
              <w:pStyle w:val="P68B1DB1-Normal15"/>
              <w:spacing w:after="0"/>
              <w:jc w:val="center"/>
              <w:rPr>
                <w:noProof/>
              </w:rPr>
            </w:pPr>
            <w:r>
              <w:rPr>
                <w:noProof/>
              </w:rPr>
              <w:t>Описание на всеки ключов етап и цел</w:t>
            </w:r>
          </w:p>
        </w:tc>
      </w:tr>
      <w:tr w:rsidR="00235E11" w14:paraId="4C12E418" w14:textId="77777777">
        <w:trPr>
          <w:trHeight w:val="1013"/>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377BF5D" w14:textId="77777777" w:rsidR="00235E11" w:rsidRDefault="00235E11">
            <w:pPr>
              <w:spacing w:after="0"/>
              <w:rPr>
                <w:rFonts w:ascii="Times New Roman" w:eastAsia="Times New Roman" w:hAnsi="Times New Roman" w:cs="Times New Roman"/>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F50FDB" w14:textId="77777777" w:rsidR="00235E11" w:rsidRDefault="00235E11">
            <w:pPr>
              <w:spacing w:after="0"/>
              <w:rPr>
                <w:rFonts w:ascii="Times New Roman" w:eastAsia="Times New Roman" w:hAnsi="Times New Roman" w:cs="Times New Roman"/>
                <w:b/>
                <w:noProo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B6DF975" w14:textId="77777777" w:rsidR="00235E11" w:rsidRDefault="00235E11">
            <w:pPr>
              <w:spacing w:after="0"/>
              <w:rPr>
                <w:rFonts w:ascii="Times New Roman" w:eastAsia="Times New Roman" w:hAnsi="Times New Roman" w:cs="Times New Roman"/>
                <w:b/>
                <w:noProof/>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07E07D" w14:textId="77777777" w:rsidR="00235E11" w:rsidRDefault="00235E11">
            <w:pPr>
              <w:spacing w:after="0"/>
              <w:rPr>
                <w:rFonts w:ascii="Times New Roman" w:eastAsia="Times New Roman" w:hAnsi="Times New Roman" w:cs="Times New Roman"/>
                <w:b/>
                <w:noProof/>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3BCCDE" w14:textId="77777777" w:rsidR="00235E11" w:rsidRDefault="00235E11">
            <w:pPr>
              <w:spacing w:after="0"/>
              <w:rPr>
                <w:rFonts w:ascii="Times New Roman" w:eastAsia="Times New Roman" w:hAnsi="Times New Roman" w:cs="Times New Roman"/>
                <w:b/>
                <w:noProof/>
              </w:rPr>
            </w:pPr>
          </w:p>
        </w:tc>
        <w:tc>
          <w:tcPr>
            <w:tcW w:w="850" w:type="dxa"/>
            <w:tcBorders>
              <w:top w:val="nil"/>
              <w:left w:val="single" w:sz="4" w:space="0" w:color="auto"/>
              <w:bottom w:val="single" w:sz="4" w:space="0" w:color="auto"/>
              <w:right w:val="single" w:sz="4" w:space="0" w:color="auto"/>
            </w:tcBorders>
            <w:shd w:val="clear" w:color="auto" w:fill="BDD7EE"/>
            <w:vAlign w:val="center"/>
            <w:hideMark/>
          </w:tcPr>
          <w:p w14:paraId="032F0FA2" w14:textId="77777777" w:rsidR="00235E11" w:rsidRDefault="00F837E4">
            <w:pPr>
              <w:pStyle w:val="P68B1DB1-Normal15"/>
              <w:spacing w:after="0"/>
              <w:jc w:val="center"/>
              <w:rPr>
                <w:noProof/>
              </w:rPr>
            </w:pPr>
            <w:r>
              <w:rPr>
                <w:noProof/>
              </w:rPr>
              <w:t>Единица мярка</w:t>
            </w:r>
          </w:p>
        </w:tc>
        <w:tc>
          <w:tcPr>
            <w:tcW w:w="709" w:type="dxa"/>
            <w:tcBorders>
              <w:top w:val="nil"/>
              <w:left w:val="nil"/>
              <w:bottom w:val="single" w:sz="4" w:space="0" w:color="auto"/>
              <w:right w:val="single" w:sz="4" w:space="0" w:color="auto"/>
            </w:tcBorders>
            <w:shd w:val="clear" w:color="auto" w:fill="BDD7EE"/>
            <w:vAlign w:val="center"/>
            <w:hideMark/>
          </w:tcPr>
          <w:p w14:paraId="3F77690F" w14:textId="77777777" w:rsidR="00235E11" w:rsidRDefault="00F837E4">
            <w:pPr>
              <w:pStyle w:val="P68B1DB1-Normal15"/>
              <w:spacing w:after="0"/>
              <w:jc w:val="center"/>
              <w:rPr>
                <w:noProof/>
              </w:rPr>
            </w:pPr>
            <w:r>
              <w:rPr>
                <w:noProof/>
              </w:rPr>
              <w:t xml:space="preserve">Базова линия </w:t>
            </w:r>
          </w:p>
        </w:tc>
        <w:tc>
          <w:tcPr>
            <w:tcW w:w="850" w:type="dxa"/>
            <w:tcBorders>
              <w:top w:val="nil"/>
              <w:left w:val="nil"/>
              <w:bottom w:val="single" w:sz="4" w:space="0" w:color="auto"/>
              <w:right w:val="single" w:sz="4" w:space="0" w:color="auto"/>
            </w:tcBorders>
            <w:shd w:val="clear" w:color="auto" w:fill="BDD7EE"/>
            <w:vAlign w:val="center"/>
            <w:hideMark/>
          </w:tcPr>
          <w:p w14:paraId="6306288F" w14:textId="77777777" w:rsidR="00235E11" w:rsidRDefault="00F837E4">
            <w:pPr>
              <w:pStyle w:val="P68B1DB1-Normal15"/>
              <w:spacing w:after="0"/>
              <w:jc w:val="center"/>
              <w:rPr>
                <w:noProof/>
              </w:rPr>
            </w:pPr>
            <w:r>
              <w:rPr>
                <w:noProof/>
              </w:rPr>
              <w:t xml:space="preserve">Цел </w:t>
            </w:r>
          </w:p>
        </w:tc>
        <w:tc>
          <w:tcPr>
            <w:tcW w:w="993" w:type="dxa"/>
            <w:tcBorders>
              <w:top w:val="nil"/>
              <w:left w:val="nil"/>
              <w:bottom w:val="single" w:sz="4" w:space="0" w:color="auto"/>
              <w:right w:val="single" w:sz="4" w:space="0" w:color="auto"/>
            </w:tcBorders>
            <w:shd w:val="clear" w:color="auto" w:fill="BDD7EE"/>
            <w:vAlign w:val="center"/>
            <w:hideMark/>
          </w:tcPr>
          <w:p w14:paraId="7E4EEB0F" w14:textId="77777777" w:rsidR="00235E11" w:rsidRDefault="00F837E4">
            <w:pPr>
              <w:pStyle w:val="P68B1DB1-Normal15"/>
              <w:spacing w:after="0"/>
              <w:jc w:val="center"/>
              <w:rPr>
                <w:noProof/>
              </w:rPr>
            </w:pPr>
            <w:r>
              <w:rPr>
                <w:noProof/>
              </w:rPr>
              <w:t>Тримесечие</w:t>
            </w:r>
          </w:p>
        </w:tc>
        <w:tc>
          <w:tcPr>
            <w:tcW w:w="708" w:type="dxa"/>
            <w:tcBorders>
              <w:top w:val="nil"/>
              <w:left w:val="nil"/>
              <w:bottom w:val="single" w:sz="4" w:space="0" w:color="auto"/>
              <w:right w:val="single" w:sz="4" w:space="0" w:color="auto"/>
            </w:tcBorders>
            <w:shd w:val="clear" w:color="auto" w:fill="BDD7EE"/>
            <w:vAlign w:val="center"/>
            <w:hideMark/>
          </w:tcPr>
          <w:p w14:paraId="349C9AFB" w14:textId="77777777" w:rsidR="00235E11" w:rsidRDefault="00F837E4">
            <w:pPr>
              <w:pStyle w:val="P68B1DB1-Normal15"/>
              <w:spacing w:after="0"/>
              <w:jc w:val="center"/>
              <w:rPr>
                <w:noProof/>
              </w:rPr>
            </w:pPr>
            <w:r>
              <w:rPr>
                <w:noProof/>
              </w:rPr>
              <w:t>Година</w:t>
            </w:r>
          </w:p>
        </w:tc>
        <w:tc>
          <w:tcPr>
            <w:tcW w:w="4734" w:type="dxa"/>
            <w:vMerge/>
            <w:tcBorders>
              <w:top w:val="single" w:sz="4" w:space="0" w:color="auto"/>
              <w:bottom w:val="single" w:sz="4" w:space="0" w:color="auto"/>
              <w:right w:val="single" w:sz="4" w:space="0" w:color="auto"/>
            </w:tcBorders>
            <w:vAlign w:val="center"/>
            <w:hideMark/>
          </w:tcPr>
          <w:p w14:paraId="76F264D3" w14:textId="77777777" w:rsidR="00235E11" w:rsidRDefault="00235E11">
            <w:pPr>
              <w:spacing w:after="0"/>
              <w:rPr>
                <w:rFonts w:ascii="Times New Roman" w:eastAsia="Times New Roman" w:hAnsi="Times New Roman" w:cs="Times New Roman"/>
                <w:b/>
                <w:noProof/>
              </w:rPr>
            </w:pPr>
          </w:p>
        </w:tc>
      </w:tr>
      <w:tr w:rsidR="00235E11" w14:paraId="33CF1C5D" w14:textId="77777777">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BC546DC" w14:textId="2309BF31" w:rsidR="00235E11" w:rsidRDefault="00F837E4">
            <w:pPr>
              <w:pStyle w:val="P68B1DB1-Normal10"/>
              <w:spacing w:after="0"/>
              <w:jc w:val="center"/>
              <w:rPr>
                <w:noProof/>
              </w:rPr>
            </w:pPr>
            <w:r>
              <w:rPr>
                <w:noProof/>
              </w:rPr>
              <w:t>96а</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19B2DB6" w14:textId="36346A9A" w:rsidR="00235E11" w:rsidRDefault="00F837E4">
            <w:pPr>
              <w:pStyle w:val="P68B1DB1-Normal9"/>
              <w:jc w:val="both"/>
              <w:rPr>
                <w:rFonts w:eastAsia="Times New Roman"/>
                <w:noProof/>
              </w:rPr>
            </w:pPr>
            <w:r>
              <w:rPr>
                <w:noProof/>
              </w:rPr>
              <w:t>Велосипедна инфраструктура — Vélo Plus — Федерална държава (I-3.03b) [L]</w:t>
            </w:r>
          </w:p>
        </w:tc>
        <w:tc>
          <w:tcPr>
            <w:tcW w:w="1417" w:type="dxa"/>
            <w:tcBorders>
              <w:top w:val="single" w:sz="4" w:space="0" w:color="auto"/>
              <w:left w:val="nil"/>
              <w:bottom w:val="single" w:sz="4" w:space="0" w:color="auto"/>
              <w:right w:val="single" w:sz="4" w:space="0" w:color="auto"/>
            </w:tcBorders>
            <w:shd w:val="clear" w:color="auto" w:fill="C6EFCE"/>
            <w:noWrap/>
            <w:vAlign w:val="center"/>
            <w:hideMark/>
          </w:tcPr>
          <w:p w14:paraId="19359535" w14:textId="62F1F80B" w:rsidR="00235E11" w:rsidRDefault="00F837E4">
            <w:pPr>
              <w:pStyle w:val="P68B1DB1-Normal9"/>
              <w:spacing w:after="0"/>
              <w:rPr>
                <w:rFonts w:eastAsia="Times New Roman"/>
                <w:noProof/>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37A9CFEC" w14:textId="77777777" w:rsidR="00235E11" w:rsidRDefault="00F837E4">
            <w:pPr>
              <w:pStyle w:val="P68B1DB1-Normal9"/>
              <w:spacing w:after="0"/>
              <w:rPr>
                <w:rFonts w:eastAsia="Times New Roman"/>
                <w:noProof/>
              </w:rPr>
            </w:pPr>
            <w:r>
              <w:rPr>
                <w:noProof/>
              </w:rPr>
              <w:t>Начало на всички проекти за колоездене и ходене пеша</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089A5705" w14:textId="77777777" w:rsidR="00235E11" w:rsidRDefault="00F837E4">
            <w:pPr>
              <w:pStyle w:val="P68B1DB1-Normal10"/>
              <w:spacing w:after="0"/>
              <w:rPr>
                <w:noProof/>
              </w:rPr>
            </w:pPr>
            <w:r>
              <w:rPr>
                <w:noProof/>
              </w:rPr>
              <w:t>Приемане на решението или възлагане на поръчката</w:t>
            </w:r>
          </w:p>
        </w:tc>
        <w:tc>
          <w:tcPr>
            <w:tcW w:w="850" w:type="dxa"/>
            <w:tcBorders>
              <w:top w:val="nil"/>
              <w:left w:val="nil"/>
              <w:bottom w:val="single" w:sz="4" w:space="0" w:color="auto"/>
              <w:right w:val="single" w:sz="4" w:space="0" w:color="auto"/>
            </w:tcBorders>
            <w:shd w:val="clear" w:color="auto" w:fill="C6EFCE"/>
            <w:noWrap/>
            <w:vAlign w:val="center"/>
            <w:hideMark/>
          </w:tcPr>
          <w:p w14:paraId="24091CD5" w14:textId="77777777" w:rsidR="00235E11" w:rsidRDefault="00235E11">
            <w:pPr>
              <w:spacing w:after="0"/>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CA3CBD5" w14:textId="77777777" w:rsidR="00235E11" w:rsidRDefault="00235E11">
            <w:pPr>
              <w:spacing w:after="0"/>
              <w:jc w:val="right"/>
              <w:rPr>
                <w:rFonts w:ascii="Times New Roman" w:eastAsia="Times New Roman" w:hAnsi="Times New Roman" w:cs="Times New Roman"/>
                <w:noProof/>
                <w:color w:val="006100"/>
              </w:rPr>
            </w:pPr>
          </w:p>
        </w:tc>
        <w:tc>
          <w:tcPr>
            <w:tcW w:w="850" w:type="dxa"/>
            <w:tcBorders>
              <w:top w:val="single" w:sz="4" w:space="0" w:color="auto"/>
              <w:left w:val="nil"/>
              <w:bottom w:val="single" w:sz="4" w:space="0" w:color="auto"/>
              <w:right w:val="single" w:sz="4" w:space="0" w:color="auto"/>
            </w:tcBorders>
            <w:shd w:val="clear" w:color="auto" w:fill="C6EFCE"/>
            <w:noWrap/>
            <w:vAlign w:val="center"/>
            <w:hideMark/>
          </w:tcPr>
          <w:p w14:paraId="02CF638E" w14:textId="77777777" w:rsidR="00235E11" w:rsidRDefault="00235E11">
            <w:pPr>
              <w:spacing w:after="0"/>
              <w:jc w:val="right"/>
              <w:rPr>
                <w:rFonts w:ascii="Times New Roman" w:eastAsia="Times New Roman" w:hAnsi="Times New Roman" w:cs="Times New Roman"/>
                <w:noProof/>
                <w:color w:val="006100"/>
              </w:rPr>
            </w:pPr>
          </w:p>
        </w:tc>
        <w:tc>
          <w:tcPr>
            <w:tcW w:w="993" w:type="dxa"/>
            <w:tcBorders>
              <w:top w:val="single" w:sz="4" w:space="0" w:color="auto"/>
              <w:left w:val="nil"/>
              <w:bottom w:val="single" w:sz="4" w:space="0" w:color="auto"/>
              <w:right w:val="single" w:sz="4" w:space="0" w:color="auto"/>
            </w:tcBorders>
            <w:shd w:val="clear" w:color="auto" w:fill="C6EFCE"/>
            <w:noWrap/>
            <w:vAlign w:val="center"/>
            <w:hideMark/>
          </w:tcPr>
          <w:p w14:paraId="692AE266" w14:textId="77777777" w:rsidR="00235E11" w:rsidRDefault="00F837E4">
            <w:pPr>
              <w:pStyle w:val="P68B1DB1-Normal9"/>
              <w:spacing w:after="0"/>
              <w:jc w:val="center"/>
              <w:rPr>
                <w:rFonts w:eastAsia="Times New Roman"/>
                <w:noProof/>
              </w:rPr>
            </w:pPr>
            <w:r>
              <w:rPr>
                <w:noProof/>
              </w:rPr>
              <w:t>Т2 Г.</w:t>
            </w:r>
          </w:p>
        </w:tc>
        <w:tc>
          <w:tcPr>
            <w:tcW w:w="708" w:type="dxa"/>
            <w:tcBorders>
              <w:top w:val="single" w:sz="4" w:space="0" w:color="auto"/>
              <w:left w:val="nil"/>
              <w:bottom w:val="single" w:sz="4" w:space="0" w:color="auto"/>
              <w:right w:val="single" w:sz="4" w:space="0" w:color="auto"/>
            </w:tcBorders>
            <w:shd w:val="clear" w:color="auto" w:fill="C6EFCE"/>
            <w:noWrap/>
            <w:vAlign w:val="center"/>
            <w:hideMark/>
          </w:tcPr>
          <w:p w14:paraId="2D3C5C84" w14:textId="77777777" w:rsidR="00235E11" w:rsidRDefault="00F837E4">
            <w:pPr>
              <w:pStyle w:val="P68B1DB1-Normal9"/>
              <w:spacing w:after="0"/>
              <w:jc w:val="center"/>
              <w:rPr>
                <w:rFonts w:eastAsia="Times New Roman"/>
                <w:noProof/>
              </w:rPr>
            </w:pPr>
            <w:r>
              <w:rPr>
                <w:noProof/>
              </w:rPr>
              <w:t>2024</w:t>
            </w:r>
          </w:p>
        </w:tc>
        <w:tc>
          <w:tcPr>
            <w:tcW w:w="473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2E98639" w14:textId="2D0EA92D" w:rsidR="00235E11" w:rsidRDefault="00F837E4">
            <w:pPr>
              <w:pStyle w:val="P68B1DB1-Normal9"/>
              <w:spacing w:after="0"/>
              <w:rPr>
                <w:rFonts w:eastAsia="Times New Roman"/>
                <w:noProof/>
                <w:highlight w:val="cyan"/>
              </w:rPr>
            </w:pPr>
            <w:r>
              <w:rPr>
                <w:noProof/>
              </w:rPr>
              <w:t>Издаване на разрешение за строеж в Брюксел.</w:t>
            </w:r>
          </w:p>
        </w:tc>
      </w:tr>
      <w:tr w:rsidR="00235E11" w14:paraId="30E2B995" w14:textId="77777777">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7FE597" w14:textId="47F875C5" w:rsidR="00235E11" w:rsidRDefault="00F837E4">
            <w:pPr>
              <w:pStyle w:val="P68B1DB1-Normal10"/>
              <w:spacing w:after="0"/>
              <w:jc w:val="center"/>
              <w:rPr>
                <w:noProof/>
              </w:rPr>
            </w:pPr>
            <w:r>
              <w:rPr>
                <w:noProof/>
              </w:rPr>
              <w:t>96б</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97A878" w14:textId="5CE2C67C" w:rsidR="00235E11" w:rsidRDefault="00F837E4">
            <w:pPr>
              <w:pStyle w:val="P68B1DB1-Normal9"/>
              <w:jc w:val="both"/>
              <w:rPr>
                <w:noProof/>
                <w:shd w:val="clear" w:color="auto" w:fill="E6E6E6"/>
              </w:rPr>
            </w:pPr>
            <w:r>
              <w:rPr>
                <w:noProof/>
              </w:rPr>
              <w:t>Велосипедна инфраструктура — Vélo Plus — Федерална държава (I-3.03b) [L]</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292702E6" w14:textId="4A178978" w:rsidR="00235E11" w:rsidRDefault="00F837E4">
            <w:pPr>
              <w:pStyle w:val="P68B1DB1-Normal9"/>
              <w:spacing w:after="0"/>
              <w:rPr>
                <w:noProof/>
              </w:rPr>
            </w:pPr>
            <w:r>
              <w:rPr>
                <w:noProof/>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58A6FC55" w14:textId="77777777" w:rsidR="00235E11" w:rsidRDefault="00F837E4">
            <w:pPr>
              <w:pStyle w:val="P68B1DB1-Normal9"/>
              <w:spacing w:after="0"/>
              <w:rPr>
                <w:noProof/>
              </w:rPr>
            </w:pPr>
            <w:r>
              <w:rPr>
                <w:noProof/>
              </w:rPr>
              <w:t>Нови и ремонтирани велосипедни пътища</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92B2D5C" w14:textId="77777777" w:rsidR="00235E11" w:rsidRDefault="00235E11">
            <w:pPr>
              <w:spacing w:after="0"/>
              <w:rPr>
                <w:rFonts w:ascii="Times New Roman" w:eastAsia="Times New Roman" w:hAnsi="Times New Roman" w:cs="Times New Roman"/>
                <w:noProof/>
                <w:color w:val="006100"/>
              </w:rPr>
            </w:pP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2877EC27" w14:textId="77777777" w:rsidR="00235E11" w:rsidRDefault="00F837E4">
            <w:pPr>
              <w:pStyle w:val="P68B1DB1-Normal9"/>
              <w:spacing w:after="0"/>
              <w:rPr>
                <w:rFonts w:eastAsia="Times New Roman"/>
                <w:noProof/>
              </w:rPr>
            </w:pPr>
            <w:r>
              <w:rPr>
                <w:noProof/>
              </w:rPr>
              <w:t>километър</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AB63D2" w14:textId="77777777" w:rsidR="00235E11" w:rsidRDefault="00F837E4">
            <w:pPr>
              <w:pStyle w:val="P68B1DB1-Normal10"/>
              <w:spacing w:after="0"/>
              <w:jc w:val="right"/>
              <w:rPr>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192125FD" w14:textId="5CCBAB2A" w:rsidR="00235E11" w:rsidRDefault="00F837E4">
            <w:pPr>
              <w:pStyle w:val="P68B1DB1-Normal9"/>
              <w:spacing w:after="0"/>
              <w:jc w:val="right"/>
              <w:rPr>
                <w:rFonts w:eastAsia="Times New Roman"/>
                <w:noProof/>
              </w:rPr>
            </w:pPr>
            <w:r>
              <w:rPr>
                <w:noProof/>
              </w:rPr>
              <w:t>4.8</w:t>
            </w:r>
          </w:p>
        </w:tc>
        <w:tc>
          <w:tcPr>
            <w:tcW w:w="993" w:type="dxa"/>
            <w:tcBorders>
              <w:top w:val="single" w:sz="4" w:space="0" w:color="auto"/>
              <w:left w:val="nil"/>
              <w:bottom w:val="single" w:sz="4" w:space="0" w:color="auto"/>
              <w:right w:val="single" w:sz="4" w:space="0" w:color="auto"/>
            </w:tcBorders>
            <w:shd w:val="clear" w:color="auto" w:fill="C6EFCE"/>
            <w:noWrap/>
            <w:vAlign w:val="center"/>
          </w:tcPr>
          <w:p w14:paraId="27BB2551" w14:textId="77777777" w:rsidR="00235E11" w:rsidRDefault="00F837E4">
            <w:pPr>
              <w:pStyle w:val="P68B1DB1-Normal9"/>
              <w:spacing w:after="0"/>
              <w:jc w:val="center"/>
              <w:rPr>
                <w:noProof/>
              </w:rPr>
            </w:pPr>
            <w:r>
              <w:rPr>
                <w:noProof/>
              </w:rPr>
              <w:t>Т2 Г.</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51935610" w14:textId="77777777" w:rsidR="00235E11" w:rsidRDefault="00F837E4">
            <w:pPr>
              <w:pStyle w:val="P68B1DB1-Normal9"/>
              <w:spacing w:after="0"/>
              <w:jc w:val="center"/>
              <w:rPr>
                <w:noProof/>
              </w:rPr>
            </w:pPr>
            <w:r>
              <w:rPr>
                <w:noProof/>
              </w:rPr>
              <w:t>2026</w:t>
            </w:r>
          </w:p>
        </w:tc>
        <w:tc>
          <w:tcPr>
            <w:tcW w:w="47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598226" w14:textId="180FB4B8" w:rsidR="00235E11" w:rsidRDefault="00F837E4">
            <w:pPr>
              <w:pStyle w:val="P68B1DB1-Normal9"/>
              <w:spacing w:after="0"/>
              <w:rPr>
                <w:noProof/>
                <w:u w:val="single"/>
              </w:rPr>
            </w:pPr>
            <w:r>
              <w:rPr>
                <w:noProof/>
              </w:rPr>
              <w:t>4.8 км нови и обновени велосипедни алеи.</w:t>
            </w:r>
          </w:p>
        </w:tc>
      </w:tr>
      <w:tr w:rsidR="00235E11" w14:paraId="70861AC0" w14:textId="77777777">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F65170" w14:textId="77777777" w:rsidR="00235E11" w:rsidRDefault="00F837E4">
            <w:pPr>
              <w:pStyle w:val="P68B1DB1-Normal10"/>
              <w:spacing w:after="0"/>
              <w:jc w:val="center"/>
              <w:rPr>
                <w:noProof/>
              </w:rPr>
            </w:pPr>
            <w:r>
              <w:rPr>
                <w:noProof/>
              </w:rPr>
              <w:t>98</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9EF406" w14:textId="45BF433B" w:rsidR="00235E11" w:rsidRDefault="00F837E4">
            <w:pPr>
              <w:pStyle w:val="P68B1DB1-Normal9"/>
              <w:spacing w:after="0"/>
              <w:rPr>
                <w:noProof/>
              </w:rPr>
            </w:pPr>
            <w:r>
              <w:rPr>
                <w:noProof/>
              </w:rPr>
              <w:t>Велосипедна и пешеходна инфраструктура — Шуман (I-3.04) [L]</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05048F2E" w14:textId="58F7C276" w:rsidR="00235E11" w:rsidRDefault="00F837E4">
            <w:pPr>
              <w:pStyle w:val="P68B1DB1-Normal9"/>
              <w:spacing w:after="0"/>
              <w:rPr>
                <w:noProof/>
              </w:rPr>
            </w:pPr>
            <w:r>
              <w:rPr>
                <w:noProof/>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1AF59B13" w14:textId="77777777" w:rsidR="00235E11" w:rsidRDefault="00F837E4">
            <w:pPr>
              <w:pStyle w:val="P68B1DB1-Normal9"/>
              <w:spacing w:after="0"/>
              <w:rPr>
                <w:noProof/>
              </w:rPr>
            </w:pPr>
            <w:r>
              <w:rPr>
                <w:noProof/>
              </w:rPr>
              <w:t>Ново обществено пространство за пешеходци, велосипедисти и обществен транспорт в Шуман</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5B4AE6B1" w14:textId="77777777" w:rsidR="00235E11" w:rsidRDefault="00235E11">
            <w:pPr>
              <w:spacing w:after="0"/>
              <w:rPr>
                <w:rFonts w:ascii="Times New Roman" w:eastAsia="Times New Roman" w:hAnsi="Times New Roman" w:cs="Times New Roman"/>
                <w:noProof/>
                <w:color w:val="006100"/>
              </w:rPr>
            </w:pP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6380F661" w14:textId="77777777" w:rsidR="00235E11" w:rsidRDefault="00F837E4">
            <w:pPr>
              <w:pStyle w:val="P68B1DB1-Normal9"/>
              <w:spacing w:after="0"/>
              <w:rPr>
                <w:rFonts w:eastAsia="Times New Roman"/>
                <w:noProof/>
              </w:rPr>
            </w:pPr>
            <w:r>
              <w:rPr>
                <w:noProof/>
              </w:rPr>
              <w:t>m²</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78DE86" w14:textId="77777777" w:rsidR="00235E11" w:rsidRDefault="00F837E4">
            <w:pPr>
              <w:pStyle w:val="P68B1DB1-Normal9"/>
              <w:spacing w:after="0"/>
              <w:jc w:val="right"/>
              <w:rPr>
                <w:rFonts w:eastAsia="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68FD9B1C" w14:textId="4F21C60A" w:rsidR="00235E11" w:rsidRDefault="00F837E4">
            <w:pPr>
              <w:pStyle w:val="P68B1DB1-Normal9"/>
              <w:spacing w:after="0"/>
              <w:jc w:val="right"/>
              <w:rPr>
                <w:rFonts w:eastAsia="Times New Roman"/>
                <w:noProof/>
              </w:rPr>
            </w:pPr>
            <w:r>
              <w:rPr>
                <w:noProof/>
              </w:rPr>
              <w:t>25 000</w:t>
            </w:r>
          </w:p>
        </w:tc>
        <w:tc>
          <w:tcPr>
            <w:tcW w:w="993" w:type="dxa"/>
            <w:tcBorders>
              <w:top w:val="single" w:sz="4" w:space="0" w:color="auto"/>
              <w:left w:val="nil"/>
              <w:bottom w:val="single" w:sz="4" w:space="0" w:color="auto"/>
              <w:right w:val="single" w:sz="4" w:space="0" w:color="auto"/>
            </w:tcBorders>
            <w:shd w:val="clear" w:color="auto" w:fill="C6EFCE"/>
            <w:noWrap/>
            <w:vAlign w:val="center"/>
          </w:tcPr>
          <w:p w14:paraId="6434789B" w14:textId="77777777" w:rsidR="00235E11" w:rsidRDefault="00F837E4">
            <w:pPr>
              <w:pStyle w:val="P68B1DB1-Normal9"/>
              <w:spacing w:after="0"/>
              <w:jc w:val="center"/>
              <w:rPr>
                <w:noProof/>
              </w:rPr>
            </w:pPr>
            <w:r>
              <w:rPr>
                <w:noProof/>
              </w:rPr>
              <w:t>Т2 Г.</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4C03C0AD" w14:textId="77777777" w:rsidR="00235E11" w:rsidRDefault="00F837E4">
            <w:pPr>
              <w:pStyle w:val="P68B1DB1-Normal9"/>
              <w:spacing w:after="0"/>
              <w:jc w:val="center"/>
              <w:rPr>
                <w:noProof/>
              </w:rPr>
            </w:pPr>
            <w:r>
              <w:rPr>
                <w:noProof/>
              </w:rPr>
              <w:t>2026</w:t>
            </w:r>
          </w:p>
        </w:tc>
        <w:tc>
          <w:tcPr>
            <w:tcW w:w="47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039C0B" w14:textId="7FF106CA" w:rsidR="00235E11" w:rsidRDefault="00F837E4">
            <w:pPr>
              <w:pStyle w:val="P68B1DB1-Normal9"/>
              <w:spacing w:after="0"/>
              <w:rPr>
                <w:noProof/>
                <w:u w:val="single"/>
              </w:rPr>
            </w:pPr>
            <w:r>
              <w:rPr>
                <w:noProof/>
              </w:rPr>
              <w:t>25 000 m² ново обществено пространство за пешеходци, велосипедисти и обществен транспорт в Шуман</w:t>
            </w:r>
          </w:p>
        </w:tc>
      </w:tr>
    </w:tbl>
    <w:p w14:paraId="6BFCF024" w14:textId="77777777" w:rsidR="00235E11" w:rsidRDefault="00235E11">
      <w:pPr>
        <w:pStyle w:val="Text1"/>
        <w:ind w:left="709"/>
        <w:rPr>
          <w:noProof/>
        </w:rPr>
      </w:pPr>
    </w:p>
    <w:p w14:paraId="61958984" w14:textId="77777777" w:rsidR="00235E11" w:rsidRDefault="00235E11">
      <w:pPr>
        <w:ind w:left="709"/>
        <w:rPr>
          <w:rFonts w:ascii="Times New Roman" w:hAnsi="Times New Roman" w:cs="Times New Roman"/>
          <w:noProof/>
        </w:rPr>
        <w:sectPr w:rsidR="00235E11" w:rsidSect="007F56C3">
          <w:headerReference w:type="even" r:id="rId120"/>
          <w:headerReference w:type="default" r:id="rId121"/>
          <w:footerReference w:type="even" r:id="rId122"/>
          <w:footerReference w:type="default" r:id="rId123"/>
          <w:headerReference w:type="first" r:id="rId124"/>
          <w:footerReference w:type="first" r:id="rId125"/>
          <w:pgSz w:w="16839" w:h="11907" w:orient="landscape"/>
          <w:pgMar w:top="1134" w:right="1134" w:bottom="1134" w:left="1134" w:header="567" w:footer="567" w:gutter="0"/>
          <w:cols w:space="720"/>
          <w:docGrid w:linePitch="360"/>
        </w:sectPr>
      </w:pPr>
    </w:p>
    <w:p w14:paraId="3EBCBBDC" w14:textId="5097D6E6" w:rsidR="00235E11" w:rsidRDefault="00F837E4">
      <w:pPr>
        <w:pStyle w:val="ManualHeading1"/>
        <w:spacing w:before="120"/>
        <w:ind w:left="0" w:firstLine="0"/>
        <w:rPr>
          <w:noProof/>
        </w:rPr>
      </w:pPr>
      <w:r>
        <w:rPr>
          <w:noProof/>
        </w:rPr>
        <w:t>З. КОМПОНЕНТ 3.2: Преминаване към други видове транспорт</w:t>
      </w:r>
    </w:p>
    <w:p w14:paraId="697FBBAA" w14:textId="77777777" w:rsidR="00235E11" w:rsidRDefault="00F837E4">
      <w:pPr>
        <w:pStyle w:val="P68B1DB1-Normal16"/>
        <w:spacing w:before="120" w:after="120" w:line="240" w:lineRule="auto"/>
        <w:jc w:val="both"/>
        <w:rPr>
          <w:noProof/>
        </w:rPr>
      </w:pPr>
      <w:r>
        <w:rPr>
          <w:noProof/>
        </w:rPr>
        <w:t>Мерките, предложени в рамките на този компонент от белгийския план за възстановяване и устойчивост, имат за цел да подкрепят преминаването към други видове транспорт чрез инвестиции в железопътния транспорт, местния обществен транспорт, интелигентната мобилност и вътрешните водни пътища.</w:t>
      </w:r>
    </w:p>
    <w:p w14:paraId="644F534E" w14:textId="77777777" w:rsidR="00235E11" w:rsidRDefault="00F837E4">
      <w:pPr>
        <w:pStyle w:val="P68B1DB1-Normal16"/>
        <w:spacing w:before="120" w:after="120" w:line="240" w:lineRule="auto"/>
        <w:jc w:val="both"/>
        <w:rPr>
          <w:noProof/>
        </w:rPr>
      </w:pPr>
      <w:r>
        <w:rPr>
          <w:noProof/>
        </w:rPr>
        <w:t>Компонентът допринася за изпълнението на специфична за държавата препоръка 2019.3, в която Белгия се призовава „да съсредоточи свързаната с инвестициите икономическа политика върху устойчивия транспорт, включително модернизирането на железопътната инфраструктура, нисковъглеродния и енергийния преход и научните изследвания и иновациите, по-специално в областта на цифровизацията, като се вземат предвид регионалните различия. Да се справи с нарастващите предизвикателства, свързани с мобилността, чрез засилване на стимулите и премахване на пречките за увеличаване на предлагането и търсенето на колективен транспорт и транспорт с ниски емисии „и специфична за държавата препоръка 2020.3, в която Белгия се призовава „да съсредоточи инвестициите върху екологичния и цифровия преход, по-специално върху инфраструктурата за устойчив транспорт“.</w:t>
      </w:r>
    </w:p>
    <w:p w14:paraId="523BBC6A" w14:textId="39F6EC34"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58B8099F" w14:textId="77777777" w:rsidR="00235E11" w:rsidRDefault="00F837E4">
      <w:pPr>
        <w:pStyle w:val="P68B1DB1-Normal1"/>
        <w:spacing w:before="120" w:after="120"/>
        <w:jc w:val="both"/>
        <w:rPr>
          <w:noProof/>
        </w:rPr>
      </w:pPr>
      <w:r>
        <w:rPr>
          <w:noProof/>
        </w:rPr>
        <w:t xml:space="preserve">З.1. </w:t>
      </w:r>
      <w:r>
        <w:rPr>
          <w:noProof/>
        </w:rPr>
        <w:tab/>
        <w:t>Описание на реформите и инвестициите за безвъзмездна финансова подкрепа</w:t>
      </w:r>
    </w:p>
    <w:p w14:paraId="2755EDCF" w14:textId="77777777" w:rsidR="00235E11" w:rsidRDefault="00F837E4">
      <w:pPr>
        <w:pStyle w:val="P68B1DB1-Text111"/>
        <w:ind w:left="0"/>
        <w:rPr>
          <w:noProof/>
        </w:rPr>
      </w:pPr>
      <w:r>
        <w:rPr>
          <w:noProof/>
        </w:rPr>
        <w:t>Реформа R-3.01: „Performance Infrabel/NMBS-SNCB“ на федералната държава</w:t>
      </w:r>
    </w:p>
    <w:p w14:paraId="2690D7E5" w14:textId="77777777" w:rsidR="00235E11" w:rsidRDefault="00F837E4">
      <w:pPr>
        <w:pStyle w:val="Text1"/>
        <w:ind w:left="0"/>
        <w:rPr>
          <w:noProof/>
        </w:rPr>
      </w:pPr>
      <w:r>
        <w:rPr>
          <w:noProof/>
        </w:rPr>
        <w:t xml:space="preserve">Тази реформа се състои в приемането на новите договори за изпълнение на NMBS-SNCB и Infrabel и неговия многогодишен инвестиционен план, който гарантира най-малко следното: </w:t>
      </w:r>
    </w:p>
    <w:p w14:paraId="1DB740CA" w14:textId="35E90AE0" w:rsidR="00235E11" w:rsidRDefault="00F837E4">
      <w:pPr>
        <w:pStyle w:val="Text1"/>
        <w:numPr>
          <w:ilvl w:val="0"/>
          <w:numId w:val="48"/>
        </w:numPr>
        <w:tabs>
          <w:tab w:val="left" w:pos="426"/>
        </w:tabs>
        <w:rPr>
          <w:noProof/>
          <w:u w:val="single"/>
        </w:rPr>
      </w:pPr>
      <w:r>
        <w:rPr>
          <w:noProof/>
        </w:rPr>
        <w:t>Навременно изпълнение на инвестициите в крайградски железопътен транспорт „Réseau suburbain bruxellois — Geweestelijk ExpressNet“ (RER-GEN) до 2031 г. в съответствие със закона за приемане на споразумението за междурегионално сътрудничество</w:t>
      </w:r>
      <w:r>
        <w:rPr>
          <w:noProof/>
        </w:rPr>
        <w:footnoteReference w:id="9"/>
      </w:r>
      <w:r>
        <w:rPr>
          <w:noProof/>
        </w:rPr>
        <w:t xml:space="preserve"> относно стратегическите инвестиции в железопътния транспорт</w:t>
      </w:r>
      <w:r>
        <w:rPr>
          <w:noProof/>
        </w:rPr>
        <w:footnoteReference w:id="10"/>
      </w:r>
      <w:r>
        <w:rPr>
          <w:noProof/>
        </w:rPr>
        <w:t>.</w:t>
      </w:r>
    </w:p>
    <w:p w14:paraId="1A3D3BA2" w14:textId="4852F72F" w:rsidR="00235E11" w:rsidRDefault="00F837E4">
      <w:pPr>
        <w:pStyle w:val="P68B1DB1-ListParagraph18"/>
        <w:numPr>
          <w:ilvl w:val="0"/>
          <w:numId w:val="48"/>
        </w:numPr>
        <w:tabs>
          <w:tab w:val="left" w:pos="426"/>
        </w:tabs>
        <w:spacing w:before="120" w:after="120" w:line="240" w:lineRule="auto"/>
        <w:jc w:val="both"/>
        <w:rPr>
          <w:noProof/>
        </w:rPr>
      </w:pPr>
      <w:r>
        <w:rPr>
          <w:noProof/>
        </w:rPr>
        <w:t>Подходящи стимули за ефективност и качество на услугите, заложени в договора.</w:t>
      </w:r>
    </w:p>
    <w:p w14:paraId="3A257CCF" w14:textId="59CBCA73" w:rsidR="00235E11" w:rsidRDefault="00F837E4">
      <w:pPr>
        <w:pStyle w:val="Text1"/>
        <w:numPr>
          <w:ilvl w:val="0"/>
          <w:numId w:val="48"/>
        </w:numPr>
        <w:tabs>
          <w:tab w:val="left" w:pos="426"/>
        </w:tabs>
        <w:rPr>
          <w:noProof/>
        </w:rPr>
      </w:pPr>
      <w:r>
        <w:rPr>
          <w:noProof/>
        </w:rPr>
        <w:t>Завършване на инвестициите I-3.09 „Железопътни достъпни и мултимодални железопътни гари — FED „, I-3.10 „Железопътна — ефективна мрежа — FED„и I-3.12 „Железопътен транспорт — интелигентна мобилност — FED“, включени в този компонент на ПВУ.</w:t>
      </w:r>
    </w:p>
    <w:p w14:paraId="4B31EB90" w14:textId="77777777" w:rsidR="00235E11" w:rsidRDefault="00F837E4">
      <w:pPr>
        <w:pStyle w:val="Text1"/>
        <w:ind w:left="0"/>
        <w:rPr>
          <w:noProof/>
        </w:rPr>
      </w:pPr>
      <w:r>
        <w:rPr>
          <w:noProof/>
        </w:rPr>
        <w:t>Договорът се сключва до 30 юни 2023 г.</w:t>
      </w:r>
    </w:p>
    <w:p w14:paraId="5526CF66" w14:textId="77777777" w:rsidR="00235E11" w:rsidRDefault="00F837E4">
      <w:pPr>
        <w:pStyle w:val="P68B1DB1-Text111"/>
        <w:ind w:left="0"/>
        <w:rPr>
          <w:noProof/>
        </w:rPr>
      </w:pPr>
      <w:r>
        <w:rPr>
          <w:noProof/>
        </w:rPr>
        <w:t>Реформа R-3.02: „Бюджет за мобилност“ на федералната държава</w:t>
      </w:r>
    </w:p>
    <w:p w14:paraId="4CEF5EF6" w14:textId="61EF365C" w:rsidR="00235E11" w:rsidRDefault="00F837E4">
      <w:pPr>
        <w:pStyle w:val="Text1"/>
        <w:ind w:left="0"/>
        <w:rPr>
          <w:rFonts w:eastAsia="Times New Roman"/>
          <w:noProof/>
        </w:rPr>
      </w:pPr>
      <w:r>
        <w:rPr>
          <w:noProof/>
        </w:rPr>
        <w:t>Тази реформа има за цел да засили</w:t>
      </w:r>
      <w:r>
        <w:rPr>
          <w:rFonts w:eastAsia="Times New Roman"/>
          <w:noProof/>
        </w:rPr>
        <w:t xml:space="preserve"> стимулите за увеличаване на търсенето на видове транспорт между дома и работното място, които представляват устойчива алтернатива на служебните автомобили (т.е. колективен транспорт и велосипед), тъй като използването на настоящата схема за бюджет за мобилност остава много ограничено. Целта е да се насърчи преминаването от автомобили към други видове транспорт. Реформата </w:t>
      </w:r>
      <w:r>
        <w:rPr>
          <w:noProof/>
        </w:rPr>
        <w:t xml:space="preserve">се състои в приемането на закона за определяне на преразгледан бюджет за мобилност. </w:t>
      </w:r>
      <w:r>
        <w:rPr>
          <w:rFonts w:eastAsia="Times New Roman"/>
          <w:noProof/>
        </w:rPr>
        <w:t>Главата в закона за преразглеждане на бюджета за мобилност влиза в сила до 1 септември 2021 г.</w:t>
      </w:r>
    </w:p>
    <w:p w14:paraId="161AD438" w14:textId="77777777" w:rsidR="00235E11" w:rsidRDefault="00F837E4">
      <w:pPr>
        <w:pStyle w:val="P68B1DB1-Text111"/>
        <w:ind w:left="0"/>
        <w:rPr>
          <w:noProof/>
        </w:rPr>
      </w:pPr>
      <w:r>
        <w:rPr>
          <w:noProof/>
        </w:rPr>
        <w:t>Инвестиция I-3Б: „Подобряване на обществения транспорт във Валония“</w:t>
      </w:r>
    </w:p>
    <w:p w14:paraId="1E4C1B72" w14:textId="77777777" w:rsidR="00235E11" w:rsidRDefault="00F837E4">
      <w:pPr>
        <w:pStyle w:val="P68B1DB1-Text13"/>
        <w:ind w:left="0"/>
        <w:rPr>
          <w:noProof/>
          <w:color w:val="000000"/>
        </w:rPr>
      </w:pPr>
      <w:r>
        <w:rPr>
          <w:noProof/>
        </w:rPr>
        <w:t>Целта на инвестицията е да се подобри общественият транспорт във Валония. Тази мярка се състои от следните четири подмерки:</w:t>
      </w:r>
    </w:p>
    <w:p w14:paraId="18FE45B1" w14:textId="77777777" w:rsidR="00235E11" w:rsidRDefault="00F837E4">
      <w:pPr>
        <w:pStyle w:val="Text1"/>
        <w:numPr>
          <w:ilvl w:val="0"/>
          <w:numId w:val="36"/>
        </w:numPr>
        <w:ind w:left="0" w:firstLine="0"/>
        <w:contextualSpacing/>
        <w:rPr>
          <w:noProof/>
        </w:rPr>
      </w:pPr>
      <w:r>
        <w:rPr>
          <w:noProof/>
        </w:rPr>
        <w:t>Инвестиция I-3.07: „Разширение на метрото“ на Валонския регион</w:t>
      </w:r>
    </w:p>
    <w:p w14:paraId="6DC44E4C" w14:textId="77777777" w:rsidR="00235E11" w:rsidRDefault="00F837E4">
      <w:pPr>
        <w:pStyle w:val="Text1"/>
        <w:numPr>
          <w:ilvl w:val="0"/>
          <w:numId w:val="36"/>
        </w:numPr>
        <w:ind w:left="0" w:firstLine="0"/>
        <w:contextualSpacing/>
        <w:rPr>
          <w:noProof/>
        </w:rPr>
      </w:pPr>
      <w:r>
        <w:rPr>
          <w:noProof/>
        </w:rPr>
        <w:t>Инвестиция I-3.08: „Интелигентни пътни сигнали“ на Валонския регион</w:t>
      </w:r>
    </w:p>
    <w:p w14:paraId="1EFC9FE4" w14:textId="77777777" w:rsidR="00235E11" w:rsidRDefault="00235E11">
      <w:pPr>
        <w:pStyle w:val="Text1"/>
        <w:ind w:left="0"/>
        <w:contextualSpacing/>
        <w:rPr>
          <w:noProof/>
        </w:rPr>
      </w:pPr>
    </w:p>
    <w:p w14:paraId="5C8E9F0E" w14:textId="77777777" w:rsidR="00235E11" w:rsidRDefault="00F837E4">
      <w:pPr>
        <w:pStyle w:val="P68B1DB1-Text111"/>
        <w:ind w:left="0"/>
        <w:contextualSpacing/>
        <w:rPr>
          <w:noProof/>
        </w:rPr>
      </w:pPr>
      <w:r>
        <w:rPr>
          <w:noProof/>
        </w:rPr>
        <w:t>Инвестиция I-3В: „Дейности по обновяване на железниците и достъпност на гарите“</w:t>
      </w:r>
    </w:p>
    <w:p w14:paraId="6678C2E3" w14:textId="77777777" w:rsidR="00235E11" w:rsidRDefault="00F837E4">
      <w:pPr>
        <w:pStyle w:val="Text1"/>
        <w:ind w:left="0"/>
        <w:contextualSpacing/>
        <w:rPr>
          <w:noProof/>
        </w:rPr>
      </w:pPr>
      <w:r>
        <w:rPr>
          <w:noProof/>
        </w:rPr>
        <w:t>Целта на инвестицията е да се обновят релсите и да се направи железопътните гари по-достъпни. Тази мярка се състои от следните две подмерки:</w:t>
      </w:r>
    </w:p>
    <w:p w14:paraId="41D96065" w14:textId="77777777" w:rsidR="00235E11" w:rsidRDefault="00F837E4">
      <w:pPr>
        <w:pStyle w:val="Text1"/>
        <w:numPr>
          <w:ilvl w:val="0"/>
          <w:numId w:val="36"/>
        </w:numPr>
        <w:ind w:left="0" w:firstLine="0"/>
        <w:contextualSpacing/>
        <w:rPr>
          <w:noProof/>
        </w:rPr>
      </w:pPr>
      <w:r>
        <w:rPr>
          <w:noProof/>
        </w:rPr>
        <w:t>Инвестиция I-3.09: „Железопътни и мултимодални железопътни гари“ на федералната държава</w:t>
      </w:r>
    </w:p>
    <w:p w14:paraId="4B53EC0A" w14:textId="77777777" w:rsidR="00235E11" w:rsidRDefault="00F837E4">
      <w:pPr>
        <w:pStyle w:val="Text1"/>
        <w:numPr>
          <w:ilvl w:val="0"/>
          <w:numId w:val="36"/>
        </w:numPr>
        <w:ind w:left="0" w:firstLine="0"/>
        <w:contextualSpacing/>
        <w:rPr>
          <w:noProof/>
        </w:rPr>
      </w:pPr>
      <w:r>
        <w:rPr>
          <w:noProof/>
        </w:rPr>
        <w:t>Инвестиция I-3.10: „Железопътна — ефективна мрежа“ на федералната държава</w:t>
      </w:r>
    </w:p>
    <w:p w14:paraId="6D93244E" w14:textId="77777777" w:rsidR="00235E11" w:rsidRDefault="00235E11">
      <w:pPr>
        <w:pStyle w:val="Text1"/>
        <w:ind w:left="0"/>
        <w:contextualSpacing/>
        <w:rPr>
          <w:noProof/>
        </w:rPr>
      </w:pPr>
    </w:p>
    <w:p w14:paraId="40E4BB06" w14:textId="77777777" w:rsidR="00235E11" w:rsidRDefault="00F837E4">
      <w:pPr>
        <w:pStyle w:val="P68B1DB1-Text111"/>
        <w:ind w:left="0"/>
        <w:contextualSpacing/>
        <w:rPr>
          <w:noProof/>
        </w:rPr>
      </w:pPr>
      <w:r>
        <w:rPr>
          <w:noProof/>
        </w:rPr>
        <w:t>Инвестиция I-3D: „Отключване на свободно достъпни данни за приложение за интелигентна мобилност“</w:t>
      </w:r>
    </w:p>
    <w:p w14:paraId="21E7A43B" w14:textId="77777777" w:rsidR="00235E11" w:rsidRDefault="00F837E4">
      <w:pPr>
        <w:pStyle w:val="Text1"/>
        <w:ind w:left="0"/>
        <w:contextualSpacing/>
        <w:rPr>
          <w:noProof/>
        </w:rPr>
      </w:pPr>
      <w:r>
        <w:rPr>
          <w:noProof/>
        </w:rPr>
        <w:t>Целта на инвестицията е да се отключат свободно достъпни данни за приложение за интелигентна мобилност. Тази мярка се състои от следните две подмерки:</w:t>
      </w:r>
    </w:p>
    <w:p w14:paraId="4E94371C" w14:textId="77777777" w:rsidR="00235E11" w:rsidRDefault="00F837E4">
      <w:pPr>
        <w:pStyle w:val="Text1"/>
        <w:numPr>
          <w:ilvl w:val="0"/>
          <w:numId w:val="36"/>
        </w:numPr>
        <w:ind w:left="0" w:firstLine="0"/>
        <w:contextualSpacing/>
        <w:rPr>
          <w:noProof/>
        </w:rPr>
      </w:pPr>
      <w:r>
        <w:rPr>
          <w:noProof/>
        </w:rPr>
        <w:t>Инвестиция I-3.12: „Железопътен транспорт — интелигентна мобилност“ на федералната държава</w:t>
      </w:r>
    </w:p>
    <w:p w14:paraId="2713188C" w14:textId="77777777" w:rsidR="00235E11" w:rsidRDefault="00F837E4">
      <w:pPr>
        <w:pStyle w:val="Text1"/>
        <w:numPr>
          <w:ilvl w:val="0"/>
          <w:numId w:val="36"/>
        </w:numPr>
        <w:ind w:left="0" w:firstLine="0"/>
        <w:contextualSpacing/>
        <w:rPr>
          <w:noProof/>
        </w:rPr>
      </w:pPr>
      <w:r>
        <w:rPr>
          <w:noProof/>
        </w:rPr>
        <w:t>Инвестиция I-3.13: „Мобилност като услуга“ (MaaS) на регион Брюксел-столица</w:t>
      </w:r>
    </w:p>
    <w:p w14:paraId="22A17180" w14:textId="77777777" w:rsidR="00235E11" w:rsidRDefault="00235E11">
      <w:pPr>
        <w:pStyle w:val="Text1"/>
        <w:ind w:left="0"/>
        <w:contextualSpacing/>
        <w:rPr>
          <w:noProof/>
        </w:rPr>
      </w:pPr>
    </w:p>
    <w:p w14:paraId="268C0FA5" w14:textId="77777777" w:rsidR="00235E11" w:rsidRDefault="00F837E4">
      <w:pPr>
        <w:pStyle w:val="P68B1DB1-Text111"/>
        <w:ind w:left="0"/>
        <w:contextualSpacing/>
        <w:rPr>
          <w:noProof/>
        </w:rPr>
      </w:pPr>
      <w:r>
        <w:rPr>
          <w:noProof/>
        </w:rPr>
        <w:t>Инвестиция I-3Д: ИТ модули „Да пътуваш на живо“</w:t>
      </w:r>
    </w:p>
    <w:p w14:paraId="6641061B" w14:textId="77777777" w:rsidR="00235E11" w:rsidRDefault="00F837E4">
      <w:pPr>
        <w:pStyle w:val="Text1"/>
        <w:ind w:left="0"/>
        <w:contextualSpacing/>
        <w:rPr>
          <w:noProof/>
        </w:rPr>
      </w:pPr>
      <w:r>
        <w:rPr>
          <w:noProof/>
        </w:rPr>
        <w:t>Целта на инвестицията е да се приведат в действие ИТ модулите за подобряване на управлението на трафика и издаването на билети. Тази мярка се състои от следните две подмерки:</w:t>
      </w:r>
    </w:p>
    <w:p w14:paraId="6794197D" w14:textId="77777777" w:rsidR="00235E11" w:rsidRDefault="00F837E4">
      <w:pPr>
        <w:pStyle w:val="Text1"/>
        <w:numPr>
          <w:ilvl w:val="0"/>
          <w:numId w:val="36"/>
        </w:numPr>
        <w:ind w:left="0" w:firstLine="0"/>
        <w:contextualSpacing/>
        <w:rPr>
          <w:noProof/>
        </w:rPr>
      </w:pPr>
      <w:r>
        <w:rPr>
          <w:noProof/>
        </w:rPr>
        <w:t>Инвестиция I-3.10: „Железопътна — ефективна мрежа“ на федералната държава</w:t>
      </w:r>
    </w:p>
    <w:p w14:paraId="37A2CEE4" w14:textId="77777777" w:rsidR="00235E11" w:rsidRDefault="00F837E4">
      <w:pPr>
        <w:pStyle w:val="Text1"/>
        <w:numPr>
          <w:ilvl w:val="0"/>
          <w:numId w:val="36"/>
        </w:numPr>
        <w:ind w:left="0" w:firstLine="0"/>
        <w:contextualSpacing/>
        <w:rPr>
          <w:noProof/>
        </w:rPr>
      </w:pPr>
      <w:r>
        <w:rPr>
          <w:noProof/>
        </w:rPr>
        <w:t>Инвестиция I-3.12: „Железопътен транспорт — интелигентна мобилност“ на федералната държава</w:t>
      </w:r>
    </w:p>
    <w:p w14:paraId="7BE7CBAE" w14:textId="77777777" w:rsidR="00235E11" w:rsidRDefault="00235E11">
      <w:pPr>
        <w:pStyle w:val="Text1"/>
        <w:ind w:left="0"/>
        <w:contextualSpacing/>
        <w:rPr>
          <w:noProof/>
        </w:rPr>
      </w:pPr>
    </w:p>
    <w:p w14:paraId="5985546E" w14:textId="77777777" w:rsidR="00235E11" w:rsidRDefault="00F837E4">
      <w:pPr>
        <w:pStyle w:val="P68B1DB1-Text111"/>
        <w:ind w:left="0"/>
        <w:rPr>
          <w:noProof/>
        </w:rPr>
      </w:pPr>
      <w:r>
        <w:rPr>
          <w:noProof/>
        </w:rPr>
        <w:t>Инвестиция I-3.07: „Разширение на метрото“ на Валонския регион</w:t>
      </w:r>
    </w:p>
    <w:p w14:paraId="6B04E2CA" w14:textId="3B4397E2" w:rsidR="00235E11" w:rsidRDefault="00F837E4">
      <w:pPr>
        <w:pStyle w:val="Text1"/>
        <w:ind w:left="0"/>
        <w:rPr>
          <w:noProof/>
        </w:rPr>
      </w:pPr>
      <w:r>
        <w:rPr>
          <w:noProof/>
        </w:rPr>
        <w:t>Тази инвестиция се състои в обновяване и разширяване на мрежата на метрото Charleroi с 5.5 км до Grand Hôpital de Charleroi (Viviers). Увеличението на оперативните разходи за компенсиране на разширената метроуслуга се включва в преразгледания договор за обществена услуга на „Opérateur de Transport de Wallonie“, предоставен от Валонския регион. Изпълнението на инвестицията трябва да приключи до 30 юни 2026 г.</w:t>
      </w:r>
    </w:p>
    <w:p w14:paraId="357D4FA0" w14:textId="245AF2BE" w:rsidR="00235E11" w:rsidRDefault="00F837E4">
      <w:pPr>
        <w:pStyle w:val="P68B1DB1-Text111"/>
        <w:ind w:left="0"/>
        <w:rPr>
          <w:noProof/>
        </w:rPr>
      </w:pPr>
      <w:r>
        <w:rPr>
          <w:noProof/>
        </w:rPr>
        <w:t>Инвестиция I-3.08: „Интелигентни пътни сигнали“ на Валонския регион</w:t>
      </w:r>
    </w:p>
    <w:p w14:paraId="23648ADD" w14:textId="77777777" w:rsidR="00235E11" w:rsidRDefault="00F837E4">
      <w:pPr>
        <w:pStyle w:val="P68B1DB1-Normal19"/>
        <w:spacing w:before="120" w:after="120"/>
        <w:jc w:val="both"/>
        <w:rPr>
          <w:noProof/>
        </w:rPr>
      </w:pPr>
      <w:r>
        <w:rPr>
          <w:noProof/>
        </w:rPr>
        <w:t>Тези инвестиции се състоят в инсталирането на интелигентни светофари за автобусите на обществения транспорт във Валония на поне 400 кръстовища. Изпълнението на инвестицията трябва да приключи до 30 юни 2026 г.</w:t>
      </w:r>
    </w:p>
    <w:p w14:paraId="632FFCAD" w14:textId="77777777" w:rsidR="00235E11" w:rsidRDefault="00F837E4">
      <w:pPr>
        <w:pStyle w:val="P68B1DB1-Text111"/>
        <w:ind w:left="0"/>
        <w:rPr>
          <w:noProof/>
        </w:rPr>
      </w:pPr>
      <w:r>
        <w:rPr>
          <w:noProof/>
        </w:rPr>
        <w:t>Инвестиция I-3.09: „Железопътни и мултимодални железопътни гари“ на федералната държава</w:t>
      </w:r>
    </w:p>
    <w:p w14:paraId="42FD621F" w14:textId="7A5D8706" w:rsidR="00235E11" w:rsidRDefault="00F837E4">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Тази инвестиция се състои в изграждане на най-малко 6</w:t>
      </w:r>
      <w:r>
        <w:rPr>
          <w:rFonts w:ascii="Times New Roman" w:hAnsi="Times New Roman" w:cs="Times New Roman"/>
          <w:noProof/>
          <w:color w:val="006100"/>
        </w:rPr>
        <w:t xml:space="preserve"> </w:t>
      </w:r>
      <w:r>
        <w:rPr>
          <w:rFonts w:ascii="Times New Roman" w:hAnsi="Times New Roman" w:cs="Times New Roman"/>
          <w:noProof/>
          <w:sz w:val="24"/>
        </w:rPr>
        <w:t>000 места за паркиране на велосипеди в железопътни гари</w:t>
      </w:r>
      <w:r>
        <w:rPr>
          <w:rStyle w:val="FootnoteReference"/>
          <w:rFonts w:ascii="Times New Roman" w:hAnsi="Times New Roman" w:cs="Times New Roman"/>
          <w:noProof/>
          <w:sz w:val="24"/>
        </w:rPr>
        <w:footnoteReference w:id="11"/>
      </w:r>
      <w:r>
        <w:rPr>
          <w:rFonts w:ascii="Times New Roman" w:hAnsi="Times New Roman" w:cs="Times New Roman"/>
          <w:noProof/>
          <w:sz w:val="24"/>
        </w:rPr>
        <w:t xml:space="preserve"> и осигуряване на</w:t>
      </w:r>
      <w:r>
        <w:rPr>
          <w:rStyle w:val="FootnoteReference"/>
          <w:rFonts w:ascii="Times New Roman" w:hAnsi="Times New Roman" w:cs="Times New Roman"/>
          <w:noProof/>
          <w:sz w:val="24"/>
        </w:rPr>
        <w:footnoteReference w:id="12"/>
      </w:r>
      <w:r>
        <w:rPr>
          <w:rFonts w:ascii="Times New Roman" w:hAnsi="Times New Roman" w:cs="Times New Roman"/>
          <w:noProof/>
          <w:sz w:val="24"/>
        </w:rPr>
        <w:t>достъп до най-малко 25 гари от общо 28 определени гари в съответствие с техническите спецификации за оперативна съвместимост на Регламент (ЕС) № 1300/2014 на Комисията за лица с увреждания и лица с намалена подвижност. Изпълнението на инвестицията трябва да приключи до 30 юни 2026 г.</w:t>
      </w:r>
    </w:p>
    <w:p w14:paraId="0DAA20F9" w14:textId="77777777" w:rsidR="00235E11" w:rsidRDefault="00F837E4">
      <w:pPr>
        <w:pStyle w:val="P68B1DB1-Text111"/>
        <w:ind w:left="0"/>
        <w:rPr>
          <w:noProof/>
        </w:rPr>
      </w:pPr>
      <w:r>
        <w:rPr>
          <w:noProof/>
        </w:rPr>
        <w:t>Инвестиция I-3.10: „Железопътна — ефективна мрежа“ на федералната държава</w:t>
      </w:r>
    </w:p>
    <w:p w14:paraId="25CD8D4F" w14:textId="1779D2E0" w:rsidR="00235E11" w:rsidRDefault="00F837E4">
      <w:pPr>
        <w:pStyle w:val="NormalLeft"/>
        <w:jc w:val="both"/>
        <w:rPr>
          <w:noProof/>
        </w:rPr>
      </w:pPr>
      <w:r>
        <w:rPr>
          <w:noProof/>
        </w:rPr>
        <w:t>Тази инвестиция се състои в модернизиране на най-малко 32 железопътни участъка от общата мрежа, модернизиране на най-малко 18 специализирани инфраструктури за железопътни товарни превози, премахване на най-малко пет инфраструктурни участъка с недостатъчен капацитет, които възпрепятстват функционирането на линията Брюксел-Люксембург (Eurocap rail), премахване на поне четири участъка с недостатъчен капацитет в железопътния транспорт в Брюксел и разработване на ИТ модул за управление на движението. Някои от проектите включват разходи, които не се подкрепят от Механизма за възстановяване и устойчивост, а от Механизма за свързване на Европа. Това се отнася за железопътни линии L154 (работи по релсов път, работи по контактна мрежа, премахване на три железопътни прелези и адаптиране на комутационна гара), L24 (релсова релса на моста над канала Алберт, работи по коловоза и контактна мрежа), L166 (полагане на релсов път с баластова призма върху два моста над река Лесе и един мост над националния път, коловози и контактни линии и премахване на две железопътни прелези) и системата за управление на тунела на централната железопътна гара в Антверпен (разработване на план за смекчаване на последиците, инсталиране на линейна отоплителна „фибролазерна“ система за откриване на пожар, на автоматизирана система за управление на безопасността, въвеждане на система за наблюдение и визуализация на събирането на данни, както и одобряване на съответствието със стандартите SIL и ТСОС SRT). Изпълнението на инвестицията трябва да приключи до 30 юни 2026 г.</w:t>
      </w:r>
    </w:p>
    <w:p w14:paraId="1C31E2CF" w14:textId="55031EE3" w:rsidR="00235E11" w:rsidRDefault="00F837E4">
      <w:pPr>
        <w:pStyle w:val="P68B1DB1-Text111"/>
        <w:ind w:left="0"/>
        <w:rPr>
          <w:noProof/>
        </w:rPr>
      </w:pPr>
      <w:r>
        <w:rPr>
          <w:noProof/>
        </w:rPr>
        <w:t>Инвестиция I-3.11: „Canal Albert и Trilogiport“ на Валонския регион</w:t>
      </w:r>
    </w:p>
    <w:p w14:paraId="40D6EE66" w14:textId="42729EA3" w:rsidR="00235E11" w:rsidRDefault="00F837E4">
      <w:pPr>
        <w:pStyle w:val="NormalLeft"/>
        <w:jc w:val="both"/>
        <w:rPr>
          <w:noProof/>
        </w:rPr>
      </w:pPr>
      <w:r>
        <w:rPr>
          <w:noProof/>
        </w:rPr>
        <w:t>Тази инвестиция се състои в разширяване на мултимодалната платформа на Trilogiport в Лиеж, увеличаване на височината на три моста (Ликхе, Хакур и Хермал-сус-Аргенто) над канала Алберт и инсталиране на допълнителни речни сигнали на един мост (Lanaye) над канала Albert-Canal, за да се позволи на баржи да превозват товари с височина до 9,1 m (4 товарни слоя). Изпълнението на инвестицията трябва да приключи до 31 август 2026 г.</w:t>
      </w:r>
    </w:p>
    <w:p w14:paraId="108498AC" w14:textId="77777777" w:rsidR="00235E11" w:rsidRDefault="00F837E4">
      <w:pPr>
        <w:pStyle w:val="P68B1DB1-Text111"/>
        <w:ind w:left="0"/>
        <w:rPr>
          <w:noProof/>
        </w:rPr>
      </w:pPr>
      <w:r>
        <w:rPr>
          <w:noProof/>
        </w:rPr>
        <w:t>Инвестиция I-3.12: „Железопътен транспорт — интелигентна мобилност“ на федералната държава</w:t>
      </w:r>
    </w:p>
    <w:p w14:paraId="49E1BB40" w14:textId="77777777" w:rsidR="00235E11" w:rsidRDefault="00F837E4">
      <w:pPr>
        <w:pStyle w:val="NormalLeft"/>
        <w:jc w:val="both"/>
        <w:rPr>
          <w:noProof/>
        </w:rPr>
      </w:pPr>
      <w:r>
        <w:rPr>
          <w:noProof/>
        </w:rPr>
        <w:t>Тази инвестиция се състои в създаването на софтуер за планиране на отворени данни и осем ИТ модула с платформа за продажба на билети, която е оперативно съвместима с други белгийски регионални транспортни оператори (STIB-MIVB, De Lijn, TEC). Изпълнението на инвестицията трябва да приключи до 31 март 2025 г.</w:t>
      </w:r>
    </w:p>
    <w:p w14:paraId="73D96C00" w14:textId="77777777" w:rsidR="00235E11" w:rsidRDefault="00F837E4">
      <w:pPr>
        <w:pStyle w:val="P68B1DB1-Text111"/>
        <w:ind w:left="0"/>
        <w:rPr>
          <w:noProof/>
        </w:rPr>
      </w:pPr>
      <w:r>
        <w:rPr>
          <w:noProof/>
        </w:rPr>
        <w:t>Инвестиция I-3.13: „Мобилност като услуга“ (MaaS) на регион Брюксел-столица</w:t>
      </w:r>
    </w:p>
    <w:p w14:paraId="77112F76" w14:textId="77777777" w:rsidR="00235E11" w:rsidRDefault="00F837E4">
      <w:pPr>
        <w:pStyle w:val="NormalLeft"/>
        <w:jc w:val="both"/>
        <w:rPr>
          <w:noProof/>
        </w:rPr>
      </w:pPr>
      <w:r>
        <w:rPr>
          <w:noProof/>
        </w:rPr>
        <w:t>Тази инвестиция се състои в създаването на център за данни в Брюксел, за да се даде възможност за бързо съхранение, обработка, анализ и обмен на данни за мобилността, генерирани от доставчици на услуги за мобилност и агрегатори за мобилност като услуга („агрегатори MaaS-“). Центърът за данни в Брюксел обхваща не само обществения транспорт, но и колоезденето. Изпълнението на инвестицията трябва да приключи до 31 март 2025 г.</w:t>
      </w:r>
    </w:p>
    <w:p w14:paraId="6956BE9F" w14:textId="77777777" w:rsidR="00235E11" w:rsidRDefault="00F837E4">
      <w:pPr>
        <w:pStyle w:val="P68B1DB1-Text111"/>
        <w:ind w:left="0"/>
        <w:rPr>
          <w:noProof/>
        </w:rPr>
      </w:pPr>
      <w:r>
        <w:rPr>
          <w:noProof/>
        </w:rPr>
        <w:t>Инвестиция I-3.14: „Безвъзмездни средства за преминаване към други видове транспорт“ на регион Брюксел-столица</w:t>
      </w:r>
    </w:p>
    <w:p w14:paraId="3FDBC43C" w14:textId="77777777" w:rsidR="00235E11" w:rsidRDefault="00F837E4">
      <w:pPr>
        <w:pStyle w:val="NormalLeft"/>
        <w:jc w:val="both"/>
        <w:rPr>
          <w:noProof/>
        </w:rPr>
      </w:pPr>
      <w:r>
        <w:rPr>
          <w:noProof/>
        </w:rPr>
        <w:t>Тази инвестиция се състои в подкрепа на нова преразгледана безвъзмездна помощ за преминаване към други видове транспорт, която да замени безвъзмездните средства „Bruxelles „Air“, като я разшири, така че да обхване всички нови видове устойчив транспорт (съвместно ползване на автомобили, споделяне на велосипеди, скутери), за да се засилят стимулите за увеличаване на търсенето на колективен транспорт и транспорт с ниски емисии. Изпълнението на инвестицията трябва да приключи до 31 декември 2023 г.</w:t>
      </w:r>
    </w:p>
    <w:p w14:paraId="6D040FE8" w14:textId="77777777" w:rsidR="00235E11" w:rsidRDefault="00F837E4">
      <w:pPr>
        <w:pStyle w:val="P68B1DB1-Text111"/>
        <w:ind w:left="0"/>
        <w:rPr>
          <w:noProof/>
        </w:rPr>
      </w:pPr>
      <w:r>
        <w:rPr>
          <w:noProof/>
        </w:rPr>
        <w:t>Инвестиция I-3.15: „Интелигентен преход“ на регион Брюксел-столица</w:t>
      </w:r>
    </w:p>
    <w:p w14:paraId="4FE31684" w14:textId="77777777" w:rsidR="00235E11" w:rsidRDefault="00F837E4">
      <w:pPr>
        <w:pStyle w:val="NormalLeft"/>
        <w:jc w:val="both"/>
        <w:rPr>
          <w:noProof/>
        </w:rPr>
      </w:pPr>
      <w:r>
        <w:rPr>
          <w:noProof/>
        </w:rPr>
        <w:t>Тази инвестиция се състои в разработването на информационна система за мобилност като услуга („SmartMove „) в регион Брюксел-столица с интерфейс „приложение“, който да предоставя на потребителите пълна и точна информация за наличните видове транспорт, включително съответните им разходи, като се обръща специално внимание на въздействието върху задръстванията и околната среда. Инвестицията обхваща по-специално проследяването чрез бекофис, уебсайт, автентификация и софтуер за симулация на ценообразуване и ценообразуване, както и за съпоставяне на данни с автоматично разпознаване на номера. Информационните системи включват и компонент за пътно таксуване, като пътните такси все още са предмет на дискусии между различните региони. Изпълнението на инвестицията трябва да приключи до 30 юни 2022 г.</w:t>
      </w:r>
    </w:p>
    <w:p w14:paraId="55E39AB2" w14:textId="77777777" w:rsidR="00235E11" w:rsidRDefault="00F837E4">
      <w:pPr>
        <w:pStyle w:val="P68B1DB1-Text16"/>
        <w:ind w:left="0"/>
        <w:rPr>
          <w:noProof/>
        </w:rPr>
      </w:pPr>
      <w:r>
        <w:rPr>
          <w:noProof/>
        </w:rPr>
        <w:t xml:space="preserve">З.2. </w:t>
      </w:r>
      <w:r>
        <w:rPr>
          <w:noProof/>
        </w:rPr>
        <w:tab/>
        <w:t>Ключови етапи, цели, показатели и график за мониторинг и изпълнение на безвъзмездната финансова подкрепа</w:t>
      </w:r>
    </w:p>
    <w:p w14:paraId="17B28937" w14:textId="77777777" w:rsidR="00235E11" w:rsidRDefault="00235E11">
      <w:pPr>
        <w:pStyle w:val="Text1"/>
        <w:ind w:left="709"/>
        <w:rPr>
          <w:noProof/>
        </w:rPr>
        <w:sectPr w:rsidR="00235E11" w:rsidSect="007F56C3">
          <w:headerReference w:type="even" r:id="rId126"/>
          <w:headerReference w:type="default" r:id="rId127"/>
          <w:footerReference w:type="even" r:id="rId128"/>
          <w:footerReference w:type="default" r:id="rId129"/>
          <w:headerReference w:type="first" r:id="rId130"/>
          <w:footerReference w:type="first" r:id="rId131"/>
          <w:pgSz w:w="11907" w:h="16839"/>
          <w:pgMar w:top="1134" w:right="1134" w:bottom="1134" w:left="1134" w:header="567" w:footer="567" w:gutter="0"/>
          <w:cols w:space="720"/>
          <w:docGrid w:linePitch="360"/>
        </w:sectPr>
      </w:pPr>
    </w:p>
    <w:tbl>
      <w:tblPr>
        <w:tblW w:w="15502" w:type="dxa"/>
        <w:jc w:val="center"/>
        <w:tblLayout w:type="fixed"/>
        <w:tblLook w:val="04A0" w:firstRow="1" w:lastRow="0" w:firstColumn="1" w:lastColumn="0" w:noHBand="0" w:noVBand="1"/>
      </w:tblPr>
      <w:tblGrid>
        <w:gridCol w:w="696"/>
        <w:gridCol w:w="1540"/>
        <w:gridCol w:w="878"/>
        <w:gridCol w:w="1559"/>
        <w:gridCol w:w="1276"/>
        <w:gridCol w:w="1276"/>
        <w:gridCol w:w="708"/>
        <w:gridCol w:w="851"/>
        <w:gridCol w:w="567"/>
        <w:gridCol w:w="709"/>
        <w:gridCol w:w="5409"/>
        <w:gridCol w:w="33"/>
      </w:tblGrid>
      <w:tr w:rsidR="00235E11" w14:paraId="4C1FE09F" w14:textId="77777777">
        <w:trPr>
          <w:gridAfter w:val="1"/>
          <w:wAfter w:w="33" w:type="dxa"/>
          <w:trHeight w:val="927"/>
          <w:tblHeader/>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746C1B2" w14:textId="6C30EF74" w:rsidR="00235E11" w:rsidRDefault="00F837E4">
            <w:pPr>
              <w:pStyle w:val="P68B1DB1-Normal15"/>
              <w:spacing w:after="0"/>
              <w:jc w:val="center"/>
              <w:rPr>
                <w:noProof/>
              </w:rPr>
            </w:pPr>
            <w:r>
              <w:rPr>
                <w:noProof/>
              </w:rPr>
              <w:t>Seq.Nb.</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81A4C7" w14:textId="77777777" w:rsidR="00235E11" w:rsidRDefault="00F837E4">
            <w:pPr>
              <w:pStyle w:val="P68B1DB1-Normal15"/>
              <w:spacing w:after="0"/>
              <w:jc w:val="center"/>
              <w:rPr>
                <w:noProof/>
              </w:rPr>
            </w:pPr>
            <w:r>
              <w:rPr>
                <w:noProof/>
              </w:rPr>
              <w:t>Свързана мярка (реформа или инвестиции)</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9B3B55" w14:textId="77777777" w:rsidR="00235E11" w:rsidRDefault="00F837E4">
            <w:pPr>
              <w:pStyle w:val="P68B1DB1-Normal15"/>
              <w:spacing w:after="0"/>
              <w:jc w:val="center"/>
              <w:rPr>
                <w:noProof/>
              </w:rPr>
            </w:pPr>
            <w:r>
              <w:rPr>
                <w:noProof/>
              </w:rPr>
              <w:t>Ключов етап/Цел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40324C" w14:textId="77777777" w:rsidR="00235E11" w:rsidRDefault="00F837E4">
            <w:pPr>
              <w:pStyle w:val="P68B1DB1-Normal15"/>
              <w:spacing w:after="0"/>
              <w:jc w:val="center"/>
              <w:rPr>
                <w:noProof/>
              </w:rPr>
            </w:pPr>
            <w:r>
              <w:rPr>
                <w:noProof/>
              </w:rPr>
              <w:t>Име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D688B8"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C47BF1B"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276" w:type="dxa"/>
            <w:gridSpan w:val="2"/>
            <w:tcBorders>
              <w:top w:val="single" w:sz="4" w:space="0" w:color="auto"/>
              <w:left w:val="nil"/>
              <w:bottom w:val="single" w:sz="4" w:space="0" w:color="auto"/>
              <w:right w:val="single" w:sz="4" w:space="0" w:color="auto"/>
            </w:tcBorders>
            <w:shd w:val="clear" w:color="auto" w:fill="BDD7EE"/>
            <w:vAlign w:val="center"/>
            <w:hideMark/>
          </w:tcPr>
          <w:p w14:paraId="077B347F" w14:textId="77777777" w:rsidR="00235E11" w:rsidRDefault="00F837E4">
            <w:pPr>
              <w:pStyle w:val="P68B1DB1-Normal15"/>
              <w:spacing w:after="0"/>
              <w:jc w:val="center"/>
              <w:rPr>
                <w:noProof/>
              </w:rPr>
            </w:pPr>
            <w:r>
              <w:rPr>
                <w:noProof/>
              </w:rPr>
              <w:t xml:space="preserve">Примерен график за приключване </w:t>
            </w:r>
          </w:p>
        </w:tc>
        <w:tc>
          <w:tcPr>
            <w:tcW w:w="54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999CC5" w14:textId="77777777" w:rsidR="00235E11" w:rsidRDefault="00F837E4">
            <w:pPr>
              <w:pStyle w:val="P68B1DB1-Normal15"/>
              <w:spacing w:after="0"/>
              <w:jc w:val="center"/>
              <w:rPr>
                <w:noProof/>
              </w:rPr>
            </w:pPr>
            <w:r>
              <w:rPr>
                <w:noProof/>
              </w:rPr>
              <w:t>Описание на всеки ключов етап и цел</w:t>
            </w:r>
          </w:p>
        </w:tc>
      </w:tr>
      <w:tr w:rsidR="00235E11" w14:paraId="5183C88D" w14:textId="77777777">
        <w:trPr>
          <w:gridAfter w:val="1"/>
          <w:wAfter w:w="33" w:type="dxa"/>
          <w:trHeight w:val="1013"/>
          <w:jc w:val="center"/>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DF9104B" w14:textId="77777777" w:rsidR="00235E11" w:rsidRDefault="00235E11">
            <w:pPr>
              <w:spacing w:after="0"/>
              <w:rPr>
                <w:rFonts w:ascii="Times New Roman" w:eastAsia="Times New Roman" w:hAnsi="Times New Roman" w:cs="Times New Roman"/>
                <w:b/>
                <w:noProof/>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6F319F6" w14:textId="77777777" w:rsidR="00235E11" w:rsidRDefault="00235E11">
            <w:pPr>
              <w:spacing w:after="0"/>
              <w:rPr>
                <w:rFonts w:ascii="Times New Roman" w:eastAsia="Times New Roman" w:hAnsi="Times New Roman" w:cs="Times New Roman"/>
                <w:b/>
                <w:noProof/>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4737D100" w14:textId="77777777" w:rsidR="00235E11" w:rsidRDefault="00235E11">
            <w:pPr>
              <w:spacing w:after="0"/>
              <w:rPr>
                <w:rFonts w:ascii="Times New Roman" w:eastAsia="Times New Roman" w:hAnsi="Times New Roman" w:cs="Times New Roman"/>
                <w:b/>
                <w:noProof/>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59D6A6" w14:textId="77777777" w:rsidR="00235E11" w:rsidRDefault="00235E11">
            <w:pPr>
              <w:spacing w:after="0"/>
              <w:rPr>
                <w:rFonts w:ascii="Times New Roman" w:eastAsia="Times New Roman" w:hAnsi="Times New Roman" w:cs="Times New Roman"/>
                <w:b/>
                <w:noProo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8C7C7D" w14:textId="77777777" w:rsidR="00235E11" w:rsidRDefault="00235E11">
            <w:pPr>
              <w:spacing w:after="0"/>
              <w:rPr>
                <w:rFonts w:ascii="Times New Roman" w:eastAsia="Times New Roman" w:hAnsi="Times New Roman" w:cs="Times New Roman"/>
                <w:b/>
                <w:noProof/>
              </w:rPr>
            </w:pPr>
          </w:p>
        </w:tc>
        <w:tc>
          <w:tcPr>
            <w:tcW w:w="1276" w:type="dxa"/>
            <w:tcBorders>
              <w:top w:val="nil"/>
              <w:left w:val="single" w:sz="4" w:space="0" w:color="auto"/>
              <w:bottom w:val="single" w:sz="4" w:space="0" w:color="auto"/>
              <w:right w:val="single" w:sz="4" w:space="0" w:color="auto"/>
            </w:tcBorders>
            <w:shd w:val="clear" w:color="auto" w:fill="BDD7EE"/>
            <w:vAlign w:val="center"/>
            <w:hideMark/>
          </w:tcPr>
          <w:p w14:paraId="7090AD9C" w14:textId="77777777" w:rsidR="00235E11" w:rsidRDefault="00F837E4">
            <w:pPr>
              <w:pStyle w:val="P68B1DB1-Normal15"/>
              <w:spacing w:after="0"/>
              <w:jc w:val="center"/>
              <w:rPr>
                <w:noProof/>
              </w:rPr>
            </w:pPr>
            <w:r>
              <w:rPr>
                <w:noProof/>
              </w:rPr>
              <w:t>Единица мярка</w:t>
            </w:r>
          </w:p>
        </w:tc>
        <w:tc>
          <w:tcPr>
            <w:tcW w:w="708" w:type="dxa"/>
            <w:tcBorders>
              <w:top w:val="nil"/>
              <w:left w:val="nil"/>
              <w:bottom w:val="single" w:sz="4" w:space="0" w:color="auto"/>
              <w:right w:val="single" w:sz="4" w:space="0" w:color="auto"/>
            </w:tcBorders>
            <w:shd w:val="clear" w:color="auto" w:fill="BDD7EE"/>
            <w:vAlign w:val="center"/>
            <w:hideMark/>
          </w:tcPr>
          <w:p w14:paraId="79613094" w14:textId="77777777" w:rsidR="00235E11" w:rsidRDefault="00F837E4">
            <w:pPr>
              <w:pStyle w:val="P68B1DB1-Normal15"/>
              <w:spacing w:after="0"/>
              <w:jc w:val="center"/>
              <w:rPr>
                <w:noProof/>
              </w:rPr>
            </w:pPr>
            <w:r>
              <w:rPr>
                <w:noProof/>
              </w:rPr>
              <w:t xml:space="preserve">Базова линия </w:t>
            </w:r>
          </w:p>
        </w:tc>
        <w:tc>
          <w:tcPr>
            <w:tcW w:w="851" w:type="dxa"/>
            <w:tcBorders>
              <w:top w:val="nil"/>
              <w:left w:val="nil"/>
              <w:bottom w:val="single" w:sz="4" w:space="0" w:color="auto"/>
              <w:right w:val="single" w:sz="4" w:space="0" w:color="auto"/>
            </w:tcBorders>
            <w:shd w:val="clear" w:color="auto" w:fill="BDD7EE"/>
            <w:vAlign w:val="center"/>
            <w:hideMark/>
          </w:tcPr>
          <w:p w14:paraId="2091A829" w14:textId="77777777" w:rsidR="00235E11" w:rsidRDefault="00F837E4">
            <w:pPr>
              <w:pStyle w:val="P68B1DB1-Normal15"/>
              <w:spacing w:after="0"/>
              <w:jc w:val="center"/>
              <w:rPr>
                <w:noProof/>
              </w:rPr>
            </w:pPr>
            <w:r>
              <w:rPr>
                <w:noProof/>
              </w:rPr>
              <w:t xml:space="preserve">Цел </w:t>
            </w:r>
          </w:p>
        </w:tc>
        <w:tc>
          <w:tcPr>
            <w:tcW w:w="567" w:type="dxa"/>
            <w:tcBorders>
              <w:top w:val="nil"/>
              <w:left w:val="nil"/>
              <w:bottom w:val="single" w:sz="4" w:space="0" w:color="auto"/>
              <w:right w:val="single" w:sz="4" w:space="0" w:color="auto"/>
            </w:tcBorders>
            <w:shd w:val="clear" w:color="auto" w:fill="BDD7EE"/>
            <w:vAlign w:val="center"/>
            <w:hideMark/>
          </w:tcPr>
          <w:p w14:paraId="0EECF341" w14:textId="77777777" w:rsidR="00235E11" w:rsidRDefault="00F837E4">
            <w:pPr>
              <w:pStyle w:val="P68B1DB1-Normal15"/>
              <w:spacing w:after="0"/>
              <w:jc w:val="center"/>
              <w:rPr>
                <w:noProof/>
              </w:rPr>
            </w:pPr>
            <w:r>
              <w:rPr>
                <w:noProof/>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333CCD98" w14:textId="77777777" w:rsidR="00235E11" w:rsidRDefault="00F837E4">
            <w:pPr>
              <w:pStyle w:val="P68B1DB1-Normal15"/>
              <w:spacing w:after="0"/>
              <w:jc w:val="center"/>
              <w:rPr>
                <w:noProof/>
              </w:rPr>
            </w:pPr>
            <w:r>
              <w:rPr>
                <w:noProof/>
              </w:rPr>
              <w:t>Година</w:t>
            </w:r>
          </w:p>
        </w:tc>
        <w:tc>
          <w:tcPr>
            <w:tcW w:w="5409" w:type="dxa"/>
            <w:vMerge/>
            <w:tcBorders>
              <w:top w:val="single" w:sz="4" w:space="0" w:color="auto"/>
              <w:bottom w:val="single" w:sz="4" w:space="0" w:color="auto"/>
              <w:right w:val="single" w:sz="4" w:space="0" w:color="auto"/>
            </w:tcBorders>
            <w:vAlign w:val="center"/>
            <w:hideMark/>
          </w:tcPr>
          <w:p w14:paraId="3EA816E9" w14:textId="77777777" w:rsidR="00235E11" w:rsidRDefault="00235E11">
            <w:pPr>
              <w:spacing w:after="0"/>
              <w:rPr>
                <w:rFonts w:ascii="Times New Roman" w:eastAsia="Times New Roman" w:hAnsi="Times New Roman" w:cs="Times New Roman"/>
                <w:b/>
                <w:noProof/>
              </w:rPr>
            </w:pPr>
          </w:p>
        </w:tc>
      </w:tr>
      <w:tr w:rsidR="00235E11" w14:paraId="66A09E8A"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B1B63E" w14:textId="77777777" w:rsidR="00235E11" w:rsidRDefault="00F837E4">
            <w:pPr>
              <w:pStyle w:val="P68B1DB1-Normal10"/>
              <w:spacing w:after="0"/>
              <w:jc w:val="center"/>
              <w:rPr>
                <w:noProof/>
              </w:rPr>
            </w:pPr>
            <w:r>
              <w:rPr>
                <w:noProof/>
              </w:rPr>
              <w:t>99</w:t>
            </w:r>
          </w:p>
        </w:tc>
        <w:tc>
          <w:tcPr>
            <w:tcW w:w="154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7A94D61" w14:textId="77777777" w:rsidR="00235E11" w:rsidRDefault="00F837E4">
            <w:pPr>
              <w:pStyle w:val="P68B1DB1-Normal9"/>
              <w:spacing w:after="0"/>
              <w:rPr>
                <w:rFonts w:eastAsia="Times New Roman"/>
                <w:noProof/>
              </w:rPr>
            </w:pPr>
            <w:r>
              <w:rPr>
                <w:noProof/>
              </w:rPr>
              <w:t>Подобряване на обществения транспорт във Валония (I-3B)</w:t>
            </w:r>
          </w:p>
        </w:tc>
        <w:tc>
          <w:tcPr>
            <w:tcW w:w="878" w:type="dxa"/>
            <w:tcBorders>
              <w:top w:val="single" w:sz="4" w:space="0" w:color="auto"/>
              <w:left w:val="nil"/>
              <w:bottom w:val="single" w:sz="4" w:space="0" w:color="auto"/>
              <w:right w:val="single" w:sz="4" w:space="0" w:color="auto"/>
            </w:tcBorders>
            <w:shd w:val="clear" w:color="auto" w:fill="C6EFCE"/>
            <w:noWrap/>
            <w:vAlign w:val="center"/>
            <w:hideMark/>
          </w:tcPr>
          <w:p w14:paraId="050A4873" w14:textId="3537E790" w:rsidR="00235E11" w:rsidRDefault="00F837E4">
            <w:pPr>
              <w:pStyle w:val="P68B1DB1-Normal9"/>
              <w:spacing w:after="0"/>
              <w:rPr>
                <w:rFonts w:eastAsia="Times New Roman"/>
                <w:noProof/>
              </w:rPr>
            </w:pPr>
            <w:r>
              <w:rPr>
                <w:noProof/>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768A1ED1" w14:textId="379BA39B" w:rsidR="00235E11" w:rsidRDefault="00F837E4">
            <w:pPr>
              <w:pStyle w:val="P68B1DB1-Normal9"/>
              <w:spacing w:after="0"/>
              <w:rPr>
                <w:rFonts w:eastAsia="Times New Roman"/>
                <w:noProof/>
              </w:rPr>
            </w:pPr>
            <w:r>
              <w:rPr>
                <w:noProof/>
              </w:rPr>
              <w:t>Начало на големи инфраструктурни работи за автобусите (интелигентни пътни сигнали и леко метро (Шарлероа)</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BCD3D3A" w14:textId="77777777" w:rsidR="00235E11" w:rsidRDefault="00235E11">
            <w:pPr>
              <w:spacing w:after="0"/>
              <w:rPr>
                <w:rFonts w:ascii="Times New Roman" w:eastAsia="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noWrap/>
            <w:vAlign w:val="center"/>
            <w:hideMark/>
          </w:tcPr>
          <w:p w14:paraId="7BB292F0" w14:textId="77777777" w:rsidR="00235E11" w:rsidRDefault="00F837E4">
            <w:pPr>
              <w:pStyle w:val="P68B1DB1-Normal9"/>
              <w:spacing w:after="0"/>
              <w:rPr>
                <w:rFonts w:eastAsia="Times New Roman"/>
                <w:noProof/>
              </w:rPr>
            </w:pPr>
            <w:r>
              <w:rPr>
                <w:noProof/>
              </w:rPr>
              <w:t>Проекти</w:t>
            </w:r>
          </w:p>
        </w:tc>
        <w:tc>
          <w:tcPr>
            <w:tcW w:w="708" w:type="dxa"/>
            <w:tcBorders>
              <w:top w:val="nil"/>
              <w:left w:val="nil"/>
              <w:bottom w:val="single" w:sz="4" w:space="0" w:color="auto"/>
              <w:right w:val="single" w:sz="4" w:space="0" w:color="auto"/>
            </w:tcBorders>
            <w:shd w:val="clear" w:color="auto" w:fill="C6EFCE"/>
            <w:noWrap/>
            <w:vAlign w:val="center"/>
            <w:hideMark/>
          </w:tcPr>
          <w:p w14:paraId="0CBBFC39" w14:textId="77777777" w:rsidR="00235E11" w:rsidRDefault="00F837E4">
            <w:pPr>
              <w:pStyle w:val="P68B1DB1-Normal9"/>
              <w:spacing w:after="0"/>
              <w:jc w:val="right"/>
              <w:rPr>
                <w:rFonts w:eastAsia="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hideMark/>
          </w:tcPr>
          <w:p w14:paraId="22C7D413" w14:textId="68E04F0B" w:rsidR="00235E11" w:rsidRDefault="00F837E4">
            <w:pPr>
              <w:pStyle w:val="P68B1DB1-Normal9"/>
              <w:spacing w:after="0"/>
              <w:jc w:val="right"/>
              <w:rPr>
                <w:rFonts w:eastAsia="Times New Roman"/>
                <w:noProof/>
              </w:rPr>
            </w:pPr>
            <w:r>
              <w:rPr>
                <w:noProof/>
              </w:rPr>
              <w:t>2</w:t>
            </w:r>
          </w:p>
        </w:tc>
        <w:tc>
          <w:tcPr>
            <w:tcW w:w="567" w:type="dxa"/>
            <w:tcBorders>
              <w:top w:val="nil"/>
              <w:left w:val="nil"/>
              <w:bottom w:val="single" w:sz="4" w:space="0" w:color="auto"/>
              <w:right w:val="single" w:sz="4" w:space="0" w:color="auto"/>
            </w:tcBorders>
            <w:shd w:val="clear" w:color="auto" w:fill="C6EFCE"/>
            <w:noWrap/>
            <w:vAlign w:val="center"/>
            <w:hideMark/>
          </w:tcPr>
          <w:p w14:paraId="671FADAC" w14:textId="77777777" w:rsidR="00235E11" w:rsidRDefault="00F837E4">
            <w:pPr>
              <w:pStyle w:val="P68B1DB1-Normal9"/>
              <w:spacing w:after="0"/>
              <w:jc w:val="center"/>
              <w:rPr>
                <w:rFonts w:eastAsia="Times New Roman"/>
                <w:noProof/>
              </w:rPr>
            </w:pPr>
            <w:r>
              <w:rPr>
                <w:noProof/>
              </w:rPr>
              <w:t>Т3 Г.</w:t>
            </w:r>
          </w:p>
        </w:tc>
        <w:tc>
          <w:tcPr>
            <w:tcW w:w="709" w:type="dxa"/>
            <w:tcBorders>
              <w:top w:val="nil"/>
              <w:left w:val="nil"/>
              <w:bottom w:val="single" w:sz="4" w:space="0" w:color="auto"/>
              <w:right w:val="single" w:sz="4" w:space="0" w:color="auto"/>
            </w:tcBorders>
            <w:shd w:val="clear" w:color="auto" w:fill="C6EFCE"/>
            <w:noWrap/>
            <w:vAlign w:val="center"/>
            <w:hideMark/>
          </w:tcPr>
          <w:p w14:paraId="45569858" w14:textId="77777777" w:rsidR="00235E11" w:rsidRDefault="00F837E4">
            <w:pPr>
              <w:pStyle w:val="P68B1DB1-Normal9"/>
              <w:spacing w:after="0"/>
              <w:jc w:val="center"/>
              <w:rPr>
                <w:rFonts w:eastAsia="Times New Roman"/>
                <w:noProof/>
              </w:rPr>
            </w:pPr>
            <w:r>
              <w:rPr>
                <w:noProof/>
              </w:rPr>
              <w:t>2023</w:t>
            </w:r>
          </w:p>
        </w:tc>
        <w:tc>
          <w:tcPr>
            <w:tcW w:w="54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42E0A34" w14:textId="2229C891" w:rsidR="00235E11" w:rsidRDefault="00F837E4">
            <w:pPr>
              <w:pStyle w:val="P68B1DB1-Normal20"/>
              <w:spacing w:after="0"/>
              <w:rPr>
                <w:noProof/>
              </w:rPr>
            </w:pPr>
            <w:r>
              <w:rPr>
                <w:noProof/>
              </w:rPr>
              <w:t>Разширение на метрото Шарлероа — WAL (I-3.07)</w:t>
            </w:r>
          </w:p>
          <w:p w14:paraId="154A3E57" w14:textId="77777777" w:rsidR="00235E11" w:rsidRDefault="00F837E4">
            <w:pPr>
              <w:pStyle w:val="P68B1DB1-ListParagraph12"/>
              <w:numPr>
                <w:ilvl w:val="0"/>
                <w:numId w:val="26"/>
              </w:numPr>
              <w:spacing w:after="0" w:line="240" w:lineRule="auto"/>
              <w:ind w:left="584" w:hanging="357"/>
              <w:rPr>
                <w:noProof/>
              </w:rPr>
            </w:pPr>
            <w:r>
              <w:rPr>
                <w:noProof/>
              </w:rPr>
              <w:t>Предоставяне на всички строителни и екологични разрешителни</w:t>
            </w:r>
          </w:p>
          <w:p w14:paraId="5C465417" w14:textId="5D6B5380" w:rsidR="00235E11" w:rsidRDefault="00F837E4">
            <w:pPr>
              <w:pStyle w:val="P68B1DB1-Normal20"/>
              <w:spacing w:after="0"/>
              <w:rPr>
                <w:noProof/>
              </w:rPr>
            </w:pPr>
            <w:r>
              <w:rPr>
                <w:noProof/>
              </w:rPr>
              <w:t>Интелигентни пътни сигнали — WAL (I-3.08)</w:t>
            </w:r>
          </w:p>
          <w:p w14:paraId="1114D0F2" w14:textId="77777777" w:rsidR="00235E11" w:rsidRDefault="00F837E4">
            <w:pPr>
              <w:pStyle w:val="P68B1DB1-ListParagraph12"/>
              <w:numPr>
                <w:ilvl w:val="0"/>
                <w:numId w:val="26"/>
              </w:numPr>
              <w:spacing w:after="0" w:line="240" w:lineRule="auto"/>
              <w:ind w:left="584" w:hanging="357"/>
              <w:rPr>
                <w:noProof/>
              </w:rPr>
            </w:pPr>
            <w:r>
              <w:rPr>
                <w:noProof/>
              </w:rPr>
              <w:t>Възлагане на договори за всички обществени поръчки за строителство (публикувано е уведомление за възлагане на обществена поръчка)</w:t>
            </w:r>
          </w:p>
        </w:tc>
      </w:tr>
      <w:tr w:rsidR="00235E11" w14:paraId="7B4232D0" w14:textId="77777777">
        <w:trPr>
          <w:gridAfter w:val="1"/>
          <w:wAfter w:w="33" w:type="dxa"/>
          <w:trHeight w:val="309"/>
          <w:jc w:val="center"/>
        </w:trPr>
        <w:tc>
          <w:tcPr>
            <w:tcW w:w="696" w:type="dxa"/>
            <w:tcBorders>
              <w:top w:val="nil"/>
              <w:left w:val="single" w:sz="4" w:space="0" w:color="auto"/>
              <w:bottom w:val="single" w:sz="4" w:space="0" w:color="auto"/>
              <w:right w:val="single" w:sz="4" w:space="0" w:color="auto"/>
            </w:tcBorders>
            <w:shd w:val="clear" w:color="auto" w:fill="C6EFCE"/>
            <w:noWrap/>
            <w:vAlign w:val="center"/>
            <w:hideMark/>
          </w:tcPr>
          <w:p w14:paraId="3AEF110A" w14:textId="77777777" w:rsidR="00235E11" w:rsidRDefault="00F837E4">
            <w:pPr>
              <w:pStyle w:val="P68B1DB1-Normal10"/>
              <w:spacing w:after="0"/>
              <w:jc w:val="center"/>
              <w:rPr>
                <w:noProof/>
              </w:rPr>
            </w:pPr>
            <w:r>
              <w:rPr>
                <w:noProof/>
              </w:rPr>
              <w:t>100</w:t>
            </w:r>
          </w:p>
        </w:tc>
        <w:tc>
          <w:tcPr>
            <w:tcW w:w="1540" w:type="dxa"/>
            <w:tcBorders>
              <w:top w:val="nil"/>
              <w:left w:val="single" w:sz="4" w:space="0" w:color="auto"/>
              <w:bottom w:val="single" w:sz="4" w:space="0" w:color="auto"/>
              <w:right w:val="single" w:sz="4" w:space="0" w:color="auto"/>
            </w:tcBorders>
            <w:shd w:val="clear" w:color="auto" w:fill="C6EFCE"/>
            <w:noWrap/>
            <w:vAlign w:val="center"/>
            <w:hideMark/>
          </w:tcPr>
          <w:p w14:paraId="006D7E9C" w14:textId="77777777" w:rsidR="00235E11" w:rsidRDefault="00F837E4">
            <w:pPr>
              <w:pStyle w:val="P68B1DB1-Normal9"/>
              <w:spacing w:after="0"/>
              <w:rPr>
                <w:rFonts w:eastAsia="Times New Roman"/>
                <w:noProof/>
              </w:rPr>
            </w:pPr>
            <w:r>
              <w:rPr>
                <w:noProof/>
              </w:rPr>
              <w:t>Подобряване на обществения транспорт във Валония (I-3B)</w:t>
            </w:r>
          </w:p>
        </w:tc>
        <w:tc>
          <w:tcPr>
            <w:tcW w:w="878" w:type="dxa"/>
            <w:tcBorders>
              <w:top w:val="nil"/>
              <w:left w:val="nil"/>
              <w:bottom w:val="single" w:sz="4" w:space="0" w:color="auto"/>
              <w:right w:val="single" w:sz="4" w:space="0" w:color="auto"/>
            </w:tcBorders>
            <w:shd w:val="clear" w:color="auto" w:fill="C6EFCE"/>
            <w:noWrap/>
            <w:vAlign w:val="center"/>
            <w:hideMark/>
          </w:tcPr>
          <w:p w14:paraId="039ECF36" w14:textId="6B6384AF" w:rsidR="00235E11" w:rsidRDefault="00F837E4">
            <w:pPr>
              <w:pStyle w:val="P68B1DB1-Normal9"/>
              <w:spacing w:after="0"/>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7E80085B" w14:textId="0EAA24AC" w:rsidR="00235E11" w:rsidRDefault="00F837E4">
            <w:pPr>
              <w:pStyle w:val="P68B1DB1-Normal9"/>
              <w:spacing w:after="0"/>
              <w:rPr>
                <w:rFonts w:eastAsia="Times New Roman"/>
                <w:noProof/>
              </w:rPr>
            </w:pPr>
            <w:r>
              <w:rPr>
                <w:noProof/>
              </w:rPr>
              <w:t>Привеждане в действие на интелигентни светофари</w:t>
            </w:r>
          </w:p>
        </w:tc>
        <w:tc>
          <w:tcPr>
            <w:tcW w:w="1276" w:type="dxa"/>
            <w:tcBorders>
              <w:top w:val="nil"/>
              <w:left w:val="single" w:sz="4" w:space="0" w:color="auto"/>
              <w:bottom w:val="single" w:sz="4" w:space="0" w:color="auto"/>
              <w:right w:val="single" w:sz="4" w:space="0" w:color="auto"/>
            </w:tcBorders>
            <w:shd w:val="clear" w:color="auto" w:fill="C6EFCE"/>
            <w:noWrap/>
            <w:vAlign w:val="center"/>
            <w:hideMark/>
          </w:tcPr>
          <w:p w14:paraId="10CD8A2C" w14:textId="77777777" w:rsidR="00235E11" w:rsidRDefault="00235E11">
            <w:pPr>
              <w:spacing w:after="0"/>
              <w:rPr>
                <w:rFonts w:ascii="Times New Roman" w:eastAsia="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noWrap/>
            <w:vAlign w:val="center"/>
            <w:hideMark/>
          </w:tcPr>
          <w:p w14:paraId="3726BB47" w14:textId="796F3315" w:rsidR="00235E11" w:rsidRDefault="00F837E4">
            <w:pPr>
              <w:pStyle w:val="P68B1DB1-Normal9"/>
              <w:spacing w:after="0"/>
              <w:rPr>
                <w:rFonts w:eastAsia="Times New Roman"/>
                <w:noProof/>
              </w:rPr>
            </w:pPr>
            <w:r>
              <w:rPr>
                <w:noProof/>
              </w:rPr>
              <w:t xml:space="preserve">Брой на кръстовищата с интелигентни светофари в централизираната платформа </w:t>
            </w:r>
          </w:p>
        </w:tc>
        <w:tc>
          <w:tcPr>
            <w:tcW w:w="708" w:type="dxa"/>
            <w:tcBorders>
              <w:top w:val="nil"/>
              <w:left w:val="nil"/>
              <w:bottom w:val="single" w:sz="4" w:space="0" w:color="auto"/>
              <w:right w:val="single" w:sz="4" w:space="0" w:color="auto"/>
            </w:tcBorders>
            <w:shd w:val="clear" w:color="auto" w:fill="C6EFCE"/>
            <w:noWrap/>
            <w:vAlign w:val="center"/>
            <w:hideMark/>
          </w:tcPr>
          <w:p w14:paraId="63EB66F0" w14:textId="2B573C03" w:rsidR="00235E11" w:rsidRDefault="00235E11">
            <w:pPr>
              <w:spacing w:after="0"/>
              <w:jc w:val="right"/>
              <w:rPr>
                <w:rFonts w:ascii="Times New Roman" w:hAnsi="Times New Roman" w:cs="Times New Roman"/>
                <w:noProof/>
                <w:color w:val="006100"/>
              </w:rPr>
            </w:pPr>
          </w:p>
          <w:p w14:paraId="58D8DE5A" w14:textId="3A07A7D0" w:rsidR="00235E11" w:rsidRDefault="00235E11">
            <w:pPr>
              <w:spacing w:after="0"/>
              <w:jc w:val="right"/>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hideMark/>
          </w:tcPr>
          <w:p w14:paraId="12D70262" w14:textId="4CA618DA" w:rsidR="00235E11" w:rsidRDefault="00235E11">
            <w:pPr>
              <w:spacing w:after="0"/>
              <w:jc w:val="right"/>
              <w:rPr>
                <w:rFonts w:ascii="Times New Roman" w:hAnsi="Times New Roman" w:cs="Times New Roman"/>
                <w:noProof/>
                <w:color w:val="006100"/>
              </w:rPr>
            </w:pPr>
          </w:p>
          <w:p w14:paraId="5D831B5A" w14:textId="77777777" w:rsidR="00235E11" w:rsidRDefault="00F837E4">
            <w:pPr>
              <w:pStyle w:val="P68B1DB1-Normal9"/>
              <w:spacing w:after="0"/>
              <w:jc w:val="right"/>
              <w:rPr>
                <w:rFonts w:eastAsia="Times New Roman"/>
                <w:noProof/>
              </w:rPr>
            </w:pPr>
            <w:r>
              <w:rPr>
                <w:noProof/>
              </w:rPr>
              <w:t>260</w:t>
            </w:r>
          </w:p>
        </w:tc>
        <w:tc>
          <w:tcPr>
            <w:tcW w:w="567" w:type="dxa"/>
            <w:tcBorders>
              <w:top w:val="nil"/>
              <w:left w:val="nil"/>
              <w:bottom w:val="single" w:sz="4" w:space="0" w:color="auto"/>
              <w:right w:val="single" w:sz="4" w:space="0" w:color="auto"/>
            </w:tcBorders>
            <w:shd w:val="clear" w:color="auto" w:fill="C6EFCE"/>
            <w:noWrap/>
            <w:vAlign w:val="center"/>
            <w:hideMark/>
          </w:tcPr>
          <w:p w14:paraId="09BD3CEA"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3BD6A218" w14:textId="77777777" w:rsidR="00235E11" w:rsidRDefault="00F837E4">
            <w:pPr>
              <w:pStyle w:val="P68B1DB1-Normal9"/>
              <w:spacing w:after="0"/>
              <w:jc w:val="center"/>
              <w:rPr>
                <w:rFonts w:eastAsia="Times New Roman"/>
                <w:noProof/>
              </w:rPr>
            </w:pPr>
            <w:r>
              <w:rPr>
                <w:noProof/>
              </w:rPr>
              <w:t>2025</w:t>
            </w:r>
          </w:p>
        </w:tc>
        <w:tc>
          <w:tcPr>
            <w:tcW w:w="5409" w:type="dxa"/>
            <w:tcBorders>
              <w:top w:val="nil"/>
              <w:left w:val="single" w:sz="4" w:space="0" w:color="auto"/>
              <w:bottom w:val="single" w:sz="4" w:space="0" w:color="auto"/>
              <w:right w:val="single" w:sz="4" w:space="0" w:color="auto"/>
            </w:tcBorders>
            <w:shd w:val="clear" w:color="auto" w:fill="C6EFCE"/>
            <w:noWrap/>
            <w:vAlign w:val="center"/>
            <w:hideMark/>
          </w:tcPr>
          <w:p w14:paraId="0F808DAD" w14:textId="2A218CD8" w:rsidR="00235E11" w:rsidRDefault="00F837E4">
            <w:pPr>
              <w:pStyle w:val="P68B1DB1-Normal20"/>
              <w:spacing w:after="0"/>
              <w:rPr>
                <w:noProof/>
              </w:rPr>
            </w:pPr>
            <w:r>
              <w:rPr>
                <w:noProof/>
              </w:rPr>
              <w:t>Интелигентни пътни сигнали — WAL (I-3.08)</w:t>
            </w:r>
          </w:p>
          <w:p w14:paraId="51C7DBA5" w14:textId="77777777" w:rsidR="00235E11" w:rsidRDefault="00F837E4">
            <w:pPr>
              <w:pStyle w:val="P68B1DB1-ListParagraph12"/>
              <w:numPr>
                <w:ilvl w:val="0"/>
                <w:numId w:val="26"/>
              </w:numPr>
              <w:spacing w:after="0" w:line="240" w:lineRule="auto"/>
              <w:ind w:left="584" w:hanging="357"/>
              <w:rPr>
                <w:noProof/>
              </w:rPr>
            </w:pPr>
            <w:r>
              <w:rPr>
                <w:noProof/>
              </w:rPr>
              <w:t>Оборудване на 260 кръстовища с интелигентни пътни сигнали.</w:t>
            </w:r>
          </w:p>
        </w:tc>
      </w:tr>
      <w:tr w:rsidR="00235E11" w14:paraId="2B229D63" w14:textId="77777777">
        <w:trPr>
          <w:gridAfter w:val="1"/>
          <w:wAfter w:w="33" w:type="dxa"/>
          <w:trHeight w:val="309"/>
          <w:jc w:val="center"/>
        </w:trPr>
        <w:tc>
          <w:tcPr>
            <w:tcW w:w="696" w:type="dxa"/>
            <w:tcBorders>
              <w:top w:val="nil"/>
              <w:left w:val="single" w:sz="4" w:space="0" w:color="auto"/>
              <w:bottom w:val="single" w:sz="4" w:space="0" w:color="auto"/>
              <w:right w:val="single" w:sz="4" w:space="0" w:color="auto"/>
            </w:tcBorders>
            <w:shd w:val="clear" w:color="auto" w:fill="C6EFCE"/>
            <w:noWrap/>
            <w:vAlign w:val="center"/>
            <w:hideMark/>
          </w:tcPr>
          <w:p w14:paraId="35A448A7" w14:textId="77777777" w:rsidR="00235E11" w:rsidRDefault="00F837E4">
            <w:pPr>
              <w:pStyle w:val="P68B1DB1-Normal10"/>
              <w:spacing w:after="0"/>
              <w:jc w:val="center"/>
              <w:rPr>
                <w:noProof/>
              </w:rPr>
            </w:pPr>
            <w:r>
              <w:rPr>
                <w:noProof/>
              </w:rPr>
              <w:t>101</w:t>
            </w:r>
          </w:p>
        </w:tc>
        <w:tc>
          <w:tcPr>
            <w:tcW w:w="1540" w:type="dxa"/>
            <w:tcBorders>
              <w:top w:val="nil"/>
              <w:left w:val="single" w:sz="4" w:space="0" w:color="auto"/>
              <w:bottom w:val="single" w:sz="4" w:space="0" w:color="auto"/>
              <w:right w:val="single" w:sz="4" w:space="0" w:color="auto"/>
            </w:tcBorders>
            <w:shd w:val="clear" w:color="auto" w:fill="C6EFCE"/>
            <w:noWrap/>
            <w:vAlign w:val="center"/>
            <w:hideMark/>
          </w:tcPr>
          <w:p w14:paraId="7A840881" w14:textId="77777777" w:rsidR="00235E11" w:rsidRDefault="00F837E4">
            <w:pPr>
              <w:pStyle w:val="P68B1DB1-Normal9"/>
              <w:spacing w:after="0"/>
              <w:rPr>
                <w:rFonts w:eastAsia="Times New Roman"/>
                <w:noProof/>
              </w:rPr>
            </w:pPr>
            <w:r>
              <w:rPr>
                <w:noProof/>
              </w:rPr>
              <w:t>Подобряване на обществения транспорт във Валония (I-3B)</w:t>
            </w:r>
          </w:p>
        </w:tc>
        <w:tc>
          <w:tcPr>
            <w:tcW w:w="878" w:type="dxa"/>
            <w:tcBorders>
              <w:top w:val="nil"/>
              <w:left w:val="nil"/>
              <w:bottom w:val="single" w:sz="4" w:space="0" w:color="auto"/>
              <w:right w:val="single" w:sz="4" w:space="0" w:color="auto"/>
            </w:tcBorders>
            <w:shd w:val="clear" w:color="auto" w:fill="C6EFCE"/>
            <w:noWrap/>
            <w:vAlign w:val="center"/>
            <w:hideMark/>
          </w:tcPr>
          <w:p w14:paraId="364734E6" w14:textId="436ED94C" w:rsidR="00235E11" w:rsidRDefault="00F837E4">
            <w:pPr>
              <w:pStyle w:val="P68B1DB1-Normal9"/>
              <w:spacing w:after="0"/>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64C53518" w14:textId="77777777" w:rsidR="00235E11" w:rsidRDefault="00F837E4">
            <w:pPr>
              <w:pStyle w:val="P68B1DB1-Normal9"/>
              <w:spacing w:after="0"/>
              <w:rPr>
                <w:rFonts w:eastAsia="Times New Roman"/>
                <w:noProof/>
              </w:rPr>
            </w:pPr>
            <w:r>
              <w:rPr>
                <w:noProof/>
              </w:rPr>
              <w:t>Приключване на работите и кръстовища с интелигентни светофари</w:t>
            </w:r>
          </w:p>
        </w:tc>
        <w:tc>
          <w:tcPr>
            <w:tcW w:w="1276" w:type="dxa"/>
            <w:tcBorders>
              <w:top w:val="nil"/>
              <w:left w:val="single" w:sz="4" w:space="0" w:color="auto"/>
              <w:bottom w:val="single" w:sz="4" w:space="0" w:color="auto"/>
              <w:right w:val="single" w:sz="4" w:space="0" w:color="auto"/>
            </w:tcBorders>
            <w:shd w:val="clear" w:color="auto" w:fill="C6EFCE"/>
            <w:noWrap/>
            <w:vAlign w:val="center"/>
            <w:hideMark/>
          </w:tcPr>
          <w:p w14:paraId="7C92B5E1" w14:textId="77777777" w:rsidR="00235E11" w:rsidRDefault="00235E11">
            <w:pPr>
              <w:spacing w:after="0"/>
              <w:rPr>
                <w:rFonts w:ascii="Times New Roman" w:eastAsia="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noWrap/>
            <w:vAlign w:val="center"/>
            <w:hideMark/>
          </w:tcPr>
          <w:p w14:paraId="2358629D" w14:textId="77777777" w:rsidR="00235E11" w:rsidRDefault="00F837E4">
            <w:pPr>
              <w:pStyle w:val="P68B1DB1-Normal9"/>
              <w:spacing w:after="0"/>
              <w:rPr>
                <w:noProof/>
              </w:rPr>
            </w:pPr>
            <w:r>
              <w:rPr>
                <w:noProof/>
              </w:rPr>
              <w:t>Km:</w:t>
            </w:r>
          </w:p>
          <w:p w14:paraId="10CBEDD7" w14:textId="77777777" w:rsidR="00235E11" w:rsidRDefault="00F837E4">
            <w:pPr>
              <w:pStyle w:val="P68B1DB1-Normal9"/>
              <w:spacing w:after="0"/>
              <w:rPr>
                <w:rFonts w:eastAsia="Times New Roman"/>
                <w:noProof/>
              </w:rPr>
            </w:pPr>
            <w:r>
              <w:rPr>
                <w:noProof/>
              </w:rPr>
              <w:t>Брой на кръстовищата с интелигентни светофари в централизираната платформа</w:t>
            </w:r>
          </w:p>
        </w:tc>
        <w:tc>
          <w:tcPr>
            <w:tcW w:w="708" w:type="dxa"/>
            <w:tcBorders>
              <w:top w:val="nil"/>
              <w:left w:val="nil"/>
              <w:bottom w:val="single" w:sz="4" w:space="0" w:color="auto"/>
              <w:right w:val="single" w:sz="4" w:space="0" w:color="auto"/>
            </w:tcBorders>
            <w:shd w:val="clear" w:color="auto" w:fill="C6EFCE"/>
            <w:noWrap/>
            <w:vAlign w:val="center"/>
            <w:hideMark/>
          </w:tcPr>
          <w:p w14:paraId="7A700B8C" w14:textId="64250612" w:rsidR="00235E11" w:rsidRDefault="00F837E4">
            <w:pPr>
              <w:pStyle w:val="P68B1DB1-Normal9"/>
              <w:spacing w:after="0"/>
              <w:jc w:val="right"/>
              <w:rPr>
                <w:noProof/>
              </w:rPr>
            </w:pPr>
            <w:r>
              <w:rPr>
                <w:noProof/>
              </w:rPr>
              <w:t>2</w:t>
            </w:r>
          </w:p>
          <w:p w14:paraId="3777EDC6" w14:textId="7B66C4F1" w:rsidR="00235E11" w:rsidRDefault="00235E11">
            <w:pPr>
              <w:spacing w:after="0"/>
              <w:jc w:val="right"/>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hideMark/>
          </w:tcPr>
          <w:p w14:paraId="0EE99EC6" w14:textId="64D06E4E" w:rsidR="00235E11" w:rsidRDefault="00F837E4">
            <w:pPr>
              <w:pStyle w:val="P68B1DB1-Normal9"/>
              <w:spacing w:after="0"/>
              <w:jc w:val="right"/>
              <w:rPr>
                <w:noProof/>
              </w:rPr>
            </w:pPr>
            <w:r>
              <w:rPr>
                <w:noProof/>
              </w:rPr>
              <w:t>5,5</w:t>
            </w:r>
          </w:p>
          <w:p w14:paraId="337CBD3D" w14:textId="77777777" w:rsidR="00235E11" w:rsidRDefault="00F837E4">
            <w:pPr>
              <w:pStyle w:val="P68B1DB1-Normal9"/>
              <w:spacing w:after="0"/>
              <w:jc w:val="right"/>
              <w:rPr>
                <w:rFonts w:eastAsia="Times New Roman"/>
                <w:noProof/>
              </w:rPr>
            </w:pPr>
            <w:r>
              <w:rPr>
                <w:noProof/>
              </w:rPr>
              <w:t>400</w:t>
            </w:r>
          </w:p>
        </w:tc>
        <w:tc>
          <w:tcPr>
            <w:tcW w:w="567" w:type="dxa"/>
            <w:tcBorders>
              <w:top w:val="nil"/>
              <w:left w:val="nil"/>
              <w:bottom w:val="single" w:sz="4" w:space="0" w:color="auto"/>
              <w:right w:val="single" w:sz="4" w:space="0" w:color="auto"/>
            </w:tcBorders>
            <w:shd w:val="clear" w:color="auto" w:fill="C6EFCE"/>
            <w:noWrap/>
            <w:vAlign w:val="center"/>
            <w:hideMark/>
          </w:tcPr>
          <w:p w14:paraId="5374A68C"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3D263D73" w14:textId="77777777" w:rsidR="00235E11" w:rsidRDefault="00F837E4">
            <w:pPr>
              <w:pStyle w:val="P68B1DB1-Normal9"/>
              <w:spacing w:after="0"/>
              <w:jc w:val="center"/>
              <w:rPr>
                <w:rFonts w:eastAsia="Times New Roman"/>
                <w:noProof/>
              </w:rPr>
            </w:pPr>
            <w:r>
              <w:rPr>
                <w:noProof/>
              </w:rPr>
              <w:t>2026</w:t>
            </w:r>
          </w:p>
        </w:tc>
        <w:tc>
          <w:tcPr>
            <w:tcW w:w="5409" w:type="dxa"/>
            <w:tcBorders>
              <w:top w:val="nil"/>
              <w:left w:val="single" w:sz="4" w:space="0" w:color="auto"/>
              <w:bottom w:val="single" w:sz="4" w:space="0" w:color="auto"/>
              <w:right w:val="single" w:sz="4" w:space="0" w:color="auto"/>
            </w:tcBorders>
            <w:shd w:val="clear" w:color="auto" w:fill="C6EFCE"/>
            <w:noWrap/>
            <w:vAlign w:val="center"/>
            <w:hideMark/>
          </w:tcPr>
          <w:p w14:paraId="7F103087" w14:textId="328B33AD" w:rsidR="00235E11" w:rsidRDefault="00F837E4">
            <w:pPr>
              <w:pStyle w:val="P68B1DB1-Normal9"/>
              <w:spacing w:after="0"/>
              <w:rPr>
                <w:noProof/>
              </w:rPr>
            </w:pPr>
            <w:r>
              <w:rPr>
                <w:noProof/>
              </w:rPr>
              <w:t>В централизирана платформа за пътна сигнализация се работи по изграждането на допълнителна инфраструктура за обществен транспорт с нулеви емисии, разширяване на метрото (Шарлероа) и 400 кръстовища с интелигентни светофари за автобусите на обществения транспорт.</w:t>
            </w:r>
          </w:p>
        </w:tc>
      </w:tr>
      <w:tr w:rsidR="00235E11" w14:paraId="6D736F2A" w14:textId="77777777">
        <w:trPr>
          <w:gridAfter w:val="1"/>
          <w:wAfter w:w="33" w:type="dxa"/>
          <w:trHeight w:val="309"/>
          <w:jc w:val="center"/>
        </w:trPr>
        <w:tc>
          <w:tcPr>
            <w:tcW w:w="696" w:type="dxa"/>
            <w:tcBorders>
              <w:top w:val="nil"/>
              <w:left w:val="single" w:sz="4" w:space="0" w:color="auto"/>
              <w:bottom w:val="single" w:sz="4" w:space="0" w:color="auto"/>
              <w:right w:val="single" w:sz="4" w:space="0" w:color="auto"/>
            </w:tcBorders>
            <w:shd w:val="clear" w:color="auto" w:fill="C6EFCE"/>
            <w:noWrap/>
            <w:vAlign w:val="center"/>
            <w:hideMark/>
          </w:tcPr>
          <w:p w14:paraId="69FC99A2" w14:textId="77777777" w:rsidR="00235E11" w:rsidRDefault="00F837E4">
            <w:pPr>
              <w:pStyle w:val="P68B1DB1-Normal10"/>
              <w:spacing w:after="0"/>
              <w:jc w:val="center"/>
              <w:rPr>
                <w:noProof/>
              </w:rPr>
            </w:pPr>
            <w:r>
              <w:rPr>
                <w:noProof/>
              </w:rPr>
              <w:t>102</w:t>
            </w:r>
          </w:p>
        </w:tc>
        <w:tc>
          <w:tcPr>
            <w:tcW w:w="1540" w:type="dxa"/>
            <w:tcBorders>
              <w:top w:val="nil"/>
              <w:left w:val="single" w:sz="4" w:space="0" w:color="auto"/>
              <w:bottom w:val="single" w:sz="4" w:space="0" w:color="auto"/>
              <w:right w:val="single" w:sz="4" w:space="0" w:color="auto"/>
            </w:tcBorders>
            <w:shd w:val="clear" w:color="auto" w:fill="C6EFCE"/>
            <w:noWrap/>
            <w:vAlign w:val="center"/>
            <w:hideMark/>
          </w:tcPr>
          <w:p w14:paraId="1A9EBE4F" w14:textId="77777777" w:rsidR="00235E11" w:rsidRDefault="00F837E4">
            <w:pPr>
              <w:pStyle w:val="P68B1DB1-Normal9"/>
              <w:spacing w:after="0"/>
              <w:rPr>
                <w:rFonts w:eastAsia="Times New Roman"/>
                <w:noProof/>
              </w:rPr>
            </w:pPr>
            <w:r>
              <w:rPr>
                <w:noProof/>
              </w:rPr>
              <w:t>Подобряване на обществения транспорт във Валония (I-3B)</w:t>
            </w:r>
          </w:p>
        </w:tc>
        <w:tc>
          <w:tcPr>
            <w:tcW w:w="878" w:type="dxa"/>
            <w:tcBorders>
              <w:top w:val="nil"/>
              <w:left w:val="nil"/>
              <w:bottom w:val="single" w:sz="4" w:space="0" w:color="auto"/>
              <w:right w:val="single" w:sz="4" w:space="0" w:color="auto"/>
            </w:tcBorders>
            <w:shd w:val="clear" w:color="auto" w:fill="C6EFCE"/>
            <w:noWrap/>
            <w:vAlign w:val="center"/>
            <w:hideMark/>
          </w:tcPr>
          <w:p w14:paraId="56F7AA19" w14:textId="6C344DC7" w:rsidR="00235E11" w:rsidRDefault="00F837E4">
            <w:pPr>
              <w:pStyle w:val="P68B1DB1-Normal9"/>
              <w:spacing w:after="0"/>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76457345" w14:textId="77777777" w:rsidR="00235E11" w:rsidRDefault="00F837E4">
            <w:pPr>
              <w:pStyle w:val="P68B1DB1-Normal9"/>
              <w:spacing w:after="0"/>
              <w:rPr>
                <w:rFonts w:eastAsia="Times New Roman"/>
                <w:noProof/>
              </w:rPr>
            </w:pPr>
            <w:r>
              <w:rPr>
                <w:noProof/>
              </w:rPr>
              <w:t>Подписване на ревизиран договор за обществена услуга на OTW („Organisme de Transport de Wallonie“)</w:t>
            </w:r>
          </w:p>
        </w:tc>
        <w:tc>
          <w:tcPr>
            <w:tcW w:w="1276" w:type="dxa"/>
            <w:tcBorders>
              <w:top w:val="nil"/>
              <w:left w:val="single" w:sz="4" w:space="0" w:color="auto"/>
              <w:bottom w:val="single" w:sz="4" w:space="0" w:color="auto"/>
              <w:right w:val="single" w:sz="4" w:space="0" w:color="auto"/>
            </w:tcBorders>
            <w:shd w:val="clear" w:color="auto" w:fill="C6EFCE"/>
            <w:noWrap/>
            <w:vAlign w:val="center"/>
            <w:hideMark/>
          </w:tcPr>
          <w:p w14:paraId="61641760" w14:textId="77777777" w:rsidR="00235E11" w:rsidRDefault="00F837E4">
            <w:pPr>
              <w:pStyle w:val="P68B1DB1-Normal9"/>
              <w:spacing w:after="0"/>
              <w:rPr>
                <w:rFonts w:eastAsia="Times New Roman"/>
                <w:noProof/>
              </w:rPr>
            </w:pPr>
            <w:r>
              <w:rPr>
                <w:noProof/>
              </w:rPr>
              <w:t>Ревизиран договор за обществена услуга на OTW („Organisme de Transport de Wallonie“)</w:t>
            </w:r>
          </w:p>
        </w:tc>
        <w:tc>
          <w:tcPr>
            <w:tcW w:w="1276" w:type="dxa"/>
            <w:tcBorders>
              <w:top w:val="nil"/>
              <w:left w:val="nil"/>
              <w:bottom w:val="single" w:sz="4" w:space="0" w:color="auto"/>
              <w:right w:val="single" w:sz="4" w:space="0" w:color="auto"/>
            </w:tcBorders>
            <w:shd w:val="clear" w:color="auto" w:fill="C6EFCE"/>
            <w:noWrap/>
            <w:vAlign w:val="center"/>
            <w:hideMark/>
          </w:tcPr>
          <w:p w14:paraId="57E19AB6" w14:textId="72D72952"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hideMark/>
          </w:tcPr>
          <w:p w14:paraId="04F913FC" w14:textId="5E4AB38E"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hideMark/>
          </w:tcPr>
          <w:p w14:paraId="6280522F" w14:textId="0CCE3818" w:rsidR="00235E11" w:rsidRDefault="00235E11">
            <w:pPr>
              <w:spacing w:after="0"/>
              <w:rPr>
                <w:rFonts w:ascii="Times New Roman" w:eastAsia="Times New Roman" w:hAnsi="Times New Roman" w:cs="Times New Roman"/>
                <w:noProof/>
                <w:color w:val="006100"/>
              </w:rPr>
            </w:pPr>
          </w:p>
        </w:tc>
        <w:tc>
          <w:tcPr>
            <w:tcW w:w="567" w:type="dxa"/>
            <w:tcBorders>
              <w:top w:val="nil"/>
              <w:left w:val="nil"/>
              <w:bottom w:val="single" w:sz="4" w:space="0" w:color="auto"/>
              <w:right w:val="single" w:sz="4" w:space="0" w:color="auto"/>
            </w:tcBorders>
            <w:shd w:val="clear" w:color="auto" w:fill="C6EFCE"/>
            <w:noWrap/>
            <w:vAlign w:val="center"/>
            <w:hideMark/>
          </w:tcPr>
          <w:p w14:paraId="6FDDB248"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270D72DD" w14:textId="77777777" w:rsidR="00235E11" w:rsidRDefault="00F837E4">
            <w:pPr>
              <w:pStyle w:val="P68B1DB1-Normal9"/>
              <w:spacing w:after="0"/>
              <w:jc w:val="center"/>
              <w:rPr>
                <w:rFonts w:eastAsia="Times New Roman"/>
                <w:noProof/>
              </w:rPr>
            </w:pPr>
            <w:r>
              <w:rPr>
                <w:noProof/>
              </w:rPr>
              <w:t>2024</w:t>
            </w:r>
          </w:p>
        </w:tc>
        <w:tc>
          <w:tcPr>
            <w:tcW w:w="5409" w:type="dxa"/>
            <w:tcBorders>
              <w:top w:val="nil"/>
              <w:left w:val="single" w:sz="4" w:space="0" w:color="auto"/>
              <w:bottom w:val="single" w:sz="4" w:space="0" w:color="auto"/>
              <w:right w:val="single" w:sz="4" w:space="0" w:color="auto"/>
            </w:tcBorders>
            <w:shd w:val="clear" w:color="auto" w:fill="C6EFCE"/>
            <w:noWrap/>
            <w:vAlign w:val="center"/>
            <w:hideMark/>
          </w:tcPr>
          <w:p w14:paraId="49FC41C1" w14:textId="3EE2E6E4" w:rsidR="00235E11" w:rsidRDefault="00F837E4">
            <w:pPr>
              <w:pStyle w:val="P68B1DB1-Normal9"/>
              <w:spacing w:after="0"/>
              <w:rPr>
                <w:rFonts w:eastAsia="Times New Roman"/>
                <w:noProof/>
              </w:rPr>
            </w:pPr>
            <w:r>
              <w:rPr>
                <w:noProof/>
              </w:rPr>
              <w:t>Подписване на преразгледания договор за обществена услуга на OTW („Organisme de Transport de Wallonie“) с поето задължение за компенсация за допълнителните оперативни разходи за метрото с нулеви емисии на Charleroi и трамвая на Лиеж.</w:t>
            </w:r>
          </w:p>
        </w:tc>
      </w:tr>
      <w:tr w:rsidR="00235E11" w14:paraId="68D2693A" w14:textId="77777777">
        <w:trPr>
          <w:trHeight w:val="309"/>
          <w:jc w:val="center"/>
        </w:trPr>
        <w:tc>
          <w:tcPr>
            <w:tcW w:w="696" w:type="dxa"/>
            <w:tcBorders>
              <w:top w:val="nil"/>
              <w:left w:val="single" w:sz="4" w:space="0" w:color="auto"/>
              <w:bottom w:val="single" w:sz="4" w:space="0" w:color="auto"/>
              <w:right w:val="single" w:sz="4" w:space="0" w:color="auto"/>
            </w:tcBorders>
            <w:shd w:val="clear" w:color="auto" w:fill="C6EFCE"/>
            <w:vAlign w:val="center"/>
            <w:hideMark/>
          </w:tcPr>
          <w:p w14:paraId="007C873D" w14:textId="77777777" w:rsidR="00235E11" w:rsidRDefault="00F837E4">
            <w:pPr>
              <w:pStyle w:val="P68B1DB1-Normal10"/>
              <w:spacing w:after="0"/>
              <w:jc w:val="center"/>
              <w:rPr>
                <w:noProof/>
              </w:rPr>
            </w:pPr>
            <w:r>
              <w:rPr>
                <w:noProof/>
              </w:rPr>
              <w:t>103</w:t>
            </w:r>
          </w:p>
        </w:tc>
        <w:tc>
          <w:tcPr>
            <w:tcW w:w="1540" w:type="dxa"/>
            <w:tcBorders>
              <w:top w:val="nil"/>
              <w:left w:val="single" w:sz="4" w:space="0" w:color="auto"/>
              <w:bottom w:val="single" w:sz="4" w:space="0" w:color="auto"/>
              <w:right w:val="single" w:sz="4" w:space="0" w:color="auto"/>
            </w:tcBorders>
            <w:shd w:val="clear" w:color="auto" w:fill="C6EFCE"/>
            <w:vAlign w:val="center"/>
            <w:hideMark/>
          </w:tcPr>
          <w:p w14:paraId="445CCEB4" w14:textId="77777777" w:rsidR="00235E11" w:rsidRDefault="00F837E4">
            <w:pPr>
              <w:pStyle w:val="P68B1DB1-Normal9"/>
              <w:spacing w:after="0"/>
              <w:rPr>
                <w:rFonts w:eastAsia="Times New Roman"/>
                <w:noProof/>
              </w:rPr>
            </w:pPr>
            <w:r>
              <w:rPr>
                <w:noProof/>
              </w:rPr>
              <w:t>Дейности по обновяване на железниците и достъпност на гарите (I-3В)</w:t>
            </w:r>
          </w:p>
        </w:tc>
        <w:tc>
          <w:tcPr>
            <w:tcW w:w="878" w:type="dxa"/>
            <w:tcBorders>
              <w:top w:val="nil"/>
              <w:left w:val="nil"/>
              <w:bottom w:val="single" w:sz="4" w:space="0" w:color="auto"/>
              <w:right w:val="single" w:sz="4" w:space="0" w:color="auto"/>
            </w:tcBorders>
            <w:shd w:val="clear" w:color="auto" w:fill="C6EFCE"/>
            <w:vAlign w:val="center"/>
            <w:hideMark/>
          </w:tcPr>
          <w:p w14:paraId="3772BB4A" w14:textId="2BC67625" w:rsidR="00235E11" w:rsidRDefault="00F837E4">
            <w:pPr>
              <w:pStyle w:val="P68B1DB1-Normal9"/>
              <w:spacing w:after="0"/>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vAlign w:val="center"/>
            <w:hideMark/>
          </w:tcPr>
          <w:p w14:paraId="4787DA67" w14:textId="77777777" w:rsidR="00235E11" w:rsidRDefault="00F837E4">
            <w:pPr>
              <w:pStyle w:val="P68B1DB1-Normal9"/>
              <w:spacing w:after="0"/>
              <w:rPr>
                <w:rFonts w:eastAsia="Times New Roman"/>
                <w:noProof/>
              </w:rPr>
            </w:pPr>
            <w:r>
              <w:rPr>
                <w:noProof/>
              </w:rPr>
              <w:t>Приключване на ремонтни и модернизационни работи на железопътната линия и работи по достъпност на гарите (стъпка 1)</w:t>
            </w:r>
          </w:p>
        </w:tc>
        <w:tc>
          <w:tcPr>
            <w:tcW w:w="1276" w:type="dxa"/>
            <w:tcBorders>
              <w:top w:val="nil"/>
              <w:left w:val="single" w:sz="4" w:space="0" w:color="auto"/>
              <w:bottom w:val="single" w:sz="4" w:space="0" w:color="auto"/>
              <w:right w:val="single" w:sz="4" w:space="0" w:color="auto"/>
            </w:tcBorders>
            <w:shd w:val="clear" w:color="auto" w:fill="C6EFCE"/>
            <w:vAlign w:val="center"/>
            <w:hideMark/>
          </w:tcPr>
          <w:p w14:paraId="41D27710" w14:textId="77777777" w:rsidR="00235E11" w:rsidRDefault="00235E11">
            <w:pPr>
              <w:spacing w:after="0"/>
              <w:rPr>
                <w:rFonts w:ascii="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vAlign w:val="center"/>
            <w:hideMark/>
          </w:tcPr>
          <w:p w14:paraId="422E6BE4" w14:textId="77777777" w:rsidR="00235E11" w:rsidRDefault="00F837E4">
            <w:pPr>
              <w:pStyle w:val="P68B1DB1-Normal9"/>
              <w:spacing w:after="0"/>
              <w:rPr>
                <w:rFonts w:eastAsia="Times New Roman"/>
                <w:noProof/>
              </w:rPr>
            </w:pPr>
            <w:r>
              <w:rPr>
                <w:noProof/>
              </w:rPr>
              <w:t>Завършени работи</w:t>
            </w:r>
          </w:p>
        </w:tc>
        <w:tc>
          <w:tcPr>
            <w:tcW w:w="708" w:type="dxa"/>
            <w:tcBorders>
              <w:top w:val="nil"/>
              <w:left w:val="nil"/>
              <w:bottom w:val="single" w:sz="4" w:space="0" w:color="auto"/>
              <w:right w:val="single" w:sz="4" w:space="0" w:color="auto"/>
            </w:tcBorders>
            <w:shd w:val="clear" w:color="auto" w:fill="C6EFCE"/>
            <w:vAlign w:val="center"/>
            <w:hideMark/>
          </w:tcPr>
          <w:p w14:paraId="09EDE3D2" w14:textId="77777777" w:rsidR="00235E11" w:rsidRDefault="00F837E4">
            <w:pPr>
              <w:pStyle w:val="P68B1DB1-Normal9"/>
              <w:spacing w:after="0"/>
              <w:rPr>
                <w:rFonts w:eastAsia="Times New Roman"/>
                <w:noProof/>
              </w:rPr>
            </w:pPr>
            <w:r>
              <w:rPr>
                <w:noProof/>
              </w:rPr>
              <w:t>0</w:t>
            </w:r>
          </w:p>
        </w:tc>
        <w:tc>
          <w:tcPr>
            <w:tcW w:w="851" w:type="dxa"/>
            <w:tcBorders>
              <w:top w:val="nil"/>
              <w:left w:val="nil"/>
              <w:bottom w:val="single" w:sz="4" w:space="0" w:color="auto"/>
              <w:right w:val="single" w:sz="4" w:space="0" w:color="auto"/>
            </w:tcBorders>
            <w:shd w:val="clear" w:color="auto" w:fill="C6EFCE"/>
            <w:vAlign w:val="center"/>
            <w:hideMark/>
          </w:tcPr>
          <w:p w14:paraId="0649A88A" w14:textId="4859EF10" w:rsidR="00235E11" w:rsidRDefault="00F837E4">
            <w:pPr>
              <w:pStyle w:val="P68B1DB1-Normal9"/>
              <w:spacing w:after="0"/>
              <w:rPr>
                <w:rFonts w:eastAsia="Times New Roman"/>
                <w:noProof/>
              </w:rPr>
            </w:pPr>
            <w:r>
              <w:rPr>
                <w:noProof/>
              </w:rPr>
              <w:t>32</w:t>
            </w:r>
          </w:p>
        </w:tc>
        <w:tc>
          <w:tcPr>
            <w:tcW w:w="567" w:type="dxa"/>
            <w:tcBorders>
              <w:top w:val="nil"/>
              <w:left w:val="nil"/>
              <w:bottom w:val="single" w:sz="4" w:space="0" w:color="auto"/>
              <w:right w:val="single" w:sz="4" w:space="0" w:color="auto"/>
            </w:tcBorders>
            <w:shd w:val="clear" w:color="auto" w:fill="C6EFCE"/>
            <w:vAlign w:val="center"/>
            <w:hideMark/>
          </w:tcPr>
          <w:p w14:paraId="52D360EB" w14:textId="77777777" w:rsidR="00235E11" w:rsidRDefault="00F837E4">
            <w:pPr>
              <w:pStyle w:val="P68B1DB1-Normal9"/>
              <w:spacing w:after="0"/>
              <w:jc w:val="center"/>
              <w:rPr>
                <w:rFonts w:eastAsia="Times New Roman"/>
                <w:noProof/>
              </w:rPr>
            </w:pPr>
            <w:r>
              <w:rPr>
                <w:noProof/>
              </w:rPr>
              <w:t>Т3 Г.</w:t>
            </w:r>
          </w:p>
        </w:tc>
        <w:tc>
          <w:tcPr>
            <w:tcW w:w="709" w:type="dxa"/>
            <w:tcBorders>
              <w:top w:val="nil"/>
              <w:left w:val="nil"/>
              <w:bottom w:val="single" w:sz="4" w:space="0" w:color="auto"/>
              <w:right w:val="single" w:sz="4" w:space="0" w:color="auto"/>
            </w:tcBorders>
            <w:shd w:val="clear" w:color="auto" w:fill="C6EFCE"/>
            <w:vAlign w:val="center"/>
            <w:hideMark/>
          </w:tcPr>
          <w:p w14:paraId="1239E659" w14:textId="77777777" w:rsidR="00235E11" w:rsidRDefault="00F837E4">
            <w:pPr>
              <w:pStyle w:val="P68B1DB1-Normal9"/>
              <w:spacing w:after="0"/>
              <w:jc w:val="center"/>
              <w:rPr>
                <w:rFonts w:eastAsia="Times New Roman"/>
                <w:noProof/>
              </w:rPr>
            </w:pPr>
            <w:r>
              <w:rPr>
                <w:noProof/>
              </w:rPr>
              <w:t>2022</w:t>
            </w:r>
          </w:p>
        </w:tc>
        <w:tc>
          <w:tcPr>
            <w:tcW w:w="5442" w:type="dxa"/>
            <w:gridSpan w:val="2"/>
            <w:tcBorders>
              <w:top w:val="nil"/>
              <w:left w:val="single" w:sz="4" w:space="0" w:color="auto"/>
              <w:bottom w:val="single" w:sz="4" w:space="0" w:color="auto"/>
              <w:right w:val="single" w:sz="4" w:space="0" w:color="auto"/>
            </w:tcBorders>
            <w:shd w:val="clear" w:color="auto" w:fill="C6EFCE"/>
            <w:vAlign w:val="center"/>
            <w:hideMark/>
          </w:tcPr>
          <w:p w14:paraId="5246A90A" w14:textId="687B5084" w:rsidR="00235E11" w:rsidRDefault="00F837E4">
            <w:pPr>
              <w:pStyle w:val="P68B1DB1-Normal9"/>
              <w:spacing w:after="0" w:line="240" w:lineRule="auto"/>
              <w:textAlignment w:val="baseline"/>
              <w:rPr>
                <w:noProof/>
              </w:rPr>
            </w:pPr>
            <w:r>
              <w:rPr>
                <w:noProof/>
              </w:rPr>
              <w:t>Приключване на 27 интервенции за модернизиране на железопътната инфраструктура (I-3.10) и осигуряване на достъп до 5 гари (I-3.09) в съответствие с Регламент (ЕС) № 1300/2014 на Комисията по най-малко 4 критерия:</w:t>
            </w:r>
          </w:p>
          <w:p w14:paraId="7BCFD41F" w14:textId="77777777" w:rsidR="00235E11" w:rsidRDefault="00F837E4">
            <w:pPr>
              <w:pStyle w:val="P68B1DB1-Normal9"/>
              <w:spacing w:after="0" w:line="240" w:lineRule="auto"/>
              <w:textAlignment w:val="baseline"/>
              <w:rPr>
                <w:noProof/>
              </w:rPr>
            </w:pPr>
            <w:r>
              <w:rPr>
                <w:noProof/>
              </w:rPr>
              <w:t>— високи платформи (76 cm);</w:t>
            </w:r>
          </w:p>
          <w:p w14:paraId="6F09B440" w14:textId="77777777" w:rsidR="00235E11" w:rsidRDefault="00F837E4">
            <w:pPr>
              <w:pStyle w:val="P68B1DB1-Normal9"/>
              <w:spacing w:after="0" w:line="240" w:lineRule="auto"/>
              <w:textAlignment w:val="baseline"/>
              <w:rPr>
                <w:noProof/>
              </w:rPr>
            </w:pPr>
            <w:r>
              <w:rPr>
                <w:noProof/>
              </w:rPr>
              <w:t>— платформи, достъпни чрез рампи или асансьори;</w:t>
            </w:r>
          </w:p>
          <w:p w14:paraId="6254F95A" w14:textId="77777777" w:rsidR="00235E11" w:rsidRDefault="00F837E4">
            <w:pPr>
              <w:pStyle w:val="P68B1DB1-Normal9"/>
              <w:spacing w:after="0" w:line="240" w:lineRule="auto"/>
              <w:textAlignment w:val="baseline"/>
              <w:rPr>
                <w:noProof/>
              </w:rPr>
            </w:pPr>
            <w:r>
              <w:rPr>
                <w:noProof/>
              </w:rPr>
              <w:t>тактилна система за насочване на предупредителната повърхност; и че</w:t>
            </w:r>
          </w:p>
          <w:p w14:paraId="0B0E7B30" w14:textId="0AD1EF4C" w:rsidR="00235E11" w:rsidRDefault="00F837E4">
            <w:pPr>
              <w:pStyle w:val="P68B1DB1-Normal9"/>
              <w:spacing w:after="0" w:line="240" w:lineRule="auto"/>
              <w:textAlignment w:val="baseline"/>
              <w:rPr>
                <w:noProof/>
              </w:rPr>
            </w:pPr>
            <w:r>
              <w:rPr>
                <w:noProof/>
              </w:rPr>
              <w:t xml:space="preserve">— поне един автомат за продажба на билети, достъпен за лица с намалена подвижност. </w:t>
            </w:r>
          </w:p>
          <w:p w14:paraId="180DE9E3" w14:textId="32CEC259" w:rsidR="00235E11" w:rsidRDefault="00F837E4">
            <w:pPr>
              <w:pStyle w:val="P68B1DB1-Normal9"/>
              <w:spacing w:after="0" w:line="240" w:lineRule="auto"/>
              <w:textAlignment w:val="baseline"/>
              <w:rPr>
                <w:noProof/>
              </w:rPr>
            </w:pPr>
            <w:r>
              <w:rPr>
                <w:noProof/>
              </w:rPr>
              <w:t>И да се добавят 6000 места за паркиране на велосипеди.</w:t>
            </w:r>
          </w:p>
        </w:tc>
      </w:tr>
      <w:tr w:rsidR="00235E11" w14:paraId="5C4A2939" w14:textId="77777777">
        <w:trPr>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vAlign w:val="center"/>
          </w:tcPr>
          <w:p w14:paraId="6B1BC603" w14:textId="77777777" w:rsidR="00235E11" w:rsidRDefault="00F837E4">
            <w:pPr>
              <w:pStyle w:val="P68B1DB1-Normal10"/>
              <w:spacing w:after="0"/>
              <w:jc w:val="center"/>
              <w:rPr>
                <w:noProof/>
              </w:rPr>
            </w:pPr>
            <w:r>
              <w:rPr>
                <w:noProof/>
              </w:rPr>
              <w:t>104</w:t>
            </w:r>
          </w:p>
        </w:tc>
        <w:tc>
          <w:tcPr>
            <w:tcW w:w="1540" w:type="dxa"/>
            <w:tcBorders>
              <w:top w:val="nil"/>
              <w:left w:val="single" w:sz="4" w:space="0" w:color="auto"/>
              <w:bottom w:val="single" w:sz="4" w:space="0" w:color="auto"/>
              <w:right w:val="single" w:sz="4" w:space="0" w:color="auto"/>
            </w:tcBorders>
            <w:shd w:val="clear" w:color="auto" w:fill="C6EFCE"/>
            <w:vAlign w:val="center"/>
          </w:tcPr>
          <w:p w14:paraId="2388492B" w14:textId="77777777" w:rsidR="00235E11" w:rsidRDefault="00F837E4">
            <w:pPr>
              <w:pStyle w:val="P68B1DB1-Normal9"/>
              <w:spacing w:after="0"/>
              <w:rPr>
                <w:noProof/>
              </w:rPr>
            </w:pPr>
            <w:r>
              <w:rPr>
                <w:noProof/>
              </w:rPr>
              <w:t>Дейности по обновяване на железниците и достъпност на гарите (I-3В)</w:t>
            </w:r>
          </w:p>
        </w:tc>
        <w:tc>
          <w:tcPr>
            <w:tcW w:w="878" w:type="dxa"/>
            <w:tcBorders>
              <w:top w:val="nil"/>
              <w:left w:val="nil"/>
              <w:bottom w:val="single" w:sz="4" w:space="0" w:color="auto"/>
              <w:right w:val="single" w:sz="4" w:space="0" w:color="auto"/>
            </w:tcBorders>
            <w:shd w:val="clear" w:color="auto" w:fill="C6EFCE"/>
            <w:vAlign w:val="center"/>
          </w:tcPr>
          <w:p w14:paraId="3E6BB5A3" w14:textId="5D86E2BC" w:rsidR="00235E11" w:rsidRDefault="00F837E4">
            <w:pPr>
              <w:pStyle w:val="P68B1DB1-Normal9"/>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vAlign w:val="center"/>
          </w:tcPr>
          <w:p w14:paraId="4523FED6" w14:textId="77777777" w:rsidR="00235E11" w:rsidRDefault="00F837E4">
            <w:pPr>
              <w:pStyle w:val="P68B1DB1-Normal9"/>
              <w:spacing w:after="0"/>
              <w:rPr>
                <w:noProof/>
              </w:rPr>
            </w:pPr>
            <w:r>
              <w:rPr>
                <w:noProof/>
              </w:rPr>
              <w:t>Приключване на ремонтни и модернизационни работи на железопътната линия и работи по достъпност на гарите (стъпка 2)</w:t>
            </w:r>
          </w:p>
        </w:tc>
        <w:tc>
          <w:tcPr>
            <w:tcW w:w="1276" w:type="dxa"/>
            <w:tcBorders>
              <w:top w:val="nil"/>
              <w:left w:val="single" w:sz="4" w:space="0" w:color="auto"/>
              <w:bottom w:val="single" w:sz="4" w:space="0" w:color="auto"/>
              <w:right w:val="single" w:sz="4" w:space="0" w:color="auto"/>
            </w:tcBorders>
            <w:shd w:val="clear" w:color="auto" w:fill="C6EFCE"/>
            <w:vAlign w:val="center"/>
          </w:tcPr>
          <w:p w14:paraId="10F442AB" w14:textId="77777777" w:rsidR="00235E11" w:rsidRDefault="00235E11">
            <w:pPr>
              <w:spacing w:after="0"/>
              <w:rPr>
                <w:rFonts w:ascii="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vAlign w:val="center"/>
          </w:tcPr>
          <w:p w14:paraId="05AE5551" w14:textId="77777777" w:rsidR="00235E11" w:rsidRDefault="00F837E4">
            <w:pPr>
              <w:pStyle w:val="P68B1DB1-Normal9"/>
              <w:spacing w:after="0"/>
              <w:rPr>
                <w:rFonts w:eastAsia="Times New Roman"/>
                <w:noProof/>
              </w:rPr>
            </w:pPr>
            <w:r>
              <w:rPr>
                <w:noProof/>
              </w:rPr>
              <w:t>Завършени работи</w:t>
            </w:r>
          </w:p>
        </w:tc>
        <w:tc>
          <w:tcPr>
            <w:tcW w:w="708" w:type="dxa"/>
            <w:tcBorders>
              <w:top w:val="nil"/>
              <w:left w:val="nil"/>
              <w:bottom w:val="single" w:sz="4" w:space="0" w:color="auto"/>
              <w:right w:val="single" w:sz="4" w:space="0" w:color="auto"/>
            </w:tcBorders>
            <w:shd w:val="clear" w:color="auto" w:fill="C6EFCE"/>
            <w:vAlign w:val="center"/>
          </w:tcPr>
          <w:p w14:paraId="0C0BCAF0" w14:textId="77777777" w:rsidR="00235E11" w:rsidRDefault="00F837E4">
            <w:pPr>
              <w:pStyle w:val="P68B1DB1-Normal9"/>
              <w:spacing w:after="0"/>
              <w:rPr>
                <w:rFonts w:eastAsia="Times New Roman"/>
                <w:noProof/>
              </w:rPr>
            </w:pPr>
            <w:r>
              <w:rPr>
                <w:noProof/>
              </w:rPr>
              <w:t>32</w:t>
            </w:r>
          </w:p>
        </w:tc>
        <w:tc>
          <w:tcPr>
            <w:tcW w:w="851" w:type="dxa"/>
            <w:tcBorders>
              <w:top w:val="nil"/>
              <w:left w:val="nil"/>
              <w:bottom w:val="single" w:sz="4" w:space="0" w:color="auto"/>
              <w:right w:val="single" w:sz="4" w:space="0" w:color="auto"/>
            </w:tcBorders>
            <w:shd w:val="clear" w:color="auto" w:fill="C6EFCE"/>
            <w:vAlign w:val="center"/>
          </w:tcPr>
          <w:p w14:paraId="3B7509BE" w14:textId="77777777" w:rsidR="00235E11" w:rsidRDefault="00F837E4">
            <w:pPr>
              <w:pStyle w:val="P68B1DB1-Normal9"/>
              <w:spacing w:after="0"/>
              <w:rPr>
                <w:rFonts w:eastAsia="Times New Roman"/>
                <w:noProof/>
              </w:rPr>
            </w:pPr>
            <w:r>
              <w:rPr>
                <w:noProof/>
              </w:rPr>
              <w:t>62</w:t>
            </w:r>
          </w:p>
        </w:tc>
        <w:tc>
          <w:tcPr>
            <w:tcW w:w="567" w:type="dxa"/>
            <w:tcBorders>
              <w:top w:val="nil"/>
              <w:left w:val="nil"/>
              <w:bottom w:val="single" w:sz="4" w:space="0" w:color="auto"/>
              <w:right w:val="single" w:sz="4" w:space="0" w:color="auto"/>
            </w:tcBorders>
            <w:shd w:val="clear" w:color="auto" w:fill="C6EFCE"/>
            <w:vAlign w:val="center"/>
          </w:tcPr>
          <w:p w14:paraId="14038C7A" w14:textId="77777777" w:rsidR="00235E11" w:rsidRDefault="00F837E4">
            <w:pPr>
              <w:pStyle w:val="P68B1DB1-Normal9"/>
              <w:spacing w:after="0"/>
              <w:jc w:val="center"/>
              <w:rPr>
                <w:rFonts w:eastAsia="Times New Roman"/>
                <w:noProof/>
              </w:rPr>
            </w:pPr>
            <w:r>
              <w:rPr>
                <w:noProof/>
              </w:rPr>
              <w:t>Т3 Г.</w:t>
            </w:r>
          </w:p>
        </w:tc>
        <w:tc>
          <w:tcPr>
            <w:tcW w:w="709" w:type="dxa"/>
            <w:tcBorders>
              <w:top w:val="nil"/>
              <w:left w:val="nil"/>
              <w:bottom w:val="single" w:sz="4" w:space="0" w:color="auto"/>
              <w:right w:val="single" w:sz="4" w:space="0" w:color="auto"/>
            </w:tcBorders>
            <w:shd w:val="clear" w:color="auto" w:fill="C6EFCE"/>
            <w:vAlign w:val="center"/>
          </w:tcPr>
          <w:p w14:paraId="6730DE9D" w14:textId="77777777" w:rsidR="00235E11" w:rsidRDefault="00F837E4">
            <w:pPr>
              <w:pStyle w:val="P68B1DB1-Normal9"/>
              <w:spacing w:after="0"/>
              <w:jc w:val="center"/>
              <w:rPr>
                <w:rFonts w:eastAsia="Times New Roman"/>
                <w:noProof/>
              </w:rPr>
            </w:pPr>
            <w:r>
              <w:rPr>
                <w:noProof/>
              </w:rPr>
              <w:t>2023</w:t>
            </w:r>
          </w:p>
        </w:tc>
        <w:tc>
          <w:tcPr>
            <w:tcW w:w="5442" w:type="dxa"/>
            <w:gridSpan w:val="2"/>
            <w:tcBorders>
              <w:top w:val="nil"/>
              <w:left w:val="single" w:sz="4" w:space="0" w:color="auto"/>
              <w:bottom w:val="single" w:sz="4" w:space="0" w:color="auto"/>
              <w:right w:val="single" w:sz="4" w:space="0" w:color="auto"/>
            </w:tcBorders>
            <w:shd w:val="clear" w:color="auto" w:fill="C6EFCE"/>
            <w:vAlign w:val="center"/>
          </w:tcPr>
          <w:p w14:paraId="58D91303" w14:textId="32D5FD31" w:rsidR="00235E11" w:rsidRDefault="00F837E4">
            <w:pPr>
              <w:pStyle w:val="P68B1DB1-Normal9"/>
              <w:spacing w:after="0"/>
              <w:rPr>
                <w:noProof/>
              </w:rPr>
            </w:pPr>
            <w:r>
              <w:rPr>
                <w:noProof/>
              </w:rPr>
              <w:t>Приключване на 50-те интервенции за модернизиране на железопътната инфраструктура (I-3.10) и осигуряване на достъп до 12 гари (I-3.09) в съответствие с Регламент (ЕС) № 1300/2014 на Комисията по най-малко 4 критерия:</w:t>
            </w:r>
          </w:p>
          <w:p w14:paraId="1ABB3C19" w14:textId="77777777" w:rsidR="00235E11" w:rsidRDefault="00F837E4">
            <w:pPr>
              <w:pStyle w:val="P68B1DB1-Normal9"/>
              <w:spacing w:after="0"/>
              <w:rPr>
                <w:noProof/>
              </w:rPr>
            </w:pPr>
            <w:r>
              <w:rPr>
                <w:noProof/>
              </w:rPr>
              <w:t>— високи платформи (76 cm);</w:t>
            </w:r>
          </w:p>
          <w:p w14:paraId="1BFD550A" w14:textId="77777777" w:rsidR="00235E11" w:rsidRDefault="00F837E4">
            <w:pPr>
              <w:pStyle w:val="P68B1DB1-Normal9"/>
              <w:spacing w:after="0"/>
              <w:rPr>
                <w:noProof/>
              </w:rPr>
            </w:pPr>
            <w:r>
              <w:rPr>
                <w:noProof/>
              </w:rPr>
              <w:t>— платформи, достъпни чрез рампи или асансьори;</w:t>
            </w:r>
          </w:p>
          <w:p w14:paraId="60B41ED2" w14:textId="77777777" w:rsidR="00235E11" w:rsidRDefault="00F837E4">
            <w:pPr>
              <w:pStyle w:val="P68B1DB1-Normal9"/>
              <w:spacing w:after="0"/>
              <w:rPr>
                <w:noProof/>
              </w:rPr>
            </w:pPr>
            <w:r>
              <w:rPr>
                <w:noProof/>
              </w:rPr>
              <w:t>тактилна система за насочване на предупредителната повърхност; и че</w:t>
            </w:r>
          </w:p>
          <w:p w14:paraId="790F5559" w14:textId="77777777" w:rsidR="00235E11" w:rsidRDefault="00F837E4">
            <w:pPr>
              <w:pStyle w:val="P68B1DB1-Normal9"/>
              <w:spacing w:after="0"/>
              <w:rPr>
                <w:noProof/>
              </w:rPr>
            </w:pPr>
            <w:r>
              <w:rPr>
                <w:noProof/>
              </w:rPr>
              <w:t>— поне един автомат за продажба на билети, достъпен за лица с намалена подвижност.</w:t>
            </w:r>
          </w:p>
        </w:tc>
      </w:tr>
      <w:tr w:rsidR="00235E11" w14:paraId="62149424"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1C4D25" w14:textId="77777777" w:rsidR="00235E11" w:rsidRDefault="00F837E4">
            <w:pPr>
              <w:pStyle w:val="P68B1DB1-Normal10"/>
              <w:spacing w:after="0"/>
              <w:jc w:val="center"/>
              <w:rPr>
                <w:noProof/>
              </w:rPr>
            </w:pPr>
            <w:r>
              <w:rPr>
                <w:noProof/>
              </w:rPr>
              <w:t>105</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6CC84B52" w14:textId="77777777" w:rsidR="00235E11" w:rsidRDefault="00F837E4">
            <w:pPr>
              <w:pStyle w:val="P68B1DB1-Normal9"/>
              <w:spacing w:after="0"/>
              <w:rPr>
                <w:noProof/>
              </w:rPr>
            </w:pPr>
            <w:r>
              <w:rPr>
                <w:noProof/>
              </w:rPr>
              <w:t>Дейности по обновяване на железниците и достъпност на гарите (I-3В)</w:t>
            </w:r>
          </w:p>
        </w:tc>
        <w:tc>
          <w:tcPr>
            <w:tcW w:w="878" w:type="dxa"/>
            <w:tcBorders>
              <w:top w:val="nil"/>
              <w:left w:val="nil"/>
              <w:bottom w:val="single" w:sz="4" w:space="0" w:color="auto"/>
              <w:right w:val="single" w:sz="4" w:space="0" w:color="auto"/>
            </w:tcBorders>
            <w:shd w:val="clear" w:color="auto" w:fill="C6EFCE"/>
            <w:noWrap/>
            <w:vAlign w:val="center"/>
          </w:tcPr>
          <w:p w14:paraId="5AFE828C" w14:textId="433BCF7C" w:rsidR="00235E11" w:rsidRDefault="00F837E4">
            <w:pPr>
              <w:pStyle w:val="P68B1DB1-Normal9"/>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70E31524" w14:textId="77777777" w:rsidR="00235E11" w:rsidRDefault="00F837E4">
            <w:pPr>
              <w:pStyle w:val="P68B1DB1-Normal9"/>
              <w:spacing w:after="0"/>
              <w:rPr>
                <w:noProof/>
              </w:rPr>
            </w:pPr>
            <w:r>
              <w:rPr>
                <w:noProof/>
              </w:rPr>
              <w:t>Приключване на ремонтни и модернизационни работи на железопътната линия и работи по достъпност на гарите (стъпка 3)</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52AEEF94" w14:textId="77777777" w:rsidR="00235E11" w:rsidRDefault="00235E11">
            <w:pPr>
              <w:spacing w:after="0"/>
              <w:rPr>
                <w:rFonts w:ascii="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noWrap/>
            <w:vAlign w:val="center"/>
          </w:tcPr>
          <w:p w14:paraId="1C29D104" w14:textId="77777777" w:rsidR="00235E11" w:rsidRDefault="00F837E4">
            <w:pPr>
              <w:pStyle w:val="P68B1DB1-Normal9"/>
              <w:spacing w:after="0"/>
              <w:rPr>
                <w:rFonts w:eastAsia="Times New Roman"/>
                <w:noProof/>
              </w:rPr>
            </w:pPr>
            <w:r>
              <w:rPr>
                <w:noProof/>
              </w:rPr>
              <w:t>Завършени работи</w:t>
            </w:r>
          </w:p>
        </w:tc>
        <w:tc>
          <w:tcPr>
            <w:tcW w:w="708" w:type="dxa"/>
            <w:tcBorders>
              <w:top w:val="nil"/>
              <w:left w:val="nil"/>
              <w:bottom w:val="single" w:sz="4" w:space="0" w:color="auto"/>
              <w:right w:val="single" w:sz="4" w:space="0" w:color="auto"/>
            </w:tcBorders>
            <w:shd w:val="clear" w:color="auto" w:fill="C6EFCE"/>
            <w:noWrap/>
            <w:vAlign w:val="center"/>
          </w:tcPr>
          <w:p w14:paraId="0B444E8A" w14:textId="77777777" w:rsidR="00235E11" w:rsidRDefault="00F837E4">
            <w:pPr>
              <w:pStyle w:val="P68B1DB1-Normal9"/>
              <w:spacing w:after="0"/>
              <w:rPr>
                <w:rFonts w:eastAsia="Times New Roman"/>
                <w:noProof/>
              </w:rPr>
            </w:pPr>
            <w:r>
              <w:rPr>
                <w:noProof/>
              </w:rPr>
              <w:t>62</w:t>
            </w:r>
          </w:p>
        </w:tc>
        <w:tc>
          <w:tcPr>
            <w:tcW w:w="851" w:type="dxa"/>
            <w:tcBorders>
              <w:top w:val="nil"/>
              <w:left w:val="nil"/>
              <w:bottom w:val="single" w:sz="4" w:space="0" w:color="auto"/>
              <w:right w:val="single" w:sz="4" w:space="0" w:color="auto"/>
            </w:tcBorders>
            <w:shd w:val="clear" w:color="auto" w:fill="C6EFCE"/>
            <w:noWrap/>
            <w:vAlign w:val="center"/>
          </w:tcPr>
          <w:p w14:paraId="5685AD91" w14:textId="565F1EAF" w:rsidR="00235E11" w:rsidRDefault="00F837E4">
            <w:pPr>
              <w:pStyle w:val="P68B1DB1-Normal9"/>
              <w:spacing w:after="0"/>
              <w:rPr>
                <w:rFonts w:eastAsia="Times New Roman"/>
                <w:noProof/>
              </w:rPr>
            </w:pPr>
            <w:r>
              <w:rPr>
                <w:noProof/>
              </w:rPr>
              <w:t>84</w:t>
            </w:r>
          </w:p>
        </w:tc>
        <w:tc>
          <w:tcPr>
            <w:tcW w:w="567" w:type="dxa"/>
            <w:tcBorders>
              <w:top w:val="nil"/>
              <w:left w:val="nil"/>
              <w:bottom w:val="single" w:sz="4" w:space="0" w:color="auto"/>
              <w:right w:val="single" w:sz="4" w:space="0" w:color="auto"/>
            </w:tcBorders>
            <w:shd w:val="clear" w:color="auto" w:fill="C6EFCE"/>
            <w:noWrap/>
            <w:vAlign w:val="center"/>
          </w:tcPr>
          <w:p w14:paraId="61607EAC"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4DE87502" w14:textId="77777777" w:rsidR="00235E11" w:rsidRDefault="00F837E4">
            <w:pPr>
              <w:pStyle w:val="P68B1DB1-Normal9"/>
              <w:spacing w:after="0"/>
              <w:jc w:val="center"/>
              <w:rPr>
                <w:rFonts w:eastAsia="Times New Roman"/>
                <w:noProof/>
              </w:rPr>
            </w:pPr>
            <w:r>
              <w:rPr>
                <w:noProof/>
              </w:rPr>
              <w:t>2026</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69DDB679" w14:textId="3461E1BC" w:rsidR="00235E11" w:rsidRDefault="00F837E4">
            <w:pPr>
              <w:pStyle w:val="P68B1DB1-Normal9"/>
              <w:spacing w:after="0"/>
              <w:rPr>
                <w:noProof/>
              </w:rPr>
            </w:pPr>
            <w:r>
              <w:rPr>
                <w:noProof/>
              </w:rPr>
              <w:t>Приключване на 59 интервенции за модернизиране на железопътната инфраструктура и осигуряване на достъп до 25 гари (I-3.09) в съответствие с Регламент (ЕС) № 1300/2014 на Комисията по най-малко 4 критерия:</w:t>
            </w:r>
          </w:p>
          <w:p w14:paraId="79AE3D9C" w14:textId="77777777" w:rsidR="00235E11" w:rsidRDefault="00F837E4">
            <w:pPr>
              <w:pStyle w:val="P68B1DB1-Normal9"/>
              <w:spacing w:after="0"/>
              <w:rPr>
                <w:noProof/>
              </w:rPr>
            </w:pPr>
            <w:r>
              <w:rPr>
                <w:noProof/>
              </w:rPr>
              <w:t>— високи платформи (76 cm);</w:t>
            </w:r>
          </w:p>
          <w:p w14:paraId="2C7E7AF7" w14:textId="77777777" w:rsidR="00235E11" w:rsidRDefault="00F837E4">
            <w:pPr>
              <w:pStyle w:val="P68B1DB1-Normal9"/>
              <w:spacing w:after="0"/>
              <w:rPr>
                <w:noProof/>
              </w:rPr>
            </w:pPr>
            <w:r>
              <w:rPr>
                <w:noProof/>
              </w:rPr>
              <w:t>— платформи, достъпни чрез рампи или асансьори;</w:t>
            </w:r>
          </w:p>
          <w:p w14:paraId="0B4021C9" w14:textId="77777777" w:rsidR="00235E11" w:rsidRDefault="00F837E4">
            <w:pPr>
              <w:pStyle w:val="P68B1DB1-Normal9"/>
              <w:spacing w:after="0"/>
              <w:rPr>
                <w:noProof/>
              </w:rPr>
            </w:pPr>
            <w:r>
              <w:rPr>
                <w:noProof/>
              </w:rPr>
              <w:t>тактилна система за насочване на предупредителната повърхност; и че</w:t>
            </w:r>
          </w:p>
          <w:p w14:paraId="23AA94A0" w14:textId="23C36742" w:rsidR="00235E11" w:rsidRDefault="00F837E4">
            <w:pPr>
              <w:pStyle w:val="P68B1DB1-Normal9"/>
              <w:spacing w:after="0"/>
              <w:rPr>
                <w:noProof/>
              </w:rPr>
            </w:pPr>
            <w:r>
              <w:rPr>
                <w:noProof/>
              </w:rPr>
              <w:t>— поне един автомат за продажба на билети, достъпен за лица с намалена подвижност.</w:t>
            </w:r>
          </w:p>
        </w:tc>
      </w:tr>
      <w:tr w:rsidR="00235E11" w14:paraId="31F22158"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8416FF" w14:textId="77777777" w:rsidR="00235E11" w:rsidRDefault="00F837E4">
            <w:pPr>
              <w:pStyle w:val="P68B1DB1-Normal10"/>
              <w:spacing w:after="0"/>
              <w:jc w:val="center"/>
              <w:rPr>
                <w:noProof/>
              </w:rPr>
            </w:pPr>
            <w:r>
              <w:rPr>
                <w:noProof/>
              </w:rPr>
              <w:t>106</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48732062" w14:textId="2A1DCBC1" w:rsidR="00235E11" w:rsidRDefault="00F837E4">
            <w:pPr>
              <w:pStyle w:val="P68B1DB1-Normal9"/>
              <w:spacing w:after="0"/>
              <w:rPr>
                <w:noProof/>
              </w:rPr>
            </w:pPr>
            <w:r>
              <w:rPr>
                <w:noProof/>
              </w:rPr>
              <w:t>Canal Albert и Trilogiport (I-3.11)</w:t>
            </w:r>
          </w:p>
        </w:tc>
        <w:tc>
          <w:tcPr>
            <w:tcW w:w="878" w:type="dxa"/>
            <w:tcBorders>
              <w:top w:val="nil"/>
              <w:left w:val="nil"/>
              <w:bottom w:val="single" w:sz="4" w:space="0" w:color="auto"/>
              <w:right w:val="single" w:sz="4" w:space="0" w:color="auto"/>
            </w:tcBorders>
            <w:shd w:val="clear" w:color="auto" w:fill="C6EFCE"/>
            <w:noWrap/>
            <w:vAlign w:val="center"/>
          </w:tcPr>
          <w:p w14:paraId="03AE3116" w14:textId="5781F43D" w:rsidR="00235E11" w:rsidRDefault="00F837E4">
            <w:pPr>
              <w:pStyle w:val="P68B1DB1-Normal9"/>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4C9DD888" w14:textId="77777777" w:rsidR="00235E11" w:rsidRDefault="00F837E4">
            <w:pPr>
              <w:pStyle w:val="P68B1DB1-Normal9"/>
              <w:spacing w:after="0"/>
              <w:rPr>
                <w:noProof/>
              </w:rPr>
            </w:pPr>
            <w:r>
              <w:rPr>
                <w:noProof/>
              </w:rPr>
              <w:t xml:space="preserve">Възлагане на договори за строителство на мостовете над Canal Albert/и на нова платформа в Trilogiport </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5E88B471" w14:textId="77777777" w:rsidR="00235E11" w:rsidRDefault="00F837E4">
            <w:pPr>
              <w:pStyle w:val="P68B1DB1-Normal9"/>
              <w:spacing w:after="0"/>
              <w:rPr>
                <w:rFonts w:eastAsia="Times New Roman"/>
                <w:noProof/>
              </w:rPr>
            </w:pPr>
            <w:r>
              <w:rPr>
                <w:noProof/>
              </w:rPr>
              <w:t>Писмено уведомление за възлагане на обществена поръчка</w:t>
            </w:r>
          </w:p>
        </w:tc>
        <w:tc>
          <w:tcPr>
            <w:tcW w:w="1276" w:type="dxa"/>
            <w:tcBorders>
              <w:top w:val="nil"/>
              <w:left w:val="nil"/>
              <w:bottom w:val="single" w:sz="4" w:space="0" w:color="auto"/>
              <w:right w:val="single" w:sz="4" w:space="0" w:color="auto"/>
            </w:tcBorders>
            <w:shd w:val="clear" w:color="auto" w:fill="C6EFCE"/>
            <w:noWrap/>
            <w:vAlign w:val="center"/>
          </w:tcPr>
          <w:p w14:paraId="3D7F477D" w14:textId="09A990D9" w:rsidR="00235E11" w:rsidRDefault="00235E11">
            <w:pPr>
              <w:spacing w:after="0"/>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56E66A97" w14:textId="647578D6"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6093F713" w14:textId="465C7807" w:rsidR="00235E11" w:rsidRDefault="00235E11">
            <w:pPr>
              <w:spacing w:after="0"/>
              <w:rPr>
                <w:rFonts w:ascii="Times New Roman" w:eastAsia="Times New Roman" w:hAnsi="Times New Roman" w:cs="Times New Roman"/>
                <w:noProof/>
                <w:color w:val="006100"/>
              </w:rPr>
            </w:pPr>
          </w:p>
        </w:tc>
        <w:tc>
          <w:tcPr>
            <w:tcW w:w="567" w:type="dxa"/>
            <w:tcBorders>
              <w:top w:val="nil"/>
              <w:left w:val="nil"/>
              <w:bottom w:val="single" w:sz="4" w:space="0" w:color="auto"/>
              <w:right w:val="single" w:sz="4" w:space="0" w:color="auto"/>
            </w:tcBorders>
            <w:shd w:val="clear" w:color="auto" w:fill="C6EFCE"/>
            <w:noWrap/>
            <w:vAlign w:val="center"/>
          </w:tcPr>
          <w:p w14:paraId="277A740A" w14:textId="541E7883" w:rsidR="00235E11" w:rsidRDefault="00F837E4">
            <w:pPr>
              <w:pStyle w:val="P68B1DB1-Normal9"/>
              <w:spacing w:after="0"/>
              <w:jc w:val="center"/>
              <w:rPr>
                <w:rFonts w:eastAsia="Times New Roman"/>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1FC258D6" w14:textId="30022BC8" w:rsidR="00235E11" w:rsidRDefault="00F837E4">
            <w:pPr>
              <w:pStyle w:val="P68B1DB1-Normal9"/>
              <w:spacing w:after="0"/>
              <w:jc w:val="center"/>
              <w:rPr>
                <w:rFonts w:eastAsia="Times New Roman"/>
                <w:noProof/>
              </w:rPr>
            </w:pPr>
            <w:r>
              <w:rPr>
                <w:noProof/>
              </w:rPr>
              <w:t>2025</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7DD6BBDE" w14:textId="77777777" w:rsidR="00235E11" w:rsidRDefault="00F837E4">
            <w:pPr>
              <w:pStyle w:val="P68B1DB1-Normal9"/>
              <w:spacing w:after="0"/>
              <w:rPr>
                <w:rFonts w:eastAsia="Times New Roman"/>
                <w:noProof/>
              </w:rPr>
            </w:pPr>
            <w:r>
              <w:rPr>
                <w:noProof/>
              </w:rPr>
              <w:t>Възлагане на всички договори за строителство на новата мултимодална платформа на Trilogiport в Лиеж и 4-те моста над канала Albert-Canal (мостове Lanaye, Lixhe, Haccur и Hermalle-sous-Argenteau).</w:t>
            </w:r>
          </w:p>
        </w:tc>
      </w:tr>
      <w:tr w:rsidR="00235E11" w14:paraId="28734752"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F603D0" w14:textId="77777777" w:rsidR="00235E11" w:rsidRDefault="00F837E4">
            <w:pPr>
              <w:pStyle w:val="P68B1DB1-Normal10"/>
              <w:spacing w:after="0"/>
              <w:jc w:val="center"/>
              <w:rPr>
                <w:noProof/>
              </w:rPr>
            </w:pPr>
            <w:r>
              <w:rPr>
                <w:noProof/>
              </w:rPr>
              <w:t>107</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68FD0A0B" w14:textId="5E566A9A" w:rsidR="00235E11" w:rsidRDefault="00F837E4">
            <w:pPr>
              <w:pStyle w:val="P68B1DB1-Normal9"/>
              <w:spacing w:after="0"/>
              <w:rPr>
                <w:noProof/>
              </w:rPr>
            </w:pPr>
            <w:r>
              <w:rPr>
                <w:noProof/>
              </w:rPr>
              <w:t>Canal Albert и Trilogiport (I-3.11)</w:t>
            </w:r>
          </w:p>
        </w:tc>
        <w:tc>
          <w:tcPr>
            <w:tcW w:w="878" w:type="dxa"/>
            <w:tcBorders>
              <w:top w:val="nil"/>
              <w:left w:val="nil"/>
              <w:bottom w:val="single" w:sz="4" w:space="0" w:color="auto"/>
              <w:right w:val="single" w:sz="4" w:space="0" w:color="auto"/>
            </w:tcBorders>
            <w:shd w:val="clear" w:color="auto" w:fill="C6EFCE"/>
            <w:noWrap/>
            <w:vAlign w:val="center"/>
          </w:tcPr>
          <w:p w14:paraId="4E772CC6" w14:textId="3CD49435" w:rsidR="00235E11" w:rsidRDefault="00F837E4">
            <w:pPr>
              <w:pStyle w:val="P68B1DB1-Normal9"/>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4CFD8D88" w14:textId="77777777" w:rsidR="00235E11" w:rsidRDefault="00F837E4">
            <w:pPr>
              <w:pStyle w:val="P68B1DB1-Normal9"/>
              <w:spacing w:after="0"/>
              <w:rPr>
                <w:noProof/>
              </w:rPr>
            </w:pPr>
            <w:r>
              <w:rPr>
                <w:noProof/>
              </w:rPr>
              <w:t>Приключване на работите по мостовете над Canal Albert/и нова платформа в Trilogiport</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362B7FEF" w14:textId="77777777" w:rsidR="00235E11" w:rsidRDefault="00235E11">
            <w:pPr>
              <w:spacing w:after="0"/>
              <w:rPr>
                <w:rFonts w:ascii="Times New Roman" w:eastAsia="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noWrap/>
            <w:vAlign w:val="center"/>
          </w:tcPr>
          <w:p w14:paraId="3DD7D262" w14:textId="77777777" w:rsidR="00235E11" w:rsidRDefault="00F837E4">
            <w:pPr>
              <w:pStyle w:val="P68B1DB1-Normal9"/>
              <w:spacing w:after="0"/>
              <w:rPr>
                <w:rFonts w:eastAsia="Times New Roman"/>
                <w:noProof/>
              </w:rPr>
            </w:pPr>
            <w:r>
              <w:rPr>
                <w:noProof/>
              </w:rPr>
              <w:t>Брой строителни работи</w:t>
            </w:r>
          </w:p>
        </w:tc>
        <w:tc>
          <w:tcPr>
            <w:tcW w:w="708" w:type="dxa"/>
            <w:tcBorders>
              <w:top w:val="nil"/>
              <w:left w:val="nil"/>
              <w:bottom w:val="single" w:sz="4" w:space="0" w:color="auto"/>
              <w:right w:val="single" w:sz="4" w:space="0" w:color="auto"/>
            </w:tcBorders>
            <w:shd w:val="clear" w:color="auto" w:fill="C6EFCE"/>
            <w:noWrap/>
            <w:vAlign w:val="center"/>
          </w:tcPr>
          <w:p w14:paraId="1BAEDC49" w14:textId="77777777" w:rsidR="00235E11" w:rsidRDefault="00F837E4">
            <w:pPr>
              <w:pStyle w:val="P68B1DB1-Normal10"/>
              <w:spacing w:after="0"/>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1E459877" w14:textId="77777777" w:rsidR="00235E11" w:rsidRDefault="00F837E4">
            <w:pPr>
              <w:pStyle w:val="P68B1DB1-Normal10"/>
              <w:spacing w:after="0"/>
              <w:rPr>
                <w:noProof/>
              </w:rPr>
            </w:pPr>
            <w:r>
              <w:rPr>
                <w:noProof/>
              </w:rPr>
              <w:t>5</w:t>
            </w:r>
          </w:p>
        </w:tc>
        <w:tc>
          <w:tcPr>
            <w:tcW w:w="567" w:type="dxa"/>
            <w:tcBorders>
              <w:top w:val="nil"/>
              <w:left w:val="nil"/>
              <w:bottom w:val="single" w:sz="4" w:space="0" w:color="auto"/>
              <w:right w:val="single" w:sz="4" w:space="0" w:color="auto"/>
            </w:tcBorders>
            <w:shd w:val="clear" w:color="auto" w:fill="C6EFCE"/>
            <w:noWrap/>
            <w:vAlign w:val="center"/>
          </w:tcPr>
          <w:p w14:paraId="6EF6CCB1" w14:textId="344472B5"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0D179CBD" w14:textId="40F15EA6" w:rsidR="00235E11" w:rsidRDefault="00F837E4">
            <w:pPr>
              <w:pStyle w:val="P68B1DB1-Normal9"/>
              <w:spacing w:after="0"/>
              <w:jc w:val="center"/>
              <w:rPr>
                <w:rFonts w:eastAsia="Times New Roman"/>
                <w:noProof/>
              </w:rPr>
            </w:pPr>
            <w:r>
              <w:rPr>
                <w:noProof/>
              </w:rPr>
              <w:t>2026</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5DE4AAA4" w14:textId="5936CA86" w:rsidR="00235E11" w:rsidRDefault="00F837E4">
            <w:pPr>
              <w:pStyle w:val="P68B1DB1-Normal9"/>
              <w:spacing w:after="0"/>
              <w:rPr>
                <w:noProof/>
              </w:rPr>
            </w:pPr>
            <w:r>
              <w:rPr>
                <w:noProof/>
              </w:rPr>
              <w:t>Завършване на строителните работи в мултимодалната платформа на Trilogiport в Лиеж (приемане на „procès-verbal de recadoire“) и на строителните работи за увеличаване на височината на 3 моста над канала Albert-Canal (мостове Lixhe, Haccur и Hermalle-sous-Argenteau) и инсталиране на допълнителна речна сигнализация на един мост над канала Albert-Canal (Lanaye).</w:t>
            </w:r>
          </w:p>
        </w:tc>
      </w:tr>
      <w:tr w:rsidR="00235E11" w14:paraId="57267D25"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83E449" w14:textId="77777777" w:rsidR="00235E11" w:rsidRDefault="00F837E4">
            <w:pPr>
              <w:pStyle w:val="P68B1DB1-Normal10"/>
              <w:spacing w:after="0"/>
              <w:jc w:val="center"/>
              <w:rPr>
                <w:noProof/>
              </w:rPr>
            </w:pPr>
            <w:r>
              <w:rPr>
                <w:noProof/>
              </w:rPr>
              <w:t>108</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03D9BA03" w14:textId="77777777" w:rsidR="00235E11" w:rsidRDefault="00F837E4">
            <w:pPr>
              <w:pStyle w:val="P68B1DB1-Normal9"/>
              <w:spacing w:after="0"/>
              <w:rPr>
                <w:noProof/>
              </w:rPr>
            </w:pPr>
            <w:r>
              <w:rPr>
                <w:noProof/>
              </w:rPr>
              <w:t xml:space="preserve">Отключване на свободно достъпни данни за приложение за интелигентна мобилност (I-3D) </w:t>
            </w:r>
          </w:p>
        </w:tc>
        <w:tc>
          <w:tcPr>
            <w:tcW w:w="878" w:type="dxa"/>
            <w:tcBorders>
              <w:top w:val="nil"/>
              <w:left w:val="nil"/>
              <w:bottom w:val="single" w:sz="4" w:space="0" w:color="auto"/>
              <w:right w:val="single" w:sz="4" w:space="0" w:color="auto"/>
            </w:tcBorders>
            <w:shd w:val="clear" w:color="auto" w:fill="C6EFCE"/>
            <w:noWrap/>
            <w:vAlign w:val="center"/>
          </w:tcPr>
          <w:p w14:paraId="52C1B15F" w14:textId="18490EBA" w:rsidR="00235E11" w:rsidRDefault="00F837E4">
            <w:pPr>
              <w:pStyle w:val="P68B1DB1-Normal9"/>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6BBE70C3" w14:textId="77777777" w:rsidR="00235E11" w:rsidRDefault="00F837E4">
            <w:pPr>
              <w:pStyle w:val="P68B1DB1-Normal9"/>
              <w:spacing w:after="0"/>
              <w:rPr>
                <w:noProof/>
              </w:rPr>
            </w:pPr>
            <w:r>
              <w:rPr>
                <w:noProof/>
              </w:rPr>
              <w:t xml:space="preserve">Отключване на свободно достъпни данни за приложение за интелигентна мобилност </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03F8CE39" w14:textId="77777777" w:rsidR="00235E11" w:rsidRDefault="00235E11">
            <w:pPr>
              <w:spacing w:after="0"/>
              <w:rPr>
                <w:rFonts w:ascii="Times New Roman" w:eastAsia="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noWrap/>
            <w:vAlign w:val="center"/>
          </w:tcPr>
          <w:p w14:paraId="7B0C0B0A" w14:textId="77777777" w:rsidR="00235E11" w:rsidRDefault="00F837E4">
            <w:pPr>
              <w:pStyle w:val="P68B1DB1-Normal9"/>
              <w:spacing w:after="0"/>
              <w:rPr>
                <w:rFonts w:eastAsia="Times New Roman"/>
                <w:noProof/>
              </w:rPr>
            </w:pPr>
            <w:r>
              <w:rPr>
                <w:noProof/>
              </w:rPr>
              <w:t>Проекти</w:t>
            </w:r>
          </w:p>
        </w:tc>
        <w:tc>
          <w:tcPr>
            <w:tcW w:w="708" w:type="dxa"/>
            <w:tcBorders>
              <w:top w:val="nil"/>
              <w:left w:val="nil"/>
              <w:bottom w:val="single" w:sz="4" w:space="0" w:color="auto"/>
              <w:right w:val="single" w:sz="4" w:space="0" w:color="auto"/>
            </w:tcBorders>
            <w:shd w:val="clear" w:color="auto" w:fill="C6EFCE"/>
            <w:noWrap/>
            <w:vAlign w:val="center"/>
          </w:tcPr>
          <w:p w14:paraId="18107087" w14:textId="77777777" w:rsidR="00235E11" w:rsidRDefault="00F837E4">
            <w:pPr>
              <w:pStyle w:val="P68B1DB1-Normal9"/>
              <w:spacing w:after="0"/>
              <w:rPr>
                <w:rFonts w:eastAsia="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49B9A21D" w14:textId="77777777" w:rsidR="00235E11" w:rsidRDefault="00F837E4">
            <w:pPr>
              <w:pStyle w:val="P68B1DB1-Normal9"/>
              <w:spacing w:after="0"/>
              <w:rPr>
                <w:rFonts w:eastAsia="Times New Roman"/>
                <w:noProof/>
              </w:rPr>
            </w:pPr>
            <w:r>
              <w:rPr>
                <w:noProof/>
              </w:rPr>
              <w:t>3</w:t>
            </w:r>
          </w:p>
        </w:tc>
        <w:tc>
          <w:tcPr>
            <w:tcW w:w="567" w:type="dxa"/>
            <w:tcBorders>
              <w:top w:val="nil"/>
              <w:left w:val="nil"/>
              <w:bottom w:val="single" w:sz="4" w:space="0" w:color="auto"/>
              <w:right w:val="single" w:sz="4" w:space="0" w:color="auto"/>
            </w:tcBorders>
            <w:shd w:val="clear" w:color="auto" w:fill="C6EFCE"/>
            <w:noWrap/>
            <w:vAlign w:val="center"/>
          </w:tcPr>
          <w:p w14:paraId="718D1FC7" w14:textId="77777777" w:rsidR="00235E11" w:rsidRDefault="00F837E4">
            <w:pPr>
              <w:pStyle w:val="P68B1DB1-Normal9"/>
              <w:spacing w:after="0"/>
              <w:jc w:val="center"/>
              <w:rPr>
                <w:rFonts w:eastAsia="Times New Roman"/>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4E090F0D" w14:textId="77777777" w:rsidR="00235E11" w:rsidRDefault="00F837E4">
            <w:pPr>
              <w:pStyle w:val="P68B1DB1-Normal9"/>
              <w:spacing w:after="0"/>
              <w:jc w:val="center"/>
              <w:rPr>
                <w:rFonts w:eastAsia="Times New Roman"/>
                <w:noProof/>
              </w:rPr>
            </w:pPr>
            <w:r>
              <w:rPr>
                <w:noProof/>
              </w:rPr>
              <w:t>2025</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4C934601" w14:textId="77777777" w:rsidR="00235E11" w:rsidRDefault="00F837E4">
            <w:pPr>
              <w:pStyle w:val="P68B1DB1-Normal9"/>
              <w:spacing w:after="0"/>
              <w:rPr>
                <w:noProof/>
              </w:rPr>
            </w:pPr>
            <w:r>
              <w:rPr>
                <w:noProof/>
              </w:rPr>
              <w:t>Отключване на свободно достъпни данни за приложение за интелигентна мобилност:</w:t>
            </w:r>
          </w:p>
          <w:p w14:paraId="48F17DDD" w14:textId="77777777" w:rsidR="00235E11" w:rsidRDefault="00F837E4">
            <w:pPr>
              <w:pStyle w:val="P68B1DB1-Normal9"/>
              <w:spacing w:after="0"/>
              <w:rPr>
                <w:noProof/>
              </w:rPr>
            </w:pPr>
            <w:r>
              <w:rPr>
                <w:noProof/>
              </w:rPr>
              <w:t>— Продажба на билети на SNCB (1 проект),</w:t>
            </w:r>
          </w:p>
          <w:p w14:paraId="73765788" w14:textId="77777777" w:rsidR="00235E11" w:rsidRDefault="00F837E4">
            <w:pPr>
              <w:pStyle w:val="P68B1DB1-Normal9"/>
              <w:spacing w:after="0"/>
              <w:rPr>
                <w:noProof/>
              </w:rPr>
            </w:pPr>
            <w:r>
              <w:rPr>
                <w:noProof/>
              </w:rPr>
              <w:t>Планиране на SNCB — данни за реалното време (проект от 1 г.)</w:t>
            </w:r>
          </w:p>
          <w:p w14:paraId="1E08EADA" w14:textId="77777777" w:rsidR="00235E11" w:rsidRDefault="00F837E4">
            <w:pPr>
              <w:pStyle w:val="P68B1DB1-Normal9"/>
              <w:spacing w:after="0"/>
              <w:rPr>
                <w:rFonts w:eastAsia="Times New Roman"/>
                <w:noProof/>
              </w:rPr>
            </w:pPr>
            <w:r>
              <w:rPr>
                <w:noProof/>
              </w:rPr>
              <w:t>— Услуги за мобилност в Брюксел (проект 1)</w:t>
            </w:r>
          </w:p>
        </w:tc>
      </w:tr>
      <w:tr w:rsidR="00235E11" w14:paraId="29B19588"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9BC702" w14:textId="77777777" w:rsidR="00235E11" w:rsidRDefault="00F837E4">
            <w:pPr>
              <w:pStyle w:val="P68B1DB1-Normal10"/>
              <w:spacing w:after="0"/>
              <w:jc w:val="center"/>
              <w:rPr>
                <w:noProof/>
              </w:rPr>
            </w:pPr>
            <w:r>
              <w:rPr>
                <w:noProof/>
              </w:rPr>
              <w:t>109</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452E9E5F" w14:textId="77777777" w:rsidR="00235E11" w:rsidRDefault="00F837E4">
            <w:pPr>
              <w:pStyle w:val="P68B1DB1-Normal9"/>
              <w:spacing w:after="0"/>
              <w:rPr>
                <w:noProof/>
              </w:rPr>
            </w:pPr>
            <w:r>
              <w:rPr>
                <w:noProof/>
              </w:rPr>
              <w:t>Going Live of rail IT модули (I-3E)</w:t>
            </w:r>
          </w:p>
        </w:tc>
        <w:tc>
          <w:tcPr>
            <w:tcW w:w="878" w:type="dxa"/>
            <w:tcBorders>
              <w:top w:val="nil"/>
              <w:left w:val="nil"/>
              <w:bottom w:val="single" w:sz="4" w:space="0" w:color="auto"/>
              <w:right w:val="single" w:sz="4" w:space="0" w:color="auto"/>
            </w:tcBorders>
            <w:shd w:val="clear" w:color="auto" w:fill="C6EFCE"/>
            <w:noWrap/>
            <w:vAlign w:val="center"/>
          </w:tcPr>
          <w:p w14:paraId="287E8C16" w14:textId="0EC70D55" w:rsidR="00235E11" w:rsidRDefault="00F837E4">
            <w:pPr>
              <w:pStyle w:val="P68B1DB1-Normal9"/>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19D0FF36" w14:textId="77777777" w:rsidR="00235E11" w:rsidRDefault="00F837E4">
            <w:pPr>
              <w:pStyle w:val="P68B1DB1-Normal9"/>
              <w:spacing w:after="0"/>
              <w:rPr>
                <w:noProof/>
              </w:rPr>
            </w:pPr>
            <w:r>
              <w:rPr>
                <w:noProof/>
              </w:rPr>
              <w:t>Влизане в действие на ИТ модулите на железопътния транспорт</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01DB7E95" w14:textId="77777777" w:rsidR="00235E11" w:rsidRDefault="00235E11">
            <w:pPr>
              <w:spacing w:after="0"/>
              <w:rPr>
                <w:rFonts w:ascii="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noWrap/>
            <w:vAlign w:val="center"/>
          </w:tcPr>
          <w:p w14:paraId="5C93C3F0" w14:textId="77777777" w:rsidR="00235E11" w:rsidRDefault="00F837E4">
            <w:pPr>
              <w:pStyle w:val="P68B1DB1-Normal9"/>
              <w:spacing w:after="0"/>
              <w:rPr>
                <w:noProof/>
              </w:rPr>
            </w:pPr>
            <w:r>
              <w:rPr>
                <w:noProof/>
              </w:rPr>
              <w:t>Модули</w:t>
            </w:r>
          </w:p>
        </w:tc>
        <w:tc>
          <w:tcPr>
            <w:tcW w:w="708" w:type="dxa"/>
            <w:tcBorders>
              <w:top w:val="nil"/>
              <w:left w:val="nil"/>
              <w:bottom w:val="single" w:sz="4" w:space="0" w:color="auto"/>
              <w:right w:val="single" w:sz="4" w:space="0" w:color="auto"/>
            </w:tcBorders>
            <w:shd w:val="clear" w:color="auto" w:fill="C6EFCE"/>
            <w:noWrap/>
            <w:vAlign w:val="center"/>
          </w:tcPr>
          <w:p w14:paraId="2BD0B5AB" w14:textId="77777777" w:rsidR="00235E11" w:rsidRDefault="00F837E4">
            <w:pPr>
              <w:pStyle w:val="P68B1DB1-Normal9"/>
              <w:spacing w:after="0"/>
              <w:rPr>
                <w:rFonts w:eastAsia="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00D625AF" w14:textId="77777777" w:rsidR="00235E11" w:rsidRDefault="00F837E4">
            <w:pPr>
              <w:pStyle w:val="P68B1DB1-Normal9"/>
              <w:spacing w:after="0"/>
              <w:rPr>
                <w:rFonts w:eastAsia="Times New Roman"/>
                <w:noProof/>
              </w:rPr>
            </w:pPr>
            <w:r>
              <w:rPr>
                <w:noProof/>
              </w:rPr>
              <w:t>10</w:t>
            </w:r>
          </w:p>
        </w:tc>
        <w:tc>
          <w:tcPr>
            <w:tcW w:w="567" w:type="dxa"/>
            <w:tcBorders>
              <w:top w:val="nil"/>
              <w:left w:val="nil"/>
              <w:bottom w:val="single" w:sz="4" w:space="0" w:color="auto"/>
              <w:right w:val="single" w:sz="4" w:space="0" w:color="auto"/>
            </w:tcBorders>
            <w:shd w:val="clear" w:color="auto" w:fill="C6EFCE"/>
            <w:noWrap/>
            <w:vAlign w:val="center"/>
          </w:tcPr>
          <w:p w14:paraId="327065C5"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1CFCFD14" w14:textId="77777777" w:rsidR="00235E11" w:rsidRDefault="00F837E4">
            <w:pPr>
              <w:pStyle w:val="P68B1DB1-Normal9"/>
              <w:spacing w:after="0"/>
              <w:jc w:val="center"/>
              <w:rPr>
                <w:rFonts w:eastAsia="Times New Roman"/>
                <w:noProof/>
              </w:rPr>
            </w:pPr>
            <w:r>
              <w:rPr>
                <w:noProof/>
              </w:rPr>
              <w:t>2024</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3085A452" w14:textId="77777777" w:rsidR="00235E11" w:rsidRDefault="00F837E4">
            <w:pPr>
              <w:pStyle w:val="P68B1DB1-Normal9"/>
              <w:spacing w:after="0"/>
              <w:rPr>
                <w:noProof/>
              </w:rPr>
            </w:pPr>
            <w:r>
              <w:rPr>
                <w:noProof/>
              </w:rPr>
              <w:t>Влизане в действие на ИТ модулите на железопътния транспорт: Система за управление на трафика Infrabel (модул 1)</w:t>
            </w:r>
          </w:p>
          <w:p w14:paraId="11FDBAE4" w14:textId="77777777" w:rsidR="00235E11" w:rsidRDefault="00F837E4">
            <w:pPr>
              <w:pStyle w:val="P68B1DB1-Normal9"/>
              <w:spacing w:after="0"/>
              <w:rPr>
                <w:noProof/>
              </w:rPr>
            </w:pPr>
            <w:r>
              <w:rPr>
                <w:noProof/>
              </w:rPr>
              <w:t>SNCB-NMBS routeplanning (1 модул)</w:t>
            </w:r>
          </w:p>
          <w:p w14:paraId="4DF77789" w14:textId="77777777" w:rsidR="00235E11" w:rsidRDefault="00F837E4">
            <w:pPr>
              <w:pStyle w:val="P68B1DB1-Normal9"/>
              <w:spacing w:after="0"/>
              <w:rPr>
                <w:rFonts w:eastAsia="Times New Roman"/>
                <w:noProof/>
              </w:rPr>
            </w:pPr>
            <w:r>
              <w:rPr>
                <w:noProof/>
              </w:rPr>
              <w:t>Компоненти на SNCB-NMBS Ticketing (8 модула), даващи възможност за по-добри операции и опит на клиентите в товарните и пътническите железопътни линии.</w:t>
            </w:r>
          </w:p>
        </w:tc>
      </w:tr>
      <w:tr w:rsidR="00235E11" w14:paraId="4F444083"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C23A9B" w14:textId="77777777" w:rsidR="00235E11" w:rsidRDefault="00F837E4">
            <w:pPr>
              <w:pStyle w:val="P68B1DB1-Normal10"/>
              <w:spacing w:after="0"/>
              <w:jc w:val="center"/>
              <w:rPr>
                <w:noProof/>
              </w:rPr>
            </w:pPr>
            <w:r>
              <w:rPr>
                <w:noProof/>
              </w:rPr>
              <w:t>110</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624F08A0" w14:textId="77777777" w:rsidR="00235E11" w:rsidRDefault="00F837E4">
            <w:pPr>
              <w:pStyle w:val="P68B1DB1-Normal9"/>
              <w:spacing w:after="0"/>
              <w:rPr>
                <w:noProof/>
              </w:rPr>
            </w:pPr>
            <w:r>
              <w:rPr>
                <w:noProof/>
              </w:rPr>
              <w:t>Бюджет за мобилност (R-3.02)</w:t>
            </w:r>
          </w:p>
        </w:tc>
        <w:tc>
          <w:tcPr>
            <w:tcW w:w="878" w:type="dxa"/>
            <w:tcBorders>
              <w:top w:val="nil"/>
              <w:left w:val="nil"/>
              <w:bottom w:val="single" w:sz="4" w:space="0" w:color="auto"/>
              <w:right w:val="single" w:sz="4" w:space="0" w:color="auto"/>
            </w:tcBorders>
            <w:shd w:val="clear" w:color="auto" w:fill="C6EFCE"/>
            <w:noWrap/>
            <w:vAlign w:val="center"/>
          </w:tcPr>
          <w:p w14:paraId="0D0AC46F" w14:textId="12058696" w:rsidR="00235E11" w:rsidRDefault="00F837E4">
            <w:pPr>
              <w:pStyle w:val="P68B1DB1-Normal9"/>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711E95C9" w14:textId="77777777" w:rsidR="00235E11" w:rsidRDefault="00F837E4">
            <w:pPr>
              <w:pStyle w:val="P68B1DB1-Normal9"/>
              <w:spacing w:after="0"/>
              <w:rPr>
                <w:noProof/>
              </w:rPr>
            </w:pPr>
            <w:r>
              <w:rPr>
                <w:noProof/>
              </w:rPr>
              <w:t>Приемане на бюджета за мобилност</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3D653A74" w14:textId="77777777" w:rsidR="00235E11" w:rsidRDefault="00F837E4">
            <w:pPr>
              <w:pStyle w:val="P68B1DB1-Normal9"/>
              <w:spacing w:after="0"/>
              <w:rPr>
                <w:rFonts w:eastAsia="Times New Roman"/>
                <w:noProof/>
              </w:rPr>
            </w:pPr>
            <w:r>
              <w:rPr>
                <w:noProof/>
              </w:rPr>
              <w:t>Приемане на бюджета за мобилност</w:t>
            </w:r>
          </w:p>
        </w:tc>
        <w:tc>
          <w:tcPr>
            <w:tcW w:w="1276" w:type="dxa"/>
            <w:tcBorders>
              <w:top w:val="nil"/>
              <w:left w:val="nil"/>
              <w:bottom w:val="single" w:sz="4" w:space="0" w:color="auto"/>
              <w:right w:val="single" w:sz="4" w:space="0" w:color="auto"/>
            </w:tcBorders>
            <w:shd w:val="clear" w:color="auto" w:fill="C6EFCE"/>
            <w:noWrap/>
            <w:vAlign w:val="center"/>
          </w:tcPr>
          <w:p w14:paraId="6F80467C" w14:textId="77777777" w:rsidR="00235E11" w:rsidRDefault="00F837E4">
            <w:pPr>
              <w:pStyle w:val="P68B1DB1-Normal9"/>
              <w:spacing w:after="0"/>
              <w:rPr>
                <w:rFonts w:eastAsia="Times New Roman"/>
                <w:noProof/>
              </w:rPr>
            </w:pPr>
            <w:r>
              <w:rPr>
                <w:noProof/>
              </w:rPr>
              <w:t>—</w:t>
            </w:r>
          </w:p>
        </w:tc>
        <w:tc>
          <w:tcPr>
            <w:tcW w:w="708" w:type="dxa"/>
            <w:tcBorders>
              <w:top w:val="nil"/>
              <w:left w:val="nil"/>
              <w:bottom w:val="single" w:sz="4" w:space="0" w:color="auto"/>
              <w:right w:val="single" w:sz="4" w:space="0" w:color="auto"/>
            </w:tcBorders>
            <w:shd w:val="clear" w:color="auto" w:fill="C6EFCE"/>
            <w:noWrap/>
            <w:vAlign w:val="center"/>
          </w:tcPr>
          <w:p w14:paraId="271CF4CA" w14:textId="77777777" w:rsidR="00235E11" w:rsidRDefault="00F837E4">
            <w:pPr>
              <w:pStyle w:val="P68B1DB1-Normal9"/>
              <w:spacing w:after="0"/>
              <w:rPr>
                <w:rFonts w:eastAsia="Times New Roman"/>
                <w:noProof/>
              </w:rPr>
            </w:pPr>
            <w:r>
              <w:rPr>
                <w:noProof/>
              </w:rPr>
              <w:t>—</w:t>
            </w:r>
          </w:p>
        </w:tc>
        <w:tc>
          <w:tcPr>
            <w:tcW w:w="851" w:type="dxa"/>
            <w:tcBorders>
              <w:top w:val="nil"/>
              <w:left w:val="nil"/>
              <w:bottom w:val="single" w:sz="4" w:space="0" w:color="auto"/>
              <w:right w:val="single" w:sz="4" w:space="0" w:color="auto"/>
            </w:tcBorders>
            <w:shd w:val="clear" w:color="auto" w:fill="C6EFCE"/>
            <w:noWrap/>
            <w:vAlign w:val="center"/>
          </w:tcPr>
          <w:p w14:paraId="1CE7B909" w14:textId="77777777" w:rsidR="00235E11" w:rsidRDefault="00F837E4">
            <w:pPr>
              <w:pStyle w:val="P68B1DB1-Normal9"/>
              <w:spacing w:after="0"/>
              <w:rPr>
                <w:rFonts w:eastAsia="Times New Roman"/>
                <w:noProof/>
              </w:rPr>
            </w:pPr>
            <w:r>
              <w:rPr>
                <w:noProof/>
              </w:rPr>
              <w:t>—</w:t>
            </w:r>
          </w:p>
        </w:tc>
        <w:tc>
          <w:tcPr>
            <w:tcW w:w="567" w:type="dxa"/>
            <w:tcBorders>
              <w:top w:val="nil"/>
              <w:left w:val="nil"/>
              <w:bottom w:val="single" w:sz="4" w:space="0" w:color="auto"/>
              <w:right w:val="single" w:sz="4" w:space="0" w:color="auto"/>
            </w:tcBorders>
            <w:shd w:val="clear" w:color="auto" w:fill="C6EFCE"/>
            <w:noWrap/>
            <w:vAlign w:val="center"/>
          </w:tcPr>
          <w:p w14:paraId="00B244F9" w14:textId="77777777" w:rsidR="00235E11" w:rsidRDefault="00F837E4">
            <w:pPr>
              <w:pStyle w:val="P68B1DB1-Normal9"/>
              <w:spacing w:after="0"/>
              <w:jc w:val="center"/>
              <w:rPr>
                <w:rFonts w:eastAsia="Times New Roman"/>
                <w:noProof/>
              </w:rPr>
            </w:pPr>
            <w:r>
              <w:rPr>
                <w:noProof/>
              </w:rPr>
              <w:t>Т3 Г.</w:t>
            </w:r>
          </w:p>
        </w:tc>
        <w:tc>
          <w:tcPr>
            <w:tcW w:w="709" w:type="dxa"/>
            <w:tcBorders>
              <w:top w:val="nil"/>
              <w:left w:val="nil"/>
              <w:bottom w:val="single" w:sz="4" w:space="0" w:color="auto"/>
              <w:right w:val="single" w:sz="4" w:space="0" w:color="auto"/>
            </w:tcBorders>
            <w:shd w:val="clear" w:color="auto" w:fill="C6EFCE"/>
            <w:noWrap/>
            <w:vAlign w:val="center"/>
          </w:tcPr>
          <w:p w14:paraId="520CA87F" w14:textId="77777777" w:rsidR="00235E11" w:rsidRDefault="00F837E4">
            <w:pPr>
              <w:pStyle w:val="P68B1DB1-Normal9"/>
              <w:spacing w:after="0"/>
              <w:jc w:val="center"/>
              <w:rPr>
                <w:rFonts w:eastAsia="Times New Roman"/>
                <w:noProof/>
              </w:rPr>
            </w:pPr>
            <w:r>
              <w:rPr>
                <w:noProof/>
              </w:rPr>
              <w:t>2021</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4AA8F823" w14:textId="77777777" w:rsidR="00235E11" w:rsidRDefault="00F837E4">
            <w:pPr>
              <w:pStyle w:val="P68B1DB1-Normal9"/>
              <w:spacing w:after="0"/>
              <w:rPr>
                <w:rFonts w:eastAsia="Times New Roman"/>
                <w:noProof/>
              </w:rPr>
            </w:pPr>
            <w:r>
              <w:rPr>
                <w:noProof/>
              </w:rPr>
              <w:t>Приемане на бюджета за мобилност.</w:t>
            </w:r>
          </w:p>
        </w:tc>
      </w:tr>
      <w:tr w:rsidR="00235E11" w14:paraId="35D00F79"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6BCDB7" w14:textId="77777777" w:rsidR="00235E11" w:rsidRDefault="00F837E4">
            <w:pPr>
              <w:pStyle w:val="P68B1DB1-Normal10"/>
              <w:spacing w:after="0"/>
              <w:jc w:val="center"/>
              <w:rPr>
                <w:noProof/>
              </w:rPr>
            </w:pPr>
            <w:r>
              <w:rPr>
                <w:noProof/>
              </w:rPr>
              <w:t>111</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2ABF9D14" w14:textId="77777777" w:rsidR="00235E11" w:rsidRDefault="00F837E4">
            <w:pPr>
              <w:pStyle w:val="P68B1DB1-Normal9"/>
              <w:spacing w:after="0"/>
              <w:rPr>
                <w:noProof/>
              </w:rPr>
            </w:pPr>
            <w:r>
              <w:rPr>
                <w:noProof/>
              </w:rPr>
              <w:t>Резултати на SNCB/INFRABEL (R-3.01)</w:t>
            </w:r>
          </w:p>
        </w:tc>
        <w:tc>
          <w:tcPr>
            <w:tcW w:w="878" w:type="dxa"/>
            <w:tcBorders>
              <w:top w:val="nil"/>
              <w:left w:val="nil"/>
              <w:bottom w:val="single" w:sz="4" w:space="0" w:color="auto"/>
              <w:right w:val="single" w:sz="4" w:space="0" w:color="auto"/>
            </w:tcBorders>
            <w:shd w:val="clear" w:color="auto" w:fill="C6EFCE"/>
            <w:noWrap/>
            <w:vAlign w:val="center"/>
          </w:tcPr>
          <w:p w14:paraId="13F9D991" w14:textId="3816D13D" w:rsidR="00235E11" w:rsidRDefault="00F837E4">
            <w:pPr>
              <w:pStyle w:val="P68B1DB1-Normal9"/>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731C4639" w14:textId="77777777" w:rsidR="00235E11" w:rsidRDefault="00F837E4">
            <w:pPr>
              <w:pStyle w:val="P68B1DB1-Normal9"/>
              <w:spacing w:after="0"/>
              <w:rPr>
                <w:noProof/>
              </w:rPr>
            </w:pPr>
            <w:r>
              <w:rPr>
                <w:noProof/>
              </w:rPr>
              <w:t>Одобряване на новите договори за изпълнение на NMBS-SNCB и Infrabel и на многогодишния инвестиционен план,</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1EBEDB8A" w14:textId="77777777" w:rsidR="00235E11" w:rsidRDefault="00F837E4">
            <w:pPr>
              <w:pStyle w:val="P68B1DB1-Normal9"/>
              <w:spacing w:after="0"/>
              <w:rPr>
                <w:rFonts w:eastAsia="Times New Roman"/>
                <w:noProof/>
              </w:rPr>
            </w:pPr>
            <w:r>
              <w:rPr>
                <w:noProof/>
              </w:rPr>
              <w:t>Одобряване на договори</w:t>
            </w:r>
          </w:p>
        </w:tc>
        <w:tc>
          <w:tcPr>
            <w:tcW w:w="1276" w:type="dxa"/>
            <w:tcBorders>
              <w:top w:val="nil"/>
              <w:left w:val="nil"/>
              <w:bottom w:val="single" w:sz="4" w:space="0" w:color="auto"/>
              <w:right w:val="single" w:sz="4" w:space="0" w:color="auto"/>
            </w:tcBorders>
            <w:shd w:val="clear" w:color="auto" w:fill="C6EFCE"/>
            <w:noWrap/>
            <w:vAlign w:val="center"/>
          </w:tcPr>
          <w:p w14:paraId="1AF90717" w14:textId="77777777" w:rsidR="00235E11" w:rsidRDefault="00F837E4">
            <w:pPr>
              <w:pStyle w:val="P68B1DB1-Normal9"/>
              <w:spacing w:after="0"/>
              <w:rPr>
                <w:rFonts w:eastAsia="Times New Roman"/>
                <w:noProof/>
              </w:rPr>
            </w:pPr>
            <w:r>
              <w:rPr>
                <w:noProof/>
              </w:rPr>
              <w:t>—</w:t>
            </w:r>
          </w:p>
        </w:tc>
        <w:tc>
          <w:tcPr>
            <w:tcW w:w="708" w:type="dxa"/>
            <w:tcBorders>
              <w:top w:val="nil"/>
              <w:left w:val="nil"/>
              <w:bottom w:val="single" w:sz="4" w:space="0" w:color="auto"/>
              <w:right w:val="single" w:sz="4" w:space="0" w:color="auto"/>
            </w:tcBorders>
            <w:shd w:val="clear" w:color="auto" w:fill="C6EFCE"/>
            <w:noWrap/>
            <w:vAlign w:val="center"/>
          </w:tcPr>
          <w:p w14:paraId="5E91BB8B" w14:textId="77777777" w:rsidR="00235E11" w:rsidRDefault="00F837E4">
            <w:pPr>
              <w:pStyle w:val="P68B1DB1-Normal9"/>
              <w:spacing w:after="0"/>
              <w:rPr>
                <w:rFonts w:eastAsia="Times New Roman"/>
                <w:noProof/>
              </w:rPr>
            </w:pPr>
            <w:r>
              <w:rPr>
                <w:noProof/>
              </w:rPr>
              <w:t>—</w:t>
            </w:r>
          </w:p>
        </w:tc>
        <w:tc>
          <w:tcPr>
            <w:tcW w:w="851" w:type="dxa"/>
            <w:tcBorders>
              <w:top w:val="nil"/>
              <w:left w:val="nil"/>
              <w:bottom w:val="single" w:sz="4" w:space="0" w:color="auto"/>
              <w:right w:val="single" w:sz="4" w:space="0" w:color="auto"/>
            </w:tcBorders>
            <w:shd w:val="clear" w:color="auto" w:fill="C6EFCE"/>
            <w:noWrap/>
            <w:vAlign w:val="center"/>
          </w:tcPr>
          <w:p w14:paraId="17D4BA8F" w14:textId="77777777" w:rsidR="00235E11" w:rsidRDefault="00F837E4">
            <w:pPr>
              <w:pStyle w:val="P68B1DB1-Normal9"/>
              <w:spacing w:after="0"/>
              <w:rPr>
                <w:rFonts w:eastAsia="Times New Roman"/>
                <w:noProof/>
              </w:rPr>
            </w:pPr>
            <w:r>
              <w:rPr>
                <w:noProof/>
              </w:rPr>
              <w:t>—</w:t>
            </w:r>
          </w:p>
        </w:tc>
        <w:tc>
          <w:tcPr>
            <w:tcW w:w="567" w:type="dxa"/>
            <w:tcBorders>
              <w:top w:val="nil"/>
              <w:left w:val="nil"/>
              <w:bottom w:val="single" w:sz="4" w:space="0" w:color="auto"/>
              <w:right w:val="single" w:sz="4" w:space="0" w:color="auto"/>
            </w:tcBorders>
            <w:shd w:val="clear" w:color="auto" w:fill="C6EFCE"/>
            <w:noWrap/>
            <w:vAlign w:val="center"/>
          </w:tcPr>
          <w:p w14:paraId="5705CB7A"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145BE4C2" w14:textId="77777777" w:rsidR="00235E11" w:rsidRDefault="00F837E4">
            <w:pPr>
              <w:pStyle w:val="P68B1DB1-Normal9"/>
              <w:spacing w:after="0"/>
              <w:jc w:val="center"/>
              <w:rPr>
                <w:rFonts w:eastAsia="Times New Roman"/>
                <w:noProof/>
              </w:rPr>
            </w:pPr>
            <w:r>
              <w:rPr>
                <w:noProof/>
              </w:rPr>
              <w:t>2023</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2463AD5C" w14:textId="77777777" w:rsidR="00235E11" w:rsidRDefault="00F837E4">
            <w:pPr>
              <w:pStyle w:val="P68B1DB1-Normal9"/>
              <w:spacing w:after="0"/>
              <w:rPr>
                <w:noProof/>
              </w:rPr>
            </w:pPr>
            <w:r>
              <w:rPr>
                <w:noProof/>
              </w:rPr>
              <w:t>Новият договор за изпълнение включва разпоредби, които гарантират:</w:t>
            </w:r>
          </w:p>
          <w:p w14:paraId="1EFE75D2" w14:textId="77777777" w:rsidR="00235E11" w:rsidRDefault="00F837E4">
            <w:pPr>
              <w:pStyle w:val="P68B1DB1-Normal9"/>
              <w:spacing w:after="0"/>
              <w:rPr>
                <w:rFonts w:eastAsia="Times New Roman"/>
                <w:noProof/>
              </w:rPr>
            </w:pPr>
            <w:r>
              <w:rPr>
                <w:noProof/>
              </w:rPr>
              <w:t>навременно изпълнение на строителните работи за RER-GEN в съответствие със закона за приемане на споразумението за междурегионално сътрудничество относно стратегическите инвестиции в железопътния транспорт (приложение Ia към Loi portant assentiment à l’accord de coopération du 5 octobre 2018 entre l’Etat fédéral, la Région fédéral, la Région wallonne et la Région de Bruxelles-Capitale relatif au ﬁndevelopment des infrastructure ferroviaires stratégiques/Wet houdende instemming met het samenwerkingsakkoord van 5 oktussen de Federale Staat, het Vlaamse Gewest, het Waalse Gewest en het Brusselse Hoofdstedelijke Gewest betreffende de ﬁnanciering van de strategische spoorweginfrastructuren, Moniteur belge — 11.3.2019 — Belgisch Staatsblad)</w:t>
            </w:r>
          </w:p>
          <w:p w14:paraId="22FAB323" w14:textId="77777777" w:rsidR="00235E11" w:rsidRDefault="00F837E4">
            <w:pPr>
              <w:pStyle w:val="P68B1DB1-Normal10"/>
              <w:spacing w:after="0"/>
              <w:rPr>
                <w:noProof/>
              </w:rPr>
            </w:pPr>
            <w:r>
              <w:rPr>
                <w:noProof/>
              </w:rPr>
              <w:t>Подходящи стимули за ефективност и качество на услугите, заложени в договора</w:t>
            </w:r>
          </w:p>
          <w:p w14:paraId="06B701E3" w14:textId="77777777" w:rsidR="00235E11" w:rsidRDefault="00F837E4">
            <w:pPr>
              <w:pStyle w:val="P68B1DB1-Normal10"/>
              <w:spacing w:after="0"/>
              <w:rPr>
                <w:noProof/>
              </w:rPr>
            </w:pPr>
            <w:r>
              <w:rPr>
                <w:noProof/>
              </w:rPr>
              <w:t>— завършването на инвестициите I-3.09 „Железопътни достъпни и мултимодални железопътни гари — FED „, I-3.10 „Железопътен транспорт — ефективна мрежа — FED„и I-3.12 „Железопътен транспорт — интелигентна мобилност — FED“, включени в този компонент на ПВУ</w:t>
            </w:r>
          </w:p>
        </w:tc>
      </w:tr>
      <w:tr w:rsidR="00235E11" w14:paraId="5686CCBB"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EE5CAB" w14:textId="77777777" w:rsidR="00235E11" w:rsidRDefault="00F837E4">
            <w:pPr>
              <w:pStyle w:val="P68B1DB1-Normal10"/>
              <w:spacing w:after="0"/>
              <w:jc w:val="center"/>
              <w:rPr>
                <w:noProof/>
              </w:rPr>
            </w:pPr>
            <w:r>
              <w:rPr>
                <w:noProof/>
              </w:rPr>
              <w:t>112</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1865B915" w14:textId="77777777" w:rsidR="00235E11" w:rsidRDefault="00F837E4">
            <w:pPr>
              <w:pStyle w:val="P68B1DB1-Normal9"/>
              <w:spacing w:after="0"/>
              <w:rPr>
                <w:noProof/>
              </w:rPr>
            </w:pPr>
            <w:r>
              <w:rPr>
                <w:noProof/>
              </w:rPr>
              <w:t>Интелигентен транспорт (I-3.15)</w:t>
            </w:r>
          </w:p>
        </w:tc>
        <w:tc>
          <w:tcPr>
            <w:tcW w:w="878" w:type="dxa"/>
            <w:tcBorders>
              <w:top w:val="nil"/>
              <w:left w:val="nil"/>
              <w:bottom w:val="single" w:sz="4" w:space="0" w:color="auto"/>
              <w:right w:val="single" w:sz="4" w:space="0" w:color="auto"/>
            </w:tcBorders>
            <w:shd w:val="clear" w:color="auto" w:fill="C6EFCE"/>
            <w:noWrap/>
            <w:vAlign w:val="center"/>
          </w:tcPr>
          <w:p w14:paraId="117A0D82" w14:textId="359A3BD6" w:rsidR="00235E11" w:rsidRDefault="00F837E4">
            <w:pPr>
              <w:pStyle w:val="P68B1DB1-Normal9"/>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1264F485" w14:textId="77777777" w:rsidR="00235E11" w:rsidRDefault="00F837E4">
            <w:pPr>
              <w:pStyle w:val="P68B1DB1-Normal9"/>
              <w:spacing w:after="0"/>
              <w:rPr>
                <w:noProof/>
              </w:rPr>
            </w:pPr>
            <w:r>
              <w:rPr>
                <w:noProof/>
              </w:rPr>
              <w:t>Приложението Smart Move функционира</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46053FF3" w14:textId="77777777" w:rsidR="00235E11" w:rsidRDefault="00F837E4">
            <w:pPr>
              <w:pStyle w:val="P68B1DB1-Normal9"/>
              <w:spacing w:after="0"/>
              <w:rPr>
                <w:rFonts w:eastAsia="Times New Roman"/>
                <w:noProof/>
              </w:rPr>
            </w:pPr>
            <w:r>
              <w:rPr>
                <w:noProof/>
              </w:rPr>
              <w:t>Влизане в действие на приложението Smart Move</w:t>
            </w:r>
          </w:p>
        </w:tc>
        <w:tc>
          <w:tcPr>
            <w:tcW w:w="1276" w:type="dxa"/>
            <w:tcBorders>
              <w:top w:val="nil"/>
              <w:left w:val="nil"/>
              <w:bottom w:val="single" w:sz="4" w:space="0" w:color="auto"/>
              <w:right w:val="single" w:sz="4" w:space="0" w:color="auto"/>
            </w:tcBorders>
            <w:shd w:val="clear" w:color="auto" w:fill="C6EFCE"/>
            <w:noWrap/>
            <w:vAlign w:val="center"/>
          </w:tcPr>
          <w:p w14:paraId="52731881" w14:textId="77777777" w:rsidR="00235E11" w:rsidRDefault="00F837E4">
            <w:pPr>
              <w:pStyle w:val="P68B1DB1-Normal9"/>
              <w:spacing w:after="0"/>
              <w:rPr>
                <w:rFonts w:eastAsia="Times New Roman"/>
                <w:noProof/>
              </w:rPr>
            </w:pPr>
            <w:r>
              <w:rPr>
                <w:noProof/>
              </w:rPr>
              <w:t>—</w:t>
            </w:r>
          </w:p>
        </w:tc>
        <w:tc>
          <w:tcPr>
            <w:tcW w:w="708" w:type="dxa"/>
            <w:tcBorders>
              <w:top w:val="nil"/>
              <w:left w:val="nil"/>
              <w:bottom w:val="single" w:sz="4" w:space="0" w:color="auto"/>
              <w:right w:val="single" w:sz="4" w:space="0" w:color="auto"/>
            </w:tcBorders>
            <w:shd w:val="clear" w:color="auto" w:fill="C6EFCE"/>
            <w:noWrap/>
            <w:vAlign w:val="center"/>
          </w:tcPr>
          <w:p w14:paraId="247FF4CA" w14:textId="77777777" w:rsidR="00235E11" w:rsidRDefault="00F837E4">
            <w:pPr>
              <w:pStyle w:val="P68B1DB1-Normal9"/>
              <w:spacing w:after="0"/>
              <w:rPr>
                <w:rFonts w:eastAsia="Times New Roman"/>
                <w:noProof/>
              </w:rPr>
            </w:pPr>
            <w:r>
              <w:rPr>
                <w:noProof/>
              </w:rPr>
              <w:t>—</w:t>
            </w:r>
          </w:p>
        </w:tc>
        <w:tc>
          <w:tcPr>
            <w:tcW w:w="851" w:type="dxa"/>
            <w:tcBorders>
              <w:top w:val="nil"/>
              <w:left w:val="nil"/>
              <w:bottom w:val="single" w:sz="4" w:space="0" w:color="auto"/>
              <w:right w:val="single" w:sz="4" w:space="0" w:color="auto"/>
            </w:tcBorders>
            <w:shd w:val="clear" w:color="auto" w:fill="C6EFCE"/>
            <w:noWrap/>
            <w:vAlign w:val="center"/>
          </w:tcPr>
          <w:p w14:paraId="5BDEC0BF" w14:textId="77777777" w:rsidR="00235E11" w:rsidRDefault="00F837E4">
            <w:pPr>
              <w:pStyle w:val="P68B1DB1-Normal9"/>
              <w:spacing w:after="0"/>
              <w:rPr>
                <w:rFonts w:eastAsia="Times New Roman"/>
                <w:noProof/>
              </w:rPr>
            </w:pPr>
            <w:r>
              <w:rPr>
                <w:noProof/>
              </w:rPr>
              <w:t>—</w:t>
            </w:r>
          </w:p>
        </w:tc>
        <w:tc>
          <w:tcPr>
            <w:tcW w:w="567" w:type="dxa"/>
            <w:tcBorders>
              <w:top w:val="nil"/>
              <w:left w:val="nil"/>
              <w:bottom w:val="single" w:sz="4" w:space="0" w:color="auto"/>
              <w:right w:val="single" w:sz="4" w:space="0" w:color="auto"/>
            </w:tcBorders>
            <w:shd w:val="clear" w:color="auto" w:fill="C6EFCE"/>
            <w:noWrap/>
            <w:vAlign w:val="center"/>
          </w:tcPr>
          <w:p w14:paraId="0B9557A6"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7B50433C" w14:textId="77777777" w:rsidR="00235E11" w:rsidRDefault="00F837E4">
            <w:pPr>
              <w:pStyle w:val="P68B1DB1-Normal9"/>
              <w:spacing w:after="0"/>
              <w:jc w:val="center"/>
              <w:rPr>
                <w:rFonts w:eastAsia="Times New Roman"/>
                <w:noProof/>
              </w:rPr>
            </w:pPr>
            <w:r>
              <w:rPr>
                <w:noProof/>
              </w:rPr>
              <w:t>2022</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51303D05" w14:textId="77777777" w:rsidR="00235E11" w:rsidRDefault="00F837E4">
            <w:pPr>
              <w:pStyle w:val="P68B1DB1-Normal17"/>
              <w:spacing w:after="0"/>
              <w:rPr>
                <w:noProof/>
                <w:color w:val="006100"/>
              </w:rPr>
            </w:pPr>
            <w:r>
              <w:rPr>
                <w:noProof/>
                <w:color w:val="006100"/>
              </w:rPr>
              <w:t>Приложението Smart Move функционира и етапът на изпитване е завършен</w:t>
            </w:r>
            <w:r>
              <w:rPr>
                <w:noProof/>
                <w:color w:val="1F497D"/>
              </w:rPr>
              <w:t>.</w:t>
            </w:r>
            <w:r>
              <w:rPr>
                <w:noProof/>
                <w:color w:val="006100"/>
              </w:rPr>
              <w:t xml:space="preserve"> Мониторинг и оценка на Hyper Care</w:t>
            </w:r>
          </w:p>
          <w:p w14:paraId="42A1DC22" w14:textId="77777777" w:rsidR="00235E11" w:rsidRDefault="00F837E4">
            <w:pPr>
              <w:pStyle w:val="P68B1DB1-Normal9"/>
              <w:spacing w:after="0"/>
              <w:rPr>
                <w:rFonts w:eastAsia="Times New Roman"/>
                <w:noProof/>
              </w:rPr>
            </w:pPr>
            <w:r>
              <w:rPr>
                <w:noProof/>
              </w:rPr>
              <w:t>— Оценка на въздействието и определяне на процесите на подобряване</w:t>
            </w:r>
          </w:p>
        </w:tc>
      </w:tr>
      <w:tr w:rsidR="00235E11" w14:paraId="2A131E84" w14:textId="77777777">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690D9C" w14:textId="77777777" w:rsidR="00235E11" w:rsidRDefault="00F837E4">
            <w:pPr>
              <w:pStyle w:val="P68B1DB1-Normal10"/>
              <w:spacing w:after="0"/>
              <w:jc w:val="center"/>
              <w:rPr>
                <w:noProof/>
              </w:rPr>
            </w:pPr>
            <w:r>
              <w:rPr>
                <w:noProof/>
              </w:rPr>
              <w:t>113</w:t>
            </w:r>
          </w:p>
        </w:tc>
        <w:tc>
          <w:tcPr>
            <w:tcW w:w="1540" w:type="dxa"/>
            <w:tcBorders>
              <w:top w:val="nil"/>
              <w:left w:val="single" w:sz="4" w:space="0" w:color="auto"/>
              <w:bottom w:val="single" w:sz="4" w:space="0" w:color="auto"/>
              <w:right w:val="single" w:sz="4" w:space="0" w:color="auto"/>
            </w:tcBorders>
            <w:shd w:val="clear" w:color="auto" w:fill="C6EFCE"/>
            <w:noWrap/>
            <w:vAlign w:val="center"/>
          </w:tcPr>
          <w:p w14:paraId="353BCDD3" w14:textId="77777777" w:rsidR="00235E11" w:rsidRDefault="00F837E4">
            <w:pPr>
              <w:pStyle w:val="P68B1DB1-Normal9"/>
              <w:spacing w:after="0"/>
              <w:rPr>
                <w:noProof/>
              </w:rPr>
            </w:pPr>
            <w:r>
              <w:rPr>
                <w:noProof/>
              </w:rPr>
              <w:t>Безвъзмездни средства за прехвърляне на товари (I-3.14)</w:t>
            </w:r>
          </w:p>
        </w:tc>
        <w:tc>
          <w:tcPr>
            <w:tcW w:w="878" w:type="dxa"/>
            <w:tcBorders>
              <w:top w:val="nil"/>
              <w:left w:val="nil"/>
              <w:bottom w:val="single" w:sz="4" w:space="0" w:color="auto"/>
              <w:right w:val="single" w:sz="4" w:space="0" w:color="auto"/>
            </w:tcBorders>
            <w:shd w:val="clear" w:color="auto" w:fill="C6EFCE"/>
            <w:noWrap/>
            <w:vAlign w:val="center"/>
          </w:tcPr>
          <w:p w14:paraId="5253DB50" w14:textId="4A9BCF5F" w:rsidR="00235E11" w:rsidRDefault="00F837E4">
            <w:pPr>
              <w:pStyle w:val="P68B1DB1-Normal9"/>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761166B9" w14:textId="53C7FFB8" w:rsidR="00235E11" w:rsidRDefault="00F837E4">
            <w:pPr>
              <w:pStyle w:val="P68B1DB1-Normal9"/>
              <w:spacing w:after="0"/>
              <w:rPr>
                <w:noProof/>
              </w:rPr>
            </w:pPr>
            <w:r>
              <w:rPr>
                <w:noProof/>
              </w:rPr>
              <w:t>Първи 4 375 нови заявления за безвъзмездни средства за преминаване към други видове транспорт</w:t>
            </w:r>
          </w:p>
        </w:tc>
        <w:tc>
          <w:tcPr>
            <w:tcW w:w="1276" w:type="dxa"/>
            <w:tcBorders>
              <w:top w:val="nil"/>
              <w:left w:val="single" w:sz="4" w:space="0" w:color="auto"/>
              <w:bottom w:val="single" w:sz="4" w:space="0" w:color="auto"/>
              <w:right w:val="single" w:sz="4" w:space="0" w:color="auto"/>
            </w:tcBorders>
            <w:shd w:val="clear" w:color="auto" w:fill="C6EFCE"/>
            <w:noWrap/>
            <w:vAlign w:val="center"/>
          </w:tcPr>
          <w:p w14:paraId="149EBF2C" w14:textId="77777777" w:rsidR="00235E11" w:rsidRDefault="00235E11">
            <w:pPr>
              <w:spacing w:after="0"/>
              <w:rPr>
                <w:rFonts w:ascii="Times New Roman" w:eastAsia="Times New Roman" w:hAnsi="Times New Roman" w:cs="Times New Roman"/>
                <w:noProof/>
                <w:color w:val="006100"/>
              </w:rPr>
            </w:pPr>
          </w:p>
        </w:tc>
        <w:tc>
          <w:tcPr>
            <w:tcW w:w="1276" w:type="dxa"/>
            <w:tcBorders>
              <w:top w:val="nil"/>
              <w:left w:val="nil"/>
              <w:bottom w:val="single" w:sz="4" w:space="0" w:color="auto"/>
              <w:right w:val="single" w:sz="4" w:space="0" w:color="auto"/>
            </w:tcBorders>
            <w:shd w:val="clear" w:color="auto" w:fill="C6EFCE"/>
            <w:noWrap/>
            <w:vAlign w:val="center"/>
          </w:tcPr>
          <w:p w14:paraId="2918A71E" w14:textId="77777777" w:rsidR="00235E11" w:rsidRDefault="00F837E4">
            <w:pPr>
              <w:pStyle w:val="P68B1DB1-Normal10"/>
              <w:spacing w:after="0"/>
              <w:rPr>
                <w:noProof/>
              </w:rPr>
            </w:pPr>
            <w:r>
              <w:rPr>
                <w:noProof/>
              </w:rPr>
              <w:t>Брой</w:t>
            </w:r>
          </w:p>
        </w:tc>
        <w:tc>
          <w:tcPr>
            <w:tcW w:w="708" w:type="dxa"/>
            <w:tcBorders>
              <w:top w:val="nil"/>
              <w:left w:val="nil"/>
              <w:bottom w:val="single" w:sz="4" w:space="0" w:color="auto"/>
              <w:right w:val="single" w:sz="4" w:space="0" w:color="auto"/>
            </w:tcBorders>
            <w:shd w:val="clear" w:color="auto" w:fill="C6EFCE"/>
            <w:noWrap/>
            <w:vAlign w:val="center"/>
          </w:tcPr>
          <w:p w14:paraId="31D00337" w14:textId="77777777" w:rsidR="00235E11" w:rsidRDefault="00F837E4">
            <w:pPr>
              <w:pStyle w:val="P68B1DB1-Normal10"/>
              <w:spacing w:after="0"/>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7C002008" w14:textId="0DEC836F" w:rsidR="00235E11" w:rsidRDefault="00F837E4">
            <w:pPr>
              <w:pStyle w:val="P68B1DB1-Normal9"/>
              <w:spacing w:after="0"/>
              <w:rPr>
                <w:rFonts w:eastAsia="Times New Roman"/>
                <w:noProof/>
              </w:rPr>
            </w:pPr>
            <w:r>
              <w:rPr>
                <w:noProof/>
              </w:rPr>
              <w:t>4 375</w:t>
            </w:r>
          </w:p>
        </w:tc>
        <w:tc>
          <w:tcPr>
            <w:tcW w:w="567" w:type="dxa"/>
            <w:tcBorders>
              <w:top w:val="nil"/>
              <w:left w:val="nil"/>
              <w:bottom w:val="single" w:sz="4" w:space="0" w:color="auto"/>
              <w:right w:val="single" w:sz="4" w:space="0" w:color="auto"/>
            </w:tcBorders>
            <w:shd w:val="clear" w:color="auto" w:fill="C6EFCE"/>
            <w:noWrap/>
            <w:vAlign w:val="center"/>
          </w:tcPr>
          <w:p w14:paraId="2BD9C4E0"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5C62837D" w14:textId="77777777" w:rsidR="00235E11" w:rsidRDefault="00F837E4">
            <w:pPr>
              <w:pStyle w:val="P68B1DB1-Normal9"/>
              <w:spacing w:after="0"/>
              <w:jc w:val="center"/>
              <w:rPr>
                <w:rFonts w:eastAsia="Times New Roman"/>
                <w:noProof/>
              </w:rPr>
            </w:pPr>
            <w:r>
              <w:rPr>
                <w:noProof/>
              </w:rPr>
              <w:t>2023</w:t>
            </w:r>
          </w:p>
        </w:tc>
        <w:tc>
          <w:tcPr>
            <w:tcW w:w="5409" w:type="dxa"/>
            <w:tcBorders>
              <w:top w:val="nil"/>
              <w:left w:val="single" w:sz="4" w:space="0" w:color="auto"/>
              <w:bottom w:val="single" w:sz="4" w:space="0" w:color="auto"/>
              <w:right w:val="single" w:sz="4" w:space="0" w:color="auto"/>
            </w:tcBorders>
            <w:shd w:val="clear" w:color="auto" w:fill="C6EFCE"/>
            <w:noWrap/>
            <w:vAlign w:val="center"/>
          </w:tcPr>
          <w:p w14:paraId="4A5B4281" w14:textId="26045A69" w:rsidR="00235E11" w:rsidRDefault="00F837E4">
            <w:pPr>
              <w:pStyle w:val="P68B1DB1-Normal9"/>
              <w:spacing w:after="0"/>
              <w:rPr>
                <w:rFonts w:eastAsia="Times New Roman"/>
                <w:noProof/>
              </w:rPr>
            </w:pPr>
            <w:r>
              <w:rPr>
                <w:noProof/>
              </w:rPr>
              <w:t>Бяха подадени заявления за първите 4 375 нови безвъзмездни средства за прехвърляне на товари.</w:t>
            </w:r>
          </w:p>
        </w:tc>
      </w:tr>
    </w:tbl>
    <w:p w14:paraId="3A8664A7" w14:textId="77777777" w:rsidR="00235E11" w:rsidRDefault="00235E11">
      <w:pPr>
        <w:pStyle w:val="Text1"/>
        <w:ind w:left="709"/>
        <w:rPr>
          <w:noProof/>
          <w:sz w:val="22"/>
        </w:rPr>
      </w:pPr>
    </w:p>
    <w:p w14:paraId="50D02512" w14:textId="77777777" w:rsidR="00235E11" w:rsidRDefault="00235E11">
      <w:pPr>
        <w:ind w:left="709"/>
        <w:rPr>
          <w:rFonts w:ascii="Times New Roman" w:hAnsi="Times New Roman" w:cs="Times New Roman"/>
          <w:noProof/>
        </w:rPr>
        <w:sectPr w:rsidR="00235E11" w:rsidSect="007F56C3">
          <w:headerReference w:type="even" r:id="rId132"/>
          <w:headerReference w:type="default" r:id="rId133"/>
          <w:footerReference w:type="even" r:id="rId134"/>
          <w:footerReference w:type="default" r:id="rId135"/>
          <w:headerReference w:type="first" r:id="rId136"/>
          <w:footerReference w:type="first" r:id="rId137"/>
          <w:pgSz w:w="16839" w:h="11907" w:orient="landscape"/>
          <w:pgMar w:top="1134" w:right="1134" w:bottom="1134" w:left="1134" w:header="567" w:footer="567" w:gutter="0"/>
          <w:cols w:space="720"/>
          <w:docGrid w:linePitch="360"/>
        </w:sectPr>
      </w:pPr>
    </w:p>
    <w:p w14:paraId="5C2B0B8A" w14:textId="4D7B40D8" w:rsidR="00235E11" w:rsidRDefault="00F837E4">
      <w:pPr>
        <w:pStyle w:val="ManualHeading1"/>
        <w:spacing w:before="120"/>
        <w:ind w:left="0" w:firstLine="0"/>
        <w:rPr>
          <w:noProof/>
        </w:rPr>
      </w:pPr>
      <w:r>
        <w:rPr>
          <w:noProof/>
        </w:rPr>
        <w:t>I. КОМПОНЕНТ 3.3: Екологизиране на автомобилния транспорт</w:t>
      </w:r>
    </w:p>
    <w:p w14:paraId="7A668B77" w14:textId="77777777" w:rsidR="00235E11" w:rsidRDefault="00F837E4">
      <w:pPr>
        <w:pStyle w:val="P68B1DB1-Normal16"/>
        <w:spacing w:before="120" w:after="120" w:line="240" w:lineRule="auto"/>
        <w:jc w:val="both"/>
        <w:rPr>
          <w:noProof/>
        </w:rPr>
      </w:pPr>
      <w:r>
        <w:rPr>
          <w:noProof/>
        </w:rPr>
        <w:t>Мерките, предложени в рамките на този компонент от белгийския план за възстановяване и устойчивост, имат за цел да подкрепят автомобилния транспорт с ниски емисии.</w:t>
      </w:r>
    </w:p>
    <w:p w14:paraId="4B01485E" w14:textId="77777777" w:rsidR="00235E11" w:rsidRDefault="00F837E4">
      <w:pPr>
        <w:pStyle w:val="P68B1DB1-Normal16"/>
        <w:spacing w:before="120" w:after="120" w:line="240" w:lineRule="auto"/>
        <w:jc w:val="both"/>
        <w:rPr>
          <w:noProof/>
        </w:rPr>
      </w:pPr>
      <w:r>
        <w:rPr>
          <w:noProof/>
        </w:rPr>
        <w:t>Компонентът допринася за изпълнението на специфична за всяка държава препоръка 2019.3 за съсредоточаване на свързаната с инвестициите икономическа политика върху устойчивия транспорт, включително модернизирането на железопътната инфраструктура, нисковъглеродния и енергийния преход [...] Преодоляване на нарастващите предизвикателства, свързани с мобилността, чрез засилване на стимулите и премахване на пречките за увеличаване на предлагането и търсенето на колективен транспорт и транспорт с ниски емисии и специфична за държавата препоръка 2020.3 за съсредоточаване на инвестициите върху екологичния и цифровия преход, по-специално върху инфраструктурата за устойчив транспорт.</w:t>
      </w:r>
    </w:p>
    <w:p w14:paraId="0B422CF9"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04C3F260" w14:textId="77777777" w:rsidR="00235E11" w:rsidRDefault="00F837E4">
      <w:pPr>
        <w:pStyle w:val="P68B1DB1-Normal21"/>
        <w:jc w:val="both"/>
        <w:rPr>
          <w:noProof/>
        </w:rPr>
      </w:pPr>
      <w:r>
        <w:rPr>
          <w:noProof/>
        </w:rPr>
        <w:t xml:space="preserve">I.1. </w:t>
      </w:r>
      <w:r>
        <w:rPr>
          <w:noProof/>
        </w:rPr>
        <w:tab/>
        <w:t>Описание на реформите и инвестициите за безвъзмездна финансова подкрепа</w:t>
      </w:r>
    </w:p>
    <w:p w14:paraId="6C35FCE7" w14:textId="77777777" w:rsidR="00235E11" w:rsidRDefault="00F837E4">
      <w:pPr>
        <w:pStyle w:val="P68B1DB1-Text111"/>
        <w:ind w:left="0"/>
        <w:rPr>
          <w:noProof/>
        </w:rPr>
      </w:pPr>
      <w:r>
        <w:rPr>
          <w:noProof/>
        </w:rPr>
        <w:t>Инвестиция I-3F: „Станции за зареждане“</w:t>
      </w:r>
    </w:p>
    <w:p w14:paraId="6E341450" w14:textId="77777777" w:rsidR="00235E11" w:rsidRDefault="00F837E4">
      <w:pPr>
        <w:pStyle w:val="P68B1DB1-Text13"/>
        <w:ind w:left="0"/>
        <w:rPr>
          <w:noProof/>
          <w:color w:val="000000"/>
        </w:rPr>
      </w:pPr>
      <w:r>
        <w:rPr>
          <w:noProof/>
        </w:rPr>
        <w:t>Целта на инвестицията е да се изградят станции за зареждане с електроенергия. Тази мярка се състои от следните четири подмерки:</w:t>
      </w:r>
    </w:p>
    <w:p w14:paraId="5EFC3E91" w14:textId="77777777" w:rsidR="00235E11" w:rsidRDefault="00F837E4">
      <w:pPr>
        <w:pStyle w:val="Text1"/>
        <w:numPr>
          <w:ilvl w:val="0"/>
          <w:numId w:val="40"/>
        </w:numPr>
        <w:ind w:left="360"/>
        <w:contextualSpacing/>
        <w:rPr>
          <w:noProof/>
        </w:rPr>
      </w:pPr>
      <w:r>
        <w:rPr>
          <w:noProof/>
        </w:rPr>
        <w:t>Реформа R-3.04: „Станции за зареждане — WAL“ на Валонския регион</w:t>
      </w:r>
    </w:p>
    <w:p w14:paraId="0DF9241C" w14:textId="77777777" w:rsidR="00235E11" w:rsidRDefault="00F837E4">
      <w:pPr>
        <w:pStyle w:val="Text1"/>
        <w:numPr>
          <w:ilvl w:val="0"/>
          <w:numId w:val="40"/>
        </w:numPr>
        <w:ind w:left="360"/>
        <w:contextualSpacing/>
        <w:rPr>
          <w:noProof/>
        </w:rPr>
      </w:pPr>
      <w:r>
        <w:rPr>
          <w:noProof/>
        </w:rPr>
        <w:t>Реформа R-3.05: „Станции за зареждане — RBC“ на регион Брюксел-столица</w:t>
      </w:r>
    </w:p>
    <w:p w14:paraId="29EAFB13" w14:textId="77777777" w:rsidR="00235E11" w:rsidRDefault="00F837E4">
      <w:pPr>
        <w:pStyle w:val="Text1"/>
        <w:numPr>
          <w:ilvl w:val="0"/>
          <w:numId w:val="40"/>
        </w:numPr>
        <w:ind w:left="360"/>
        <w:contextualSpacing/>
        <w:rPr>
          <w:noProof/>
        </w:rPr>
      </w:pPr>
      <w:r>
        <w:rPr>
          <w:noProof/>
        </w:rPr>
        <w:t>Инвестиция I-3.18: „Зарядни станции — FED“ на федералната държава</w:t>
      </w:r>
    </w:p>
    <w:p w14:paraId="36AEC485" w14:textId="77777777" w:rsidR="00235E11" w:rsidRDefault="00F837E4">
      <w:pPr>
        <w:pStyle w:val="Text1"/>
        <w:numPr>
          <w:ilvl w:val="0"/>
          <w:numId w:val="40"/>
        </w:numPr>
        <w:ind w:left="360"/>
        <w:contextualSpacing/>
        <w:rPr>
          <w:noProof/>
        </w:rPr>
      </w:pPr>
      <w:r>
        <w:rPr>
          <w:noProof/>
        </w:rPr>
        <w:t>Инвестиция I-3.19: „Станции за зареждане — VLA“ на Фламандския регион</w:t>
      </w:r>
    </w:p>
    <w:p w14:paraId="69B5FA21" w14:textId="77777777" w:rsidR="00235E11" w:rsidRDefault="00235E11">
      <w:pPr>
        <w:pStyle w:val="Text1"/>
        <w:ind w:left="0"/>
        <w:rPr>
          <w:noProof/>
          <w:color w:val="000000"/>
        </w:rPr>
      </w:pPr>
    </w:p>
    <w:p w14:paraId="0549BFB3" w14:textId="77777777" w:rsidR="00235E11" w:rsidRDefault="00F837E4">
      <w:pPr>
        <w:pStyle w:val="P68B1DB1-Text12"/>
        <w:ind w:left="0"/>
        <w:rPr>
          <w:noProof/>
          <w:color w:val="000000"/>
        </w:rPr>
      </w:pPr>
      <w:r>
        <w:rPr>
          <w:noProof/>
        </w:rPr>
        <w:t>Инвестиция I-3G: „Екологизиране на автобусния парк“</w:t>
      </w:r>
    </w:p>
    <w:p w14:paraId="794BE53B" w14:textId="77777777" w:rsidR="00235E11" w:rsidRDefault="00F837E4">
      <w:pPr>
        <w:pStyle w:val="Text1"/>
        <w:numPr>
          <w:ilvl w:val="0"/>
          <w:numId w:val="40"/>
        </w:numPr>
        <w:ind w:left="360"/>
        <w:contextualSpacing/>
        <w:rPr>
          <w:noProof/>
        </w:rPr>
      </w:pPr>
      <w:r>
        <w:rPr>
          <w:noProof/>
        </w:rPr>
        <w:t>Инвестиция I-3.16: „Екологизиране на автобусния парк — VLA“ на Фламандския регион</w:t>
      </w:r>
    </w:p>
    <w:p w14:paraId="6FA5F2E7" w14:textId="48C273E4" w:rsidR="00235E11" w:rsidRDefault="00F837E4">
      <w:pPr>
        <w:pStyle w:val="Text1"/>
        <w:numPr>
          <w:ilvl w:val="0"/>
          <w:numId w:val="40"/>
        </w:numPr>
        <w:ind w:left="360"/>
        <w:contextualSpacing/>
        <w:rPr>
          <w:noProof/>
        </w:rPr>
      </w:pPr>
      <w:r>
        <w:rPr>
          <w:noProof/>
        </w:rPr>
        <w:t>Инвестиция I-3.17: „Екологизиране на автобусния парк — RBC“ на регион Брюксел-столица</w:t>
      </w:r>
    </w:p>
    <w:p w14:paraId="66E4BB55" w14:textId="17E4B483" w:rsidR="00235E11" w:rsidRDefault="00F837E4">
      <w:pPr>
        <w:pStyle w:val="Text1"/>
        <w:numPr>
          <w:ilvl w:val="0"/>
          <w:numId w:val="40"/>
        </w:numPr>
        <w:ind w:left="360"/>
        <w:contextualSpacing/>
        <w:rPr>
          <w:noProof/>
        </w:rPr>
      </w:pPr>
      <w:r>
        <w:rPr>
          <w:noProof/>
        </w:rPr>
        <w:t>Инвестиция I-3.20: „Екологизиране на автобусния парк — WAL“ на регион Брюксел-столица</w:t>
      </w:r>
    </w:p>
    <w:p w14:paraId="4C648C77" w14:textId="77777777" w:rsidR="00235E11" w:rsidRDefault="00235E11">
      <w:pPr>
        <w:pStyle w:val="Text1"/>
        <w:ind w:left="0"/>
        <w:rPr>
          <w:noProof/>
          <w:u w:val="single"/>
        </w:rPr>
      </w:pPr>
    </w:p>
    <w:p w14:paraId="486D9782" w14:textId="77777777" w:rsidR="00235E11" w:rsidRDefault="00F837E4">
      <w:pPr>
        <w:pStyle w:val="P68B1DB1-Text111"/>
        <w:ind w:left="0"/>
        <w:rPr>
          <w:noProof/>
        </w:rPr>
      </w:pPr>
      <w:r>
        <w:rPr>
          <w:noProof/>
        </w:rPr>
        <w:t>Реформа R-3.03: „Служебни автомобили с нулеви емисии — FED“ на федералната държава</w:t>
      </w:r>
    </w:p>
    <w:p w14:paraId="2F5A2DBF" w14:textId="31C7685D" w:rsidR="00235E11" w:rsidRDefault="00F837E4">
      <w:pPr>
        <w:pStyle w:val="P68B1DB1-Normal22"/>
        <w:jc w:val="both"/>
        <w:rPr>
          <w:noProof/>
        </w:rPr>
      </w:pPr>
      <w:r>
        <w:rPr>
          <w:noProof/>
        </w:rPr>
        <w:t>Тази реформа се състои в постепенното премахване на съществуващата схема за корпоративно данъчно облагане на автомобилите до конвенционалните автомобили и ограничаването ѝ, считано от 2026 г., до електрическите автомобили. Реформираната схема за данъчно облагане на автомобили на дружествата предвижда: (1) липса на приспадане на конвенционалните служебни автомобили, придобити от 2026 г. (2) прогресивно намаление на ставката за данъчно приспадане на конвенционалните служебни автомобили, придобити между 1 юли и 31 декември 2025 г., за да достигне 0 % до 2028 г., (3) прогресивно намаляване на данъчната ставка за фирмени автомобили с нулеви емисии до максимум 67,5 % до 2031 г. и (4) данъчно приспадане на бензин и дизелово гориво за хибридни служебни автомобили, придобити между 2023 г. и 2025 г., намалено на 50 % до януари 2023 г. Освен това (5) за конвенционалните автомобили, придобити след 1 юли 2023 г., приносът на CO2 се увеличава с 2.25 от 1 юли 2023 г. и постепенно се увеличава през 2025 г., 2026 г. до коефициент 5.50 през 2027 г. (6) за служебни автомобили с нулеви емисии, придобити от 1 юли 2023 г., минималната солидарна вноска се увеличава, считано от 2025 г., по такъв начин, че в дългосрочен план за средния служебен автомобил се дължи същият размер на социалноосигурителните вноски, какъвто е случаят към момента на приемане на плана. Реформата, включително преходните периоди и етапите на изпълнение, посочени по-горе, се приема до 30 септември 2021 г. и влиза в сила на 1 януари 2023 г.</w:t>
      </w:r>
    </w:p>
    <w:p w14:paraId="3199B1DC" w14:textId="77777777" w:rsidR="00235E11" w:rsidRDefault="00F837E4">
      <w:pPr>
        <w:pStyle w:val="P68B1DB1-Text111"/>
        <w:pageBreakBefore/>
        <w:ind w:left="0"/>
        <w:rPr>
          <w:noProof/>
        </w:rPr>
      </w:pPr>
      <w:r>
        <w:rPr>
          <w:noProof/>
        </w:rPr>
        <w:t>Реформа R-3.04: „Станции за зареждане — WAL“ на Валонския регион</w:t>
      </w:r>
    </w:p>
    <w:p w14:paraId="7049049C" w14:textId="7661BE5B" w:rsidR="00235E11" w:rsidRDefault="00F837E4">
      <w:pPr>
        <w:pStyle w:val="P68B1DB1-Normal17"/>
        <w:spacing w:before="120" w:after="120" w:line="240" w:lineRule="auto"/>
        <w:jc w:val="both"/>
        <w:rPr>
          <w:noProof/>
          <w:sz w:val="24"/>
        </w:rPr>
      </w:pPr>
      <w:r>
        <w:rPr>
          <w:noProof/>
          <w:sz w:val="24"/>
        </w:rPr>
        <w:t>Тази реформа се състои в приемането на законодателна рамка и възлагането на концесии за инфраструктура за зареждане във Валонския регион и инсталирането на 4</w:t>
      </w:r>
      <w:r>
        <w:rPr>
          <w:noProof/>
          <w:color w:val="006100"/>
        </w:rPr>
        <w:t xml:space="preserve"> </w:t>
      </w:r>
      <w:r>
        <w:rPr>
          <w:noProof/>
          <w:sz w:val="24"/>
        </w:rPr>
        <w:t>708 еквивалентни обществени зарядни точки. Целта за броя на обществените зарядни точки (CPE), които ще бъдат инсталирани, взема предвид индикативната цел за един CPE за десет електрически превозни средства. Планът за разполагане на станции за зареждане с електроенергия се приема от правителството на Валония до 30 септември 2022 г. и се изпълнява незабавно, за да се постигнат целите му до 30 юни 2026 г.</w:t>
      </w:r>
    </w:p>
    <w:p w14:paraId="3C42BDA6" w14:textId="77777777" w:rsidR="00235E11" w:rsidRDefault="00F837E4">
      <w:pPr>
        <w:pStyle w:val="P68B1DB1-Text111"/>
        <w:ind w:left="0"/>
        <w:rPr>
          <w:noProof/>
        </w:rPr>
      </w:pPr>
      <w:r>
        <w:rPr>
          <w:noProof/>
        </w:rPr>
        <w:t>Реформа R-3.05: „Станции за зареждане — RBC“ на регион Брюксел-столица</w:t>
      </w:r>
    </w:p>
    <w:p w14:paraId="67724F36" w14:textId="1ED09302" w:rsidR="00235E11" w:rsidRDefault="00F837E4">
      <w:pPr>
        <w:pStyle w:val="NormalLeft"/>
        <w:jc w:val="both"/>
        <w:rPr>
          <w:noProof/>
          <w:color w:val="000000" w:themeColor="text1"/>
        </w:rPr>
      </w:pPr>
      <w:r>
        <w:rPr>
          <w:noProof/>
        </w:rPr>
        <w:t xml:space="preserve">Тази мярка се състои в приемането на законодателна рамка и възлагането на концесии за инфраструктура за зареждане в регион Брюксел-столица и инсталирането до 31 декември 2023 г. на 360 еквивалентни обществени зарядни точки. Този план е в съответствие с Директива 2014/94/ЕС относно инфраструктурата за алтернативни горива и се актуализира редовно и гарантира постигането на целта на региона. Постановлението за определяне на стандартите за сигурност, които трябва да се спазват при инсталирането на зарядни точки извън улицата в регион Брюксел-столица, се приема най-късно до 1 март 2022 г. и влиза в </w:t>
      </w:r>
      <w:r>
        <w:rPr>
          <w:noProof/>
          <w:color w:val="000000" w:themeColor="text1"/>
        </w:rPr>
        <w:t xml:space="preserve">сила до 31 юли 2022 г. Изпълнението на мярката като цяло трябва да приключи до 30 юни 2026 г. </w:t>
      </w:r>
    </w:p>
    <w:p w14:paraId="2755B684" w14:textId="77777777" w:rsidR="00235E11" w:rsidRDefault="00F837E4">
      <w:pPr>
        <w:pStyle w:val="P68B1DB1-Text111"/>
        <w:ind w:left="0"/>
        <w:rPr>
          <w:noProof/>
        </w:rPr>
      </w:pPr>
      <w:r>
        <w:rPr>
          <w:noProof/>
        </w:rPr>
        <w:t>Реформа R-3.06: „Стимулиране на транспорта с нулеви емисии — VLA“ на Фламандския регион</w:t>
      </w:r>
    </w:p>
    <w:p w14:paraId="1E47AF03" w14:textId="5421F8FF" w:rsidR="00235E11" w:rsidRDefault="00F837E4">
      <w:pPr>
        <w:pStyle w:val="NormalLeft"/>
        <w:jc w:val="both"/>
        <w:rPr>
          <w:noProof/>
        </w:rPr>
      </w:pPr>
      <w:r>
        <w:rPr>
          <w:noProof/>
        </w:rPr>
        <w:t>Тази мярка се състои в приемането на законодателна рамка за стимулиране на разгръщането на обществени зарядни точки чрез концесии и полупублични точки чрез безвъзмездни средства във Фламандския регион. Законодателната рамка дава възможност за картографиране на бъдещите зарядни точки, стартиране на търгове за концесия за обществени зарядни точки, стимулиране на разгръщането на полупублични зарядни точки в частни имоти, намаляване на административната тежест с цел съкращаване на сроковете за инсталиране на зарядни точки и стимулиране на интелигентното зареждане с електроенергия с цел балансиране на предлагането и търсенето на електроенергия. Законодателната рамка влиза в сила до 1 януари 2022 г.</w:t>
      </w:r>
    </w:p>
    <w:p w14:paraId="3F11BD63" w14:textId="77777777" w:rsidR="00235E11" w:rsidRDefault="00F837E4">
      <w:pPr>
        <w:pStyle w:val="P68B1DB1-Text111"/>
        <w:ind w:left="0"/>
        <w:rPr>
          <w:noProof/>
        </w:rPr>
      </w:pPr>
      <w:r>
        <w:rPr>
          <w:noProof/>
        </w:rPr>
        <w:t>Реформа R-3.07: „Измами с емисии“ на Фламандския регион</w:t>
      </w:r>
    </w:p>
    <w:p w14:paraId="269B5AC1" w14:textId="77777777" w:rsidR="00235E11" w:rsidRDefault="00F837E4">
      <w:pPr>
        <w:pStyle w:val="NormalLeft"/>
        <w:jc w:val="both"/>
        <w:rPr>
          <w:noProof/>
        </w:rPr>
      </w:pPr>
      <w:r>
        <w:rPr>
          <w:noProof/>
        </w:rPr>
        <w:t xml:space="preserve">Тази мярка се състои от i) приемане на нова правна рамка за изпитванията за NOx (ако текущите изследвания дават осъществима процедура), широкомащабно наблюдение на емисиите от превозните средства, подобрени крайпътни проверки и ефективна програма за изпитване на съответствието в експлоатация и ii) информационна система, която интегрира данни за емисиите със наблюдения на периодичните технически и крайпътни проверки с цел по-нататъшно подобряване на програмата за изпитване на съответствието в експлоатация. </w:t>
      </w:r>
    </w:p>
    <w:p w14:paraId="30F56526" w14:textId="03F5ED11" w:rsidR="00235E11" w:rsidRDefault="00F837E4">
      <w:pPr>
        <w:pStyle w:val="NormalLeft"/>
        <w:jc w:val="both"/>
        <w:rPr>
          <w:noProof/>
        </w:rPr>
      </w:pPr>
      <w:r>
        <w:rPr>
          <w:noProof/>
        </w:rPr>
        <w:t xml:space="preserve">Правната рамка се публикува до април 2023 г. и влиза в сила в съответствие със следния график. Преди 1 юли 2023 г. трябва да се въведе широкомащабно наблюдение на емисиите от превозните средства, да се въведат подобрени крайпътни проверки и да се стартира ефективна програма за изпитване на съответствието в експлоатация. В случай че преди 31 март 2022 г. бъде разработена приложима процедура за изпитване на NOx за техническа проверка, тя се прилага през 2023 г. Най-късно до 31 декември 2024 г. цялата мярка трябва да бъде завършена и приложена (пълно завършване на ИТ системата, която позволява по-нататъшно интегриране на крайпътната и периодичната техническа проверка с програмата за съответствие в експлоатация). </w:t>
      </w:r>
    </w:p>
    <w:p w14:paraId="51361DC6" w14:textId="77777777" w:rsidR="00235E11" w:rsidRDefault="00F837E4">
      <w:pPr>
        <w:pStyle w:val="P68B1DB1-Text111"/>
        <w:ind w:left="0"/>
        <w:rPr>
          <w:noProof/>
        </w:rPr>
      </w:pPr>
      <w:r>
        <w:rPr>
          <w:noProof/>
        </w:rPr>
        <w:t>Инвестиция I-3.16: „Екологизиране на автобусния парк — VLA“ на Фламандския регион</w:t>
      </w:r>
    </w:p>
    <w:p w14:paraId="24210CE6" w14:textId="77777777" w:rsidR="00235E11" w:rsidRDefault="00F837E4">
      <w:pPr>
        <w:pStyle w:val="NormalLeft"/>
        <w:jc w:val="both"/>
        <w:rPr>
          <w:noProof/>
        </w:rPr>
      </w:pPr>
      <w:r>
        <w:rPr>
          <w:noProof/>
        </w:rPr>
        <w:t>Тази инвестиция, извършена за „VVM-De Lijn“, фламандският регионален оператор на обществен транспорт, се състои от:</w:t>
      </w:r>
    </w:p>
    <w:p w14:paraId="22F89079" w14:textId="0C945967" w:rsidR="00235E11" w:rsidRDefault="00F837E4">
      <w:pPr>
        <w:pStyle w:val="NormalLeft"/>
        <w:jc w:val="both"/>
        <w:rPr>
          <w:noProof/>
        </w:rPr>
      </w:pPr>
      <w:r>
        <w:rPr>
          <w:noProof/>
        </w:rPr>
        <w:t>преоборудване на най-малко 225 M3 хибриди с нисък под в хибридни автобуси с възможност за включване към електрическата мрежа,</w:t>
      </w:r>
    </w:p>
    <w:p w14:paraId="34CB3F49" w14:textId="32368F0C" w:rsidR="00235E11" w:rsidRDefault="00F837E4">
      <w:pPr>
        <w:pStyle w:val="NormalLeft"/>
        <w:jc w:val="both"/>
        <w:rPr>
          <w:noProof/>
        </w:rPr>
      </w:pPr>
      <w:r>
        <w:rPr>
          <w:noProof/>
        </w:rPr>
        <w:t>обществена поръчка за хибридни автобуси с нисък под най-малко 32 M3 с възможност за включване към електрическата мрежа,</w:t>
      </w:r>
    </w:p>
    <w:p w14:paraId="74479860" w14:textId="721A95E6" w:rsidR="00235E11" w:rsidRDefault="00F837E4">
      <w:pPr>
        <w:pStyle w:val="NormalLeft"/>
        <w:jc w:val="both"/>
        <w:rPr>
          <w:noProof/>
        </w:rPr>
      </w:pPr>
      <w:r>
        <w:rPr>
          <w:noProof/>
        </w:rPr>
        <w:t>— възлагане на обществени поръчки за електрически автобуси с нисък под — 54 M3,</w:t>
      </w:r>
    </w:p>
    <w:p w14:paraId="79AD984D" w14:textId="77777777" w:rsidR="00235E11" w:rsidRDefault="00F837E4">
      <w:pPr>
        <w:pStyle w:val="NormalLeft"/>
        <w:jc w:val="both"/>
        <w:rPr>
          <w:noProof/>
        </w:rPr>
      </w:pPr>
      <w:r>
        <w:rPr>
          <w:noProof/>
        </w:rPr>
        <w:t>— инсталиране на най-малко 345 станции за зареждане на автобуси.</w:t>
      </w:r>
    </w:p>
    <w:p w14:paraId="13B8C4E0" w14:textId="77777777" w:rsidR="00235E11" w:rsidRDefault="00F837E4">
      <w:pPr>
        <w:pStyle w:val="NormalLeft"/>
        <w:jc w:val="both"/>
        <w:rPr>
          <w:noProof/>
        </w:rPr>
      </w:pPr>
      <w:r>
        <w:rPr>
          <w:noProof/>
        </w:rPr>
        <w:t>Изпълнението на инвестицията трябва да приключи до 31 декември 2025 г.</w:t>
      </w:r>
    </w:p>
    <w:p w14:paraId="32658571" w14:textId="77777777" w:rsidR="00235E11" w:rsidRDefault="00F837E4">
      <w:pPr>
        <w:pStyle w:val="P68B1DB1-Text111"/>
        <w:pageBreakBefore/>
        <w:ind w:left="0"/>
        <w:rPr>
          <w:noProof/>
        </w:rPr>
      </w:pPr>
      <w:r>
        <w:rPr>
          <w:noProof/>
        </w:rPr>
        <w:t xml:space="preserve">Инвестиция I-3.17: „Екологизиране на автобусния парк — RBC“ на регион Брюксел-столица </w:t>
      </w:r>
    </w:p>
    <w:p w14:paraId="6A9BE489" w14:textId="31B917BC" w:rsidR="00235E11" w:rsidRDefault="00F837E4">
      <w:pPr>
        <w:pStyle w:val="NormalLeft"/>
        <w:jc w:val="both"/>
        <w:rPr>
          <w:noProof/>
        </w:rPr>
      </w:pPr>
      <w:r>
        <w:rPr>
          <w:noProof/>
        </w:rPr>
        <w:t>Тази инвестиция, извършена за „STIB-MIVB“, оператор на обществен транспорт в регион Брюксел-столица, се състои в възлагане на обществена поръчка за съчленени електрически автобуси с нисък под 12 M3. Изпълнението на инвестицията трябва да приключи до 31 декември 2025 г.</w:t>
      </w:r>
    </w:p>
    <w:p w14:paraId="799B40FF" w14:textId="77777777" w:rsidR="00235E11" w:rsidRDefault="00F837E4">
      <w:pPr>
        <w:pStyle w:val="P68B1DB1-Text111"/>
        <w:ind w:left="0"/>
        <w:rPr>
          <w:noProof/>
        </w:rPr>
      </w:pPr>
      <w:r>
        <w:rPr>
          <w:noProof/>
        </w:rPr>
        <w:t xml:space="preserve">Инвестиция I-3.18: „Зарядни станции — FED“ на федералната държава </w:t>
      </w:r>
    </w:p>
    <w:p w14:paraId="580B567C" w14:textId="26D4F348" w:rsidR="00235E11" w:rsidRDefault="00F837E4">
      <w:pPr>
        <w:pStyle w:val="NormalLeft"/>
        <w:jc w:val="both"/>
        <w:rPr>
          <w:noProof/>
        </w:rPr>
      </w:pPr>
      <w:r>
        <w:rPr>
          <w:noProof/>
        </w:rPr>
        <w:t>Тази инвестиция се състои в подкрепа на данъчни стимули за частни и полупублични зарядни станции за електрически автомобили. Данъчният стимул дава възможност за приспадане на разходите за инсталиране на зарядна точка у дома и в търговски центрове, супермаркети и корпоративни паркинги. Данъчният стимул позволява разполагането на най-малко 36 551 частни зарядни точки. Данъчният стимул влиза в сила до 30 септември 2021 г. Възможно е други фондове на ЕС също да допринесат за инсталирането на станции за зареждане, които се ползват от този данъчен стимул.</w:t>
      </w:r>
    </w:p>
    <w:p w14:paraId="6C78AFE3" w14:textId="4BF01401" w:rsidR="00235E11" w:rsidRDefault="00F837E4">
      <w:pPr>
        <w:pStyle w:val="P68B1DB1-Text111"/>
        <w:ind w:left="0"/>
        <w:rPr>
          <w:noProof/>
        </w:rPr>
      </w:pPr>
      <w:r>
        <w:rPr>
          <w:noProof/>
        </w:rPr>
        <w:t>Инвестиция I-3.19: „Станции за зареждане — VLA“ на Фламандския регион</w:t>
      </w:r>
    </w:p>
    <w:p w14:paraId="6D008635" w14:textId="3BCECB9A" w:rsidR="00235E11" w:rsidRDefault="00F837E4">
      <w:pPr>
        <w:pStyle w:val="NormalLeft"/>
        <w:jc w:val="both"/>
        <w:rPr>
          <w:noProof/>
        </w:rPr>
      </w:pPr>
      <w:r>
        <w:rPr>
          <w:noProof/>
        </w:rPr>
        <w:t>Тази инвестиция се състои в инсталирането на 27 000 еквивалентни зарядни точки (обществени и полупублични зарядни точки) в целия регион Фламандски регион. Фламандският регион разработва планове за оптимизиране на разгръщането на зарядни точки, които са достъпни 24 часа, и подкрепя развитието на съоръжения за съхранение в зони, отдалечени от зоните за зареждане по магистралите. Изпълнението на инвестицията трябва да приключи до 30 юни 2026 г.</w:t>
      </w:r>
    </w:p>
    <w:p w14:paraId="6254B2B7" w14:textId="77D920CC" w:rsidR="00235E11" w:rsidRDefault="00F837E4">
      <w:pPr>
        <w:pStyle w:val="P68B1DB1-Normal13"/>
        <w:spacing w:before="120" w:after="120" w:line="240" w:lineRule="auto"/>
        <w:jc w:val="both"/>
        <w:rPr>
          <w:noProof/>
        </w:rPr>
      </w:pPr>
      <w:r>
        <w:rPr>
          <w:noProof/>
        </w:rPr>
        <w:t>Инвестиция I-3.20: „Екологизиране на автобусния парк — WAL“ на Валонския регион</w:t>
      </w:r>
    </w:p>
    <w:p w14:paraId="48298B13" w14:textId="1D75535B" w:rsidR="00235E11" w:rsidRDefault="00F837E4">
      <w:pPr>
        <w:pStyle w:val="NormalLeft"/>
        <w:jc w:val="both"/>
        <w:rPr>
          <w:noProof/>
        </w:rPr>
      </w:pPr>
      <w:r>
        <w:rPr>
          <w:noProof/>
        </w:rPr>
        <w:t>Тази инвестиция, извършена за „Le TEC-OTW“, оператор на обществен транспорт в регион Валон, се състои в възлагане на обществена поръчка за 14 съчленени електрически автобуса, 18 двусъчленени електрически автобуса, станции за бавно и бързо зареждане и изграждане на автобусен склад за електрическия парк. Изпълнението на инвестицията трябва да приключи до 31 юни 2026 г.</w:t>
      </w:r>
    </w:p>
    <w:p w14:paraId="648CACE1" w14:textId="77777777" w:rsidR="00235E11" w:rsidRDefault="00235E11">
      <w:pPr>
        <w:spacing w:before="120" w:after="120" w:line="240" w:lineRule="auto"/>
        <w:jc w:val="both"/>
        <w:rPr>
          <w:rFonts w:ascii="Times New Roman" w:hAnsi="Times New Roman" w:cs="Times New Roman"/>
          <w:noProof/>
          <w:sz w:val="24"/>
        </w:rPr>
      </w:pPr>
    </w:p>
    <w:p w14:paraId="7CC9406D" w14:textId="77777777" w:rsidR="00235E11" w:rsidRDefault="00F837E4">
      <w:pPr>
        <w:pStyle w:val="P68B1DB1-Text16"/>
        <w:ind w:left="0"/>
        <w:rPr>
          <w:noProof/>
        </w:rPr>
      </w:pPr>
      <w:r>
        <w:rPr>
          <w:noProof/>
        </w:rPr>
        <w:t xml:space="preserve">I.2. </w:t>
      </w:r>
      <w:r>
        <w:rPr>
          <w:noProof/>
        </w:rPr>
        <w:tab/>
        <w:t>Ключови етапи, цели, показатели и график за мониторинг и изпълнение на безвъзмездната финансова подкрепа</w:t>
      </w:r>
    </w:p>
    <w:p w14:paraId="4FB97E59" w14:textId="77777777" w:rsidR="00235E11" w:rsidRDefault="00235E11">
      <w:pPr>
        <w:pStyle w:val="Text1"/>
        <w:rPr>
          <w:noProof/>
        </w:rPr>
      </w:pPr>
    </w:p>
    <w:p w14:paraId="1A30F3C7" w14:textId="77777777" w:rsidR="00235E11" w:rsidRDefault="00235E11">
      <w:pPr>
        <w:pStyle w:val="Text1"/>
        <w:ind w:left="709"/>
        <w:rPr>
          <w:noProof/>
        </w:rPr>
        <w:sectPr w:rsidR="00235E11" w:rsidSect="007F56C3">
          <w:headerReference w:type="even" r:id="rId138"/>
          <w:headerReference w:type="default" r:id="rId139"/>
          <w:footerReference w:type="even" r:id="rId140"/>
          <w:footerReference w:type="default" r:id="rId141"/>
          <w:headerReference w:type="first" r:id="rId142"/>
          <w:footerReference w:type="first" r:id="rId143"/>
          <w:pgSz w:w="11907" w:h="16839"/>
          <w:pgMar w:top="1134" w:right="1134" w:bottom="1134" w:left="1134" w:header="567" w:footer="567" w:gutter="0"/>
          <w:cols w:space="720"/>
          <w:docGrid w:linePitch="360"/>
        </w:sectPr>
      </w:pPr>
    </w:p>
    <w:tbl>
      <w:tblPr>
        <w:tblW w:w="15139" w:type="dxa"/>
        <w:tblInd w:w="-147" w:type="dxa"/>
        <w:tblLayout w:type="fixed"/>
        <w:tblLook w:val="04A0" w:firstRow="1" w:lastRow="0" w:firstColumn="1" w:lastColumn="0" w:noHBand="0" w:noVBand="1"/>
      </w:tblPr>
      <w:tblGrid>
        <w:gridCol w:w="709"/>
        <w:gridCol w:w="1418"/>
        <w:gridCol w:w="1134"/>
        <w:gridCol w:w="1559"/>
        <w:gridCol w:w="1310"/>
        <w:gridCol w:w="1114"/>
        <w:gridCol w:w="1120"/>
        <w:gridCol w:w="850"/>
        <w:gridCol w:w="851"/>
        <w:gridCol w:w="709"/>
        <w:gridCol w:w="4365"/>
      </w:tblGrid>
      <w:tr w:rsidR="00235E11" w14:paraId="130D913F" w14:textId="77777777">
        <w:trPr>
          <w:trHeight w:val="927"/>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304CBCB" w14:textId="26CB4634" w:rsidR="00235E11" w:rsidRDefault="00F837E4">
            <w:pPr>
              <w:pStyle w:val="P68B1DB1-Normal15"/>
              <w:spacing w:after="0"/>
              <w:jc w:val="center"/>
              <w:rPr>
                <w:noProof/>
              </w:rPr>
            </w:pPr>
            <w:r>
              <w:rPr>
                <w:noProof/>
              </w:rPr>
              <w:t>Следващи Забележка: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A0B14EB" w14:textId="77777777" w:rsidR="00235E11" w:rsidRDefault="00F837E4">
            <w:pPr>
              <w:pStyle w:val="P68B1DB1-Normal15"/>
              <w:spacing w:after="0"/>
              <w:jc w:val="center"/>
              <w:rPr>
                <w:noProof/>
              </w:rPr>
            </w:pPr>
            <w:r>
              <w:rPr>
                <w:noProof/>
              </w:rPr>
              <w:t>Свързана мярка (реформа или инвестиции)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2E63F9" w14:textId="77777777" w:rsidR="00235E11" w:rsidRDefault="00F837E4">
            <w:pPr>
              <w:pStyle w:val="P68B1DB1-Normal15"/>
              <w:spacing w:after="0"/>
              <w:jc w:val="center"/>
              <w:rPr>
                <w:noProof/>
              </w:rPr>
            </w:pPr>
            <w:r>
              <w:rPr>
                <w:noProof/>
              </w:rPr>
              <w:t>Ключов етап/Цел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CBE10CF" w14:textId="77777777" w:rsidR="00235E11" w:rsidRDefault="00F837E4">
            <w:pPr>
              <w:pStyle w:val="P68B1DB1-Normal15"/>
              <w:spacing w:after="0"/>
              <w:jc w:val="center"/>
              <w:rPr>
                <w:noProof/>
              </w:rPr>
            </w:pPr>
            <w:r>
              <w:rPr>
                <w:noProof/>
              </w:rPr>
              <w:t>Име</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97CEBD"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4E2CD9A"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56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BF6557A" w14:textId="77777777" w:rsidR="00235E11" w:rsidRDefault="00F837E4">
            <w:pPr>
              <w:pStyle w:val="P68B1DB1-Normal15"/>
              <w:spacing w:after="0"/>
              <w:jc w:val="center"/>
              <w:rPr>
                <w:noProof/>
              </w:rPr>
            </w:pPr>
            <w:r>
              <w:rPr>
                <w:noProof/>
              </w:rPr>
              <w:t xml:space="preserve">Примерен график за приключване </w:t>
            </w:r>
          </w:p>
        </w:tc>
        <w:tc>
          <w:tcPr>
            <w:tcW w:w="43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43A1392" w14:textId="77777777" w:rsidR="00235E11" w:rsidRDefault="00F837E4">
            <w:pPr>
              <w:pStyle w:val="P68B1DB1-Normal15"/>
              <w:spacing w:after="0"/>
              <w:jc w:val="center"/>
              <w:rPr>
                <w:noProof/>
              </w:rPr>
            </w:pPr>
            <w:r>
              <w:rPr>
                <w:noProof/>
              </w:rPr>
              <w:t>Описание на всеки ключов етап и цел</w:t>
            </w:r>
          </w:p>
        </w:tc>
      </w:tr>
      <w:tr w:rsidR="00235E11" w14:paraId="0E51C20F" w14:textId="77777777">
        <w:trPr>
          <w:trHeight w:val="10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A89E320" w14:textId="77777777" w:rsidR="00235E11" w:rsidRDefault="00235E11">
            <w:pPr>
              <w:spacing w:after="0"/>
              <w:rPr>
                <w:rFonts w:ascii="Times New Roman" w:eastAsia="Times New Roman" w:hAnsi="Times New Roman" w:cs="Times New Roman"/>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AEFCE" w14:textId="77777777" w:rsidR="00235E11" w:rsidRDefault="00235E11">
            <w:pPr>
              <w:spacing w:after="0"/>
              <w:rPr>
                <w:rFonts w:ascii="Times New Roman" w:eastAsia="Times New Roman" w:hAnsi="Times New Roman" w:cs="Times New Roman"/>
                <w:b/>
                <w:noProof/>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2E9FFA" w14:textId="77777777" w:rsidR="00235E11" w:rsidRDefault="00235E11">
            <w:pPr>
              <w:spacing w:after="0"/>
              <w:rPr>
                <w:rFonts w:ascii="Times New Roman" w:eastAsia="Times New Roman" w:hAnsi="Times New Roman" w:cs="Times New Roman"/>
                <w:b/>
                <w:noProof/>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BC3A79" w14:textId="77777777" w:rsidR="00235E11" w:rsidRDefault="00235E11">
            <w:pPr>
              <w:spacing w:after="0"/>
              <w:rPr>
                <w:rFonts w:ascii="Times New Roman" w:eastAsia="Times New Roman" w:hAnsi="Times New Roman" w:cs="Times New Roman"/>
                <w:b/>
                <w:noProof/>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631C0926" w14:textId="77777777" w:rsidR="00235E11" w:rsidRDefault="00235E11">
            <w:pPr>
              <w:spacing w:after="0"/>
              <w:rPr>
                <w:rFonts w:ascii="Times New Roman" w:eastAsia="Times New Roman" w:hAnsi="Times New Roman" w:cs="Times New Roman"/>
                <w:b/>
                <w:noProof/>
              </w:rPr>
            </w:pPr>
          </w:p>
        </w:tc>
        <w:tc>
          <w:tcPr>
            <w:tcW w:w="111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597E4CD" w14:textId="77777777" w:rsidR="00235E11" w:rsidRDefault="00F837E4">
            <w:pPr>
              <w:pStyle w:val="P68B1DB1-Normal15"/>
              <w:spacing w:after="0"/>
              <w:jc w:val="center"/>
              <w:rPr>
                <w:noProof/>
              </w:rPr>
            </w:pPr>
            <w:r>
              <w:rPr>
                <w:noProof/>
              </w:rPr>
              <w:t>Единица мярка</w:t>
            </w:r>
          </w:p>
        </w:tc>
        <w:tc>
          <w:tcPr>
            <w:tcW w:w="1120" w:type="dxa"/>
            <w:tcBorders>
              <w:top w:val="nil"/>
              <w:left w:val="single" w:sz="4" w:space="0" w:color="auto"/>
              <w:bottom w:val="single" w:sz="4" w:space="0" w:color="auto"/>
              <w:right w:val="single" w:sz="4" w:space="0" w:color="auto"/>
            </w:tcBorders>
            <w:shd w:val="clear" w:color="auto" w:fill="BDD7EE"/>
            <w:vAlign w:val="center"/>
            <w:hideMark/>
          </w:tcPr>
          <w:p w14:paraId="6F3158D2" w14:textId="0EE84F66" w:rsidR="00235E11" w:rsidRDefault="00F837E4">
            <w:pPr>
              <w:pStyle w:val="P68B1DB1-Normal15"/>
              <w:spacing w:after="0"/>
              <w:jc w:val="center"/>
              <w:rPr>
                <w:noProof/>
              </w:rPr>
            </w:pPr>
            <w:r>
              <w:rPr>
                <w:noProof/>
              </w:rPr>
              <w:t>Базова линия</w:t>
            </w:r>
          </w:p>
        </w:tc>
        <w:tc>
          <w:tcPr>
            <w:tcW w:w="850" w:type="dxa"/>
            <w:tcBorders>
              <w:top w:val="nil"/>
              <w:left w:val="nil"/>
              <w:bottom w:val="single" w:sz="4" w:space="0" w:color="auto"/>
              <w:right w:val="single" w:sz="4" w:space="0" w:color="auto"/>
            </w:tcBorders>
            <w:shd w:val="clear" w:color="auto" w:fill="BDD7EE"/>
            <w:vAlign w:val="center"/>
            <w:hideMark/>
          </w:tcPr>
          <w:p w14:paraId="53297403" w14:textId="44CB8FF4" w:rsidR="00235E11" w:rsidRDefault="00F837E4">
            <w:pPr>
              <w:pStyle w:val="P68B1DB1-Normal15"/>
              <w:spacing w:after="0"/>
              <w:jc w:val="center"/>
              <w:rPr>
                <w:noProof/>
              </w:rPr>
            </w:pPr>
            <w:r>
              <w:rPr>
                <w:noProof/>
              </w:rPr>
              <w:t>Цел</w:t>
            </w:r>
          </w:p>
        </w:tc>
        <w:tc>
          <w:tcPr>
            <w:tcW w:w="851" w:type="dxa"/>
            <w:tcBorders>
              <w:top w:val="nil"/>
              <w:left w:val="nil"/>
              <w:bottom w:val="single" w:sz="4" w:space="0" w:color="auto"/>
              <w:right w:val="single" w:sz="4" w:space="0" w:color="auto"/>
            </w:tcBorders>
            <w:shd w:val="clear" w:color="auto" w:fill="BDD7EE"/>
            <w:vAlign w:val="center"/>
            <w:hideMark/>
          </w:tcPr>
          <w:p w14:paraId="78547D84" w14:textId="77777777" w:rsidR="00235E11" w:rsidRDefault="00F837E4">
            <w:pPr>
              <w:pStyle w:val="P68B1DB1-Normal15"/>
              <w:spacing w:after="0"/>
              <w:jc w:val="center"/>
              <w:rPr>
                <w:noProof/>
              </w:rPr>
            </w:pPr>
            <w:r>
              <w:rPr>
                <w:noProof/>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5C601668" w14:textId="77777777" w:rsidR="00235E11" w:rsidRDefault="00F837E4">
            <w:pPr>
              <w:pStyle w:val="P68B1DB1-Normal15"/>
              <w:spacing w:after="0"/>
              <w:jc w:val="center"/>
              <w:rPr>
                <w:noProof/>
              </w:rPr>
            </w:pPr>
            <w:r>
              <w:rPr>
                <w:noProof/>
              </w:rPr>
              <w:t>Година</w:t>
            </w:r>
          </w:p>
        </w:tc>
        <w:tc>
          <w:tcPr>
            <w:tcW w:w="4365" w:type="dxa"/>
            <w:vMerge/>
            <w:tcBorders>
              <w:top w:val="single" w:sz="4" w:space="0" w:color="auto"/>
              <w:bottom w:val="single" w:sz="4" w:space="0" w:color="auto"/>
              <w:right w:val="single" w:sz="4" w:space="0" w:color="auto"/>
            </w:tcBorders>
            <w:vAlign w:val="center"/>
            <w:hideMark/>
          </w:tcPr>
          <w:p w14:paraId="6D486B85" w14:textId="77777777" w:rsidR="00235E11" w:rsidRDefault="00235E11">
            <w:pPr>
              <w:spacing w:after="0"/>
              <w:rPr>
                <w:rFonts w:ascii="Times New Roman" w:eastAsia="Times New Roman" w:hAnsi="Times New Roman" w:cs="Times New Roman"/>
                <w:b/>
                <w:noProof/>
              </w:rPr>
            </w:pPr>
          </w:p>
        </w:tc>
      </w:tr>
      <w:tr w:rsidR="00235E11" w14:paraId="6167AC20" w14:textId="77777777">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18E6CEC" w14:textId="77777777" w:rsidR="00235E11" w:rsidRDefault="00F837E4">
            <w:pPr>
              <w:pStyle w:val="P68B1DB1-Normal10"/>
              <w:spacing w:after="0"/>
              <w:jc w:val="center"/>
              <w:rPr>
                <w:noProof/>
              </w:rPr>
            </w:pPr>
            <w:r>
              <w:rPr>
                <w:noProof/>
              </w:rPr>
              <w:t>114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FF591C4" w14:textId="77777777" w:rsidR="00235E11" w:rsidRDefault="00F837E4">
            <w:pPr>
              <w:pStyle w:val="P68B1DB1-Normal9"/>
              <w:spacing w:after="0"/>
              <w:rPr>
                <w:rFonts w:eastAsia="Times New Roman"/>
                <w:noProof/>
              </w:rPr>
            </w:pPr>
            <w:r>
              <w:rPr>
                <w:noProof/>
              </w:rPr>
              <w:t>Екологизиране на автобусния парк (I-3G)</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0AE60C1C" w14:textId="0BC4AC27" w:rsidR="00235E11" w:rsidRDefault="00F837E4">
            <w:pPr>
              <w:pStyle w:val="P68B1DB1-Normal9"/>
              <w:spacing w:after="0"/>
              <w:rPr>
                <w:rFonts w:eastAsia="Times New Roman"/>
                <w:noProof/>
              </w:rPr>
            </w:pPr>
            <w:r>
              <w:rPr>
                <w:noProof/>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366B440C" w14:textId="77777777" w:rsidR="00235E11" w:rsidRDefault="00F837E4">
            <w:pPr>
              <w:pStyle w:val="P68B1DB1-Normal9"/>
              <w:spacing w:after="0"/>
              <w:rPr>
                <w:rFonts w:eastAsia="Times New Roman"/>
                <w:noProof/>
              </w:rPr>
            </w:pPr>
            <w:r>
              <w:rPr>
                <w:noProof/>
              </w:rPr>
              <w:t>Официален ред за зелени автобуси и свързаната с тях инфраструктура за зареждане във Фландрия и Брюксел</w:t>
            </w:r>
          </w:p>
        </w:tc>
        <w:tc>
          <w:tcPr>
            <w:tcW w:w="1310" w:type="dxa"/>
            <w:tcBorders>
              <w:top w:val="single" w:sz="4" w:space="0" w:color="auto"/>
              <w:left w:val="nil"/>
              <w:bottom w:val="single" w:sz="4" w:space="0" w:color="auto"/>
              <w:right w:val="single" w:sz="4" w:space="0" w:color="auto"/>
            </w:tcBorders>
            <w:shd w:val="clear" w:color="auto" w:fill="C6EFCE"/>
            <w:noWrap/>
            <w:vAlign w:val="center"/>
            <w:hideMark/>
          </w:tcPr>
          <w:p w14:paraId="4C1E4AD6" w14:textId="77777777" w:rsidR="00235E11" w:rsidRDefault="00235E11">
            <w:pPr>
              <w:spacing w:after="0"/>
              <w:rPr>
                <w:rFonts w:ascii="Times New Roman" w:hAnsi="Times New Roman" w:cs="Times New Roman"/>
                <w:noProof/>
                <w:color w:val="006100"/>
              </w:rPr>
            </w:pPr>
          </w:p>
        </w:tc>
        <w:tc>
          <w:tcPr>
            <w:tcW w:w="1114" w:type="dxa"/>
            <w:tcBorders>
              <w:top w:val="single" w:sz="4" w:space="0" w:color="auto"/>
              <w:left w:val="nil"/>
              <w:bottom w:val="single" w:sz="4" w:space="0" w:color="auto"/>
              <w:right w:val="single" w:sz="4" w:space="0" w:color="auto"/>
            </w:tcBorders>
            <w:shd w:val="clear" w:color="auto" w:fill="C6EFCE"/>
            <w:noWrap/>
            <w:vAlign w:val="center"/>
            <w:hideMark/>
          </w:tcPr>
          <w:p w14:paraId="4129E2B6" w14:textId="77777777" w:rsidR="00235E11" w:rsidRDefault="00F837E4">
            <w:pPr>
              <w:pStyle w:val="P68B1DB1-Normal9"/>
              <w:spacing w:after="0"/>
              <w:rPr>
                <w:rFonts w:eastAsia="Times New Roman"/>
                <w:noProof/>
              </w:rPr>
            </w:pPr>
            <w:r>
              <w:rPr>
                <w:noProof/>
              </w:rPr>
              <w:t>Поръчки и тръжни оферти</w:t>
            </w:r>
          </w:p>
        </w:tc>
        <w:tc>
          <w:tcPr>
            <w:tcW w:w="1120" w:type="dxa"/>
            <w:tcBorders>
              <w:top w:val="single" w:sz="4" w:space="0" w:color="auto"/>
              <w:left w:val="nil"/>
              <w:bottom w:val="single" w:sz="4" w:space="0" w:color="auto"/>
              <w:right w:val="single" w:sz="4" w:space="0" w:color="auto"/>
            </w:tcBorders>
            <w:shd w:val="clear" w:color="auto" w:fill="C6EFCE"/>
            <w:noWrap/>
            <w:vAlign w:val="center"/>
            <w:hideMark/>
          </w:tcPr>
          <w:p w14:paraId="7EEB3A54" w14:textId="77777777" w:rsidR="00235E11" w:rsidRDefault="00F837E4">
            <w:pPr>
              <w:pStyle w:val="P68B1DB1-Normal9"/>
              <w:spacing w:after="0"/>
              <w:jc w:val="right"/>
              <w:rPr>
                <w:rFonts w:eastAsia="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vAlign w:val="center"/>
            <w:hideMark/>
          </w:tcPr>
          <w:p w14:paraId="21299D08" w14:textId="77777777" w:rsidR="00235E11" w:rsidRDefault="00F837E4">
            <w:pPr>
              <w:pStyle w:val="P68B1DB1-Normal9"/>
              <w:spacing w:after="0"/>
              <w:jc w:val="right"/>
              <w:rPr>
                <w:rFonts w:eastAsia="Times New Roman"/>
                <w:noProof/>
              </w:rPr>
            </w:pPr>
            <w:r>
              <w:rPr>
                <w:noProof/>
              </w:rPr>
              <w:t>6</w:t>
            </w:r>
          </w:p>
        </w:tc>
        <w:tc>
          <w:tcPr>
            <w:tcW w:w="851" w:type="dxa"/>
            <w:tcBorders>
              <w:top w:val="nil"/>
              <w:left w:val="nil"/>
              <w:bottom w:val="single" w:sz="4" w:space="0" w:color="auto"/>
              <w:right w:val="single" w:sz="4" w:space="0" w:color="auto"/>
            </w:tcBorders>
            <w:shd w:val="clear" w:color="auto" w:fill="C6EFCE"/>
            <w:noWrap/>
            <w:vAlign w:val="center"/>
            <w:hideMark/>
          </w:tcPr>
          <w:p w14:paraId="547A00C4" w14:textId="77777777" w:rsidR="00235E11" w:rsidRDefault="00F837E4">
            <w:pPr>
              <w:pStyle w:val="P68B1DB1-Normal9"/>
              <w:spacing w:after="0"/>
              <w:jc w:val="center"/>
              <w:rPr>
                <w:rFonts w:eastAsia="Times New Roman"/>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677C3645" w14:textId="77777777" w:rsidR="00235E11" w:rsidRDefault="00F837E4">
            <w:pPr>
              <w:pStyle w:val="P68B1DB1-Normal9"/>
              <w:spacing w:after="0"/>
              <w:jc w:val="center"/>
              <w:rPr>
                <w:rFonts w:eastAsia="Times New Roman"/>
                <w:noProof/>
              </w:rPr>
            </w:pPr>
            <w:r>
              <w:rPr>
                <w:noProof/>
              </w:rPr>
              <w:t>2024</w:t>
            </w:r>
          </w:p>
        </w:tc>
        <w:tc>
          <w:tcPr>
            <w:tcW w:w="436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33AD174" w14:textId="77777777" w:rsidR="00235E11" w:rsidRDefault="00F837E4">
            <w:pPr>
              <w:pStyle w:val="P68B1DB1-Normal9"/>
              <w:spacing w:after="0"/>
              <w:rPr>
                <w:noProof/>
              </w:rPr>
            </w:pPr>
            <w:r>
              <w:rPr>
                <w:noProof/>
              </w:rPr>
              <w:t>Екологизиране на автобусния парк — VLA</w:t>
            </w:r>
          </w:p>
          <w:p w14:paraId="2282278F" w14:textId="77777777" w:rsidR="00235E11" w:rsidRDefault="00F837E4">
            <w:pPr>
              <w:pStyle w:val="P68B1DB1-ListParagraph12"/>
              <w:numPr>
                <w:ilvl w:val="0"/>
                <w:numId w:val="26"/>
              </w:numPr>
              <w:spacing w:after="0" w:line="240" w:lineRule="auto"/>
              <w:ind w:left="527" w:hanging="357"/>
              <w:rPr>
                <w:noProof/>
              </w:rPr>
            </w:pPr>
            <w:r>
              <w:rPr>
                <w:noProof/>
              </w:rPr>
              <w:t>Поръчка за преоборудване на хибридни автобуси в електрически хибридни автобуси чрез изменение на съществуващия рамков договор</w:t>
            </w:r>
          </w:p>
          <w:p w14:paraId="7634594F" w14:textId="77777777" w:rsidR="00235E11" w:rsidRDefault="00F837E4">
            <w:pPr>
              <w:pStyle w:val="P68B1DB1-ListParagraph12"/>
              <w:numPr>
                <w:ilvl w:val="0"/>
                <w:numId w:val="26"/>
              </w:numPr>
              <w:spacing w:after="0" w:line="240" w:lineRule="auto"/>
              <w:ind w:left="527" w:hanging="357"/>
              <w:rPr>
                <w:noProof/>
              </w:rPr>
            </w:pPr>
            <w:r>
              <w:rPr>
                <w:noProof/>
              </w:rPr>
              <w:t>Поръчка за хибридни автобуси с възможност за включване към електрическата мрежа в рамките на съществуващия рамков договор</w:t>
            </w:r>
          </w:p>
          <w:p w14:paraId="51532D06" w14:textId="77777777" w:rsidR="00235E11" w:rsidRDefault="00F837E4">
            <w:pPr>
              <w:pStyle w:val="P68B1DB1-ListParagraph12"/>
              <w:numPr>
                <w:ilvl w:val="0"/>
                <w:numId w:val="26"/>
              </w:numPr>
              <w:spacing w:after="0" w:line="240" w:lineRule="auto"/>
              <w:ind w:left="527" w:hanging="357"/>
              <w:rPr>
                <w:noProof/>
              </w:rPr>
            </w:pPr>
            <w:r>
              <w:rPr>
                <w:noProof/>
              </w:rPr>
              <w:t xml:space="preserve">Поръчка за изцяло електрически автобуси </w:t>
            </w:r>
          </w:p>
          <w:p w14:paraId="7EF32CCC" w14:textId="77777777" w:rsidR="00235E11" w:rsidRDefault="00F837E4">
            <w:pPr>
              <w:pStyle w:val="P68B1DB1-ListParagraph12"/>
              <w:numPr>
                <w:ilvl w:val="0"/>
                <w:numId w:val="26"/>
              </w:numPr>
              <w:spacing w:after="0" w:line="240" w:lineRule="auto"/>
              <w:ind w:left="527" w:hanging="357"/>
              <w:rPr>
                <w:noProof/>
              </w:rPr>
            </w:pPr>
            <w:r>
              <w:rPr>
                <w:noProof/>
              </w:rPr>
              <w:t>Поръчка за инсталиране на зарядна инфраструктура в депата на (изцяло) електрическите автобуси и на зареждащите се от електрическата мрежа хибридни автобуси</w:t>
            </w:r>
          </w:p>
          <w:p w14:paraId="520A8458" w14:textId="77777777" w:rsidR="00235E11" w:rsidRDefault="00F837E4">
            <w:pPr>
              <w:pStyle w:val="P68B1DB1-Normal9"/>
              <w:spacing w:after="0"/>
              <w:rPr>
                <w:noProof/>
              </w:rPr>
            </w:pPr>
            <w:r>
              <w:rPr>
                <w:noProof/>
              </w:rPr>
              <w:t>Екологизиране на автобусния парк — RBC</w:t>
            </w:r>
          </w:p>
          <w:p w14:paraId="7E5015F7" w14:textId="06A50A4F" w:rsidR="00235E11" w:rsidRDefault="00F837E4">
            <w:pPr>
              <w:pStyle w:val="P68B1DB1-ListParagraph23"/>
              <w:numPr>
                <w:ilvl w:val="0"/>
                <w:numId w:val="26"/>
              </w:numPr>
              <w:spacing w:after="0" w:line="240" w:lineRule="auto"/>
              <w:ind w:left="527" w:hanging="357"/>
              <w:rPr>
                <w:noProof/>
              </w:rPr>
            </w:pPr>
            <w:r>
              <w:rPr>
                <w:noProof/>
              </w:rPr>
              <w:t>Поръчка за 12 съчленени електрически автобуса</w:t>
            </w:r>
          </w:p>
        </w:tc>
      </w:tr>
      <w:tr w:rsidR="00235E11" w14:paraId="27996DAD" w14:textId="77777777">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61432A27" w14:textId="77777777" w:rsidR="00235E11" w:rsidRDefault="00F837E4">
            <w:pPr>
              <w:pStyle w:val="P68B1DB1-Normal10"/>
              <w:spacing w:after="0"/>
              <w:jc w:val="center"/>
              <w:rPr>
                <w:noProof/>
              </w:rPr>
            </w:pPr>
            <w:r>
              <w:rPr>
                <w:noProof/>
              </w:rPr>
              <w:t>115</w:t>
            </w:r>
          </w:p>
        </w:tc>
        <w:tc>
          <w:tcPr>
            <w:tcW w:w="1418" w:type="dxa"/>
            <w:tcBorders>
              <w:top w:val="nil"/>
              <w:left w:val="single" w:sz="4" w:space="0" w:color="auto"/>
              <w:bottom w:val="single" w:sz="4" w:space="0" w:color="auto"/>
              <w:right w:val="single" w:sz="4" w:space="0" w:color="auto"/>
            </w:tcBorders>
            <w:shd w:val="clear" w:color="auto" w:fill="C6EFCE"/>
            <w:noWrap/>
            <w:vAlign w:val="center"/>
            <w:hideMark/>
          </w:tcPr>
          <w:p w14:paraId="68B514E6" w14:textId="77777777" w:rsidR="00235E11" w:rsidRDefault="00F837E4">
            <w:pPr>
              <w:pStyle w:val="P68B1DB1-Normal9"/>
              <w:spacing w:after="0"/>
              <w:rPr>
                <w:rFonts w:eastAsia="Times New Roman"/>
                <w:noProof/>
              </w:rPr>
            </w:pPr>
            <w:r>
              <w:rPr>
                <w:noProof/>
              </w:rPr>
              <w:t>Екологизиране на автобусния парк — (I-3G)</w:t>
            </w:r>
          </w:p>
        </w:tc>
        <w:tc>
          <w:tcPr>
            <w:tcW w:w="1134" w:type="dxa"/>
            <w:tcBorders>
              <w:top w:val="nil"/>
              <w:left w:val="nil"/>
              <w:bottom w:val="single" w:sz="4" w:space="0" w:color="auto"/>
              <w:right w:val="single" w:sz="4" w:space="0" w:color="auto"/>
            </w:tcBorders>
            <w:shd w:val="clear" w:color="auto" w:fill="C6EFCE"/>
            <w:noWrap/>
            <w:vAlign w:val="center"/>
            <w:hideMark/>
          </w:tcPr>
          <w:p w14:paraId="05EFA9A1" w14:textId="13B627B0" w:rsidR="00235E11" w:rsidRDefault="00F837E4">
            <w:pPr>
              <w:pStyle w:val="P68B1DB1-Normal9"/>
              <w:spacing w:after="0"/>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564B3272" w14:textId="390B9ECE" w:rsidR="00235E11" w:rsidRDefault="00F837E4">
            <w:pPr>
              <w:pStyle w:val="P68B1DB1-Normal9"/>
              <w:spacing w:after="0"/>
              <w:rPr>
                <w:rFonts w:eastAsia="Times New Roman"/>
                <w:noProof/>
              </w:rPr>
            </w:pPr>
            <w:r>
              <w:rPr>
                <w:noProof/>
              </w:rPr>
              <w:t>Зелени автобуси, въведени в експлоатация, и технически пригодени депа във Фландрия, Брюксел и Валония</w:t>
            </w:r>
          </w:p>
        </w:tc>
        <w:tc>
          <w:tcPr>
            <w:tcW w:w="1310" w:type="dxa"/>
            <w:tcBorders>
              <w:top w:val="nil"/>
              <w:left w:val="nil"/>
              <w:bottom w:val="single" w:sz="4" w:space="0" w:color="auto"/>
              <w:right w:val="single" w:sz="4" w:space="0" w:color="auto"/>
            </w:tcBorders>
            <w:shd w:val="clear" w:color="auto" w:fill="C6EFCE"/>
            <w:noWrap/>
            <w:vAlign w:val="center"/>
            <w:hideMark/>
          </w:tcPr>
          <w:p w14:paraId="1DDB18A8" w14:textId="77777777" w:rsidR="00235E11" w:rsidRDefault="00235E11">
            <w:pPr>
              <w:spacing w:after="0"/>
              <w:rPr>
                <w:rFonts w:ascii="Times New Roman" w:hAnsi="Times New Roman" w:cs="Times New Roman"/>
                <w:noProof/>
                <w:color w:val="006100"/>
              </w:rPr>
            </w:pPr>
          </w:p>
        </w:tc>
        <w:tc>
          <w:tcPr>
            <w:tcW w:w="1114" w:type="dxa"/>
            <w:tcBorders>
              <w:top w:val="nil"/>
              <w:left w:val="nil"/>
              <w:bottom w:val="single" w:sz="4" w:space="0" w:color="auto"/>
              <w:right w:val="single" w:sz="4" w:space="0" w:color="auto"/>
            </w:tcBorders>
            <w:shd w:val="clear" w:color="auto" w:fill="C6EFCE"/>
            <w:noWrap/>
            <w:vAlign w:val="center"/>
            <w:hideMark/>
          </w:tcPr>
          <w:p w14:paraId="794DA551" w14:textId="77777777" w:rsidR="00235E11" w:rsidRDefault="00F837E4">
            <w:pPr>
              <w:pStyle w:val="P68B1DB1-Normal9"/>
              <w:spacing w:after="0"/>
              <w:rPr>
                <w:rFonts w:eastAsia="Times New Roman"/>
                <w:noProof/>
              </w:rPr>
            </w:pPr>
            <w:r>
              <w:rPr>
                <w:noProof/>
              </w:rPr>
              <w:t>Превозни средства</w:t>
            </w:r>
          </w:p>
        </w:tc>
        <w:tc>
          <w:tcPr>
            <w:tcW w:w="1120" w:type="dxa"/>
            <w:tcBorders>
              <w:top w:val="nil"/>
              <w:left w:val="nil"/>
              <w:bottom w:val="single" w:sz="4" w:space="0" w:color="auto"/>
              <w:right w:val="single" w:sz="4" w:space="0" w:color="auto"/>
            </w:tcBorders>
            <w:shd w:val="clear" w:color="auto" w:fill="C6EFCE"/>
            <w:noWrap/>
            <w:vAlign w:val="center"/>
            <w:hideMark/>
          </w:tcPr>
          <w:p w14:paraId="32CC0EC9" w14:textId="77777777" w:rsidR="00235E11" w:rsidRDefault="00F837E4">
            <w:pPr>
              <w:pStyle w:val="P68B1DB1-Normal9"/>
              <w:spacing w:after="0"/>
              <w:jc w:val="right"/>
              <w:rPr>
                <w:rFonts w:eastAsia="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vAlign w:val="center"/>
            <w:hideMark/>
          </w:tcPr>
          <w:p w14:paraId="52F938AF" w14:textId="33DEE9E5" w:rsidR="00235E11" w:rsidRDefault="00F837E4">
            <w:pPr>
              <w:pStyle w:val="P68B1DB1-Normal9"/>
              <w:spacing w:after="0"/>
              <w:jc w:val="right"/>
              <w:rPr>
                <w:rFonts w:eastAsia="Times New Roman"/>
                <w:noProof/>
              </w:rPr>
            </w:pPr>
            <w:r>
              <w:rPr>
                <w:noProof/>
              </w:rPr>
              <w:t>342</w:t>
            </w:r>
          </w:p>
        </w:tc>
        <w:tc>
          <w:tcPr>
            <w:tcW w:w="851" w:type="dxa"/>
            <w:tcBorders>
              <w:top w:val="nil"/>
              <w:left w:val="nil"/>
              <w:bottom w:val="single" w:sz="4" w:space="0" w:color="auto"/>
              <w:right w:val="single" w:sz="4" w:space="0" w:color="auto"/>
            </w:tcBorders>
            <w:shd w:val="clear" w:color="auto" w:fill="C6EFCE"/>
            <w:noWrap/>
            <w:vAlign w:val="center"/>
            <w:hideMark/>
          </w:tcPr>
          <w:p w14:paraId="3E0064D2" w14:textId="0F7536A3"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30289E90" w14:textId="667C1B25" w:rsidR="00235E11" w:rsidRDefault="00F837E4">
            <w:pPr>
              <w:pStyle w:val="P68B1DB1-Normal9"/>
              <w:spacing w:after="0"/>
              <w:jc w:val="center"/>
              <w:rPr>
                <w:rFonts w:eastAsia="Times New Roman"/>
                <w:noProof/>
              </w:rPr>
            </w:pPr>
            <w:r>
              <w:rPr>
                <w:noProof/>
              </w:rPr>
              <w:t>2025</w:t>
            </w:r>
          </w:p>
        </w:tc>
        <w:tc>
          <w:tcPr>
            <w:tcW w:w="4365" w:type="dxa"/>
            <w:tcBorders>
              <w:top w:val="nil"/>
              <w:left w:val="single" w:sz="4" w:space="0" w:color="auto"/>
              <w:bottom w:val="single" w:sz="4" w:space="0" w:color="auto"/>
              <w:right w:val="single" w:sz="4" w:space="0" w:color="auto"/>
            </w:tcBorders>
            <w:shd w:val="clear" w:color="auto" w:fill="C6EFCE"/>
            <w:noWrap/>
            <w:vAlign w:val="center"/>
            <w:hideMark/>
          </w:tcPr>
          <w:p w14:paraId="2157BEB9" w14:textId="77777777" w:rsidR="00235E11" w:rsidRDefault="00F837E4">
            <w:pPr>
              <w:pStyle w:val="P68B1DB1-Normal9"/>
              <w:spacing w:after="0"/>
              <w:rPr>
                <w:noProof/>
              </w:rPr>
            </w:pPr>
            <w:r>
              <w:rPr>
                <w:noProof/>
              </w:rPr>
              <w:t>Екологизиране на автобусния парк — VLA</w:t>
            </w:r>
          </w:p>
          <w:p w14:paraId="3E3C92D4" w14:textId="48114188" w:rsidR="00235E11" w:rsidRDefault="00F837E4">
            <w:pPr>
              <w:pStyle w:val="P68B1DB1-ListParagraph23"/>
              <w:numPr>
                <w:ilvl w:val="0"/>
                <w:numId w:val="26"/>
              </w:numPr>
              <w:spacing w:after="0" w:line="240" w:lineRule="auto"/>
              <w:ind w:left="527" w:hanging="357"/>
              <w:rPr>
                <w:noProof/>
              </w:rPr>
            </w:pPr>
            <w:r>
              <w:rPr>
                <w:noProof/>
              </w:rPr>
              <w:t>257 нови и преоборудвани електрически хибридни автобуси с възможност за включване към електрическата мрежа се доставят и въвеждат в експлоатация (автобусите са адаптирани, за да предоставят услуги в района, в който са разпределени)</w:t>
            </w:r>
          </w:p>
          <w:p w14:paraId="34D99DC4" w14:textId="465B6680" w:rsidR="00235E11" w:rsidRDefault="00F837E4">
            <w:pPr>
              <w:pStyle w:val="P68B1DB1-ListParagraph23"/>
              <w:numPr>
                <w:ilvl w:val="0"/>
                <w:numId w:val="26"/>
              </w:numPr>
              <w:spacing w:after="0" w:line="240" w:lineRule="auto"/>
              <w:ind w:left="527" w:hanging="357"/>
              <w:rPr>
                <w:noProof/>
              </w:rPr>
            </w:pPr>
            <w:r>
              <w:rPr>
                <w:noProof/>
              </w:rPr>
              <w:t>54 изцяло електрически автобуси се доставят и въвеждат в експлоатация (автобусите са приспособени за предоставяне на услуги в района, в който са разпределени</w:t>
            </w:r>
          </w:p>
          <w:p w14:paraId="1B863E60" w14:textId="77777777" w:rsidR="00235E11" w:rsidRDefault="00F837E4">
            <w:pPr>
              <w:pStyle w:val="P68B1DB1-ListParagraph23"/>
              <w:numPr>
                <w:ilvl w:val="0"/>
                <w:numId w:val="26"/>
              </w:numPr>
              <w:spacing w:after="0" w:line="240" w:lineRule="auto"/>
              <w:ind w:left="527" w:hanging="357"/>
              <w:rPr>
                <w:noProof/>
              </w:rPr>
            </w:pPr>
            <w:r>
              <w:rPr>
                <w:noProof/>
              </w:rPr>
              <w:t>Инфраструктурата за зареждане е въведена в експлоатация в автобусните депа в определените зони</w:t>
            </w:r>
          </w:p>
          <w:p w14:paraId="08139802" w14:textId="77777777" w:rsidR="00235E11" w:rsidRDefault="00F837E4">
            <w:pPr>
              <w:pStyle w:val="P68B1DB1-Normal9"/>
              <w:spacing w:after="0"/>
              <w:rPr>
                <w:noProof/>
              </w:rPr>
            </w:pPr>
            <w:r>
              <w:rPr>
                <w:noProof/>
              </w:rPr>
              <w:t>Екологизиране на автобусния парк — RBC</w:t>
            </w:r>
          </w:p>
          <w:p w14:paraId="7CB68C27" w14:textId="77777777" w:rsidR="00235E11" w:rsidRDefault="00F837E4">
            <w:pPr>
              <w:pStyle w:val="P68B1DB1-ListParagraph12"/>
              <w:numPr>
                <w:ilvl w:val="0"/>
                <w:numId w:val="26"/>
              </w:numPr>
              <w:spacing w:after="0" w:line="240" w:lineRule="auto"/>
              <w:ind w:left="527" w:hanging="357"/>
              <w:rPr>
                <w:noProof/>
              </w:rPr>
            </w:pPr>
            <w:r>
              <w:rPr>
                <w:noProof/>
              </w:rPr>
              <w:t>Доставка на 12 съчленени електрически автобуса и изпитвания</w:t>
            </w:r>
          </w:p>
          <w:p w14:paraId="62D40168" w14:textId="77777777" w:rsidR="00235E11" w:rsidRDefault="00F837E4">
            <w:pPr>
              <w:pStyle w:val="P68B1DB1-Normal9"/>
              <w:spacing w:after="0"/>
              <w:rPr>
                <w:noProof/>
              </w:rPr>
            </w:pPr>
            <w:r>
              <w:rPr>
                <w:noProof/>
              </w:rPr>
              <w:t>Екологизиране на автобусния парк — WAL</w:t>
            </w:r>
          </w:p>
          <w:p w14:paraId="7A46D2FC" w14:textId="77777777" w:rsidR="00235E11" w:rsidRDefault="00F837E4">
            <w:pPr>
              <w:pStyle w:val="P68B1DB1-ListParagraph24"/>
              <w:numPr>
                <w:ilvl w:val="0"/>
                <w:numId w:val="26"/>
              </w:numPr>
              <w:spacing w:after="0" w:line="240" w:lineRule="auto"/>
              <w:ind w:left="527" w:hanging="357"/>
              <w:rPr>
                <w:noProof/>
              </w:rPr>
            </w:pPr>
            <w:r>
              <w:rPr>
                <w:noProof/>
              </w:rPr>
              <w:t>Доставка на 14 съчленени електрически автобуса</w:t>
            </w:r>
          </w:p>
          <w:p w14:paraId="14DAC3E2" w14:textId="0A191672" w:rsidR="00235E11" w:rsidRDefault="00F837E4">
            <w:pPr>
              <w:pStyle w:val="P68B1DB1-ListParagraph24"/>
              <w:numPr>
                <w:ilvl w:val="0"/>
                <w:numId w:val="26"/>
              </w:numPr>
              <w:spacing w:after="0" w:line="240" w:lineRule="auto"/>
              <w:ind w:left="527" w:hanging="357"/>
              <w:rPr>
                <w:rFonts w:eastAsia="Times New Roman" w:cs="Times New Roman"/>
                <w:noProof/>
              </w:rPr>
            </w:pPr>
            <w:r>
              <w:rPr>
                <w:noProof/>
              </w:rPr>
              <w:t>Доставка на 5 двусъчленени изцяло електрически автобуса</w:t>
            </w:r>
          </w:p>
        </w:tc>
      </w:tr>
      <w:tr w:rsidR="00235E11" w14:paraId="403645FA" w14:textId="77777777">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5E68761F" w14:textId="05B54E71" w:rsidR="00235E11" w:rsidRDefault="00F837E4">
            <w:pPr>
              <w:pStyle w:val="P68B1DB1-Normal10"/>
              <w:spacing w:after="0"/>
              <w:jc w:val="center"/>
              <w:rPr>
                <w:noProof/>
              </w:rPr>
            </w:pPr>
            <w:r>
              <w:rPr>
                <w:noProof/>
              </w:rPr>
              <w:t>115 б</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68887B4B" w14:textId="600CD6E4" w:rsidR="00235E11" w:rsidRDefault="00F837E4">
            <w:pPr>
              <w:pStyle w:val="P68B1DB1-Normal9"/>
              <w:spacing w:after="0"/>
              <w:rPr>
                <w:noProof/>
              </w:rPr>
            </w:pPr>
            <w:r>
              <w:rPr>
                <w:noProof/>
              </w:rPr>
              <w:t>Екологизиране на автобусния парк — (I-3G)</w:t>
            </w:r>
          </w:p>
        </w:tc>
        <w:tc>
          <w:tcPr>
            <w:tcW w:w="1134" w:type="dxa"/>
            <w:tcBorders>
              <w:top w:val="nil"/>
              <w:left w:val="nil"/>
              <w:bottom w:val="single" w:sz="4" w:space="0" w:color="auto"/>
              <w:right w:val="single" w:sz="4" w:space="0" w:color="auto"/>
            </w:tcBorders>
            <w:shd w:val="clear" w:color="auto" w:fill="C6EFCE"/>
            <w:noWrap/>
            <w:vAlign w:val="center"/>
          </w:tcPr>
          <w:p w14:paraId="56EEEBFF" w14:textId="679CC7AF" w:rsidR="00235E11" w:rsidRDefault="00F837E4">
            <w:pPr>
              <w:pStyle w:val="P68B1DB1-Normal9"/>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26E08A3A" w14:textId="04A58322" w:rsidR="00235E11" w:rsidRDefault="00F837E4">
            <w:pPr>
              <w:pStyle w:val="P68B1DB1-Normal9"/>
              <w:spacing w:after="0"/>
              <w:rPr>
                <w:noProof/>
              </w:rPr>
            </w:pPr>
            <w:r>
              <w:rPr>
                <w:noProof/>
              </w:rPr>
              <w:t>Зелени автобуси, въведени в експлоатация и новоизградени депа във Валония</w:t>
            </w:r>
          </w:p>
        </w:tc>
        <w:tc>
          <w:tcPr>
            <w:tcW w:w="1310" w:type="dxa"/>
            <w:tcBorders>
              <w:top w:val="nil"/>
              <w:left w:val="nil"/>
              <w:bottom w:val="single" w:sz="4" w:space="0" w:color="auto"/>
              <w:right w:val="single" w:sz="4" w:space="0" w:color="auto"/>
            </w:tcBorders>
            <w:shd w:val="clear" w:color="auto" w:fill="C6EFCE"/>
            <w:noWrap/>
            <w:vAlign w:val="center"/>
          </w:tcPr>
          <w:p w14:paraId="0F239ED3" w14:textId="77777777" w:rsidR="00235E11" w:rsidRDefault="00235E11">
            <w:pPr>
              <w:spacing w:after="0"/>
              <w:rPr>
                <w:rFonts w:ascii="Times New Roman" w:hAnsi="Times New Roman" w:cs="Times New Roman"/>
                <w:noProof/>
                <w:color w:val="006100"/>
              </w:rPr>
            </w:pPr>
          </w:p>
        </w:tc>
        <w:tc>
          <w:tcPr>
            <w:tcW w:w="1114" w:type="dxa"/>
            <w:tcBorders>
              <w:top w:val="nil"/>
              <w:left w:val="nil"/>
              <w:bottom w:val="single" w:sz="4" w:space="0" w:color="auto"/>
              <w:right w:val="single" w:sz="4" w:space="0" w:color="auto"/>
            </w:tcBorders>
            <w:shd w:val="clear" w:color="auto" w:fill="C6EFCE"/>
            <w:noWrap/>
            <w:vAlign w:val="center"/>
          </w:tcPr>
          <w:p w14:paraId="6490D0A1" w14:textId="5CA45ACF" w:rsidR="00235E11" w:rsidRDefault="00F837E4">
            <w:pPr>
              <w:pStyle w:val="P68B1DB1-Normal9"/>
              <w:spacing w:after="0"/>
              <w:rPr>
                <w:noProof/>
              </w:rPr>
            </w:pPr>
            <w:r>
              <w:rPr>
                <w:noProof/>
              </w:rPr>
              <w:t>Превозни средства</w:t>
            </w:r>
          </w:p>
        </w:tc>
        <w:tc>
          <w:tcPr>
            <w:tcW w:w="1120" w:type="dxa"/>
            <w:tcBorders>
              <w:top w:val="nil"/>
              <w:left w:val="nil"/>
              <w:bottom w:val="single" w:sz="4" w:space="0" w:color="auto"/>
              <w:right w:val="single" w:sz="4" w:space="0" w:color="auto"/>
            </w:tcBorders>
            <w:shd w:val="clear" w:color="auto" w:fill="C6EFCE"/>
            <w:noWrap/>
            <w:vAlign w:val="center"/>
          </w:tcPr>
          <w:p w14:paraId="22A0915F" w14:textId="283C9E87" w:rsidR="00235E11" w:rsidRDefault="00F837E4">
            <w:pPr>
              <w:pStyle w:val="P68B1DB1-Normal9"/>
              <w:spacing w:after="0"/>
              <w:jc w:val="right"/>
              <w:rPr>
                <w:noProof/>
              </w:rPr>
            </w:pPr>
            <w:r>
              <w:rPr>
                <w:noProof/>
              </w:rPr>
              <w:t>342</w:t>
            </w:r>
          </w:p>
        </w:tc>
        <w:tc>
          <w:tcPr>
            <w:tcW w:w="850" w:type="dxa"/>
            <w:tcBorders>
              <w:top w:val="nil"/>
              <w:left w:val="nil"/>
              <w:bottom w:val="single" w:sz="4" w:space="0" w:color="auto"/>
              <w:right w:val="single" w:sz="4" w:space="0" w:color="auto"/>
            </w:tcBorders>
            <w:shd w:val="clear" w:color="auto" w:fill="C6EFCE"/>
            <w:noWrap/>
            <w:vAlign w:val="center"/>
          </w:tcPr>
          <w:p w14:paraId="04F5BE09" w14:textId="389A6707" w:rsidR="00235E11" w:rsidRDefault="00F837E4">
            <w:pPr>
              <w:pStyle w:val="P68B1DB1-Normal9"/>
              <w:spacing w:after="0"/>
              <w:jc w:val="right"/>
              <w:rPr>
                <w:noProof/>
              </w:rPr>
            </w:pPr>
            <w:r>
              <w:rPr>
                <w:noProof/>
              </w:rPr>
              <w:t>355</w:t>
            </w:r>
          </w:p>
        </w:tc>
        <w:tc>
          <w:tcPr>
            <w:tcW w:w="851" w:type="dxa"/>
            <w:tcBorders>
              <w:top w:val="nil"/>
              <w:left w:val="nil"/>
              <w:bottom w:val="single" w:sz="4" w:space="0" w:color="auto"/>
              <w:right w:val="single" w:sz="4" w:space="0" w:color="auto"/>
            </w:tcBorders>
            <w:shd w:val="clear" w:color="auto" w:fill="C6EFCE"/>
            <w:noWrap/>
            <w:vAlign w:val="center"/>
          </w:tcPr>
          <w:p w14:paraId="62880E8C" w14:textId="166F440C" w:rsidR="00235E11" w:rsidRDefault="00F837E4">
            <w:pPr>
              <w:pStyle w:val="P68B1DB1-Normal9"/>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18A3024E" w14:textId="4592454B" w:rsidR="00235E11" w:rsidRDefault="00F837E4">
            <w:pPr>
              <w:pStyle w:val="P68B1DB1-Normal9"/>
              <w:spacing w:after="0"/>
              <w:jc w:val="center"/>
              <w:rPr>
                <w:noProof/>
              </w:rPr>
            </w:pPr>
            <w:r>
              <w:rPr>
                <w:noProof/>
              </w:rPr>
              <w:t>2026</w:t>
            </w:r>
          </w:p>
        </w:tc>
        <w:tc>
          <w:tcPr>
            <w:tcW w:w="4365" w:type="dxa"/>
            <w:tcBorders>
              <w:top w:val="nil"/>
              <w:left w:val="single" w:sz="4" w:space="0" w:color="auto"/>
              <w:bottom w:val="single" w:sz="4" w:space="0" w:color="auto"/>
              <w:right w:val="single" w:sz="4" w:space="0" w:color="auto"/>
            </w:tcBorders>
            <w:shd w:val="clear" w:color="auto" w:fill="C6EFCE"/>
            <w:noWrap/>
            <w:vAlign w:val="center"/>
          </w:tcPr>
          <w:p w14:paraId="17792C49" w14:textId="77777777" w:rsidR="00235E11" w:rsidRDefault="00F837E4">
            <w:pPr>
              <w:pStyle w:val="P68B1DB1-Normal25"/>
              <w:spacing w:after="0" w:line="240" w:lineRule="auto"/>
              <w:rPr>
                <w:noProof/>
              </w:rPr>
            </w:pPr>
            <w:r>
              <w:rPr>
                <w:noProof/>
              </w:rPr>
              <w:t>Екологизиране на автобусния парк — WAL</w:t>
            </w:r>
          </w:p>
          <w:p w14:paraId="1EA49E6D" w14:textId="77777777" w:rsidR="00235E11" w:rsidRDefault="00F837E4">
            <w:pPr>
              <w:pStyle w:val="P68B1DB1-ListParagraph24"/>
              <w:numPr>
                <w:ilvl w:val="0"/>
                <w:numId w:val="26"/>
              </w:numPr>
              <w:spacing w:after="0" w:line="240" w:lineRule="auto"/>
              <w:ind w:left="527" w:hanging="357"/>
              <w:rPr>
                <w:noProof/>
              </w:rPr>
            </w:pPr>
            <w:r>
              <w:rPr>
                <w:noProof/>
              </w:rPr>
              <w:t>Доставка на 13 двусъчленени изцяло електрически автобуса</w:t>
            </w:r>
          </w:p>
          <w:p w14:paraId="2C5E6E07" w14:textId="64524BF2" w:rsidR="00235E11" w:rsidRDefault="00F837E4">
            <w:pPr>
              <w:pStyle w:val="P68B1DB1-ListParagraph24"/>
              <w:numPr>
                <w:ilvl w:val="0"/>
                <w:numId w:val="26"/>
              </w:numPr>
              <w:spacing w:after="0" w:line="240" w:lineRule="auto"/>
              <w:ind w:left="527" w:hanging="357"/>
              <w:rPr>
                <w:noProof/>
              </w:rPr>
            </w:pPr>
            <w:r>
              <w:rPr>
                <w:noProof/>
              </w:rPr>
              <w:t>Инсталиране на 32 „бавни“ зарядни станции и 2 „станции за бързо зареждане (една в автобусното депо, друга в терминална линия)</w:t>
            </w:r>
          </w:p>
          <w:p w14:paraId="3DAFBF63" w14:textId="23717268" w:rsidR="00235E11" w:rsidRDefault="00F837E4">
            <w:pPr>
              <w:pStyle w:val="P68B1DB1-ListParagraph24"/>
              <w:numPr>
                <w:ilvl w:val="0"/>
                <w:numId w:val="26"/>
              </w:numPr>
              <w:spacing w:after="0" w:line="240" w:lineRule="auto"/>
              <w:ind w:left="527" w:hanging="357"/>
              <w:rPr>
                <w:noProof/>
              </w:rPr>
            </w:pPr>
            <w:r>
              <w:rPr>
                <w:noProof/>
              </w:rPr>
              <w:t>Автобусният склад е в експлоатация.</w:t>
            </w:r>
          </w:p>
          <w:p w14:paraId="409C1DF6" w14:textId="77777777" w:rsidR="00235E11" w:rsidRDefault="00235E11">
            <w:pPr>
              <w:spacing w:after="0"/>
              <w:rPr>
                <w:rFonts w:ascii="Times New Roman" w:hAnsi="Times New Roman" w:cs="Times New Roman"/>
                <w:noProof/>
                <w:color w:val="006100"/>
              </w:rPr>
            </w:pPr>
          </w:p>
        </w:tc>
      </w:tr>
      <w:tr w:rsidR="00235E11" w14:paraId="6DD8C654" w14:textId="77777777">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44113EA5" w14:textId="77777777" w:rsidR="00235E11" w:rsidRDefault="00F837E4">
            <w:pPr>
              <w:pStyle w:val="P68B1DB1-Normal10"/>
              <w:spacing w:after="0"/>
              <w:jc w:val="center"/>
              <w:rPr>
                <w:noProof/>
              </w:rPr>
            </w:pPr>
            <w:r>
              <w:rPr>
                <w:noProof/>
              </w:rPr>
              <w:t>116</w:t>
            </w:r>
          </w:p>
        </w:tc>
        <w:tc>
          <w:tcPr>
            <w:tcW w:w="1418" w:type="dxa"/>
            <w:tcBorders>
              <w:top w:val="nil"/>
              <w:left w:val="single" w:sz="4" w:space="0" w:color="auto"/>
              <w:bottom w:val="single" w:sz="4" w:space="0" w:color="auto"/>
              <w:right w:val="single" w:sz="4" w:space="0" w:color="auto"/>
            </w:tcBorders>
            <w:shd w:val="clear" w:color="auto" w:fill="C6EFCE"/>
            <w:noWrap/>
            <w:vAlign w:val="center"/>
            <w:hideMark/>
          </w:tcPr>
          <w:p w14:paraId="649D0DA4" w14:textId="77777777" w:rsidR="00235E11" w:rsidRDefault="00F837E4">
            <w:pPr>
              <w:pStyle w:val="P68B1DB1-Normal9"/>
              <w:spacing w:after="0"/>
              <w:rPr>
                <w:rFonts w:eastAsia="Times New Roman"/>
                <w:noProof/>
              </w:rPr>
            </w:pPr>
            <w:r>
              <w:rPr>
                <w:noProof/>
              </w:rPr>
              <w:t>Стимулиране на транспорта с нулеви емисии — СЛА (R-3.06)</w:t>
            </w:r>
          </w:p>
        </w:tc>
        <w:tc>
          <w:tcPr>
            <w:tcW w:w="1134" w:type="dxa"/>
            <w:tcBorders>
              <w:top w:val="nil"/>
              <w:left w:val="nil"/>
              <w:bottom w:val="single" w:sz="4" w:space="0" w:color="auto"/>
              <w:right w:val="single" w:sz="4" w:space="0" w:color="auto"/>
            </w:tcBorders>
            <w:shd w:val="clear" w:color="auto" w:fill="C6EFCE"/>
            <w:noWrap/>
            <w:vAlign w:val="center"/>
            <w:hideMark/>
          </w:tcPr>
          <w:p w14:paraId="78213447" w14:textId="21029F11" w:rsidR="00235E11" w:rsidRDefault="00F837E4">
            <w:pPr>
              <w:pStyle w:val="P68B1DB1-Normal9"/>
              <w:spacing w:after="0"/>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2CDF709F" w14:textId="77777777" w:rsidR="00235E11" w:rsidRDefault="00F837E4">
            <w:pPr>
              <w:pStyle w:val="P68B1DB1-Normal9"/>
              <w:spacing w:after="0"/>
              <w:rPr>
                <w:rFonts w:eastAsia="Times New Roman"/>
                <w:noProof/>
              </w:rPr>
            </w:pPr>
            <w:r>
              <w:rPr>
                <w:noProof/>
              </w:rPr>
              <w:t>Приемане на рамка за разгръщането на инфраструктура за зареждане във Фламандския регион</w:t>
            </w:r>
          </w:p>
        </w:tc>
        <w:tc>
          <w:tcPr>
            <w:tcW w:w="1310" w:type="dxa"/>
            <w:tcBorders>
              <w:top w:val="nil"/>
              <w:left w:val="nil"/>
              <w:bottom w:val="single" w:sz="4" w:space="0" w:color="auto"/>
              <w:right w:val="single" w:sz="4" w:space="0" w:color="auto"/>
            </w:tcBorders>
            <w:shd w:val="clear" w:color="auto" w:fill="C6EFCE"/>
            <w:noWrap/>
            <w:vAlign w:val="center"/>
            <w:hideMark/>
          </w:tcPr>
          <w:p w14:paraId="12F03BBC" w14:textId="77777777" w:rsidR="00235E11" w:rsidRDefault="00F837E4">
            <w:pPr>
              <w:pStyle w:val="P68B1DB1-Normal9"/>
              <w:spacing w:after="0"/>
              <w:rPr>
                <w:rFonts w:eastAsia="Times New Roman"/>
                <w:noProof/>
              </w:rPr>
            </w:pPr>
            <w:r>
              <w:rPr>
                <w:noProof/>
              </w:rPr>
              <w:t>Приемане на рамката</w:t>
            </w:r>
          </w:p>
        </w:tc>
        <w:tc>
          <w:tcPr>
            <w:tcW w:w="1114" w:type="dxa"/>
            <w:tcBorders>
              <w:top w:val="nil"/>
              <w:left w:val="nil"/>
              <w:bottom w:val="single" w:sz="4" w:space="0" w:color="auto"/>
              <w:right w:val="single" w:sz="4" w:space="0" w:color="auto"/>
            </w:tcBorders>
            <w:shd w:val="clear" w:color="auto" w:fill="C6EFCE"/>
            <w:noWrap/>
            <w:vAlign w:val="center"/>
            <w:hideMark/>
          </w:tcPr>
          <w:p w14:paraId="25306913" w14:textId="361C272C" w:rsidR="00235E11" w:rsidRDefault="00235E11">
            <w:pPr>
              <w:spacing w:after="0"/>
              <w:rPr>
                <w:rFonts w:ascii="Times New Roman" w:eastAsia="Times New Roman" w:hAnsi="Times New Roman" w:cs="Times New Roman"/>
                <w:noProof/>
                <w:color w:val="006100"/>
              </w:rPr>
            </w:pPr>
          </w:p>
        </w:tc>
        <w:tc>
          <w:tcPr>
            <w:tcW w:w="1120" w:type="dxa"/>
            <w:tcBorders>
              <w:top w:val="nil"/>
              <w:left w:val="nil"/>
              <w:bottom w:val="single" w:sz="4" w:space="0" w:color="auto"/>
              <w:right w:val="single" w:sz="4" w:space="0" w:color="auto"/>
            </w:tcBorders>
            <w:shd w:val="clear" w:color="auto" w:fill="C6EFCE"/>
            <w:noWrap/>
            <w:vAlign w:val="center"/>
            <w:hideMark/>
          </w:tcPr>
          <w:p w14:paraId="4D3BC635" w14:textId="291739CF"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hideMark/>
          </w:tcPr>
          <w:p w14:paraId="092FC3F6" w14:textId="6F97138F"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hideMark/>
          </w:tcPr>
          <w:p w14:paraId="087D6CA4"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4EBD92DD" w14:textId="77777777" w:rsidR="00235E11" w:rsidRDefault="00F837E4">
            <w:pPr>
              <w:pStyle w:val="P68B1DB1-Normal9"/>
              <w:spacing w:after="0"/>
              <w:jc w:val="center"/>
              <w:rPr>
                <w:rFonts w:eastAsia="Times New Roman"/>
                <w:noProof/>
              </w:rPr>
            </w:pPr>
            <w:r>
              <w:rPr>
                <w:noProof/>
              </w:rPr>
              <w:t>2021</w:t>
            </w:r>
          </w:p>
        </w:tc>
        <w:tc>
          <w:tcPr>
            <w:tcW w:w="4365" w:type="dxa"/>
            <w:tcBorders>
              <w:top w:val="nil"/>
              <w:left w:val="single" w:sz="4" w:space="0" w:color="000000" w:themeColor="text1"/>
              <w:bottom w:val="single" w:sz="4" w:space="0" w:color="000000" w:themeColor="text1"/>
              <w:right w:val="single" w:sz="4" w:space="0" w:color="000000" w:themeColor="text1"/>
            </w:tcBorders>
            <w:shd w:val="clear" w:color="auto" w:fill="C6EFCE"/>
            <w:noWrap/>
            <w:vAlign w:val="center"/>
            <w:hideMark/>
          </w:tcPr>
          <w:p w14:paraId="59B80678" w14:textId="77777777" w:rsidR="00235E11" w:rsidRDefault="00F837E4">
            <w:pPr>
              <w:pStyle w:val="P68B1DB1-Normal9"/>
              <w:spacing w:after="0"/>
              <w:rPr>
                <w:noProof/>
              </w:rPr>
            </w:pPr>
            <w:r>
              <w:rPr>
                <w:noProof/>
              </w:rPr>
              <w:t>Приемане на политическа рамка за разгръщането на инфраструктура за зареждане във Фламандския регион. Рамката на политиката дава възможност за:</w:t>
            </w:r>
          </w:p>
          <w:p w14:paraId="03DD0FCD" w14:textId="77777777" w:rsidR="00235E11" w:rsidRDefault="00F837E4">
            <w:pPr>
              <w:pStyle w:val="P68B1DB1-Normal9"/>
              <w:spacing w:after="0"/>
              <w:rPr>
                <w:noProof/>
              </w:rPr>
            </w:pPr>
            <w:r>
              <w:rPr>
                <w:noProof/>
              </w:rPr>
              <w:t>картографиране на бъдещите зарядни точки</w:t>
            </w:r>
          </w:p>
          <w:p w14:paraId="52B3D5A8" w14:textId="77777777" w:rsidR="00235E11" w:rsidRDefault="00F837E4">
            <w:pPr>
              <w:pStyle w:val="P68B1DB1-Normal9"/>
              <w:spacing w:after="0"/>
              <w:rPr>
                <w:noProof/>
              </w:rPr>
            </w:pPr>
            <w:r>
              <w:rPr>
                <w:noProof/>
              </w:rPr>
              <w:t>обявяване на търгове за концесия за зарядни точки, които са обществено достояние</w:t>
            </w:r>
          </w:p>
          <w:p w14:paraId="581871FC" w14:textId="77777777" w:rsidR="00235E11" w:rsidRDefault="00F837E4">
            <w:pPr>
              <w:pStyle w:val="P68B1DB1-Normal9"/>
              <w:spacing w:after="0"/>
              <w:rPr>
                <w:noProof/>
              </w:rPr>
            </w:pPr>
            <w:r>
              <w:rPr>
                <w:noProof/>
              </w:rPr>
              <w:t>стимулиране на разгръщането на (полу) публични зарядни точки в частна собственост</w:t>
            </w:r>
          </w:p>
          <w:p w14:paraId="3CD9B63A" w14:textId="77777777" w:rsidR="00235E11" w:rsidRDefault="00F837E4">
            <w:pPr>
              <w:pStyle w:val="P68B1DB1-Normal9"/>
              <w:spacing w:after="0"/>
              <w:rPr>
                <w:noProof/>
              </w:rPr>
            </w:pPr>
            <w:r>
              <w:rPr>
                <w:noProof/>
              </w:rPr>
              <w:t>съкращаване на времето за инсталиране на зарядни точки чрез намаляване на административната тежест</w:t>
            </w:r>
          </w:p>
          <w:p w14:paraId="07309535" w14:textId="77777777" w:rsidR="00235E11" w:rsidRDefault="00F837E4">
            <w:pPr>
              <w:pStyle w:val="P68B1DB1-Normal9"/>
              <w:spacing w:after="0"/>
              <w:rPr>
                <w:noProof/>
              </w:rPr>
            </w:pPr>
            <w:r>
              <w:rPr>
                <w:noProof/>
              </w:rPr>
              <w:t>стимулиране на интелигентното зареждане на електроенергия</w:t>
            </w:r>
          </w:p>
        </w:tc>
      </w:tr>
      <w:tr w:rsidR="00235E11" w14:paraId="7DE25BBD" w14:textId="77777777">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303D6792" w14:textId="77777777" w:rsidR="00235E11" w:rsidRDefault="00F837E4">
            <w:pPr>
              <w:pStyle w:val="P68B1DB1-Normal10"/>
              <w:spacing w:after="0"/>
              <w:jc w:val="center"/>
              <w:rPr>
                <w:noProof/>
              </w:rPr>
            </w:pPr>
            <w:r>
              <w:rPr>
                <w:noProof/>
              </w:rPr>
              <w:t>117</w:t>
            </w:r>
          </w:p>
        </w:tc>
        <w:tc>
          <w:tcPr>
            <w:tcW w:w="1418" w:type="dxa"/>
            <w:tcBorders>
              <w:top w:val="nil"/>
              <w:left w:val="single" w:sz="4" w:space="0" w:color="auto"/>
              <w:bottom w:val="single" w:sz="4" w:space="0" w:color="auto"/>
              <w:right w:val="single" w:sz="4" w:space="0" w:color="auto"/>
            </w:tcBorders>
            <w:shd w:val="clear" w:color="auto" w:fill="C6EFCE"/>
            <w:noWrap/>
            <w:vAlign w:val="center"/>
            <w:hideMark/>
          </w:tcPr>
          <w:p w14:paraId="3EBB2AF9" w14:textId="77777777" w:rsidR="00235E11" w:rsidRDefault="00F837E4">
            <w:pPr>
              <w:pStyle w:val="P68B1DB1-Normal9"/>
              <w:spacing w:after="0"/>
              <w:rPr>
                <w:rFonts w:eastAsia="Times New Roman"/>
                <w:noProof/>
              </w:rPr>
            </w:pPr>
            <w:r>
              <w:rPr>
                <w:noProof/>
              </w:rPr>
              <w:t>Станции за зареждане — VLA (I-3.19)</w:t>
            </w:r>
          </w:p>
        </w:tc>
        <w:tc>
          <w:tcPr>
            <w:tcW w:w="1134" w:type="dxa"/>
            <w:tcBorders>
              <w:top w:val="nil"/>
              <w:left w:val="nil"/>
              <w:bottom w:val="single" w:sz="4" w:space="0" w:color="auto"/>
              <w:right w:val="single" w:sz="4" w:space="0" w:color="auto"/>
            </w:tcBorders>
            <w:shd w:val="clear" w:color="auto" w:fill="C6EFCE"/>
            <w:noWrap/>
            <w:vAlign w:val="center"/>
            <w:hideMark/>
          </w:tcPr>
          <w:p w14:paraId="2D6C719E" w14:textId="44FC5C80" w:rsidR="00235E11" w:rsidRDefault="00F837E4">
            <w:pPr>
              <w:pStyle w:val="P68B1DB1-Normal9"/>
              <w:spacing w:after="0"/>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344F881A" w14:textId="77777777" w:rsidR="00235E11" w:rsidRDefault="00F837E4">
            <w:pPr>
              <w:pStyle w:val="P68B1DB1-Normal9"/>
              <w:spacing w:after="0"/>
              <w:rPr>
                <w:rFonts w:eastAsia="Times New Roman"/>
                <w:noProof/>
              </w:rPr>
            </w:pPr>
            <w:r>
              <w:rPr>
                <w:noProof/>
              </w:rPr>
              <w:t>Възлагане на концесии за инфраструктура за зареждане</w:t>
            </w:r>
          </w:p>
        </w:tc>
        <w:tc>
          <w:tcPr>
            <w:tcW w:w="1310" w:type="dxa"/>
            <w:tcBorders>
              <w:top w:val="nil"/>
              <w:left w:val="nil"/>
              <w:bottom w:val="single" w:sz="4" w:space="0" w:color="auto"/>
              <w:right w:val="single" w:sz="4" w:space="0" w:color="auto"/>
            </w:tcBorders>
            <w:shd w:val="clear" w:color="auto" w:fill="C6EFCE"/>
            <w:noWrap/>
            <w:vAlign w:val="center"/>
            <w:hideMark/>
          </w:tcPr>
          <w:p w14:paraId="6A250EC8" w14:textId="77777777" w:rsidR="00235E11" w:rsidRDefault="00F837E4">
            <w:pPr>
              <w:pStyle w:val="P68B1DB1-Normal9"/>
              <w:spacing w:after="0"/>
              <w:rPr>
                <w:rFonts w:eastAsia="Times New Roman"/>
                <w:noProof/>
              </w:rPr>
            </w:pPr>
            <w:r>
              <w:rPr>
                <w:noProof/>
              </w:rPr>
              <w:t>Писмено уведомление за възлагане на обществена поръчка на успелите кандидати</w:t>
            </w:r>
          </w:p>
        </w:tc>
        <w:tc>
          <w:tcPr>
            <w:tcW w:w="1114" w:type="dxa"/>
            <w:tcBorders>
              <w:top w:val="nil"/>
              <w:left w:val="nil"/>
              <w:bottom w:val="single" w:sz="4" w:space="0" w:color="auto"/>
              <w:right w:val="single" w:sz="4" w:space="0" w:color="auto"/>
            </w:tcBorders>
            <w:shd w:val="clear" w:color="auto" w:fill="C6EFCE"/>
            <w:noWrap/>
            <w:vAlign w:val="center"/>
            <w:hideMark/>
          </w:tcPr>
          <w:p w14:paraId="2AB4F77C" w14:textId="34960BBE" w:rsidR="00235E11" w:rsidRDefault="00235E11">
            <w:pPr>
              <w:spacing w:after="0"/>
              <w:rPr>
                <w:rFonts w:ascii="Times New Roman" w:eastAsia="Times New Roman" w:hAnsi="Times New Roman" w:cs="Times New Roman"/>
                <w:noProof/>
                <w:color w:val="006100"/>
              </w:rPr>
            </w:pPr>
          </w:p>
        </w:tc>
        <w:tc>
          <w:tcPr>
            <w:tcW w:w="1120" w:type="dxa"/>
            <w:tcBorders>
              <w:top w:val="nil"/>
              <w:left w:val="nil"/>
              <w:bottom w:val="single" w:sz="4" w:space="0" w:color="auto"/>
              <w:right w:val="single" w:sz="4" w:space="0" w:color="auto"/>
            </w:tcBorders>
            <w:shd w:val="clear" w:color="auto" w:fill="C6EFCE"/>
            <w:noWrap/>
            <w:vAlign w:val="center"/>
            <w:hideMark/>
          </w:tcPr>
          <w:p w14:paraId="7B8707F1" w14:textId="5946CAB7"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hideMark/>
          </w:tcPr>
          <w:p w14:paraId="064895BA" w14:textId="771A539E"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hideMark/>
          </w:tcPr>
          <w:p w14:paraId="29A4A6B6"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2C9C590D" w14:textId="77777777" w:rsidR="00235E11" w:rsidRDefault="00F837E4">
            <w:pPr>
              <w:pStyle w:val="P68B1DB1-Normal9"/>
              <w:spacing w:after="0"/>
              <w:jc w:val="center"/>
              <w:rPr>
                <w:rFonts w:eastAsia="Times New Roman"/>
                <w:noProof/>
              </w:rPr>
            </w:pPr>
            <w:r>
              <w:rPr>
                <w:noProof/>
              </w:rPr>
              <w:t>2022</w:t>
            </w:r>
          </w:p>
        </w:tc>
        <w:tc>
          <w:tcPr>
            <w:tcW w:w="4365" w:type="dxa"/>
            <w:tcBorders>
              <w:top w:val="nil"/>
              <w:left w:val="single" w:sz="4" w:space="0" w:color="auto"/>
              <w:bottom w:val="single" w:sz="4" w:space="0" w:color="auto"/>
              <w:right w:val="single" w:sz="4" w:space="0" w:color="auto"/>
            </w:tcBorders>
            <w:shd w:val="clear" w:color="auto" w:fill="C6EFCE"/>
            <w:noWrap/>
            <w:vAlign w:val="center"/>
            <w:hideMark/>
          </w:tcPr>
          <w:p w14:paraId="051125C3" w14:textId="77777777" w:rsidR="00235E11" w:rsidRDefault="00F837E4">
            <w:pPr>
              <w:pStyle w:val="P68B1DB1-Normal9"/>
              <w:spacing w:after="0"/>
              <w:rPr>
                <w:rFonts w:eastAsia="Times New Roman"/>
                <w:noProof/>
              </w:rPr>
            </w:pPr>
            <w:r>
              <w:rPr>
                <w:noProof/>
              </w:rPr>
              <w:t>Възлагане на концесии за инфраструктура за зареждане. Рамката за разгръщането на публична инфраструктура за зареждане е осигурена чрез концесии, възложени от фламандското правителство, докато разгръщането е оставено на частните оператори.</w:t>
            </w:r>
          </w:p>
        </w:tc>
      </w:tr>
      <w:tr w:rsidR="00235E11" w14:paraId="3083101C" w14:textId="77777777">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6FE660D0" w14:textId="77777777" w:rsidR="00235E11" w:rsidRDefault="00F837E4">
            <w:pPr>
              <w:pStyle w:val="P68B1DB1-Normal10"/>
              <w:spacing w:after="0"/>
              <w:jc w:val="center"/>
              <w:rPr>
                <w:noProof/>
              </w:rPr>
            </w:pPr>
            <w:r>
              <w:rPr>
                <w:noProof/>
              </w:rPr>
              <w:t>118</w:t>
            </w:r>
          </w:p>
        </w:tc>
        <w:tc>
          <w:tcPr>
            <w:tcW w:w="1418" w:type="dxa"/>
            <w:tcBorders>
              <w:top w:val="nil"/>
              <w:left w:val="single" w:sz="4" w:space="0" w:color="auto"/>
              <w:bottom w:val="single" w:sz="4" w:space="0" w:color="auto"/>
              <w:right w:val="single" w:sz="4" w:space="0" w:color="auto"/>
            </w:tcBorders>
            <w:shd w:val="clear" w:color="auto" w:fill="C6EFCE"/>
            <w:noWrap/>
            <w:vAlign w:val="center"/>
            <w:hideMark/>
          </w:tcPr>
          <w:p w14:paraId="741CEED7" w14:textId="77777777" w:rsidR="00235E11" w:rsidRDefault="00F837E4">
            <w:pPr>
              <w:pStyle w:val="P68B1DB1-Normal9"/>
              <w:spacing w:after="0"/>
              <w:rPr>
                <w:rFonts w:eastAsia="Times New Roman"/>
                <w:noProof/>
              </w:rPr>
            </w:pPr>
            <w:r>
              <w:rPr>
                <w:noProof/>
              </w:rPr>
              <w:t>Станции за зареждане — RBC (R-3.05)</w:t>
            </w:r>
          </w:p>
        </w:tc>
        <w:tc>
          <w:tcPr>
            <w:tcW w:w="1134" w:type="dxa"/>
            <w:tcBorders>
              <w:top w:val="nil"/>
              <w:left w:val="nil"/>
              <w:bottom w:val="single" w:sz="4" w:space="0" w:color="auto"/>
              <w:right w:val="single" w:sz="4" w:space="0" w:color="auto"/>
            </w:tcBorders>
            <w:shd w:val="clear" w:color="auto" w:fill="C6EFCE"/>
            <w:noWrap/>
            <w:vAlign w:val="center"/>
            <w:hideMark/>
          </w:tcPr>
          <w:p w14:paraId="1503A1DF" w14:textId="7EF38101" w:rsidR="00235E11" w:rsidRDefault="00F837E4">
            <w:pPr>
              <w:pStyle w:val="P68B1DB1-Normal9"/>
              <w:spacing w:after="0"/>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4765B3EA" w14:textId="77777777" w:rsidR="00235E11" w:rsidRDefault="00F837E4">
            <w:pPr>
              <w:pStyle w:val="P68B1DB1-Normal9"/>
              <w:spacing w:after="0"/>
              <w:rPr>
                <w:rFonts w:eastAsia="Times New Roman"/>
                <w:noProof/>
              </w:rPr>
            </w:pPr>
            <w:r>
              <w:rPr>
                <w:noProof/>
              </w:rPr>
              <w:t>Приемане на постановление за определяне на стандартите за сигурност и на план за изграждане на инфраструктура</w:t>
            </w:r>
          </w:p>
        </w:tc>
        <w:tc>
          <w:tcPr>
            <w:tcW w:w="1310" w:type="dxa"/>
            <w:tcBorders>
              <w:top w:val="nil"/>
              <w:left w:val="nil"/>
              <w:bottom w:val="single" w:sz="4" w:space="0" w:color="auto"/>
              <w:right w:val="single" w:sz="4" w:space="0" w:color="auto"/>
            </w:tcBorders>
            <w:shd w:val="clear" w:color="auto" w:fill="C6EFCE"/>
            <w:noWrap/>
            <w:vAlign w:val="center"/>
            <w:hideMark/>
          </w:tcPr>
          <w:p w14:paraId="23B3F1EC" w14:textId="77777777" w:rsidR="00235E11" w:rsidRDefault="00F837E4">
            <w:pPr>
              <w:pStyle w:val="P68B1DB1-Normal9"/>
              <w:spacing w:after="0"/>
              <w:rPr>
                <w:rFonts w:eastAsia="Times New Roman"/>
                <w:noProof/>
              </w:rPr>
            </w:pPr>
            <w:r>
              <w:rPr>
                <w:noProof/>
              </w:rPr>
              <w:t>Приемане на указа за определяне на стандартите за сигурност и на план за изграждане на инфраструктура</w:t>
            </w:r>
          </w:p>
        </w:tc>
        <w:tc>
          <w:tcPr>
            <w:tcW w:w="1114" w:type="dxa"/>
            <w:tcBorders>
              <w:top w:val="nil"/>
              <w:left w:val="nil"/>
              <w:bottom w:val="single" w:sz="4" w:space="0" w:color="auto"/>
              <w:right w:val="single" w:sz="4" w:space="0" w:color="auto"/>
            </w:tcBorders>
            <w:shd w:val="clear" w:color="auto" w:fill="C6EFCE"/>
            <w:noWrap/>
            <w:vAlign w:val="center"/>
            <w:hideMark/>
          </w:tcPr>
          <w:p w14:paraId="4954C360" w14:textId="348104CC" w:rsidR="00235E11" w:rsidRDefault="00235E11">
            <w:pPr>
              <w:spacing w:after="0"/>
              <w:rPr>
                <w:rFonts w:ascii="Times New Roman" w:eastAsia="Times New Roman" w:hAnsi="Times New Roman" w:cs="Times New Roman"/>
                <w:noProof/>
                <w:color w:val="006100"/>
              </w:rPr>
            </w:pPr>
          </w:p>
        </w:tc>
        <w:tc>
          <w:tcPr>
            <w:tcW w:w="1120" w:type="dxa"/>
            <w:tcBorders>
              <w:top w:val="nil"/>
              <w:left w:val="nil"/>
              <w:bottom w:val="single" w:sz="4" w:space="0" w:color="auto"/>
              <w:right w:val="single" w:sz="4" w:space="0" w:color="auto"/>
            </w:tcBorders>
            <w:shd w:val="clear" w:color="auto" w:fill="C6EFCE"/>
            <w:noWrap/>
            <w:vAlign w:val="center"/>
            <w:hideMark/>
          </w:tcPr>
          <w:p w14:paraId="53D80F24" w14:textId="2E278BF6"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hideMark/>
          </w:tcPr>
          <w:p w14:paraId="22C9CD0B" w14:textId="15980242"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hideMark/>
          </w:tcPr>
          <w:p w14:paraId="32CBE73A" w14:textId="77777777" w:rsidR="00235E11" w:rsidRDefault="00F837E4">
            <w:pPr>
              <w:pStyle w:val="P68B1DB1-Normal9"/>
              <w:spacing w:after="0"/>
              <w:jc w:val="center"/>
              <w:rPr>
                <w:rFonts w:eastAsia="Times New Roman"/>
                <w:noProof/>
              </w:rPr>
            </w:pPr>
            <w:r>
              <w:rPr>
                <w:noProof/>
              </w:rPr>
              <w:t>Т1 Г.</w:t>
            </w:r>
          </w:p>
        </w:tc>
        <w:tc>
          <w:tcPr>
            <w:tcW w:w="709" w:type="dxa"/>
            <w:tcBorders>
              <w:top w:val="nil"/>
              <w:left w:val="nil"/>
              <w:bottom w:val="single" w:sz="4" w:space="0" w:color="000000" w:themeColor="text1"/>
              <w:right w:val="single" w:sz="4" w:space="0" w:color="000000" w:themeColor="text1"/>
            </w:tcBorders>
            <w:shd w:val="clear" w:color="auto" w:fill="C6EFCE"/>
            <w:noWrap/>
            <w:vAlign w:val="center"/>
            <w:hideMark/>
          </w:tcPr>
          <w:p w14:paraId="537279CE" w14:textId="77777777" w:rsidR="00235E11" w:rsidRDefault="00F837E4">
            <w:pPr>
              <w:pStyle w:val="P68B1DB1-Normal26"/>
              <w:spacing w:after="0"/>
              <w:jc w:val="center"/>
              <w:rPr>
                <w:rFonts w:eastAsia="Times New Roman"/>
                <w:noProof/>
                <w:color w:val="006100"/>
              </w:rPr>
            </w:pPr>
            <w:r>
              <w:rPr>
                <w:noProof/>
              </w:rPr>
              <w:t>2022</w:t>
            </w:r>
          </w:p>
        </w:tc>
        <w:tc>
          <w:tcPr>
            <w:tcW w:w="4365" w:type="dxa"/>
            <w:tcBorders>
              <w:top w:val="nil"/>
              <w:left w:val="single" w:sz="4" w:space="0" w:color="auto"/>
              <w:bottom w:val="single" w:sz="4" w:space="0" w:color="auto"/>
              <w:right w:val="single" w:sz="4" w:space="0" w:color="auto"/>
            </w:tcBorders>
            <w:shd w:val="clear" w:color="auto" w:fill="C6EFCE"/>
            <w:noWrap/>
            <w:vAlign w:val="center"/>
            <w:hideMark/>
          </w:tcPr>
          <w:p w14:paraId="69B7B697" w14:textId="77777777" w:rsidR="00235E11" w:rsidRDefault="00F837E4">
            <w:pPr>
              <w:pStyle w:val="P68B1DB1-Normal9"/>
              <w:spacing w:after="0"/>
              <w:rPr>
                <w:noProof/>
              </w:rPr>
            </w:pPr>
            <w:r>
              <w:rPr>
                <w:noProof/>
              </w:rPr>
              <w:t xml:space="preserve">Приемане на декрет за определяне на стандартите за сигурност, които трябва да се спазват при инсталирането на зарядни точки извън улицата в регион Брюксел-столица, включително минимално съотношение, което да бъде инсталирано на всеки паркинг най-късно до 31 декември 2025 г. И приемане на план за предоставяне на инфраструктура, който включва: </w:t>
            </w:r>
          </w:p>
          <w:p w14:paraId="47E4A821" w14:textId="77777777" w:rsidR="00235E11" w:rsidRDefault="00F837E4">
            <w:pPr>
              <w:pStyle w:val="P68B1DB1-Normal17"/>
              <w:spacing w:after="0"/>
              <w:rPr>
                <w:noProof/>
                <w:color w:val="006100"/>
              </w:rPr>
            </w:pPr>
            <w:r>
              <w:rPr>
                <w:noProof/>
                <w:color w:val="006100"/>
              </w:rPr>
              <w:t>Географско разпределение на обществените зарядни точки, които ще бъдат инсталирани в Брюксел и които впоследствие се актуализират на всеки три години;</w:t>
            </w:r>
            <w:r>
              <w:rPr>
                <w:noProof/>
              </w:rPr>
              <w:br/>
            </w:r>
            <w:r>
              <w:rPr>
                <w:noProof/>
                <w:color w:val="006100"/>
              </w:rPr>
              <w:t>Цел за изграждане на обществени зарядни точки за периода 2022—2024 г.</w:t>
            </w:r>
            <w:r>
              <w:rPr>
                <w:noProof/>
              </w:rPr>
              <w:br/>
              <w:t xml:space="preserve"> </w:t>
            </w:r>
            <w:r>
              <w:rPr>
                <w:noProof/>
                <w:color w:val="006100"/>
              </w:rPr>
              <w:t>План за инсталиране на бързи зарядни устройства в града</w:t>
            </w:r>
            <w:r>
              <w:rPr>
                <w:noProof/>
              </w:rPr>
              <w:br/>
              <w:t xml:space="preserve"> </w:t>
            </w:r>
            <w:r>
              <w:rPr>
                <w:noProof/>
                <w:color w:val="006100"/>
              </w:rPr>
              <w:t>— План за инсталиране на инфраструктура за зареждане извън улицата, обсъден с всички заинтересовани страни (например обществени паркинги, търговия на дребно, жилищен сектор, офис сгради).</w:t>
            </w:r>
          </w:p>
          <w:p w14:paraId="2A12DBB2" w14:textId="77777777" w:rsidR="00235E11" w:rsidRDefault="00F837E4">
            <w:pPr>
              <w:pStyle w:val="P68B1DB1-Normal9"/>
              <w:spacing w:after="0"/>
              <w:rPr>
                <w:noProof/>
              </w:rPr>
            </w:pPr>
            <w:r>
              <w:rPr>
                <w:noProof/>
              </w:rPr>
              <w:t>Този план е в съответствие с Директивата за инфраструктурата за алтернативни горива, редовно се актуализира и гарантира постигането на целта на региона.</w:t>
            </w:r>
          </w:p>
        </w:tc>
      </w:tr>
      <w:tr w:rsidR="00235E11" w14:paraId="44EB4F5C" w14:textId="77777777">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0DD0D9" w14:textId="77777777" w:rsidR="00235E11" w:rsidRDefault="00F837E4">
            <w:pPr>
              <w:pStyle w:val="P68B1DB1-Normal10"/>
              <w:spacing w:after="0"/>
              <w:jc w:val="center"/>
              <w:rPr>
                <w:noProof/>
              </w:rPr>
            </w:pPr>
            <w:r>
              <w:rPr>
                <w:noProof/>
              </w:rPr>
              <w:t>119</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4011E408" w14:textId="77777777" w:rsidR="00235E11" w:rsidRDefault="00F837E4">
            <w:pPr>
              <w:pStyle w:val="P68B1DB1-Normal9"/>
              <w:spacing w:after="0"/>
              <w:rPr>
                <w:noProof/>
              </w:rPr>
            </w:pPr>
            <w:r>
              <w:rPr>
                <w:noProof/>
              </w:rPr>
              <w:t>Станции за зареждане — WAL (R-3.04)</w:t>
            </w:r>
          </w:p>
        </w:tc>
        <w:tc>
          <w:tcPr>
            <w:tcW w:w="1134" w:type="dxa"/>
            <w:tcBorders>
              <w:top w:val="nil"/>
              <w:left w:val="nil"/>
              <w:bottom w:val="single" w:sz="4" w:space="0" w:color="auto"/>
              <w:right w:val="single" w:sz="4" w:space="0" w:color="auto"/>
            </w:tcBorders>
            <w:shd w:val="clear" w:color="auto" w:fill="C6EFCE"/>
            <w:noWrap/>
            <w:vAlign w:val="center"/>
          </w:tcPr>
          <w:p w14:paraId="0965E086" w14:textId="45A3E833" w:rsidR="00235E11" w:rsidRDefault="00F837E4">
            <w:pPr>
              <w:pStyle w:val="P68B1DB1-Normal9"/>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24633173" w14:textId="77777777" w:rsidR="00235E11" w:rsidRDefault="00F837E4">
            <w:pPr>
              <w:pStyle w:val="P68B1DB1-Normal9"/>
              <w:spacing w:after="0"/>
              <w:rPr>
                <w:noProof/>
              </w:rPr>
            </w:pPr>
            <w:r>
              <w:rPr>
                <w:noProof/>
              </w:rPr>
              <w:t>Приемане на план за разполагане на станции за зареждане с електроенергия</w:t>
            </w:r>
          </w:p>
        </w:tc>
        <w:tc>
          <w:tcPr>
            <w:tcW w:w="1310" w:type="dxa"/>
            <w:tcBorders>
              <w:top w:val="nil"/>
              <w:left w:val="nil"/>
              <w:bottom w:val="single" w:sz="4" w:space="0" w:color="auto"/>
              <w:right w:val="single" w:sz="4" w:space="0" w:color="auto"/>
            </w:tcBorders>
            <w:shd w:val="clear" w:color="auto" w:fill="C6EFCE"/>
            <w:noWrap/>
            <w:vAlign w:val="center"/>
          </w:tcPr>
          <w:p w14:paraId="0C6CC82C" w14:textId="77777777" w:rsidR="00235E11" w:rsidRDefault="00F837E4">
            <w:pPr>
              <w:pStyle w:val="P68B1DB1-Normal9"/>
              <w:spacing w:after="0"/>
              <w:rPr>
                <w:noProof/>
              </w:rPr>
            </w:pPr>
            <w:r>
              <w:rPr>
                <w:noProof/>
              </w:rPr>
              <w:t>Приемане на план за разполагане на станции за зареждане с електроенергия</w:t>
            </w:r>
          </w:p>
        </w:tc>
        <w:tc>
          <w:tcPr>
            <w:tcW w:w="1114" w:type="dxa"/>
            <w:tcBorders>
              <w:top w:val="nil"/>
              <w:left w:val="nil"/>
              <w:bottom w:val="single" w:sz="4" w:space="0" w:color="auto"/>
              <w:right w:val="single" w:sz="4" w:space="0" w:color="auto"/>
            </w:tcBorders>
            <w:shd w:val="clear" w:color="auto" w:fill="C6EFCE"/>
            <w:noWrap/>
            <w:vAlign w:val="center"/>
          </w:tcPr>
          <w:p w14:paraId="4447E6B9" w14:textId="77777777" w:rsidR="00235E11" w:rsidRDefault="00235E11">
            <w:pPr>
              <w:spacing w:after="0"/>
              <w:rPr>
                <w:rFonts w:ascii="Times New Roman" w:hAnsi="Times New Roman" w:cs="Times New Roman"/>
                <w:noProof/>
                <w:color w:val="006100"/>
              </w:rPr>
            </w:pPr>
          </w:p>
        </w:tc>
        <w:tc>
          <w:tcPr>
            <w:tcW w:w="1120" w:type="dxa"/>
            <w:tcBorders>
              <w:top w:val="nil"/>
              <w:left w:val="nil"/>
              <w:bottom w:val="single" w:sz="4" w:space="0" w:color="auto"/>
              <w:right w:val="single" w:sz="4" w:space="0" w:color="auto"/>
            </w:tcBorders>
            <w:shd w:val="clear" w:color="auto" w:fill="C6EFCE"/>
            <w:noWrap/>
            <w:vAlign w:val="center"/>
          </w:tcPr>
          <w:p w14:paraId="156B1D87" w14:textId="77777777" w:rsidR="00235E11" w:rsidRDefault="00235E11">
            <w:pPr>
              <w:spacing w:after="0"/>
              <w:rPr>
                <w:rFonts w:ascii="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4958811C" w14:textId="77777777" w:rsidR="00235E11" w:rsidRDefault="00235E11">
            <w:pPr>
              <w:spacing w:after="0"/>
              <w:rPr>
                <w:rFonts w:ascii="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635DEA6F" w14:textId="77777777" w:rsidR="00235E11" w:rsidRDefault="00F837E4">
            <w:pPr>
              <w:pStyle w:val="P68B1DB1-Normal9"/>
              <w:spacing w:after="0"/>
              <w:jc w:val="center"/>
              <w:rPr>
                <w:noProof/>
              </w:rPr>
            </w:pPr>
            <w:r>
              <w:rPr>
                <w:noProof/>
              </w:rPr>
              <w:t>Т3 Г.</w:t>
            </w:r>
          </w:p>
        </w:tc>
        <w:tc>
          <w:tcPr>
            <w:tcW w:w="709" w:type="dxa"/>
            <w:tcBorders>
              <w:top w:val="nil"/>
              <w:left w:val="nil"/>
              <w:bottom w:val="single" w:sz="4" w:space="0" w:color="auto"/>
              <w:right w:val="single" w:sz="4" w:space="0" w:color="auto"/>
            </w:tcBorders>
            <w:shd w:val="clear" w:color="auto" w:fill="C6EFCE"/>
            <w:noWrap/>
            <w:vAlign w:val="center"/>
          </w:tcPr>
          <w:p w14:paraId="24F7874E" w14:textId="77777777" w:rsidR="00235E11" w:rsidRDefault="00F837E4">
            <w:pPr>
              <w:pStyle w:val="P68B1DB1-Normal9"/>
              <w:spacing w:after="0"/>
              <w:jc w:val="center"/>
              <w:rPr>
                <w:noProof/>
              </w:rPr>
            </w:pPr>
            <w:r>
              <w:rPr>
                <w:noProof/>
              </w:rPr>
              <w:t>2022</w:t>
            </w:r>
          </w:p>
        </w:tc>
        <w:tc>
          <w:tcPr>
            <w:tcW w:w="4365" w:type="dxa"/>
            <w:tcBorders>
              <w:top w:val="nil"/>
              <w:left w:val="single" w:sz="4" w:space="0" w:color="auto"/>
              <w:bottom w:val="single" w:sz="4" w:space="0" w:color="auto"/>
              <w:right w:val="single" w:sz="4" w:space="0" w:color="auto"/>
            </w:tcBorders>
            <w:shd w:val="clear" w:color="auto" w:fill="C6EFCE"/>
            <w:noWrap/>
            <w:vAlign w:val="center"/>
          </w:tcPr>
          <w:p w14:paraId="470E9327" w14:textId="77777777" w:rsidR="00235E11" w:rsidRDefault="00F837E4">
            <w:pPr>
              <w:pStyle w:val="P68B1DB1-Normal9"/>
              <w:spacing w:after="0"/>
              <w:rPr>
                <w:noProof/>
              </w:rPr>
            </w:pPr>
            <w:r>
              <w:rPr>
                <w:noProof/>
              </w:rPr>
              <w:t>Приемане на план за разполагане на станции за зареждане, който включва:</w:t>
            </w:r>
          </w:p>
          <w:p w14:paraId="15301484" w14:textId="77777777" w:rsidR="00235E11" w:rsidRDefault="00F837E4">
            <w:pPr>
              <w:pStyle w:val="P68B1DB1-Normal9"/>
              <w:spacing w:after="0"/>
              <w:rPr>
                <w:noProof/>
              </w:rPr>
            </w:pPr>
            <w:r>
              <w:rPr>
                <w:noProof/>
              </w:rPr>
              <w:t>Броят на зарядните точки, които трябва да бъдат инсталирани до 31 декември 2026 г.</w:t>
            </w:r>
          </w:p>
          <w:p w14:paraId="708FBB28" w14:textId="77777777" w:rsidR="00235E11" w:rsidRDefault="00F837E4">
            <w:pPr>
              <w:pStyle w:val="P68B1DB1-Normal9"/>
              <w:spacing w:after="0"/>
              <w:rPr>
                <w:noProof/>
              </w:rPr>
            </w:pPr>
            <w:r>
              <w:rPr>
                <w:noProof/>
              </w:rPr>
              <w:t>— Процедурите за разгръщане на инфраструктурата</w:t>
            </w:r>
          </w:p>
          <w:p w14:paraId="550BD801" w14:textId="77777777" w:rsidR="00235E11" w:rsidRDefault="00F837E4">
            <w:pPr>
              <w:pStyle w:val="P68B1DB1-Normal9"/>
              <w:spacing w:after="0"/>
              <w:rPr>
                <w:noProof/>
              </w:rPr>
            </w:pPr>
            <w:r>
              <w:rPr>
                <w:noProof/>
              </w:rPr>
              <w:t>Ad hoc механизми за подкрепа с цел намаляване на административната тежест</w:t>
            </w:r>
          </w:p>
          <w:p w14:paraId="426A7C8C" w14:textId="77777777" w:rsidR="00235E11" w:rsidRDefault="00F837E4">
            <w:pPr>
              <w:pStyle w:val="P68B1DB1-Normal9"/>
              <w:spacing w:after="0"/>
              <w:rPr>
                <w:noProof/>
              </w:rPr>
            </w:pPr>
            <w:r>
              <w:rPr>
                <w:noProof/>
              </w:rPr>
              <w:t>Необходимата основа за обявяване на поканите за участие в търг</w:t>
            </w:r>
          </w:p>
          <w:p w14:paraId="0A38ED11" w14:textId="77777777" w:rsidR="00235E11" w:rsidRDefault="00F837E4">
            <w:pPr>
              <w:pStyle w:val="P68B1DB1-Normal9"/>
              <w:spacing w:after="0"/>
              <w:rPr>
                <w:noProof/>
              </w:rPr>
            </w:pPr>
            <w:r>
              <w:rPr>
                <w:noProof/>
              </w:rPr>
              <w:t>— Целта за броя на обществените зарядни точки (CPE), които трябва да бъдат инсталирани до 2026 г., като се вземе предвид индикативната цел за един CPE за десет електрически превозни средства.</w:t>
            </w:r>
          </w:p>
        </w:tc>
      </w:tr>
      <w:tr w:rsidR="00235E11" w14:paraId="31B1362D" w14:textId="77777777">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506061" w14:textId="77777777" w:rsidR="00235E11" w:rsidRDefault="00F837E4">
            <w:pPr>
              <w:pStyle w:val="P68B1DB1-Normal10"/>
              <w:spacing w:after="0"/>
              <w:jc w:val="center"/>
              <w:rPr>
                <w:noProof/>
              </w:rPr>
            </w:pPr>
            <w:r>
              <w:rPr>
                <w:noProof/>
              </w:rPr>
              <w:t>120</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308E288E" w14:textId="77777777" w:rsidR="00235E11" w:rsidRDefault="00F837E4">
            <w:pPr>
              <w:pStyle w:val="P68B1DB1-Normal9"/>
              <w:spacing w:after="0"/>
              <w:rPr>
                <w:noProof/>
              </w:rPr>
            </w:pPr>
            <w:r>
              <w:rPr>
                <w:noProof/>
              </w:rPr>
              <w:t>Станции за зареждане — FED (I-3.18)</w:t>
            </w:r>
          </w:p>
        </w:tc>
        <w:tc>
          <w:tcPr>
            <w:tcW w:w="1134" w:type="dxa"/>
            <w:tcBorders>
              <w:top w:val="nil"/>
              <w:left w:val="nil"/>
              <w:bottom w:val="single" w:sz="4" w:space="0" w:color="auto"/>
              <w:right w:val="single" w:sz="4" w:space="0" w:color="auto"/>
            </w:tcBorders>
            <w:shd w:val="clear" w:color="auto" w:fill="C6EFCE"/>
            <w:noWrap/>
            <w:vAlign w:val="center"/>
          </w:tcPr>
          <w:p w14:paraId="58B695B8" w14:textId="1B8B58A4" w:rsidR="00235E11" w:rsidRDefault="00F837E4">
            <w:pPr>
              <w:pStyle w:val="P68B1DB1-Normal9"/>
              <w:spacing w:after="0"/>
              <w:rPr>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6F9A8E48" w14:textId="77777777" w:rsidR="00235E11" w:rsidRDefault="00F837E4">
            <w:pPr>
              <w:pStyle w:val="P68B1DB1-Normal9"/>
              <w:spacing w:after="0"/>
              <w:rPr>
                <w:noProof/>
              </w:rPr>
            </w:pPr>
            <w:r>
              <w:rPr>
                <w:noProof/>
              </w:rPr>
              <w:t xml:space="preserve">Приемане на данъчния стимул за изграждане на частни и полупублични зарядни точки </w:t>
            </w:r>
          </w:p>
        </w:tc>
        <w:tc>
          <w:tcPr>
            <w:tcW w:w="1310" w:type="dxa"/>
            <w:tcBorders>
              <w:top w:val="nil"/>
              <w:left w:val="nil"/>
              <w:bottom w:val="single" w:sz="4" w:space="0" w:color="auto"/>
              <w:right w:val="single" w:sz="4" w:space="0" w:color="auto"/>
            </w:tcBorders>
            <w:shd w:val="clear" w:color="auto" w:fill="C6EFCE"/>
            <w:noWrap/>
            <w:vAlign w:val="center"/>
          </w:tcPr>
          <w:p w14:paraId="17514337" w14:textId="2A2EA33A" w:rsidR="00235E11" w:rsidRDefault="00F837E4">
            <w:pPr>
              <w:pStyle w:val="P68B1DB1-Normal9"/>
              <w:spacing w:after="0"/>
              <w:rPr>
                <w:noProof/>
              </w:rPr>
            </w:pPr>
            <w:r>
              <w:rPr>
                <w:noProof/>
              </w:rPr>
              <w:t>Приемане на данъчния стимул</w:t>
            </w:r>
          </w:p>
        </w:tc>
        <w:tc>
          <w:tcPr>
            <w:tcW w:w="1114" w:type="dxa"/>
            <w:tcBorders>
              <w:top w:val="nil"/>
              <w:left w:val="nil"/>
              <w:bottom w:val="single" w:sz="4" w:space="0" w:color="auto"/>
              <w:right w:val="single" w:sz="4" w:space="0" w:color="auto"/>
            </w:tcBorders>
            <w:shd w:val="clear" w:color="auto" w:fill="C6EFCE"/>
            <w:noWrap/>
            <w:vAlign w:val="center"/>
          </w:tcPr>
          <w:p w14:paraId="238C4D8E" w14:textId="6FE6C21F" w:rsidR="00235E11" w:rsidRDefault="00235E11">
            <w:pPr>
              <w:spacing w:after="0"/>
              <w:rPr>
                <w:rFonts w:ascii="Times New Roman" w:hAnsi="Times New Roman" w:cs="Times New Roman"/>
                <w:noProof/>
                <w:color w:val="006100"/>
              </w:rPr>
            </w:pPr>
          </w:p>
        </w:tc>
        <w:tc>
          <w:tcPr>
            <w:tcW w:w="1120" w:type="dxa"/>
            <w:tcBorders>
              <w:top w:val="nil"/>
              <w:left w:val="nil"/>
              <w:bottom w:val="single" w:sz="4" w:space="0" w:color="auto"/>
              <w:right w:val="single" w:sz="4" w:space="0" w:color="auto"/>
            </w:tcBorders>
            <w:shd w:val="clear" w:color="auto" w:fill="C6EFCE"/>
            <w:noWrap/>
            <w:vAlign w:val="center"/>
          </w:tcPr>
          <w:p w14:paraId="5887F961" w14:textId="1B23C197" w:rsidR="00235E11" w:rsidRDefault="00235E11">
            <w:pPr>
              <w:spacing w:after="0"/>
              <w:rPr>
                <w:rFonts w:ascii="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7376F24D" w14:textId="1CA6FCC8" w:rsidR="00235E11" w:rsidRDefault="00235E11">
            <w:pPr>
              <w:spacing w:after="0"/>
              <w:rPr>
                <w:rFonts w:ascii="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353A5BAD" w14:textId="77777777" w:rsidR="00235E11" w:rsidRDefault="00F837E4">
            <w:pPr>
              <w:pStyle w:val="P68B1DB1-Normal9"/>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1ADBBE50" w14:textId="77777777" w:rsidR="00235E11" w:rsidRDefault="00F837E4">
            <w:pPr>
              <w:pStyle w:val="P68B1DB1-Normal9"/>
              <w:spacing w:after="0"/>
              <w:jc w:val="center"/>
              <w:rPr>
                <w:noProof/>
              </w:rPr>
            </w:pPr>
            <w:r>
              <w:rPr>
                <w:noProof/>
              </w:rPr>
              <w:t>2021</w:t>
            </w:r>
          </w:p>
        </w:tc>
        <w:tc>
          <w:tcPr>
            <w:tcW w:w="4365" w:type="dxa"/>
            <w:tcBorders>
              <w:top w:val="nil"/>
              <w:left w:val="single" w:sz="4" w:space="0" w:color="000000" w:themeColor="text1"/>
              <w:bottom w:val="single" w:sz="4" w:space="0" w:color="000000" w:themeColor="text1"/>
              <w:right w:val="single" w:sz="4" w:space="0" w:color="000000" w:themeColor="text1"/>
            </w:tcBorders>
            <w:shd w:val="clear" w:color="auto" w:fill="C6EFCE"/>
            <w:noWrap/>
            <w:vAlign w:val="center"/>
          </w:tcPr>
          <w:p w14:paraId="7B20BAF5" w14:textId="77777777" w:rsidR="00235E11" w:rsidRDefault="00F837E4">
            <w:pPr>
              <w:pStyle w:val="P68B1DB1-Normal9"/>
              <w:spacing w:after="0"/>
              <w:rPr>
                <w:noProof/>
              </w:rPr>
            </w:pPr>
            <w:r>
              <w:rPr>
                <w:noProof/>
              </w:rPr>
              <w:t>Приемане на данъчния стимул за изграждане на частни и полупублични зарядни точки.</w:t>
            </w:r>
          </w:p>
        </w:tc>
      </w:tr>
      <w:tr w:rsidR="00235E11" w14:paraId="1F774374" w14:textId="77777777">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7828D9" w14:textId="77777777" w:rsidR="00235E11" w:rsidRDefault="00F837E4">
            <w:pPr>
              <w:pStyle w:val="P68B1DB1-Normal10"/>
              <w:spacing w:after="0"/>
              <w:jc w:val="center"/>
              <w:rPr>
                <w:noProof/>
              </w:rPr>
            </w:pPr>
            <w:r>
              <w:rPr>
                <w:noProof/>
              </w:rPr>
              <w:t>121</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7AC3F820" w14:textId="77777777" w:rsidR="00235E11" w:rsidRDefault="00F837E4">
            <w:pPr>
              <w:pStyle w:val="P68B1DB1-Normal9"/>
              <w:spacing w:after="0"/>
              <w:rPr>
                <w:rFonts w:eastAsia="Times New Roman"/>
                <w:noProof/>
              </w:rPr>
            </w:pPr>
            <w:r>
              <w:rPr>
                <w:noProof/>
              </w:rPr>
              <w:t>Станции за зареждане (I-3F)</w:t>
            </w:r>
          </w:p>
        </w:tc>
        <w:tc>
          <w:tcPr>
            <w:tcW w:w="1134" w:type="dxa"/>
            <w:tcBorders>
              <w:top w:val="nil"/>
              <w:left w:val="nil"/>
              <w:bottom w:val="single" w:sz="4" w:space="0" w:color="auto"/>
              <w:right w:val="single" w:sz="4" w:space="0" w:color="auto"/>
            </w:tcBorders>
            <w:shd w:val="clear" w:color="auto" w:fill="C6EFCE"/>
            <w:noWrap/>
            <w:vAlign w:val="center"/>
          </w:tcPr>
          <w:p w14:paraId="4B12E806" w14:textId="2D94FA66" w:rsidR="00235E11" w:rsidRDefault="00F837E4">
            <w:pPr>
              <w:pStyle w:val="P68B1DB1-Normal9"/>
              <w:spacing w:after="0"/>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2F5C0686" w14:textId="77777777" w:rsidR="00235E11" w:rsidRDefault="00F837E4">
            <w:pPr>
              <w:pStyle w:val="P68B1DB1-Normal9"/>
              <w:spacing w:after="0"/>
              <w:rPr>
                <w:rFonts w:eastAsia="Times New Roman"/>
                <w:noProof/>
              </w:rPr>
            </w:pPr>
            <w:r>
              <w:rPr>
                <w:noProof/>
              </w:rPr>
              <w:t>Допълнителни оперативни полупублични и обществени зарядни точки (стъпка 1)</w:t>
            </w:r>
          </w:p>
        </w:tc>
        <w:tc>
          <w:tcPr>
            <w:tcW w:w="1310" w:type="dxa"/>
            <w:tcBorders>
              <w:top w:val="nil"/>
              <w:left w:val="nil"/>
              <w:bottom w:val="single" w:sz="4" w:space="0" w:color="auto"/>
              <w:right w:val="single" w:sz="4" w:space="0" w:color="auto"/>
            </w:tcBorders>
            <w:shd w:val="clear" w:color="auto" w:fill="C6EFCE"/>
            <w:noWrap/>
            <w:vAlign w:val="center"/>
          </w:tcPr>
          <w:p w14:paraId="7872FC12" w14:textId="77777777" w:rsidR="00235E11" w:rsidRDefault="00235E11">
            <w:pPr>
              <w:spacing w:after="0"/>
              <w:rPr>
                <w:rFonts w:ascii="Times New Roman" w:hAnsi="Times New Roman" w:cs="Times New Roman"/>
                <w:noProof/>
                <w:color w:val="006100"/>
              </w:rPr>
            </w:pPr>
          </w:p>
        </w:tc>
        <w:tc>
          <w:tcPr>
            <w:tcW w:w="1114" w:type="dxa"/>
            <w:tcBorders>
              <w:top w:val="nil"/>
              <w:left w:val="nil"/>
              <w:bottom w:val="single" w:sz="4" w:space="0" w:color="auto"/>
              <w:right w:val="single" w:sz="4" w:space="0" w:color="auto"/>
            </w:tcBorders>
            <w:shd w:val="clear" w:color="auto" w:fill="C6EFCE"/>
            <w:noWrap/>
            <w:vAlign w:val="center"/>
          </w:tcPr>
          <w:p w14:paraId="6E3D43FC" w14:textId="77777777" w:rsidR="00235E11" w:rsidRDefault="00F837E4">
            <w:pPr>
              <w:pStyle w:val="P68B1DB1-Normal9"/>
              <w:spacing w:after="0"/>
              <w:rPr>
                <w:rFonts w:eastAsia="Times New Roman"/>
                <w:noProof/>
              </w:rPr>
            </w:pPr>
            <w:r>
              <w:rPr>
                <w:noProof/>
              </w:rPr>
              <w:t>Зарядни точки (CPE)</w:t>
            </w:r>
          </w:p>
        </w:tc>
        <w:tc>
          <w:tcPr>
            <w:tcW w:w="1120" w:type="dxa"/>
            <w:tcBorders>
              <w:top w:val="nil"/>
              <w:left w:val="nil"/>
              <w:bottom w:val="single" w:sz="4" w:space="0" w:color="auto"/>
              <w:right w:val="single" w:sz="4" w:space="0" w:color="auto"/>
            </w:tcBorders>
            <w:shd w:val="clear" w:color="auto" w:fill="C6EFCE"/>
            <w:noWrap/>
            <w:vAlign w:val="center"/>
          </w:tcPr>
          <w:p w14:paraId="3F6607B8" w14:textId="77777777" w:rsidR="00235E11" w:rsidRDefault="00F837E4">
            <w:pPr>
              <w:pStyle w:val="P68B1DB1-Normal9"/>
              <w:spacing w:after="0"/>
              <w:rPr>
                <w:rFonts w:eastAsia="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vAlign w:val="center"/>
          </w:tcPr>
          <w:p w14:paraId="4842EA58" w14:textId="7BA2B864" w:rsidR="00235E11" w:rsidRDefault="00F837E4">
            <w:pPr>
              <w:pStyle w:val="P68B1DB1-Normal9"/>
              <w:spacing w:after="0"/>
              <w:rPr>
                <w:rFonts w:eastAsia="Times New Roman"/>
                <w:noProof/>
              </w:rPr>
            </w:pPr>
            <w:r>
              <w:rPr>
                <w:noProof/>
              </w:rPr>
              <w:t>8 460</w:t>
            </w:r>
          </w:p>
        </w:tc>
        <w:tc>
          <w:tcPr>
            <w:tcW w:w="851" w:type="dxa"/>
            <w:tcBorders>
              <w:top w:val="nil"/>
              <w:left w:val="nil"/>
              <w:bottom w:val="single" w:sz="4" w:space="0" w:color="auto"/>
              <w:right w:val="single" w:sz="4" w:space="0" w:color="auto"/>
            </w:tcBorders>
            <w:shd w:val="clear" w:color="auto" w:fill="C6EFCE"/>
            <w:noWrap/>
            <w:vAlign w:val="center"/>
          </w:tcPr>
          <w:p w14:paraId="4A251D44"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0CE097BE" w14:textId="77777777" w:rsidR="00235E11" w:rsidRDefault="00F837E4">
            <w:pPr>
              <w:pStyle w:val="P68B1DB1-Normal9"/>
              <w:spacing w:after="0"/>
              <w:jc w:val="center"/>
              <w:rPr>
                <w:rFonts w:eastAsia="Times New Roman"/>
                <w:noProof/>
              </w:rPr>
            </w:pPr>
            <w:r>
              <w:rPr>
                <w:noProof/>
              </w:rPr>
              <w:t>2023</w:t>
            </w:r>
          </w:p>
        </w:tc>
        <w:tc>
          <w:tcPr>
            <w:tcW w:w="4365" w:type="dxa"/>
            <w:tcBorders>
              <w:top w:val="nil"/>
              <w:left w:val="single" w:sz="4" w:space="0" w:color="auto"/>
              <w:bottom w:val="single" w:sz="4" w:space="0" w:color="auto"/>
              <w:right w:val="single" w:sz="4" w:space="0" w:color="auto"/>
            </w:tcBorders>
            <w:shd w:val="clear" w:color="auto" w:fill="C6EFCE"/>
            <w:noWrap/>
            <w:vAlign w:val="center"/>
          </w:tcPr>
          <w:p w14:paraId="2975F3A9" w14:textId="77777777" w:rsidR="00235E11" w:rsidRDefault="00F837E4">
            <w:pPr>
              <w:pStyle w:val="P68B1DB1-Normal9"/>
              <w:spacing w:after="120" w:line="240" w:lineRule="auto"/>
              <w:rPr>
                <w:noProof/>
              </w:rPr>
            </w:pPr>
            <w:r>
              <w:rPr>
                <w:noProof/>
              </w:rPr>
              <w:t>Да се достигне до допълнителни 8 460 действащи полупублични и обществени зарядни точки (CPE).</w:t>
            </w:r>
          </w:p>
          <w:p w14:paraId="11C4920D" w14:textId="7752FAED" w:rsidR="00235E11" w:rsidRDefault="00F837E4">
            <w:pPr>
              <w:pStyle w:val="P68B1DB1-Normal9"/>
              <w:spacing w:after="120" w:line="240" w:lineRule="auto"/>
              <w:rPr>
                <w:noProof/>
              </w:rPr>
            </w:pPr>
            <w:r>
              <w:rPr>
                <w:noProof/>
              </w:rPr>
              <w:t>Тази цел е разделена индикативно на следните подцели, които не трябва да бъдат постигнати поотделно, при условие че са постигнати горепосочените зарядни точки:</w:t>
            </w:r>
          </w:p>
          <w:p w14:paraId="1C0ED301" w14:textId="01E0292B" w:rsidR="00235E11" w:rsidRDefault="00F837E4">
            <w:pPr>
              <w:pStyle w:val="P68B1DB1-Normal9"/>
              <w:spacing w:after="0" w:line="240" w:lineRule="auto"/>
              <w:rPr>
                <w:noProof/>
              </w:rPr>
            </w:pPr>
            <w:r>
              <w:rPr>
                <w:noProof/>
              </w:rPr>
              <w:t>I) Фламандски регион (във връзка с I-3.19): 8 100 зарядни точки</w:t>
            </w:r>
          </w:p>
          <w:p w14:paraId="3118CCD8" w14:textId="20267DAB" w:rsidR="00235E11" w:rsidRDefault="00F837E4">
            <w:pPr>
              <w:pStyle w:val="P68B1DB1-Normal9"/>
              <w:spacing w:after="0" w:line="240" w:lineRule="auto"/>
              <w:rPr>
                <w:noProof/>
              </w:rPr>
            </w:pPr>
            <w:r>
              <w:rPr>
                <w:noProof/>
              </w:rPr>
              <w:t>II) Регион Брюксел-столица (във връзка с R-3.05): 360 зарядни точки</w:t>
            </w:r>
          </w:p>
        </w:tc>
      </w:tr>
      <w:tr w:rsidR="00235E11" w14:paraId="0C37DE83" w14:textId="77777777">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636978" w14:textId="77777777" w:rsidR="00235E11" w:rsidRDefault="00F837E4">
            <w:pPr>
              <w:pStyle w:val="P68B1DB1-Normal10"/>
              <w:spacing w:after="0"/>
              <w:jc w:val="center"/>
              <w:rPr>
                <w:noProof/>
              </w:rPr>
            </w:pPr>
            <w:r>
              <w:rPr>
                <w:noProof/>
              </w:rPr>
              <w:t>122</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29D20081" w14:textId="77777777" w:rsidR="00235E11" w:rsidRDefault="00F837E4">
            <w:pPr>
              <w:pStyle w:val="P68B1DB1-Normal9"/>
              <w:spacing w:after="0"/>
              <w:rPr>
                <w:rFonts w:eastAsia="Times New Roman"/>
                <w:noProof/>
              </w:rPr>
            </w:pPr>
            <w:r>
              <w:rPr>
                <w:noProof/>
              </w:rPr>
              <w:t>Станции за зареждане (I-3F)</w:t>
            </w:r>
          </w:p>
        </w:tc>
        <w:tc>
          <w:tcPr>
            <w:tcW w:w="1134" w:type="dxa"/>
            <w:tcBorders>
              <w:top w:val="nil"/>
              <w:left w:val="nil"/>
              <w:bottom w:val="single" w:sz="4" w:space="0" w:color="auto"/>
              <w:right w:val="single" w:sz="4" w:space="0" w:color="auto"/>
            </w:tcBorders>
            <w:shd w:val="clear" w:color="auto" w:fill="C6EFCE"/>
            <w:noWrap/>
            <w:vAlign w:val="center"/>
          </w:tcPr>
          <w:p w14:paraId="786A1B84" w14:textId="746B4E63" w:rsidR="00235E11" w:rsidRDefault="00F837E4">
            <w:pPr>
              <w:pStyle w:val="P68B1DB1-Normal9"/>
              <w:spacing w:after="0"/>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19AEA22C" w14:textId="77777777" w:rsidR="00235E11" w:rsidRDefault="00F837E4">
            <w:pPr>
              <w:pStyle w:val="P68B1DB1-Normal10"/>
              <w:spacing w:after="0"/>
              <w:rPr>
                <w:noProof/>
              </w:rPr>
            </w:pPr>
            <w:r>
              <w:rPr>
                <w:noProof/>
              </w:rPr>
              <w:t>Допълнителни</w:t>
            </w:r>
          </w:p>
          <w:p w14:paraId="5B903857" w14:textId="77777777" w:rsidR="00235E11" w:rsidRDefault="00F837E4">
            <w:pPr>
              <w:pStyle w:val="P68B1DB1-Normal9"/>
              <w:spacing w:after="0"/>
              <w:rPr>
                <w:rFonts w:eastAsia="Times New Roman"/>
                <w:noProof/>
              </w:rPr>
            </w:pPr>
            <w:r>
              <w:rPr>
                <w:noProof/>
              </w:rPr>
              <w:t>оперативни частни, полупублични и публични зарядни точки (стъпка 2)</w:t>
            </w:r>
          </w:p>
        </w:tc>
        <w:tc>
          <w:tcPr>
            <w:tcW w:w="1310" w:type="dxa"/>
            <w:tcBorders>
              <w:top w:val="nil"/>
              <w:left w:val="nil"/>
              <w:bottom w:val="single" w:sz="4" w:space="0" w:color="auto"/>
              <w:right w:val="single" w:sz="4" w:space="0" w:color="auto"/>
            </w:tcBorders>
            <w:shd w:val="clear" w:color="auto" w:fill="C6EFCE"/>
            <w:noWrap/>
            <w:vAlign w:val="center"/>
          </w:tcPr>
          <w:p w14:paraId="46CE50F3" w14:textId="77777777" w:rsidR="00235E11" w:rsidRDefault="00235E11">
            <w:pPr>
              <w:spacing w:after="0"/>
              <w:rPr>
                <w:rFonts w:ascii="Times New Roman" w:hAnsi="Times New Roman" w:cs="Times New Roman"/>
                <w:noProof/>
                <w:color w:val="006100"/>
              </w:rPr>
            </w:pPr>
          </w:p>
        </w:tc>
        <w:tc>
          <w:tcPr>
            <w:tcW w:w="1114" w:type="dxa"/>
            <w:tcBorders>
              <w:top w:val="nil"/>
              <w:left w:val="nil"/>
              <w:bottom w:val="single" w:sz="4" w:space="0" w:color="auto"/>
              <w:right w:val="single" w:sz="4" w:space="0" w:color="auto"/>
            </w:tcBorders>
            <w:shd w:val="clear" w:color="auto" w:fill="C6EFCE"/>
            <w:noWrap/>
            <w:vAlign w:val="center"/>
          </w:tcPr>
          <w:p w14:paraId="740450F7" w14:textId="77777777" w:rsidR="00235E11" w:rsidRDefault="00F837E4">
            <w:pPr>
              <w:pStyle w:val="P68B1DB1-Normal9"/>
              <w:spacing w:after="0"/>
              <w:rPr>
                <w:rFonts w:eastAsia="Times New Roman"/>
                <w:noProof/>
              </w:rPr>
            </w:pPr>
            <w:r>
              <w:rPr>
                <w:noProof/>
              </w:rPr>
              <w:t>Зарядни точки (CPE)</w:t>
            </w:r>
          </w:p>
        </w:tc>
        <w:tc>
          <w:tcPr>
            <w:tcW w:w="1120" w:type="dxa"/>
            <w:tcBorders>
              <w:top w:val="nil"/>
              <w:left w:val="nil"/>
              <w:bottom w:val="single" w:sz="4" w:space="0" w:color="auto"/>
              <w:right w:val="single" w:sz="4" w:space="0" w:color="auto"/>
            </w:tcBorders>
            <w:shd w:val="clear" w:color="auto" w:fill="C6EFCE"/>
            <w:noWrap/>
            <w:vAlign w:val="center"/>
          </w:tcPr>
          <w:p w14:paraId="60295F05" w14:textId="0D20D92F" w:rsidR="00235E11" w:rsidRDefault="00F837E4">
            <w:pPr>
              <w:pStyle w:val="P68B1DB1-Normal9"/>
              <w:spacing w:after="0"/>
              <w:rPr>
                <w:rFonts w:eastAsia="Times New Roman"/>
                <w:noProof/>
              </w:rPr>
            </w:pPr>
            <w:r>
              <w:rPr>
                <w:noProof/>
              </w:rPr>
              <w:t>8 460</w:t>
            </w:r>
          </w:p>
        </w:tc>
        <w:tc>
          <w:tcPr>
            <w:tcW w:w="850" w:type="dxa"/>
            <w:tcBorders>
              <w:top w:val="nil"/>
              <w:left w:val="nil"/>
              <w:bottom w:val="single" w:sz="4" w:space="0" w:color="auto"/>
              <w:right w:val="single" w:sz="4" w:space="0" w:color="auto"/>
            </w:tcBorders>
            <w:shd w:val="clear" w:color="auto" w:fill="C6EFCE"/>
            <w:noWrap/>
            <w:vAlign w:val="center"/>
          </w:tcPr>
          <w:p w14:paraId="6211B7B1" w14:textId="5BEC6D3F" w:rsidR="00235E11" w:rsidRDefault="00F837E4">
            <w:pPr>
              <w:pStyle w:val="P68B1DB1-Normal9"/>
              <w:spacing w:after="0"/>
              <w:rPr>
                <w:noProof/>
              </w:rPr>
            </w:pPr>
            <w:r>
              <w:rPr>
                <w:noProof/>
              </w:rPr>
              <w:t>20 160</w:t>
            </w:r>
          </w:p>
        </w:tc>
        <w:tc>
          <w:tcPr>
            <w:tcW w:w="851" w:type="dxa"/>
            <w:tcBorders>
              <w:top w:val="nil"/>
              <w:left w:val="nil"/>
              <w:bottom w:val="single" w:sz="4" w:space="0" w:color="auto"/>
              <w:right w:val="single" w:sz="4" w:space="0" w:color="auto"/>
            </w:tcBorders>
            <w:shd w:val="clear" w:color="auto" w:fill="C6EFCE"/>
            <w:noWrap/>
            <w:vAlign w:val="center"/>
          </w:tcPr>
          <w:p w14:paraId="5CC0E2B5" w14:textId="77777777" w:rsidR="00235E11" w:rsidRDefault="00F837E4">
            <w:pPr>
              <w:pStyle w:val="P68B1DB1-Normal9"/>
              <w:spacing w:after="0"/>
              <w:jc w:val="center"/>
              <w:rPr>
                <w:rFonts w:eastAsia="Times New Roman"/>
                <w:noProof/>
              </w:rPr>
            </w:pPr>
            <w:r>
              <w:rPr>
                <w:noProof/>
              </w:rPr>
              <w:t>ЧЕТВЪРТО ТРИМЕСЕЧИЕ НА 2 Г. —</w:t>
            </w:r>
          </w:p>
        </w:tc>
        <w:tc>
          <w:tcPr>
            <w:tcW w:w="709" w:type="dxa"/>
            <w:tcBorders>
              <w:top w:val="nil"/>
              <w:left w:val="nil"/>
              <w:bottom w:val="single" w:sz="4" w:space="0" w:color="auto"/>
              <w:right w:val="single" w:sz="4" w:space="0" w:color="auto"/>
            </w:tcBorders>
            <w:shd w:val="clear" w:color="auto" w:fill="C6EFCE"/>
            <w:noWrap/>
            <w:vAlign w:val="center"/>
          </w:tcPr>
          <w:p w14:paraId="6EC618AF" w14:textId="77777777" w:rsidR="00235E11" w:rsidRDefault="00F837E4">
            <w:pPr>
              <w:pStyle w:val="P68B1DB1-Normal9"/>
              <w:spacing w:after="0"/>
              <w:jc w:val="center"/>
              <w:rPr>
                <w:rFonts w:eastAsia="Times New Roman"/>
                <w:noProof/>
              </w:rPr>
            </w:pPr>
            <w:r>
              <w:rPr>
                <w:noProof/>
              </w:rPr>
              <w:t>2025</w:t>
            </w:r>
          </w:p>
        </w:tc>
        <w:tc>
          <w:tcPr>
            <w:tcW w:w="4365" w:type="dxa"/>
            <w:tcBorders>
              <w:top w:val="nil"/>
              <w:left w:val="single" w:sz="4" w:space="0" w:color="auto"/>
              <w:bottom w:val="single" w:sz="4" w:space="0" w:color="auto"/>
              <w:right w:val="single" w:sz="4" w:space="0" w:color="auto"/>
            </w:tcBorders>
            <w:shd w:val="clear" w:color="auto" w:fill="C6EFCE"/>
            <w:noWrap/>
            <w:vAlign w:val="center"/>
          </w:tcPr>
          <w:p w14:paraId="77127B2A" w14:textId="77777777" w:rsidR="00235E11" w:rsidRDefault="00F837E4">
            <w:pPr>
              <w:pStyle w:val="P68B1DB1-Normal9"/>
              <w:spacing w:after="120" w:line="240" w:lineRule="auto"/>
              <w:rPr>
                <w:noProof/>
              </w:rPr>
            </w:pPr>
            <w:r>
              <w:rPr>
                <w:noProof/>
              </w:rPr>
              <w:t>Достигане на 20 160 допълнителни еквивалента на частни, полупублични и обществени зарядни точки (CPE).</w:t>
            </w:r>
          </w:p>
          <w:p w14:paraId="32A0548E" w14:textId="22CBB484" w:rsidR="00235E11" w:rsidRDefault="00F837E4">
            <w:pPr>
              <w:pStyle w:val="P68B1DB1-Normal9"/>
              <w:spacing w:after="120" w:line="240" w:lineRule="auto"/>
              <w:rPr>
                <w:noProof/>
              </w:rPr>
            </w:pPr>
            <w:r>
              <w:rPr>
                <w:noProof/>
              </w:rPr>
              <w:t>Тази цел е разделена индикативно на следните подцели, които не трябва да бъдат постигнати поотделно, при условие че са постигнати горепосочените зарядни точки:</w:t>
            </w:r>
          </w:p>
          <w:p w14:paraId="4CF0EA94" w14:textId="6C1B86E6" w:rsidR="00235E11" w:rsidRDefault="00F837E4">
            <w:pPr>
              <w:pStyle w:val="P68B1DB1-Normal9"/>
              <w:spacing w:after="0" w:line="240" w:lineRule="auto"/>
              <w:rPr>
                <w:noProof/>
              </w:rPr>
            </w:pPr>
            <w:r>
              <w:rPr>
                <w:noProof/>
              </w:rPr>
              <w:t>I) Фламандски регион (във връзка с I-3.19): 19 800 зарядни точки</w:t>
            </w:r>
          </w:p>
          <w:p w14:paraId="60327ED0" w14:textId="5E408CC7" w:rsidR="00235E11" w:rsidRDefault="00F837E4">
            <w:pPr>
              <w:pStyle w:val="P68B1DB1-Normal9"/>
              <w:spacing w:after="0" w:line="240" w:lineRule="auto"/>
              <w:rPr>
                <w:noProof/>
                <w:color w:val="375623"/>
              </w:rPr>
            </w:pPr>
            <w:r>
              <w:rPr>
                <w:noProof/>
              </w:rPr>
              <w:t>II) Регион Брюксел-столица (във връзка с R-3.05): 360</w:t>
            </w:r>
          </w:p>
        </w:tc>
      </w:tr>
      <w:tr w:rsidR="00235E11" w14:paraId="6E809836" w14:textId="77777777">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5FFF1C" w14:textId="77777777" w:rsidR="00235E11" w:rsidRDefault="00F837E4">
            <w:pPr>
              <w:pStyle w:val="P68B1DB1-Normal10"/>
              <w:spacing w:after="0"/>
              <w:jc w:val="center"/>
              <w:rPr>
                <w:noProof/>
              </w:rPr>
            </w:pPr>
            <w:r>
              <w:rPr>
                <w:noProof/>
              </w:rPr>
              <w:t>123</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3BCAC5DD" w14:textId="77777777" w:rsidR="00235E11" w:rsidRDefault="00F837E4">
            <w:pPr>
              <w:pStyle w:val="P68B1DB1-Normal9"/>
              <w:spacing w:after="0"/>
              <w:rPr>
                <w:rFonts w:eastAsia="Times New Roman"/>
                <w:noProof/>
              </w:rPr>
            </w:pPr>
            <w:r>
              <w:rPr>
                <w:noProof/>
              </w:rPr>
              <w:t>Станции за зареждане (I-3F)</w:t>
            </w:r>
          </w:p>
        </w:tc>
        <w:tc>
          <w:tcPr>
            <w:tcW w:w="1134" w:type="dxa"/>
            <w:tcBorders>
              <w:top w:val="nil"/>
              <w:left w:val="nil"/>
              <w:bottom w:val="single" w:sz="4" w:space="0" w:color="auto"/>
              <w:right w:val="single" w:sz="4" w:space="0" w:color="auto"/>
            </w:tcBorders>
            <w:shd w:val="clear" w:color="auto" w:fill="C6EFCE"/>
            <w:noWrap/>
            <w:vAlign w:val="center"/>
          </w:tcPr>
          <w:p w14:paraId="6D159051" w14:textId="70517651" w:rsidR="00235E11" w:rsidRDefault="00F837E4">
            <w:pPr>
              <w:pStyle w:val="P68B1DB1-Normal9"/>
              <w:spacing w:after="0"/>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2B418CA7" w14:textId="6B9E450C" w:rsidR="00235E11" w:rsidRDefault="00F837E4">
            <w:pPr>
              <w:pStyle w:val="P68B1DB1-Normal9"/>
              <w:spacing w:after="0"/>
              <w:rPr>
                <w:rFonts w:eastAsia="Times New Roman"/>
                <w:noProof/>
              </w:rPr>
            </w:pPr>
            <w:r>
              <w:rPr>
                <w:noProof/>
              </w:rPr>
              <w:t>Допълнителни оперативни частни, полупублични и публични зарядни точки (стъпка 3)</w:t>
            </w:r>
          </w:p>
        </w:tc>
        <w:tc>
          <w:tcPr>
            <w:tcW w:w="1310" w:type="dxa"/>
            <w:tcBorders>
              <w:top w:val="nil"/>
              <w:left w:val="nil"/>
              <w:bottom w:val="single" w:sz="4" w:space="0" w:color="auto"/>
              <w:right w:val="single" w:sz="4" w:space="0" w:color="auto"/>
            </w:tcBorders>
            <w:shd w:val="clear" w:color="auto" w:fill="C6EFCE"/>
            <w:noWrap/>
            <w:vAlign w:val="center"/>
          </w:tcPr>
          <w:p w14:paraId="0CBDBC83" w14:textId="77777777" w:rsidR="00235E11" w:rsidRDefault="00235E11">
            <w:pPr>
              <w:spacing w:after="0"/>
              <w:rPr>
                <w:rFonts w:ascii="Times New Roman" w:hAnsi="Times New Roman" w:cs="Times New Roman"/>
                <w:noProof/>
                <w:color w:val="006100"/>
              </w:rPr>
            </w:pPr>
          </w:p>
        </w:tc>
        <w:tc>
          <w:tcPr>
            <w:tcW w:w="1114" w:type="dxa"/>
            <w:tcBorders>
              <w:top w:val="nil"/>
              <w:left w:val="nil"/>
              <w:bottom w:val="single" w:sz="4" w:space="0" w:color="auto"/>
              <w:right w:val="single" w:sz="4" w:space="0" w:color="auto"/>
            </w:tcBorders>
            <w:shd w:val="clear" w:color="auto" w:fill="C6EFCE"/>
            <w:noWrap/>
            <w:vAlign w:val="center"/>
          </w:tcPr>
          <w:p w14:paraId="65F598E5" w14:textId="77777777" w:rsidR="00235E11" w:rsidRDefault="00F837E4">
            <w:pPr>
              <w:pStyle w:val="P68B1DB1-Normal9"/>
              <w:spacing w:after="0"/>
              <w:rPr>
                <w:rFonts w:eastAsia="Times New Roman"/>
                <w:noProof/>
              </w:rPr>
            </w:pPr>
            <w:r>
              <w:rPr>
                <w:noProof/>
              </w:rPr>
              <w:t>Зарядни точки (CPE)</w:t>
            </w:r>
          </w:p>
        </w:tc>
        <w:tc>
          <w:tcPr>
            <w:tcW w:w="1120" w:type="dxa"/>
            <w:tcBorders>
              <w:top w:val="nil"/>
              <w:left w:val="nil"/>
              <w:bottom w:val="single" w:sz="4" w:space="0" w:color="auto"/>
              <w:right w:val="single" w:sz="4" w:space="0" w:color="auto"/>
            </w:tcBorders>
            <w:shd w:val="clear" w:color="auto" w:fill="C6EFCE"/>
            <w:noWrap/>
            <w:vAlign w:val="center"/>
          </w:tcPr>
          <w:p w14:paraId="19F788F2" w14:textId="16B88EF4" w:rsidR="00235E11" w:rsidRDefault="00F837E4">
            <w:pPr>
              <w:pStyle w:val="P68B1DB1-Normal9"/>
              <w:spacing w:after="0"/>
              <w:rPr>
                <w:rFonts w:eastAsia="Times New Roman"/>
                <w:noProof/>
              </w:rPr>
            </w:pPr>
            <w:r>
              <w:rPr>
                <w:noProof/>
              </w:rPr>
              <w:t>20 160</w:t>
            </w:r>
          </w:p>
        </w:tc>
        <w:tc>
          <w:tcPr>
            <w:tcW w:w="850" w:type="dxa"/>
            <w:tcBorders>
              <w:top w:val="nil"/>
              <w:left w:val="nil"/>
              <w:bottom w:val="single" w:sz="4" w:space="0" w:color="auto"/>
              <w:right w:val="single" w:sz="4" w:space="0" w:color="auto"/>
            </w:tcBorders>
            <w:shd w:val="clear" w:color="auto" w:fill="C6EFCE"/>
            <w:noWrap/>
            <w:vAlign w:val="center"/>
          </w:tcPr>
          <w:p w14:paraId="5F5382D4" w14:textId="4150DFD0" w:rsidR="00235E11" w:rsidRDefault="00F837E4">
            <w:pPr>
              <w:pStyle w:val="P68B1DB1-Normal9"/>
              <w:spacing w:after="0"/>
              <w:rPr>
                <w:rFonts w:eastAsia="Times New Roman"/>
                <w:noProof/>
              </w:rPr>
            </w:pPr>
            <w:r>
              <w:rPr>
                <w:noProof/>
              </w:rPr>
              <w:t>68 579</w:t>
            </w:r>
          </w:p>
        </w:tc>
        <w:tc>
          <w:tcPr>
            <w:tcW w:w="851" w:type="dxa"/>
            <w:tcBorders>
              <w:top w:val="nil"/>
              <w:left w:val="nil"/>
              <w:bottom w:val="single" w:sz="4" w:space="0" w:color="auto"/>
              <w:right w:val="single" w:sz="4" w:space="0" w:color="auto"/>
            </w:tcBorders>
            <w:shd w:val="clear" w:color="auto" w:fill="C6EFCE"/>
            <w:noWrap/>
            <w:vAlign w:val="center"/>
          </w:tcPr>
          <w:p w14:paraId="21CEF15C" w14:textId="77777777" w:rsidR="00235E11" w:rsidRDefault="00F837E4">
            <w:pPr>
              <w:pStyle w:val="P68B1DB1-Normal9"/>
              <w:spacing w:after="0"/>
              <w:jc w:val="center"/>
              <w:rPr>
                <w:rFonts w:eastAsia="Times New Roman"/>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1B0E10F2" w14:textId="77777777" w:rsidR="00235E11" w:rsidRDefault="00F837E4">
            <w:pPr>
              <w:pStyle w:val="P68B1DB1-Normal9"/>
              <w:spacing w:after="0"/>
              <w:jc w:val="center"/>
              <w:rPr>
                <w:rFonts w:eastAsia="Times New Roman"/>
                <w:noProof/>
              </w:rPr>
            </w:pPr>
            <w:r>
              <w:rPr>
                <w:noProof/>
              </w:rPr>
              <w:t>2026</w:t>
            </w:r>
          </w:p>
        </w:tc>
        <w:tc>
          <w:tcPr>
            <w:tcW w:w="4365" w:type="dxa"/>
            <w:tcBorders>
              <w:top w:val="nil"/>
              <w:left w:val="single" w:sz="4" w:space="0" w:color="auto"/>
              <w:bottom w:val="single" w:sz="4" w:space="0" w:color="auto"/>
              <w:right w:val="single" w:sz="4" w:space="0" w:color="auto"/>
            </w:tcBorders>
            <w:shd w:val="clear" w:color="auto" w:fill="C6EFCE"/>
            <w:noWrap/>
            <w:vAlign w:val="center"/>
          </w:tcPr>
          <w:p w14:paraId="7ADF6B65" w14:textId="77777777" w:rsidR="00235E11" w:rsidRDefault="00F837E4">
            <w:pPr>
              <w:pStyle w:val="P68B1DB1-Normal9"/>
              <w:spacing w:after="0" w:line="240" w:lineRule="auto"/>
              <w:rPr>
                <w:noProof/>
              </w:rPr>
            </w:pPr>
            <w:r>
              <w:rPr>
                <w:noProof/>
              </w:rPr>
              <w:t>Достигане на 68 579 допълнителни еквивалента на частни, полупублични и обществени зарядни точки (CPE).</w:t>
            </w:r>
          </w:p>
          <w:p w14:paraId="6827F501" w14:textId="77777777" w:rsidR="00235E11" w:rsidRDefault="00235E11">
            <w:pPr>
              <w:spacing w:after="0" w:line="240" w:lineRule="auto"/>
              <w:rPr>
                <w:rFonts w:ascii="Times New Roman" w:hAnsi="Times New Roman" w:cs="Times New Roman"/>
                <w:noProof/>
                <w:color w:val="006100"/>
              </w:rPr>
            </w:pPr>
          </w:p>
          <w:p w14:paraId="5FEF162E" w14:textId="711ECA4E" w:rsidR="00235E11" w:rsidRDefault="00F837E4">
            <w:pPr>
              <w:pStyle w:val="P68B1DB1-Normal9"/>
              <w:spacing w:after="120" w:line="240" w:lineRule="auto"/>
              <w:rPr>
                <w:noProof/>
              </w:rPr>
            </w:pPr>
            <w:r>
              <w:rPr>
                <w:noProof/>
              </w:rPr>
              <w:t>Тази цел е разделена индикативно на следните подцели, които не трябва да бъдат постигнати поотделно, при условие че са постигнати горепосочените зарядни точки:</w:t>
            </w:r>
          </w:p>
          <w:p w14:paraId="232FB417" w14:textId="77777777" w:rsidR="00235E11" w:rsidRDefault="00F837E4">
            <w:pPr>
              <w:pStyle w:val="P68B1DB1-Normal9"/>
              <w:spacing w:after="0" w:line="240" w:lineRule="auto"/>
              <w:rPr>
                <w:noProof/>
              </w:rPr>
            </w:pPr>
            <w:r>
              <w:rPr>
                <w:noProof/>
              </w:rPr>
              <w:t>I) Федерално равнище (свързано с I-3.18): 36 511 зарядни точки</w:t>
            </w:r>
          </w:p>
          <w:p w14:paraId="781C9A76" w14:textId="77777777" w:rsidR="00235E11" w:rsidRDefault="00F837E4">
            <w:pPr>
              <w:pStyle w:val="P68B1DB1-Normal9"/>
              <w:spacing w:after="0" w:line="240" w:lineRule="auto"/>
              <w:rPr>
                <w:noProof/>
              </w:rPr>
            </w:pPr>
            <w:r>
              <w:rPr>
                <w:noProof/>
              </w:rPr>
              <w:t xml:space="preserve">II) Фламандски регион (във връзка с I-3.19): 27 000 зарядни точки </w:t>
            </w:r>
          </w:p>
          <w:p w14:paraId="7C5EA556" w14:textId="77777777" w:rsidR="00235E11" w:rsidRDefault="00F837E4">
            <w:pPr>
              <w:pStyle w:val="P68B1DB1-Normal9"/>
              <w:spacing w:after="0" w:line="240" w:lineRule="auto"/>
              <w:rPr>
                <w:noProof/>
              </w:rPr>
            </w:pPr>
            <w:r>
              <w:rPr>
                <w:noProof/>
              </w:rPr>
              <w:t>III) Валонски регион (във връзка с R-3.04): 4 708 зарядни точки</w:t>
            </w:r>
          </w:p>
          <w:p w14:paraId="0B950229" w14:textId="15DE1E78" w:rsidR="00235E11" w:rsidRDefault="00F837E4">
            <w:pPr>
              <w:pStyle w:val="P68B1DB1-Normal9"/>
              <w:spacing w:after="0" w:line="240" w:lineRule="auto"/>
              <w:rPr>
                <w:noProof/>
              </w:rPr>
            </w:pPr>
            <w:r>
              <w:rPr>
                <w:noProof/>
              </w:rPr>
              <w:t>IV) Регион Брюксел-столица (във връзка с R-3.05): 360 зарядни точки</w:t>
            </w:r>
          </w:p>
        </w:tc>
      </w:tr>
      <w:tr w:rsidR="00235E11" w14:paraId="029CEB12" w14:textId="77777777">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5C4E18" w14:textId="77777777" w:rsidR="00235E11" w:rsidRDefault="00F837E4">
            <w:pPr>
              <w:pStyle w:val="P68B1DB1-Normal10"/>
              <w:spacing w:after="0"/>
              <w:jc w:val="center"/>
              <w:rPr>
                <w:noProof/>
              </w:rPr>
            </w:pPr>
            <w:r>
              <w:rPr>
                <w:noProof/>
              </w:rPr>
              <w:t>124</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2E2CDFF0" w14:textId="77777777" w:rsidR="00235E11" w:rsidRDefault="00F837E4">
            <w:pPr>
              <w:pStyle w:val="P68B1DB1-Normal9"/>
              <w:spacing w:after="0"/>
              <w:rPr>
                <w:rFonts w:eastAsia="Times New Roman"/>
                <w:noProof/>
              </w:rPr>
            </w:pPr>
            <w:r>
              <w:rPr>
                <w:noProof/>
              </w:rPr>
              <w:t>Измами с емисии (R-3.07)</w:t>
            </w:r>
          </w:p>
        </w:tc>
        <w:tc>
          <w:tcPr>
            <w:tcW w:w="1134" w:type="dxa"/>
            <w:tcBorders>
              <w:top w:val="nil"/>
              <w:left w:val="nil"/>
              <w:bottom w:val="single" w:sz="4" w:space="0" w:color="auto"/>
              <w:right w:val="single" w:sz="4" w:space="0" w:color="auto"/>
            </w:tcBorders>
            <w:shd w:val="clear" w:color="auto" w:fill="C6EFCE"/>
            <w:noWrap/>
            <w:vAlign w:val="center"/>
          </w:tcPr>
          <w:p w14:paraId="0A97BF46" w14:textId="7009FD78" w:rsidR="00235E11" w:rsidRDefault="00F837E4">
            <w:pPr>
              <w:pStyle w:val="P68B1DB1-Normal9"/>
              <w:spacing w:after="0"/>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7A91A609" w14:textId="77777777" w:rsidR="00235E11" w:rsidRDefault="00F837E4">
            <w:pPr>
              <w:pStyle w:val="P68B1DB1-Normal9"/>
              <w:spacing w:after="0"/>
              <w:rPr>
                <w:rFonts w:eastAsia="Times New Roman"/>
                <w:noProof/>
              </w:rPr>
            </w:pPr>
            <w:r>
              <w:rPr>
                <w:noProof/>
              </w:rPr>
              <w:t>Приемане на правната рамка за мониторинг на емисиите от превозни средства във Фландрия</w:t>
            </w:r>
          </w:p>
        </w:tc>
        <w:tc>
          <w:tcPr>
            <w:tcW w:w="1310" w:type="dxa"/>
            <w:tcBorders>
              <w:top w:val="nil"/>
              <w:left w:val="nil"/>
              <w:bottom w:val="single" w:sz="4" w:space="0" w:color="auto"/>
              <w:right w:val="single" w:sz="4" w:space="0" w:color="auto"/>
            </w:tcBorders>
            <w:shd w:val="clear" w:color="auto" w:fill="C6EFCE"/>
            <w:noWrap/>
            <w:vAlign w:val="center"/>
          </w:tcPr>
          <w:p w14:paraId="409B9DA8" w14:textId="77777777" w:rsidR="00235E11" w:rsidRDefault="00F837E4">
            <w:pPr>
              <w:pStyle w:val="P68B1DB1-Normal9"/>
              <w:spacing w:after="0"/>
              <w:rPr>
                <w:rFonts w:eastAsia="Times New Roman"/>
                <w:noProof/>
              </w:rPr>
            </w:pPr>
            <w:r>
              <w:rPr>
                <w:noProof/>
              </w:rPr>
              <w:t>Приемане на правната рамка</w:t>
            </w:r>
          </w:p>
        </w:tc>
        <w:tc>
          <w:tcPr>
            <w:tcW w:w="1114" w:type="dxa"/>
            <w:tcBorders>
              <w:top w:val="nil"/>
              <w:left w:val="nil"/>
              <w:bottom w:val="single" w:sz="4" w:space="0" w:color="auto"/>
              <w:right w:val="single" w:sz="4" w:space="0" w:color="auto"/>
            </w:tcBorders>
            <w:shd w:val="clear" w:color="auto" w:fill="C6EFCE"/>
            <w:noWrap/>
            <w:vAlign w:val="center"/>
          </w:tcPr>
          <w:p w14:paraId="2CFC0F92" w14:textId="10AA97E8" w:rsidR="00235E11" w:rsidRDefault="00235E11">
            <w:pPr>
              <w:spacing w:after="0"/>
              <w:rPr>
                <w:rFonts w:ascii="Times New Roman" w:eastAsia="Times New Roman" w:hAnsi="Times New Roman" w:cs="Times New Roman"/>
                <w:noProof/>
                <w:color w:val="006100"/>
              </w:rPr>
            </w:pPr>
          </w:p>
        </w:tc>
        <w:tc>
          <w:tcPr>
            <w:tcW w:w="1120" w:type="dxa"/>
            <w:tcBorders>
              <w:top w:val="nil"/>
              <w:left w:val="nil"/>
              <w:bottom w:val="single" w:sz="4" w:space="0" w:color="auto"/>
              <w:right w:val="single" w:sz="4" w:space="0" w:color="auto"/>
            </w:tcBorders>
            <w:shd w:val="clear" w:color="auto" w:fill="C6EFCE"/>
            <w:noWrap/>
            <w:vAlign w:val="center"/>
          </w:tcPr>
          <w:p w14:paraId="5CEE3033" w14:textId="2D73E4CB"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38BBFE67" w14:textId="39CCD4C9"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1F1B8226" w14:textId="77777777" w:rsidR="00235E11" w:rsidRDefault="00F837E4">
            <w:pPr>
              <w:pStyle w:val="P68B1DB1-Normal9"/>
              <w:spacing w:after="0"/>
              <w:jc w:val="center"/>
              <w:rPr>
                <w:rFonts w:eastAsia="Times New Roman"/>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7D5C9F47" w14:textId="77777777" w:rsidR="00235E11" w:rsidRDefault="00F837E4">
            <w:pPr>
              <w:pStyle w:val="P68B1DB1-Normal9"/>
              <w:spacing w:after="0"/>
              <w:jc w:val="center"/>
              <w:rPr>
                <w:rFonts w:eastAsia="Times New Roman"/>
                <w:noProof/>
              </w:rPr>
            </w:pPr>
            <w:r>
              <w:rPr>
                <w:noProof/>
              </w:rPr>
              <w:t>2023</w:t>
            </w:r>
          </w:p>
        </w:tc>
        <w:tc>
          <w:tcPr>
            <w:tcW w:w="4365" w:type="dxa"/>
            <w:tcBorders>
              <w:top w:val="nil"/>
              <w:left w:val="single" w:sz="4" w:space="0" w:color="auto"/>
              <w:bottom w:val="single" w:sz="4" w:space="0" w:color="auto"/>
              <w:right w:val="single" w:sz="4" w:space="0" w:color="auto"/>
            </w:tcBorders>
            <w:shd w:val="clear" w:color="auto" w:fill="C6EFCE"/>
            <w:noWrap/>
            <w:vAlign w:val="center"/>
          </w:tcPr>
          <w:p w14:paraId="65575ED3" w14:textId="77777777" w:rsidR="00235E11" w:rsidRDefault="00F837E4">
            <w:pPr>
              <w:pStyle w:val="P68B1DB1-Normal9"/>
              <w:spacing w:after="0"/>
              <w:rPr>
                <w:noProof/>
              </w:rPr>
            </w:pPr>
            <w:r>
              <w:rPr>
                <w:noProof/>
              </w:rPr>
              <w:t>Приемане на:</w:t>
            </w:r>
          </w:p>
          <w:p w14:paraId="63DDC48E" w14:textId="77777777" w:rsidR="00235E11" w:rsidRDefault="00F837E4">
            <w:pPr>
              <w:pStyle w:val="P68B1DB1-Normal9"/>
              <w:spacing w:after="0"/>
              <w:rPr>
                <w:noProof/>
              </w:rPr>
            </w:pPr>
            <w:r>
              <w:rPr>
                <w:noProof/>
              </w:rPr>
              <w:t>Законодателство, необходимо за прилагане на прагматична процедура за изпитване на NOx с цел засилване на периодичните технически прегледи, с цел въвеждане на изпитване през второто тримесечие на 3 2023 г.</w:t>
            </w:r>
          </w:p>
          <w:p w14:paraId="4DCA57BF" w14:textId="77777777" w:rsidR="00235E11" w:rsidRDefault="00F837E4">
            <w:pPr>
              <w:pStyle w:val="P68B1DB1-Normal9"/>
              <w:spacing w:after="0"/>
              <w:rPr>
                <w:noProof/>
              </w:rPr>
            </w:pPr>
            <w:r>
              <w:rPr>
                <w:noProof/>
              </w:rPr>
              <w:t>— Правни подобрения за разширяване на обхвата на крайпътните проверки, така че да бъдат включени всички видове превозни средства (цел: 2022)</w:t>
            </w:r>
          </w:p>
          <w:p w14:paraId="66952442" w14:textId="77777777" w:rsidR="00235E11" w:rsidRDefault="00F837E4">
            <w:pPr>
              <w:pStyle w:val="P68B1DB1-Normal9"/>
              <w:spacing w:after="0"/>
              <w:rPr>
                <w:rFonts w:eastAsia="Times New Roman"/>
                <w:noProof/>
              </w:rPr>
            </w:pPr>
            <w:r>
              <w:rPr>
                <w:noProof/>
              </w:rPr>
              <w:t>— Ново законодателство: налична правна рамка, която дава възможност за широкомащабен мониторинг на емисиите от пътни превозни средства (дистанционно наблюдение и потенциално струпване на струпвания) и нейните приложения за по-добро прилагане и оценка на политиката (цел: 2022)</w:t>
            </w:r>
          </w:p>
        </w:tc>
      </w:tr>
      <w:tr w:rsidR="00235E11" w14:paraId="134E3BCE" w14:textId="77777777">
        <w:trPr>
          <w:trHeight w:val="882"/>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F2C503" w14:textId="77777777" w:rsidR="00235E11" w:rsidRDefault="00F837E4">
            <w:pPr>
              <w:pStyle w:val="P68B1DB1-Normal10"/>
              <w:spacing w:after="0"/>
              <w:jc w:val="center"/>
              <w:rPr>
                <w:noProof/>
              </w:rPr>
            </w:pPr>
            <w:r>
              <w:rPr>
                <w:noProof/>
              </w:rPr>
              <w:t>125</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747CFC20" w14:textId="77777777" w:rsidR="00235E11" w:rsidRDefault="00F837E4">
            <w:pPr>
              <w:pStyle w:val="P68B1DB1-Normal9"/>
              <w:spacing w:after="0"/>
              <w:rPr>
                <w:rFonts w:eastAsia="Times New Roman"/>
                <w:noProof/>
              </w:rPr>
            </w:pPr>
            <w:r>
              <w:rPr>
                <w:noProof/>
              </w:rPr>
              <w:t>Измами с емисии (R-3.07)</w:t>
            </w:r>
          </w:p>
        </w:tc>
        <w:tc>
          <w:tcPr>
            <w:tcW w:w="1134" w:type="dxa"/>
            <w:tcBorders>
              <w:top w:val="nil"/>
              <w:left w:val="nil"/>
              <w:bottom w:val="single" w:sz="4" w:space="0" w:color="auto"/>
              <w:right w:val="single" w:sz="4" w:space="0" w:color="auto"/>
            </w:tcBorders>
            <w:shd w:val="clear" w:color="auto" w:fill="C6EFCE"/>
            <w:noWrap/>
            <w:vAlign w:val="center"/>
          </w:tcPr>
          <w:p w14:paraId="79E14804" w14:textId="0DD7F1F5" w:rsidR="00235E11" w:rsidRDefault="00F837E4">
            <w:pPr>
              <w:pStyle w:val="P68B1DB1-Normal9"/>
              <w:spacing w:after="0"/>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5294ACF9" w14:textId="77777777" w:rsidR="00235E11" w:rsidRDefault="00F837E4">
            <w:pPr>
              <w:pStyle w:val="P68B1DB1-Normal9"/>
              <w:spacing w:after="0"/>
              <w:rPr>
                <w:rFonts w:eastAsia="Times New Roman"/>
                <w:noProof/>
              </w:rPr>
            </w:pPr>
            <w:r>
              <w:rPr>
                <w:noProof/>
              </w:rPr>
              <w:t>ИТ система, която обединява данни за емисиите със наблюдения на периодични технически инспекции и инспекции за пътна безопасност при експлоатация</w:t>
            </w:r>
          </w:p>
        </w:tc>
        <w:tc>
          <w:tcPr>
            <w:tcW w:w="1310" w:type="dxa"/>
            <w:tcBorders>
              <w:top w:val="nil"/>
              <w:left w:val="nil"/>
              <w:bottom w:val="single" w:sz="4" w:space="0" w:color="auto"/>
              <w:right w:val="single" w:sz="4" w:space="0" w:color="auto"/>
            </w:tcBorders>
            <w:shd w:val="clear" w:color="auto" w:fill="C6EFCE"/>
            <w:noWrap/>
            <w:vAlign w:val="center"/>
          </w:tcPr>
          <w:p w14:paraId="2CBCBF79" w14:textId="77777777" w:rsidR="00235E11" w:rsidRDefault="00F837E4">
            <w:pPr>
              <w:pStyle w:val="P68B1DB1-Normal10"/>
              <w:spacing w:after="0"/>
              <w:rPr>
                <w:noProof/>
              </w:rPr>
            </w:pPr>
            <w:r>
              <w:rPr>
                <w:noProof/>
              </w:rPr>
              <w:t>Въвеждане в експлоатация на информационна система</w:t>
            </w:r>
          </w:p>
        </w:tc>
        <w:tc>
          <w:tcPr>
            <w:tcW w:w="1114" w:type="dxa"/>
            <w:tcBorders>
              <w:top w:val="nil"/>
              <w:left w:val="nil"/>
              <w:bottom w:val="single" w:sz="4" w:space="0" w:color="auto"/>
              <w:right w:val="single" w:sz="4" w:space="0" w:color="auto"/>
            </w:tcBorders>
            <w:shd w:val="clear" w:color="auto" w:fill="C6EFCE"/>
            <w:noWrap/>
            <w:vAlign w:val="center"/>
          </w:tcPr>
          <w:p w14:paraId="600A57D3" w14:textId="72A381B4" w:rsidR="00235E11" w:rsidRDefault="00235E11">
            <w:pPr>
              <w:spacing w:after="0"/>
              <w:rPr>
                <w:rFonts w:ascii="Times New Roman" w:eastAsia="Times New Roman" w:hAnsi="Times New Roman" w:cs="Times New Roman"/>
                <w:noProof/>
                <w:color w:val="006100"/>
              </w:rPr>
            </w:pPr>
          </w:p>
        </w:tc>
        <w:tc>
          <w:tcPr>
            <w:tcW w:w="1120" w:type="dxa"/>
            <w:tcBorders>
              <w:top w:val="nil"/>
              <w:left w:val="nil"/>
              <w:bottom w:val="single" w:sz="4" w:space="0" w:color="auto"/>
              <w:right w:val="single" w:sz="4" w:space="0" w:color="auto"/>
            </w:tcBorders>
            <w:shd w:val="clear" w:color="auto" w:fill="C6EFCE"/>
            <w:noWrap/>
            <w:vAlign w:val="center"/>
          </w:tcPr>
          <w:p w14:paraId="07D835D0" w14:textId="20393428"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0C951F38" w14:textId="564A712A"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4FDB52BA"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2C0189EE" w14:textId="77777777" w:rsidR="00235E11" w:rsidRDefault="00F837E4">
            <w:pPr>
              <w:pStyle w:val="P68B1DB1-Normal9"/>
              <w:spacing w:after="0"/>
              <w:jc w:val="center"/>
              <w:rPr>
                <w:rFonts w:eastAsia="Times New Roman"/>
                <w:noProof/>
              </w:rPr>
            </w:pPr>
            <w:r>
              <w:rPr>
                <w:noProof/>
              </w:rPr>
              <w:t>2024</w:t>
            </w:r>
          </w:p>
        </w:tc>
        <w:tc>
          <w:tcPr>
            <w:tcW w:w="4365" w:type="dxa"/>
            <w:tcBorders>
              <w:top w:val="nil"/>
              <w:left w:val="single" w:sz="4" w:space="0" w:color="auto"/>
              <w:bottom w:val="single" w:sz="4" w:space="0" w:color="auto"/>
              <w:right w:val="single" w:sz="4" w:space="0" w:color="auto"/>
            </w:tcBorders>
            <w:shd w:val="clear" w:color="auto" w:fill="C6EFCE"/>
            <w:noWrap/>
            <w:vAlign w:val="center"/>
          </w:tcPr>
          <w:p w14:paraId="52153990" w14:textId="01B61D63" w:rsidR="00235E11" w:rsidRDefault="00F837E4">
            <w:pPr>
              <w:pStyle w:val="P68B1DB1-Normal17"/>
              <w:spacing w:after="0"/>
              <w:rPr>
                <w:rFonts w:eastAsia="Times New Roman"/>
                <w:noProof/>
                <w:color w:val="006100"/>
              </w:rPr>
            </w:pPr>
            <w:r>
              <w:rPr>
                <w:noProof/>
                <w:color w:val="375623"/>
              </w:rPr>
              <w:t>ИТ система</w:t>
            </w:r>
            <w:r>
              <w:rPr>
                <w:noProof/>
                <w:color w:val="006100"/>
              </w:rPr>
              <w:t>, която обединява данни за емисиите с наблюдения от периодични технически проверки и инспекции за пътна безопасност, готови и достъпни за всички заинтересовани страни.</w:t>
            </w:r>
          </w:p>
        </w:tc>
      </w:tr>
      <w:tr w:rsidR="00235E11" w14:paraId="3DCDE7CF" w14:textId="77777777">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59164B" w14:textId="77777777" w:rsidR="00235E11" w:rsidRDefault="00F837E4">
            <w:pPr>
              <w:pStyle w:val="P68B1DB1-Normal10"/>
              <w:spacing w:after="0"/>
              <w:jc w:val="center"/>
              <w:rPr>
                <w:noProof/>
              </w:rPr>
            </w:pPr>
            <w:r>
              <w:rPr>
                <w:noProof/>
              </w:rPr>
              <w:t>126</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63B90785" w14:textId="77777777" w:rsidR="00235E11" w:rsidRDefault="00F837E4">
            <w:pPr>
              <w:pStyle w:val="P68B1DB1-Normal9"/>
              <w:spacing w:after="0"/>
              <w:rPr>
                <w:rFonts w:eastAsia="Times New Roman"/>
                <w:noProof/>
              </w:rPr>
            </w:pPr>
            <w:r>
              <w:rPr>
                <w:noProof/>
              </w:rPr>
              <w:t>Служебни автомобили с нулеви емисии (R-3.03)</w:t>
            </w:r>
          </w:p>
        </w:tc>
        <w:tc>
          <w:tcPr>
            <w:tcW w:w="1134" w:type="dxa"/>
            <w:tcBorders>
              <w:top w:val="nil"/>
              <w:left w:val="nil"/>
              <w:bottom w:val="single" w:sz="4" w:space="0" w:color="auto"/>
              <w:right w:val="single" w:sz="4" w:space="0" w:color="auto"/>
            </w:tcBorders>
            <w:shd w:val="clear" w:color="auto" w:fill="C6EFCE"/>
            <w:noWrap/>
            <w:vAlign w:val="center"/>
          </w:tcPr>
          <w:p w14:paraId="4C627612" w14:textId="5ADE4B28" w:rsidR="00235E11" w:rsidRDefault="00F837E4">
            <w:pPr>
              <w:pStyle w:val="P68B1DB1-Normal9"/>
              <w:spacing w:after="0"/>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78587AEF" w14:textId="77777777" w:rsidR="00235E11" w:rsidRDefault="00F837E4">
            <w:pPr>
              <w:pStyle w:val="P68B1DB1-Normal9"/>
              <w:spacing w:after="0"/>
              <w:rPr>
                <w:rFonts w:eastAsia="Times New Roman"/>
                <w:noProof/>
              </w:rPr>
            </w:pPr>
            <w:r>
              <w:rPr>
                <w:noProof/>
              </w:rPr>
              <w:t>Приемане на закон за реформиране на схемата за корпоративно данъчно облагане на автомобилите</w:t>
            </w:r>
          </w:p>
        </w:tc>
        <w:tc>
          <w:tcPr>
            <w:tcW w:w="1310" w:type="dxa"/>
            <w:tcBorders>
              <w:top w:val="nil"/>
              <w:left w:val="nil"/>
              <w:bottom w:val="single" w:sz="4" w:space="0" w:color="auto"/>
              <w:right w:val="single" w:sz="4" w:space="0" w:color="auto"/>
            </w:tcBorders>
            <w:shd w:val="clear" w:color="auto" w:fill="C6EFCE"/>
            <w:noWrap/>
            <w:vAlign w:val="center"/>
          </w:tcPr>
          <w:p w14:paraId="75712054" w14:textId="78014213" w:rsidR="00235E11" w:rsidRDefault="00F837E4">
            <w:pPr>
              <w:pStyle w:val="P68B1DB1-Normal9"/>
              <w:spacing w:after="0"/>
              <w:rPr>
                <w:rFonts w:eastAsia="Times New Roman"/>
                <w:noProof/>
              </w:rPr>
            </w:pPr>
            <w:r>
              <w:rPr>
                <w:noProof/>
              </w:rPr>
              <w:t xml:space="preserve">Приемане на проекта за адаптиране на закона за реформиране на схемата за корпоративно данъчно облагане на автомобилите </w:t>
            </w:r>
          </w:p>
        </w:tc>
        <w:tc>
          <w:tcPr>
            <w:tcW w:w="1114" w:type="dxa"/>
            <w:tcBorders>
              <w:top w:val="nil"/>
              <w:left w:val="nil"/>
              <w:bottom w:val="single" w:sz="4" w:space="0" w:color="auto"/>
              <w:right w:val="single" w:sz="4" w:space="0" w:color="auto"/>
            </w:tcBorders>
            <w:shd w:val="clear" w:color="auto" w:fill="C6EFCE"/>
            <w:noWrap/>
            <w:vAlign w:val="center"/>
          </w:tcPr>
          <w:p w14:paraId="0FF219F3" w14:textId="62B70519" w:rsidR="00235E11" w:rsidRDefault="00235E11">
            <w:pPr>
              <w:spacing w:after="0"/>
              <w:rPr>
                <w:rFonts w:ascii="Times New Roman" w:eastAsia="Times New Roman" w:hAnsi="Times New Roman" w:cs="Times New Roman"/>
                <w:noProof/>
                <w:color w:val="006100"/>
              </w:rPr>
            </w:pPr>
          </w:p>
        </w:tc>
        <w:tc>
          <w:tcPr>
            <w:tcW w:w="1120" w:type="dxa"/>
            <w:tcBorders>
              <w:top w:val="nil"/>
              <w:left w:val="nil"/>
              <w:bottom w:val="single" w:sz="4" w:space="0" w:color="auto"/>
              <w:right w:val="single" w:sz="4" w:space="0" w:color="auto"/>
            </w:tcBorders>
            <w:shd w:val="clear" w:color="auto" w:fill="C6EFCE"/>
            <w:noWrap/>
            <w:vAlign w:val="center"/>
          </w:tcPr>
          <w:p w14:paraId="55DA3440" w14:textId="1814D9BB" w:rsidR="00235E11" w:rsidRDefault="00235E11">
            <w:pPr>
              <w:spacing w:after="0"/>
              <w:rPr>
                <w:rFonts w:ascii="Times New Roman" w:eastAsia="Times New Roman" w:hAnsi="Times New Roman" w:cs="Times New Roman"/>
                <w:noProof/>
                <w:color w:val="006100"/>
              </w:rPr>
            </w:pPr>
          </w:p>
        </w:tc>
        <w:tc>
          <w:tcPr>
            <w:tcW w:w="850" w:type="dxa"/>
            <w:tcBorders>
              <w:top w:val="nil"/>
              <w:left w:val="nil"/>
              <w:bottom w:val="single" w:sz="4" w:space="0" w:color="auto"/>
              <w:right w:val="single" w:sz="4" w:space="0" w:color="auto"/>
            </w:tcBorders>
            <w:shd w:val="clear" w:color="auto" w:fill="C6EFCE"/>
            <w:noWrap/>
            <w:vAlign w:val="center"/>
          </w:tcPr>
          <w:p w14:paraId="2F136533" w14:textId="1BD07643" w:rsidR="00235E11" w:rsidRDefault="00235E11">
            <w:pPr>
              <w:spacing w:after="0"/>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161E293A" w14:textId="77777777" w:rsidR="00235E11" w:rsidRDefault="00F837E4">
            <w:pPr>
              <w:pStyle w:val="P68B1DB1-Normal9"/>
              <w:spacing w:after="0"/>
              <w:jc w:val="center"/>
              <w:rPr>
                <w:rFonts w:eastAsia="Times New Roman"/>
                <w:noProof/>
              </w:rPr>
            </w:pPr>
            <w:r>
              <w:rPr>
                <w:noProof/>
              </w:rPr>
              <w:t>Т3 Г.</w:t>
            </w:r>
          </w:p>
        </w:tc>
        <w:tc>
          <w:tcPr>
            <w:tcW w:w="709" w:type="dxa"/>
            <w:tcBorders>
              <w:top w:val="nil"/>
              <w:left w:val="nil"/>
              <w:bottom w:val="single" w:sz="4" w:space="0" w:color="auto"/>
              <w:right w:val="single" w:sz="4" w:space="0" w:color="auto"/>
            </w:tcBorders>
            <w:shd w:val="clear" w:color="auto" w:fill="C6EFCE"/>
            <w:noWrap/>
            <w:vAlign w:val="center"/>
          </w:tcPr>
          <w:p w14:paraId="1E20456D" w14:textId="77777777" w:rsidR="00235E11" w:rsidRDefault="00F837E4">
            <w:pPr>
              <w:pStyle w:val="P68B1DB1-Normal9"/>
              <w:spacing w:after="0"/>
              <w:jc w:val="center"/>
              <w:rPr>
                <w:rFonts w:eastAsia="Times New Roman"/>
                <w:noProof/>
              </w:rPr>
            </w:pPr>
            <w:r>
              <w:rPr>
                <w:noProof/>
              </w:rPr>
              <w:t>2021</w:t>
            </w:r>
          </w:p>
        </w:tc>
        <w:tc>
          <w:tcPr>
            <w:tcW w:w="4365" w:type="dxa"/>
            <w:tcBorders>
              <w:top w:val="nil"/>
              <w:left w:val="single" w:sz="4" w:space="0" w:color="auto"/>
              <w:bottom w:val="single" w:sz="4" w:space="0" w:color="auto"/>
              <w:right w:val="single" w:sz="4" w:space="0" w:color="auto"/>
            </w:tcBorders>
            <w:shd w:val="clear" w:color="auto" w:fill="C6EFCE"/>
            <w:noWrap/>
            <w:vAlign w:val="center"/>
          </w:tcPr>
          <w:p w14:paraId="571438A5" w14:textId="3DC64271" w:rsidR="00235E11" w:rsidRDefault="00F837E4">
            <w:pPr>
              <w:pStyle w:val="P68B1DB1-Normal9"/>
              <w:spacing w:after="0"/>
              <w:rPr>
                <w:noProof/>
              </w:rPr>
            </w:pPr>
            <w:r>
              <w:rPr>
                <w:noProof/>
              </w:rPr>
              <w:t>Приемане от федералния парламент на реформирана схема за данъчно облагане на служебни автомобили, при която новите служебни автомобили трябва да бъдат с нулеви емисии от 2026 г. нататък, за да се възползват от съществуващата преференциална схема. Реформираната схема за данъчно облагане на автомобили на дружествата предвижда (1) забрана за приспадане на конвенционалните служебни автомобили, придобити от 2026 г. (2) прогресивно намаление на ставката за данъчно приспадане на конвенционалните служебни автомобили, придобити между 1 юли</w:t>
            </w:r>
            <w:r>
              <w:rPr>
                <w:noProof/>
                <w:lang w:val="bg-BG"/>
              </w:rPr>
              <w:t xml:space="preserve"> </w:t>
            </w:r>
            <w:r w:rsidRPr="00F837E4">
              <w:rPr>
                <w:noProof/>
              </w:rPr>
              <w:t>2023 г.</w:t>
            </w:r>
            <w:r>
              <w:rPr>
                <w:noProof/>
              </w:rPr>
              <w:t xml:space="preserve"> и 31 декември 2025 г., за да достигне 0 % до 2028 г., (3) прогресивно намаляване на данъчната ставка за служебни автомобили с нулеви емисии, която да достигне най-много 67,5 % до 2031 г., и (4) данъчно приспадане на бензин и дизелово гориво за хибридни служебни автомобили, придобити между 2023 г. и 2025 г., намалено на 50 %, считано от 1</w:t>
            </w:r>
            <w:r>
              <w:rPr>
                <w:noProof/>
                <w:vertAlign w:val="superscript"/>
              </w:rPr>
              <w:t>януари</w:t>
            </w:r>
            <w:r>
              <w:rPr>
                <w:noProof/>
              </w:rPr>
              <w:t xml:space="preserve"> 2023 г. Освен това (5) за конвенционалните автомобили, придобити след 1 юли 2023 г., приносът на CO2 се увеличава с 2.25 от 1 юли 2023 г. и постепенно се увеличава през 2025 г., 2026 г. до коефициент 5.50 през 2027 г. (6) за служебни автомобили с нулеви емисии, придобити от 1 юли 2023 г., минималната солидарна вноска се увеличава, считано от 2025 г., по такъв начин, че в дългосрочен план за средния служебен автомобил се дължи същият размер на социалноосигурителните вноски, какъвто е случаят към момента на представяне на плана.</w:t>
            </w:r>
          </w:p>
        </w:tc>
      </w:tr>
    </w:tbl>
    <w:p w14:paraId="1F42D02F" w14:textId="77777777" w:rsidR="00235E11" w:rsidRDefault="00235E11">
      <w:pPr>
        <w:pStyle w:val="Text1"/>
        <w:ind w:left="709"/>
        <w:rPr>
          <w:noProof/>
        </w:rPr>
      </w:pPr>
    </w:p>
    <w:p w14:paraId="613968B3" w14:textId="77777777" w:rsidR="00235E11" w:rsidRDefault="00235E11">
      <w:pPr>
        <w:ind w:left="709"/>
        <w:rPr>
          <w:rFonts w:ascii="Times New Roman" w:hAnsi="Times New Roman" w:cs="Times New Roman"/>
          <w:noProof/>
        </w:rPr>
        <w:sectPr w:rsidR="00235E11" w:rsidSect="007F56C3">
          <w:headerReference w:type="even" r:id="rId144"/>
          <w:headerReference w:type="default" r:id="rId145"/>
          <w:footerReference w:type="even" r:id="rId146"/>
          <w:footerReference w:type="default" r:id="rId147"/>
          <w:headerReference w:type="first" r:id="rId148"/>
          <w:footerReference w:type="first" r:id="rId149"/>
          <w:pgSz w:w="16839" w:h="11907" w:orient="landscape"/>
          <w:pgMar w:top="1134" w:right="1134" w:bottom="1134" w:left="1134" w:header="567" w:footer="567" w:gutter="0"/>
          <w:cols w:space="720"/>
          <w:docGrid w:linePitch="360"/>
        </w:sectPr>
      </w:pPr>
    </w:p>
    <w:p w14:paraId="13E34EA0" w14:textId="09E35FE3" w:rsidR="00235E11" w:rsidRDefault="00F837E4">
      <w:pPr>
        <w:pStyle w:val="ManualHeading1"/>
        <w:spacing w:before="120"/>
        <w:ind w:left="0" w:firstLine="0"/>
        <w:rPr>
          <w:noProof/>
        </w:rPr>
      </w:pPr>
      <w:r>
        <w:rPr>
          <w:noProof/>
        </w:rPr>
        <w:t>Й. КОМПОНЕНТ 4.1: Образование 2.0</w:t>
      </w:r>
    </w:p>
    <w:p w14:paraId="124C063A" w14:textId="77777777" w:rsidR="00235E11" w:rsidRDefault="00F837E4">
      <w:pPr>
        <w:pStyle w:val="NormalLeft"/>
        <w:jc w:val="both"/>
        <w:rPr>
          <w:noProof/>
        </w:rPr>
      </w:pPr>
      <w:r>
        <w:rPr>
          <w:noProof/>
        </w:rPr>
        <w:t>Мерките, предложени в рамките на този компонент от белгийския план за възстановяване и устойчивост, имат за цел да подобрят приобщаващия характер на образователните системи, като същевременно подобрят ефективността им, за да се гарантира, че преподаваните компетентности съответстват по-добре на изискваните на пазара на труда.</w:t>
      </w:r>
    </w:p>
    <w:p w14:paraId="09979818" w14:textId="77777777" w:rsidR="00235E11" w:rsidRDefault="00F837E4">
      <w:pPr>
        <w:pStyle w:val="NormalLeft"/>
        <w:jc w:val="both"/>
        <w:rPr>
          <w:noProof/>
        </w:rPr>
      </w:pPr>
      <w:r>
        <w:rPr>
          <w:noProof/>
        </w:rPr>
        <w:t>Компонентът допринася за изпълнението на специфична за всяка държава препоръка 2019.2, за да се подобрят резултатите и приобщаващият характер на системите за образование и обучение и да се преодолеят несъответствията между търсените и предлаганите умения.</w:t>
      </w:r>
    </w:p>
    <w:p w14:paraId="17B28CF7" w14:textId="77777777" w:rsidR="00235E11" w:rsidRPr="00B22925" w:rsidRDefault="00F837E4">
      <w:pPr>
        <w:pStyle w:val="NormalLeft"/>
        <w:jc w:val="both"/>
        <w:rPr>
          <w:noProof/>
          <w:spacing w:val="-4"/>
        </w:rPr>
      </w:pPr>
      <w:r w:rsidRPr="00B22925">
        <w:rPr>
          <w:noProof/>
          <w:spacing w:val="-4"/>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37D694B5" w14:textId="77777777" w:rsidR="00235E11" w:rsidRDefault="00F837E4">
      <w:pPr>
        <w:pStyle w:val="P68B1DB1-Normal1"/>
        <w:jc w:val="both"/>
        <w:rPr>
          <w:noProof/>
        </w:rPr>
      </w:pPr>
      <w:r>
        <w:rPr>
          <w:noProof/>
        </w:rPr>
        <w:t xml:space="preserve">Й.1. </w:t>
      </w:r>
      <w:r>
        <w:rPr>
          <w:noProof/>
        </w:rPr>
        <w:tab/>
        <w:t>Описание на реформите и инвестициите за безвъзмездна финансова подкрепа</w:t>
      </w:r>
    </w:p>
    <w:p w14:paraId="3E13A757" w14:textId="77777777" w:rsidR="00235E11" w:rsidRDefault="00F837E4">
      <w:pPr>
        <w:pStyle w:val="P68B1DB1-Text111"/>
        <w:ind w:left="0"/>
        <w:rPr>
          <w:noProof/>
        </w:rPr>
      </w:pPr>
      <w:r>
        <w:rPr>
          <w:noProof/>
        </w:rPr>
        <w:t>Реформа R-4.01: „Digisprong“ на фламандската общност</w:t>
      </w:r>
    </w:p>
    <w:p w14:paraId="1307884E" w14:textId="61FEBF3A" w:rsidR="00235E11" w:rsidRDefault="00F837E4">
      <w:pPr>
        <w:pStyle w:val="Text1"/>
        <w:ind w:left="0"/>
        <w:rPr>
          <w:noProof/>
        </w:rPr>
      </w:pPr>
      <w:r>
        <w:rPr>
          <w:noProof/>
        </w:rPr>
        <w:t xml:space="preserve">Тази реформа се състои от действия, свързани с четири стълба: (1) реформи в образованието в областта на ИКТ, медийната грамотност и изчислителното мислене, (2) насърчаване на ефективни политики в областта на ИКТ в училищата чрез засилване на ролята на координаторите по ИКТ, (3) учители и обучители с цифрови умения за учителите и (4) създаване на център за знания и консултации в подкрепа на училищата при цифровизирането на тяхното образование. Законодателството относно новата рамка за ИКТ за задължително образование във Фландрия влиза в сила до 31 декември 2023 г. </w:t>
      </w:r>
    </w:p>
    <w:p w14:paraId="2304C7B1" w14:textId="77777777" w:rsidR="00235E11" w:rsidRDefault="00F837E4">
      <w:pPr>
        <w:pStyle w:val="P68B1DB1-Text111"/>
        <w:ind w:left="0"/>
        <w:rPr>
          <w:noProof/>
        </w:rPr>
      </w:pPr>
      <w:r>
        <w:rPr>
          <w:noProof/>
        </w:rPr>
        <w:t>Реформа R-4.02: „Фонд за повишаване на висшето образование“ на Фламандската общност</w:t>
      </w:r>
    </w:p>
    <w:p w14:paraId="096DA35A" w14:textId="7BAA724D" w:rsidR="00235E11" w:rsidRDefault="00F837E4">
      <w:pPr>
        <w:pStyle w:val="Text1"/>
        <w:ind w:left="0"/>
        <w:rPr>
          <w:noProof/>
        </w:rPr>
      </w:pPr>
      <w:r>
        <w:rPr>
          <w:noProof/>
        </w:rPr>
        <w:t xml:space="preserve">Тази реформа има за цел изготвянето на документ за визия по следните три цели: (1) създаване на ориентирано към бъдещето и гъвкаво предлагане във фламандските висши учебни заведения, (2) по-нататъшно развитие на ученето през целия живот във висшето образование и (3) извличане на максимална полза от цифровите форми на образование. По-конкретно, в документ за визия i) се определя нов профил на висшето образование във Фландрия, за да се гарантира, че висшите учебни заведения са най-съвременни, и ii) да се разработи визия за </w:t>
      </w:r>
      <w:r>
        <w:rPr>
          <w:noProof/>
          <w:color w:val="000000" w:themeColor="text1"/>
        </w:rPr>
        <w:t>ученето през целия живот. Документът за визия ще бъде</w:t>
      </w:r>
      <w:r w:rsidR="00B22925">
        <w:rPr>
          <w:noProof/>
          <w:color w:val="000000" w:themeColor="text1"/>
          <w:lang w:val="en-US"/>
        </w:rPr>
        <w:t xml:space="preserve"> </w:t>
      </w:r>
      <w:r>
        <w:rPr>
          <w:rFonts w:eastAsia="Times New Roman"/>
          <w:noProof/>
          <w:color w:val="000000" w:themeColor="text1"/>
        </w:rPr>
        <w:t>потвърден от министъра на образованието и обучението на фламандското правителство до 31 декември 2023 г.</w:t>
      </w:r>
    </w:p>
    <w:p w14:paraId="4E206333" w14:textId="77777777" w:rsidR="00235E11" w:rsidRDefault="00F837E4">
      <w:pPr>
        <w:pStyle w:val="P68B1DB1-Text111"/>
        <w:ind w:left="0"/>
        <w:rPr>
          <w:noProof/>
        </w:rPr>
      </w:pPr>
      <w:r>
        <w:rPr>
          <w:noProof/>
        </w:rPr>
        <w:t>Реформа R-4.03: „Глобален план за действие срещу преждевременното напускане на училище“ на Френската общност</w:t>
      </w:r>
    </w:p>
    <w:p w14:paraId="4B8A7B83" w14:textId="2997148B" w:rsidR="00235E11" w:rsidRDefault="00F837E4">
      <w:pPr>
        <w:pStyle w:val="Text1"/>
        <w:ind w:left="0"/>
        <w:rPr>
          <w:noProof/>
        </w:rPr>
      </w:pPr>
      <w:r>
        <w:rPr>
          <w:noProof/>
        </w:rPr>
        <w:t xml:space="preserve">Тази реформа се състои от всеобхватна стратегия, обхващаща три направления — превенция, намеса, компенсация и развитие по съгласуван и конкретен начин, основана на нова (засилена) координация на заинтересованите страни, работещи в различни области, и на различни служби за подкрепа. Изпълнението на реформата трябва да приключи до 30 юни 2024 г. </w:t>
      </w:r>
    </w:p>
    <w:p w14:paraId="1AB11E38" w14:textId="77777777" w:rsidR="00235E11" w:rsidRDefault="00F837E4">
      <w:pPr>
        <w:pStyle w:val="P68B1DB1-Normal13"/>
        <w:spacing w:before="120" w:after="120" w:line="240" w:lineRule="auto"/>
        <w:jc w:val="both"/>
        <w:rPr>
          <w:noProof/>
        </w:rPr>
      </w:pPr>
      <w:r>
        <w:rPr>
          <w:noProof/>
        </w:rPr>
        <w:t>Инвестиция I-4.01: „Digisprong“ на фламандската общност</w:t>
      </w:r>
    </w:p>
    <w:p w14:paraId="17E104B7" w14:textId="322B14ED" w:rsidR="00235E11" w:rsidRDefault="00F837E4">
      <w:pPr>
        <w:pStyle w:val="Text1"/>
        <w:ind w:left="0"/>
        <w:rPr>
          <w:noProof/>
        </w:rPr>
      </w:pPr>
      <w:r>
        <w:rPr>
          <w:noProof/>
        </w:rPr>
        <w:t>Тази инвестиция се състои от следните два елемента: (1) да предостави на всички училища цифрово устройство за всеки ученик и (2) да предостави на учителите ефективни инструменти за учене и обучение за подобряване на техните цифрови умения. Изпълнението на инвестицията трябва да приключи до 31 декември 2022 г.</w:t>
      </w:r>
    </w:p>
    <w:p w14:paraId="2E7EA710" w14:textId="77777777" w:rsidR="00235E11" w:rsidRDefault="00F837E4">
      <w:pPr>
        <w:pStyle w:val="P68B1DB1-Normal13"/>
        <w:spacing w:before="120" w:after="120" w:line="240" w:lineRule="auto"/>
        <w:jc w:val="both"/>
        <w:rPr>
          <w:noProof/>
        </w:rPr>
      </w:pPr>
      <w:r>
        <w:rPr>
          <w:noProof/>
        </w:rPr>
        <w:t>Инвестиция I-4.02: „Фонд за повишаване на висшето образование“ на Фламандската общност</w:t>
      </w:r>
    </w:p>
    <w:p w14:paraId="4BDBEEB2" w14:textId="77777777" w:rsidR="00235E11" w:rsidRPr="00B22925" w:rsidRDefault="00F837E4">
      <w:pPr>
        <w:pStyle w:val="Text1"/>
        <w:ind w:left="0"/>
        <w:rPr>
          <w:noProof/>
          <w:spacing w:val="-4"/>
        </w:rPr>
      </w:pPr>
      <w:r w:rsidRPr="00B22925">
        <w:rPr>
          <w:noProof/>
          <w:spacing w:val="-4"/>
        </w:rPr>
        <w:t>Тази инвестиция се състои в (1) създаването на съобразено с бъдещето и гъвкаво предлагане във фламандските висши учебни заведения, (2) по-нататъшното развитие на ученето през целия живот във висшето образование и (3) подкрепата за устойчивото прилагане на нови цифрови форми на образование. Изпълнението на инвестицията трябва да приключи до 31 декември 2023 г.</w:t>
      </w:r>
    </w:p>
    <w:p w14:paraId="4F61135B" w14:textId="77777777" w:rsidR="00235E11" w:rsidRDefault="00F837E4">
      <w:pPr>
        <w:pStyle w:val="P68B1DB1-Normal13"/>
        <w:pageBreakBefore/>
        <w:spacing w:before="120" w:after="120" w:line="240" w:lineRule="auto"/>
        <w:jc w:val="both"/>
        <w:rPr>
          <w:noProof/>
        </w:rPr>
      </w:pPr>
      <w:r>
        <w:rPr>
          <w:noProof/>
        </w:rPr>
        <w:t>Инвестиция I-4.03: „Персонализирано ориентиране в задължителното образование“ на Френската общност</w:t>
      </w:r>
    </w:p>
    <w:p w14:paraId="5A306B17" w14:textId="77777777" w:rsidR="00235E11" w:rsidRDefault="00F837E4">
      <w:pPr>
        <w:pStyle w:val="Text1"/>
        <w:ind w:left="0"/>
        <w:rPr>
          <w:noProof/>
        </w:rPr>
      </w:pPr>
      <w:r>
        <w:rPr>
          <w:noProof/>
        </w:rPr>
        <w:t>Тези инвестиции се разработват в отговор на психосоциалните, образователните и педагогическите проблеми на учениците в началните и средните училища и за борба с разпространението на явления като неравностойното положение в образованието и преждевременното напускане на училище в резултат на COVID-19. Изпълнението на инвестицията трябва да приключи до 31 декември 2022 г.</w:t>
      </w:r>
    </w:p>
    <w:p w14:paraId="0E8933D1" w14:textId="77777777" w:rsidR="00235E11" w:rsidRDefault="00F837E4">
      <w:pPr>
        <w:pStyle w:val="P68B1DB1-Normal13"/>
        <w:spacing w:before="120" w:after="120" w:line="240" w:lineRule="auto"/>
        <w:jc w:val="both"/>
        <w:rPr>
          <w:noProof/>
        </w:rPr>
      </w:pPr>
      <w:r>
        <w:rPr>
          <w:noProof/>
        </w:rPr>
        <w:t>Инвестиция I-4.04: „Цифрова стратегия за висшето образование и ученето за възрастни“ на Френската общност</w:t>
      </w:r>
    </w:p>
    <w:p w14:paraId="40957FF7" w14:textId="77777777" w:rsidR="00235E11" w:rsidRDefault="00F837E4">
      <w:pPr>
        <w:pStyle w:val="Text1"/>
        <w:ind w:left="0"/>
        <w:rPr>
          <w:noProof/>
        </w:rPr>
      </w:pPr>
      <w:r>
        <w:rPr>
          <w:noProof/>
        </w:rPr>
        <w:t>Тази инвестиция се състои от (1) оборудване на училищата и висшите учебни заведения с цифрово оборудване, (2) развиване на цифровите умения на учениците и учителите с помощта на специални инструменти и методи за цифрови умения. Изпълнението на инвестицията трябва да приключи до 30 юни 2026 г.</w:t>
      </w:r>
    </w:p>
    <w:p w14:paraId="425AF28F" w14:textId="77777777" w:rsidR="00235E11" w:rsidRDefault="00F837E4">
      <w:pPr>
        <w:pStyle w:val="P68B1DB1-Normal13"/>
        <w:spacing w:before="120" w:after="120" w:line="240" w:lineRule="auto"/>
        <w:jc w:val="both"/>
        <w:rPr>
          <w:noProof/>
        </w:rPr>
      </w:pPr>
      <w:r>
        <w:rPr>
          <w:noProof/>
        </w:rPr>
        <w:t>Инвестиция I-4.05: „Цифрова трансформация за училищата в Брюксел“ в регион Брюксел-столица</w:t>
      </w:r>
    </w:p>
    <w:p w14:paraId="36182AE5" w14:textId="77777777" w:rsidR="00235E11" w:rsidRDefault="00F837E4">
      <w:pPr>
        <w:pStyle w:val="Text1"/>
        <w:ind w:left="0"/>
        <w:rPr>
          <w:noProof/>
        </w:rPr>
      </w:pPr>
      <w:r>
        <w:rPr>
          <w:noProof/>
        </w:rPr>
        <w:t>Тази инвестиция се състои от (1) цифрово оборудване за училищата с високо равнище на уязвими ученици и (2) укрепване на вътрешната свързаност на училищата в Брюксел. Изпълнението на инвестицията трябва да приключи до 31 декември 2024 г.</w:t>
      </w:r>
    </w:p>
    <w:p w14:paraId="58326FF4" w14:textId="77777777" w:rsidR="00235E11" w:rsidRDefault="00F837E4">
      <w:pPr>
        <w:pStyle w:val="NormalLeft"/>
        <w:jc w:val="both"/>
        <w:rPr>
          <w:noProof/>
        </w:rPr>
      </w:pPr>
      <w:r>
        <w:rPr>
          <w:noProof/>
          <w:u w:val="single"/>
        </w:rPr>
        <w:t>Инвестиция I-4.06: „Цифрова трансформация на образованието“ на немскоезичната общност</w:t>
      </w:r>
      <w:r>
        <w:rPr>
          <w:noProof/>
        </w:rPr>
        <w:t xml:space="preserve">, </w:t>
      </w:r>
    </w:p>
    <w:p w14:paraId="21FDB889" w14:textId="79D0A24B" w:rsidR="00235E11" w:rsidRDefault="00F837E4">
      <w:pPr>
        <w:pStyle w:val="Text1"/>
        <w:ind w:left="0"/>
        <w:rPr>
          <w:noProof/>
        </w:rPr>
      </w:pPr>
      <w:r>
        <w:rPr>
          <w:noProof/>
        </w:rPr>
        <w:t>Целта на инвестицията е да се предоставят лаптопи на всички учители и ученици от средните училища. Оборудването на учителите се извършва на доброволен принцип: преносимите компютри се закупуват само за учителите, които са поискали лаптоп. Изпълнението на инвестицията трябва да приключи до 30 юни 2026 г.</w:t>
      </w:r>
    </w:p>
    <w:p w14:paraId="1D9D31E5" w14:textId="77777777" w:rsidR="00235E11" w:rsidRDefault="00F837E4">
      <w:pPr>
        <w:pStyle w:val="P68B1DB1-Normal13"/>
        <w:spacing w:before="120" w:after="120" w:line="240" w:lineRule="auto"/>
        <w:jc w:val="both"/>
        <w:rPr>
          <w:noProof/>
        </w:rPr>
      </w:pPr>
      <w:r>
        <w:rPr>
          <w:noProof/>
        </w:rPr>
        <w:t>Инвестиция I-4: „Предоставяне на цифрово оборудване и ИТ инфраструктура на училищата“</w:t>
      </w:r>
    </w:p>
    <w:p w14:paraId="328FD4AA" w14:textId="77777777" w:rsidR="00235E11" w:rsidRDefault="00F837E4">
      <w:pPr>
        <w:pStyle w:val="NormalLeft"/>
        <w:jc w:val="both"/>
        <w:rPr>
          <w:noProof/>
        </w:rPr>
      </w:pPr>
      <w:r>
        <w:rPr>
          <w:noProof/>
        </w:rPr>
        <w:t>Целта на инвестицията „предоставяне на цифрово оборудване и ИТ инфраструктура на училищата“ е да се гарантира предоставянето на необходимото цифрово оборудване и ИТ инфраструктура на училищата.</w:t>
      </w:r>
    </w:p>
    <w:p w14:paraId="52DE599E" w14:textId="77777777" w:rsidR="00235E11" w:rsidRDefault="00F837E4">
      <w:pPr>
        <w:pStyle w:val="NormalLeft"/>
        <w:jc w:val="both"/>
        <w:rPr>
          <w:noProof/>
        </w:rPr>
      </w:pPr>
      <w:r>
        <w:rPr>
          <w:noProof/>
        </w:rPr>
        <w:t>Инвестицията се състои от следните подмерки/действия:</w:t>
      </w:r>
    </w:p>
    <w:p w14:paraId="3720F6C3" w14:textId="77777777" w:rsidR="00235E11" w:rsidRDefault="00F837E4">
      <w:pPr>
        <w:pStyle w:val="P68B1DB1-ListParagraph18"/>
        <w:numPr>
          <w:ilvl w:val="0"/>
          <w:numId w:val="34"/>
        </w:numPr>
        <w:tabs>
          <w:tab w:val="left" w:pos="426"/>
        </w:tabs>
        <w:spacing w:before="120" w:after="120" w:line="240" w:lineRule="auto"/>
        <w:ind w:left="0" w:firstLine="0"/>
        <w:jc w:val="both"/>
        <w:rPr>
          <w:noProof/>
        </w:rPr>
      </w:pPr>
      <w:r>
        <w:rPr>
          <w:noProof/>
        </w:rPr>
        <w:t xml:space="preserve">Инвестиция I-4.01: „Digisprong“ на фламандската общност </w:t>
      </w:r>
    </w:p>
    <w:p w14:paraId="06A7740E" w14:textId="77777777" w:rsidR="00235E11" w:rsidRDefault="00F837E4">
      <w:pPr>
        <w:pStyle w:val="P68B1DB1-ListParagraph18"/>
        <w:numPr>
          <w:ilvl w:val="0"/>
          <w:numId w:val="34"/>
        </w:numPr>
        <w:tabs>
          <w:tab w:val="left" w:pos="426"/>
        </w:tabs>
        <w:spacing w:before="120" w:after="120" w:line="240" w:lineRule="auto"/>
        <w:ind w:left="0" w:firstLine="0"/>
        <w:jc w:val="both"/>
        <w:rPr>
          <w:noProof/>
        </w:rPr>
      </w:pPr>
      <w:r>
        <w:rPr>
          <w:noProof/>
        </w:rPr>
        <w:t xml:space="preserve">Инвестиция I-4.04: „Цифрова стратегия за висшето образование и ученето за възрастни“ на Френската общност </w:t>
      </w:r>
    </w:p>
    <w:p w14:paraId="611BEF10" w14:textId="77777777" w:rsidR="00235E11" w:rsidRDefault="00F837E4">
      <w:pPr>
        <w:pStyle w:val="P68B1DB1-ListParagraph18"/>
        <w:numPr>
          <w:ilvl w:val="0"/>
          <w:numId w:val="34"/>
        </w:numPr>
        <w:tabs>
          <w:tab w:val="left" w:pos="426"/>
        </w:tabs>
        <w:spacing w:before="120" w:after="120" w:line="240" w:lineRule="auto"/>
        <w:ind w:left="0" w:firstLine="0"/>
        <w:jc w:val="both"/>
        <w:rPr>
          <w:noProof/>
        </w:rPr>
      </w:pPr>
      <w:r>
        <w:rPr>
          <w:noProof/>
        </w:rPr>
        <w:t>Инвестиция I-4.06: „Цифрова трансформация на образованието“ на немскоезичната общност</w:t>
      </w:r>
    </w:p>
    <w:p w14:paraId="07AF1893" w14:textId="77777777" w:rsidR="00235E11" w:rsidRDefault="00235E11">
      <w:pPr>
        <w:spacing w:before="120" w:after="120" w:line="240" w:lineRule="auto"/>
        <w:jc w:val="both"/>
        <w:rPr>
          <w:rFonts w:ascii="Times New Roman" w:hAnsi="Times New Roman" w:cs="Times New Roman"/>
          <w:noProof/>
          <w:sz w:val="24"/>
        </w:rPr>
      </w:pPr>
    </w:p>
    <w:p w14:paraId="634E781F" w14:textId="77777777" w:rsidR="00235E11" w:rsidRDefault="00F837E4">
      <w:pPr>
        <w:pStyle w:val="P68B1DB1-Text16"/>
        <w:ind w:left="0"/>
        <w:rPr>
          <w:noProof/>
        </w:rPr>
      </w:pPr>
      <w:r>
        <w:rPr>
          <w:noProof/>
        </w:rPr>
        <w:t xml:space="preserve">Й.2. </w:t>
      </w:r>
      <w:r>
        <w:rPr>
          <w:noProof/>
        </w:rPr>
        <w:tab/>
        <w:t>Ключови етапи, цели, показатели и график за мониторинг и изпълнение на безвъзмездната финансова подкрепа</w:t>
      </w:r>
    </w:p>
    <w:p w14:paraId="54632A5B" w14:textId="77777777" w:rsidR="00235E11" w:rsidRDefault="00235E11">
      <w:pPr>
        <w:pStyle w:val="Text1"/>
        <w:rPr>
          <w:noProof/>
        </w:rPr>
      </w:pPr>
    </w:p>
    <w:p w14:paraId="7B5CD0E1" w14:textId="77777777" w:rsidR="00235E11" w:rsidRDefault="00235E11">
      <w:pPr>
        <w:pStyle w:val="Text1"/>
        <w:ind w:left="709"/>
        <w:rPr>
          <w:noProof/>
        </w:rPr>
        <w:sectPr w:rsidR="00235E11" w:rsidSect="007F56C3">
          <w:headerReference w:type="even" r:id="rId150"/>
          <w:headerReference w:type="default" r:id="rId151"/>
          <w:footerReference w:type="even" r:id="rId152"/>
          <w:footerReference w:type="default" r:id="rId153"/>
          <w:headerReference w:type="first" r:id="rId154"/>
          <w:footerReference w:type="first" r:id="rId155"/>
          <w:pgSz w:w="11907" w:h="16839"/>
          <w:pgMar w:top="1134" w:right="1134" w:bottom="1134" w:left="1134" w:header="567" w:footer="567" w:gutter="0"/>
          <w:cols w:space="720"/>
          <w:docGrid w:linePitch="360"/>
        </w:sectPr>
      </w:pPr>
    </w:p>
    <w:tbl>
      <w:tblPr>
        <w:tblW w:w="15502" w:type="dxa"/>
        <w:jc w:val="center"/>
        <w:tblLayout w:type="fixed"/>
        <w:tblLook w:val="04A0" w:firstRow="1" w:lastRow="0" w:firstColumn="1" w:lastColumn="0" w:noHBand="0" w:noVBand="1"/>
      </w:tblPr>
      <w:tblGrid>
        <w:gridCol w:w="880"/>
        <w:gridCol w:w="1701"/>
        <w:gridCol w:w="1383"/>
        <w:gridCol w:w="1511"/>
        <w:gridCol w:w="1324"/>
        <w:gridCol w:w="1134"/>
        <w:gridCol w:w="1066"/>
        <w:gridCol w:w="777"/>
        <w:gridCol w:w="1027"/>
        <w:gridCol w:w="850"/>
        <w:gridCol w:w="3849"/>
      </w:tblGrid>
      <w:tr w:rsidR="00235E11" w14:paraId="5DBE841B" w14:textId="77777777">
        <w:trPr>
          <w:trHeight w:val="927"/>
          <w:tblHeader/>
          <w:jc w:val="center"/>
        </w:trPr>
        <w:tc>
          <w:tcPr>
            <w:tcW w:w="8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C63031" w14:textId="37C6E12E" w:rsidR="00235E11" w:rsidRDefault="00F837E4">
            <w:pPr>
              <w:pStyle w:val="P68B1DB1-Normal15"/>
              <w:spacing w:after="0"/>
              <w:jc w:val="center"/>
              <w:rPr>
                <w:noProof/>
              </w:rPr>
            </w:pPr>
            <w:r>
              <w:rPr>
                <w:noProof/>
              </w:rPr>
              <w:t>Следващи Забележка: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33835E" w14:textId="77777777" w:rsidR="00235E11" w:rsidRDefault="00F837E4">
            <w:pPr>
              <w:pStyle w:val="P68B1DB1-Normal15"/>
              <w:spacing w:after="0"/>
              <w:jc w:val="center"/>
              <w:rPr>
                <w:noProof/>
              </w:rPr>
            </w:pPr>
            <w:r>
              <w:rPr>
                <w:noProof/>
              </w:rPr>
              <w:t>Свързана мярка (реформа или инвестиции)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43967F" w14:textId="77777777" w:rsidR="00235E11" w:rsidRDefault="00F837E4">
            <w:pPr>
              <w:pStyle w:val="P68B1DB1-Normal15"/>
              <w:spacing w:after="0"/>
              <w:jc w:val="center"/>
              <w:rPr>
                <w:noProof/>
              </w:rPr>
            </w:pPr>
            <w:r>
              <w:rPr>
                <w:noProof/>
              </w:rPr>
              <w:t>Ключов етап/Цел</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F16EF7" w14:textId="77777777" w:rsidR="00235E11" w:rsidRDefault="00F837E4">
            <w:pPr>
              <w:pStyle w:val="P68B1DB1-Normal15"/>
              <w:spacing w:after="0"/>
              <w:jc w:val="center"/>
              <w:rPr>
                <w:noProof/>
              </w:rPr>
            </w:pPr>
            <w:r>
              <w:rPr>
                <w:noProof/>
              </w:rPr>
              <w:t>Име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3AB1B4"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97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5C0142A"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877" w:type="dxa"/>
            <w:gridSpan w:val="2"/>
            <w:tcBorders>
              <w:top w:val="single" w:sz="4" w:space="0" w:color="auto"/>
              <w:left w:val="nil"/>
              <w:bottom w:val="single" w:sz="4" w:space="0" w:color="auto"/>
              <w:right w:val="single" w:sz="4" w:space="0" w:color="auto"/>
            </w:tcBorders>
            <w:shd w:val="clear" w:color="auto" w:fill="BDD7EE"/>
            <w:vAlign w:val="center"/>
            <w:hideMark/>
          </w:tcPr>
          <w:p w14:paraId="44D27DED" w14:textId="77777777" w:rsidR="00235E11" w:rsidRDefault="00F837E4">
            <w:pPr>
              <w:pStyle w:val="P68B1DB1-Normal15"/>
              <w:spacing w:after="0"/>
              <w:jc w:val="center"/>
              <w:rPr>
                <w:noProof/>
              </w:rPr>
            </w:pPr>
            <w:r>
              <w:rPr>
                <w:noProof/>
              </w:rPr>
              <w:t xml:space="preserve">Примерен график за приключване </w:t>
            </w:r>
          </w:p>
        </w:tc>
        <w:tc>
          <w:tcPr>
            <w:tcW w:w="38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35D1CD" w14:textId="77777777" w:rsidR="00235E11" w:rsidRDefault="00F837E4">
            <w:pPr>
              <w:pStyle w:val="P68B1DB1-Normal15"/>
              <w:spacing w:after="0"/>
              <w:jc w:val="center"/>
              <w:rPr>
                <w:noProof/>
              </w:rPr>
            </w:pPr>
            <w:r>
              <w:rPr>
                <w:noProof/>
              </w:rPr>
              <w:t>Описание на всеки ключов етап и цел</w:t>
            </w:r>
          </w:p>
        </w:tc>
      </w:tr>
      <w:tr w:rsidR="00235E11" w14:paraId="29F77F1F" w14:textId="77777777">
        <w:trPr>
          <w:trHeight w:val="1013"/>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0DEE974" w14:textId="77777777" w:rsidR="00235E11" w:rsidRDefault="00235E11">
            <w:pPr>
              <w:spacing w:after="0"/>
              <w:rPr>
                <w:rFonts w:ascii="Times New Roman" w:eastAsia="Times New Roman" w:hAnsi="Times New Roman" w:cs="Times New Roman"/>
                <w:b/>
                <w:noProof/>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AF0BB1" w14:textId="77777777" w:rsidR="00235E11" w:rsidRDefault="00235E11">
            <w:pPr>
              <w:spacing w:after="0"/>
              <w:rPr>
                <w:rFonts w:ascii="Times New Roman" w:eastAsia="Times New Roman" w:hAnsi="Times New Roman" w:cs="Times New Roman"/>
                <w:b/>
                <w:noProof/>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0604538" w14:textId="77777777" w:rsidR="00235E11" w:rsidRDefault="00235E11">
            <w:pPr>
              <w:spacing w:after="0"/>
              <w:rPr>
                <w:rFonts w:ascii="Times New Roman" w:eastAsia="Times New Roman" w:hAnsi="Times New Roman" w:cs="Times New Roman"/>
                <w:b/>
                <w:noProof/>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084C2680" w14:textId="77777777" w:rsidR="00235E11" w:rsidRDefault="00235E11">
            <w:pPr>
              <w:spacing w:after="0"/>
              <w:rPr>
                <w:rFonts w:ascii="Times New Roman" w:eastAsia="Times New Roman" w:hAnsi="Times New Roman" w:cs="Times New Roman"/>
                <w:b/>
                <w:noProof/>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C6DB5F8" w14:textId="77777777" w:rsidR="00235E11" w:rsidRDefault="00235E11">
            <w:pPr>
              <w:spacing w:after="0"/>
              <w:rPr>
                <w:rFonts w:ascii="Times New Roman" w:eastAsia="Times New Roman" w:hAnsi="Times New Roman" w:cs="Times New Roman"/>
                <w:b/>
                <w:noProof/>
              </w:rPr>
            </w:pPr>
          </w:p>
        </w:tc>
        <w:tc>
          <w:tcPr>
            <w:tcW w:w="1134" w:type="dxa"/>
            <w:tcBorders>
              <w:top w:val="nil"/>
              <w:left w:val="single" w:sz="4" w:space="0" w:color="auto"/>
              <w:bottom w:val="single" w:sz="4" w:space="0" w:color="auto"/>
              <w:right w:val="single" w:sz="4" w:space="0" w:color="auto"/>
            </w:tcBorders>
            <w:shd w:val="clear" w:color="auto" w:fill="BDD7EE"/>
            <w:vAlign w:val="center"/>
            <w:hideMark/>
          </w:tcPr>
          <w:p w14:paraId="47EADF86" w14:textId="77777777" w:rsidR="00235E11" w:rsidRDefault="00F837E4">
            <w:pPr>
              <w:pStyle w:val="P68B1DB1-Normal15"/>
              <w:spacing w:after="0"/>
              <w:jc w:val="center"/>
              <w:rPr>
                <w:noProof/>
              </w:rPr>
            </w:pPr>
            <w:r>
              <w:rPr>
                <w:noProof/>
              </w:rPr>
              <w:t>Единица мярка</w:t>
            </w:r>
          </w:p>
        </w:tc>
        <w:tc>
          <w:tcPr>
            <w:tcW w:w="1066" w:type="dxa"/>
            <w:tcBorders>
              <w:top w:val="nil"/>
              <w:left w:val="nil"/>
              <w:bottom w:val="single" w:sz="4" w:space="0" w:color="auto"/>
              <w:right w:val="single" w:sz="4" w:space="0" w:color="auto"/>
            </w:tcBorders>
            <w:shd w:val="clear" w:color="auto" w:fill="BDD7EE"/>
            <w:vAlign w:val="center"/>
            <w:hideMark/>
          </w:tcPr>
          <w:p w14:paraId="188DECBA" w14:textId="77777777" w:rsidR="00235E11" w:rsidRDefault="00F837E4">
            <w:pPr>
              <w:pStyle w:val="P68B1DB1-Normal15"/>
              <w:spacing w:after="0"/>
              <w:jc w:val="center"/>
              <w:rPr>
                <w:noProof/>
              </w:rPr>
            </w:pPr>
            <w:r>
              <w:rPr>
                <w:noProof/>
              </w:rPr>
              <w:t xml:space="preserve">Базова линия </w:t>
            </w:r>
          </w:p>
        </w:tc>
        <w:tc>
          <w:tcPr>
            <w:tcW w:w="777" w:type="dxa"/>
            <w:tcBorders>
              <w:top w:val="nil"/>
              <w:left w:val="nil"/>
              <w:bottom w:val="single" w:sz="4" w:space="0" w:color="auto"/>
              <w:right w:val="single" w:sz="4" w:space="0" w:color="auto"/>
            </w:tcBorders>
            <w:shd w:val="clear" w:color="auto" w:fill="BDD7EE"/>
            <w:vAlign w:val="center"/>
            <w:hideMark/>
          </w:tcPr>
          <w:p w14:paraId="17BF5545" w14:textId="77777777" w:rsidR="00235E11" w:rsidRDefault="00F837E4">
            <w:pPr>
              <w:pStyle w:val="P68B1DB1-Normal15"/>
              <w:spacing w:after="0"/>
              <w:jc w:val="center"/>
              <w:rPr>
                <w:noProof/>
              </w:rPr>
            </w:pPr>
            <w:r>
              <w:rPr>
                <w:noProof/>
              </w:rPr>
              <w:t xml:space="preserve">Цел </w:t>
            </w:r>
          </w:p>
        </w:tc>
        <w:tc>
          <w:tcPr>
            <w:tcW w:w="1027" w:type="dxa"/>
            <w:tcBorders>
              <w:top w:val="nil"/>
              <w:left w:val="nil"/>
              <w:bottom w:val="single" w:sz="4" w:space="0" w:color="auto"/>
              <w:right w:val="single" w:sz="4" w:space="0" w:color="auto"/>
            </w:tcBorders>
            <w:shd w:val="clear" w:color="auto" w:fill="BDD7EE"/>
            <w:vAlign w:val="center"/>
            <w:hideMark/>
          </w:tcPr>
          <w:p w14:paraId="2236E64D" w14:textId="77777777" w:rsidR="00235E11" w:rsidRDefault="00F837E4">
            <w:pPr>
              <w:pStyle w:val="P68B1DB1-Normal15"/>
              <w:spacing w:after="0"/>
              <w:jc w:val="center"/>
              <w:rPr>
                <w:noProof/>
              </w:rPr>
            </w:pPr>
            <w:r>
              <w:rPr>
                <w:noProof/>
              </w:rPr>
              <w:t>Тримесечие</w:t>
            </w:r>
          </w:p>
        </w:tc>
        <w:tc>
          <w:tcPr>
            <w:tcW w:w="850" w:type="dxa"/>
            <w:tcBorders>
              <w:top w:val="nil"/>
              <w:left w:val="nil"/>
              <w:bottom w:val="single" w:sz="4" w:space="0" w:color="auto"/>
              <w:right w:val="single" w:sz="4" w:space="0" w:color="auto"/>
            </w:tcBorders>
            <w:shd w:val="clear" w:color="auto" w:fill="BDD7EE"/>
            <w:vAlign w:val="center"/>
            <w:hideMark/>
          </w:tcPr>
          <w:p w14:paraId="2F2DCE39" w14:textId="77777777" w:rsidR="00235E11" w:rsidRDefault="00F837E4">
            <w:pPr>
              <w:pStyle w:val="P68B1DB1-Normal15"/>
              <w:spacing w:after="0"/>
              <w:jc w:val="center"/>
              <w:rPr>
                <w:noProof/>
              </w:rPr>
            </w:pPr>
            <w:r>
              <w:rPr>
                <w:noProof/>
              </w:rPr>
              <w:t>Година</w:t>
            </w:r>
          </w:p>
        </w:tc>
        <w:tc>
          <w:tcPr>
            <w:tcW w:w="3849" w:type="dxa"/>
            <w:vMerge/>
            <w:tcBorders>
              <w:top w:val="single" w:sz="4" w:space="0" w:color="auto"/>
              <w:bottom w:val="single" w:sz="4" w:space="0" w:color="auto"/>
              <w:right w:val="single" w:sz="4" w:space="0" w:color="auto"/>
            </w:tcBorders>
            <w:vAlign w:val="center"/>
            <w:hideMark/>
          </w:tcPr>
          <w:p w14:paraId="0B4D27AB" w14:textId="77777777" w:rsidR="00235E11" w:rsidRDefault="00235E11">
            <w:pPr>
              <w:spacing w:after="0"/>
              <w:rPr>
                <w:rFonts w:ascii="Times New Roman" w:eastAsia="Times New Roman" w:hAnsi="Times New Roman" w:cs="Times New Roman"/>
                <w:b/>
                <w:noProof/>
              </w:rPr>
            </w:pPr>
          </w:p>
        </w:tc>
      </w:tr>
      <w:tr w:rsidR="00235E11" w14:paraId="1205EF47" w14:textId="77777777">
        <w:trPr>
          <w:trHeight w:val="309"/>
          <w:jc w:val="center"/>
        </w:trPr>
        <w:tc>
          <w:tcPr>
            <w:tcW w:w="8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D4A45A" w14:textId="77777777" w:rsidR="00235E11" w:rsidRDefault="00F837E4">
            <w:pPr>
              <w:pStyle w:val="P68B1DB1-Normal10"/>
              <w:spacing w:after="0"/>
              <w:jc w:val="center"/>
              <w:rPr>
                <w:noProof/>
              </w:rPr>
            </w:pPr>
            <w:r>
              <w:rPr>
                <w:noProof/>
              </w:rPr>
              <w:t>127</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76B1CD3C" w14:textId="77777777" w:rsidR="00235E11" w:rsidRDefault="00F837E4">
            <w:pPr>
              <w:pStyle w:val="P68B1DB1-Normal10"/>
              <w:spacing w:after="0"/>
              <w:rPr>
                <w:noProof/>
              </w:rPr>
            </w:pPr>
            <w:r>
              <w:rPr>
                <w:noProof/>
              </w:rPr>
              <w:t>Digisprong (R-4.01)</w:t>
            </w:r>
          </w:p>
        </w:tc>
        <w:tc>
          <w:tcPr>
            <w:tcW w:w="1383" w:type="dxa"/>
            <w:tcBorders>
              <w:top w:val="single" w:sz="4" w:space="0" w:color="auto"/>
              <w:left w:val="nil"/>
              <w:bottom w:val="single" w:sz="4" w:space="0" w:color="auto"/>
              <w:right w:val="single" w:sz="4" w:space="0" w:color="auto"/>
            </w:tcBorders>
            <w:shd w:val="clear" w:color="auto" w:fill="C6EFCE"/>
            <w:noWrap/>
            <w:vAlign w:val="center"/>
            <w:hideMark/>
          </w:tcPr>
          <w:p w14:paraId="1E1B6E03" w14:textId="250A4A5F" w:rsidR="00235E11" w:rsidRDefault="00F837E4">
            <w:pPr>
              <w:pStyle w:val="P68B1DB1-Normal10"/>
              <w:spacing w:after="0"/>
              <w:rPr>
                <w:noProof/>
              </w:rPr>
            </w:pPr>
            <w:r>
              <w:rPr>
                <w:noProof/>
              </w:rPr>
              <w:t>M</w:t>
            </w:r>
          </w:p>
        </w:tc>
        <w:tc>
          <w:tcPr>
            <w:tcW w:w="1511" w:type="dxa"/>
            <w:tcBorders>
              <w:top w:val="single" w:sz="4" w:space="0" w:color="auto"/>
              <w:left w:val="nil"/>
              <w:bottom w:val="single" w:sz="4" w:space="0" w:color="auto"/>
              <w:right w:val="single" w:sz="4" w:space="0" w:color="auto"/>
            </w:tcBorders>
            <w:shd w:val="clear" w:color="auto" w:fill="C6EFCE"/>
            <w:noWrap/>
            <w:vAlign w:val="center"/>
            <w:hideMark/>
          </w:tcPr>
          <w:p w14:paraId="1D581C45" w14:textId="77777777" w:rsidR="00235E11" w:rsidRDefault="00F837E4">
            <w:pPr>
              <w:pStyle w:val="P68B1DB1-Normal10"/>
              <w:spacing w:after="0"/>
              <w:rPr>
                <w:noProof/>
              </w:rPr>
            </w:pPr>
            <w:r>
              <w:rPr>
                <w:noProof/>
              </w:rPr>
              <w:t>Приемане на нова рамка за ИКТ за задължително образование във Фландрия</w:t>
            </w:r>
          </w:p>
        </w:tc>
        <w:tc>
          <w:tcPr>
            <w:tcW w:w="1324" w:type="dxa"/>
            <w:tcBorders>
              <w:top w:val="single" w:sz="4" w:space="0" w:color="auto"/>
              <w:left w:val="nil"/>
              <w:bottom w:val="single" w:sz="4" w:space="0" w:color="auto"/>
              <w:right w:val="single" w:sz="4" w:space="0" w:color="auto"/>
            </w:tcBorders>
            <w:shd w:val="clear" w:color="auto" w:fill="C6EFCE"/>
            <w:noWrap/>
            <w:vAlign w:val="center"/>
            <w:hideMark/>
          </w:tcPr>
          <w:p w14:paraId="584138DD" w14:textId="77777777" w:rsidR="00235E11" w:rsidRDefault="00F837E4">
            <w:pPr>
              <w:pStyle w:val="P68B1DB1-Normal10"/>
              <w:spacing w:after="0"/>
              <w:rPr>
                <w:noProof/>
              </w:rPr>
            </w:pPr>
            <w:r>
              <w:rPr>
                <w:noProof/>
              </w:rPr>
              <w:t>Приемане на ново законодателство от фламандския парламент за подобряване на рамката за ИКТ</w:t>
            </w:r>
          </w:p>
        </w:tc>
        <w:tc>
          <w:tcPr>
            <w:tcW w:w="1134" w:type="dxa"/>
            <w:tcBorders>
              <w:top w:val="nil"/>
              <w:left w:val="nil"/>
              <w:bottom w:val="single" w:sz="4" w:space="0" w:color="auto"/>
              <w:right w:val="single" w:sz="4" w:space="0" w:color="auto"/>
            </w:tcBorders>
            <w:shd w:val="clear" w:color="auto" w:fill="C6EFCE"/>
            <w:noWrap/>
            <w:vAlign w:val="center"/>
            <w:hideMark/>
          </w:tcPr>
          <w:p w14:paraId="592F6028" w14:textId="77777777" w:rsidR="00235E11" w:rsidRDefault="00235E11">
            <w:pPr>
              <w:spacing w:after="0"/>
              <w:rPr>
                <w:rFonts w:ascii="Times New Roman" w:eastAsia="Times New Roman" w:hAnsi="Times New Roman" w:cs="Times New Roman"/>
                <w:noProof/>
                <w:color w:val="006100"/>
              </w:rPr>
            </w:pPr>
          </w:p>
        </w:tc>
        <w:tc>
          <w:tcPr>
            <w:tcW w:w="1066" w:type="dxa"/>
            <w:tcBorders>
              <w:top w:val="nil"/>
              <w:left w:val="nil"/>
              <w:bottom w:val="single" w:sz="4" w:space="0" w:color="auto"/>
              <w:right w:val="single" w:sz="4" w:space="0" w:color="auto"/>
            </w:tcBorders>
            <w:shd w:val="clear" w:color="auto" w:fill="C6EFCE"/>
            <w:noWrap/>
            <w:vAlign w:val="center"/>
            <w:hideMark/>
          </w:tcPr>
          <w:p w14:paraId="0988D1A0" w14:textId="77777777" w:rsidR="00235E11" w:rsidRDefault="00235E11">
            <w:pPr>
              <w:spacing w:after="0"/>
              <w:jc w:val="right"/>
              <w:rPr>
                <w:rFonts w:ascii="Times New Roman" w:eastAsia="Times New Roman" w:hAnsi="Times New Roman" w:cs="Times New Roman"/>
                <w:noProof/>
                <w:color w:val="006100"/>
              </w:rPr>
            </w:pPr>
          </w:p>
        </w:tc>
        <w:tc>
          <w:tcPr>
            <w:tcW w:w="777" w:type="dxa"/>
            <w:tcBorders>
              <w:top w:val="nil"/>
              <w:left w:val="nil"/>
              <w:bottom w:val="single" w:sz="4" w:space="0" w:color="auto"/>
              <w:right w:val="single" w:sz="4" w:space="0" w:color="auto"/>
            </w:tcBorders>
            <w:shd w:val="clear" w:color="auto" w:fill="C6EFCE"/>
            <w:noWrap/>
            <w:vAlign w:val="center"/>
            <w:hideMark/>
          </w:tcPr>
          <w:p w14:paraId="60DE9A99" w14:textId="77777777" w:rsidR="00235E11" w:rsidRDefault="00235E11">
            <w:pPr>
              <w:spacing w:after="0"/>
              <w:jc w:val="right"/>
              <w:rPr>
                <w:rFonts w:ascii="Times New Roman" w:eastAsia="Times New Roman" w:hAnsi="Times New Roman" w:cs="Times New Roman"/>
                <w:noProof/>
                <w:color w:val="006100"/>
              </w:rPr>
            </w:pPr>
          </w:p>
        </w:tc>
        <w:tc>
          <w:tcPr>
            <w:tcW w:w="1027" w:type="dxa"/>
            <w:tcBorders>
              <w:top w:val="nil"/>
              <w:left w:val="nil"/>
              <w:bottom w:val="single" w:sz="4" w:space="0" w:color="auto"/>
              <w:right w:val="single" w:sz="4" w:space="0" w:color="auto"/>
            </w:tcBorders>
            <w:shd w:val="clear" w:color="auto" w:fill="C6EFCE"/>
            <w:noWrap/>
            <w:vAlign w:val="center"/>
            <w:hideMark/>
          </w:tcPr>
          <w:p w14:paraId="56DDD79E" w14:textId="53EF2070"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hideMark/>
          </w:tcPr>
          <w:p w14:paraId="17A5A1CA" w14:textId="17BC5902" w:rsidR="00235E11" w:rsidRDefault="00F837E4">
            <w:pPr>
              <w:pStyle w:val="P68B1DB1-Normal10"/>
              <w:spacing w:after="0"/>
              <w:jc w:val="center"/>
              <w:rPr>
                <w:noProof/>
              </w:rPr>
            </w:pPr>
            <w:r>
              <w:rPr>
                <w:noProof/>
              </w:rPr>
              <w:t>2023</w:t>
            </w:r>
          </w:p>
        </w:tc>
        <w:tc>
          <w:tcPr>
            <w:tcW w:w="3849" w:type="dxa"/>
            <w:tcBorders>
              <w:top w:val="single" w:sz="4" w:space="0" w:color="auto"/>
              <w:left w:val="nil"/>
              <w:bottom w:val="single" w:sz="4" w:space="0" w:color="auto"/>
              <w:right w:val="single" w:sz="4" w:space="0" w:color="auto"/>
            </w:tcBorders>
            <w:shd w:val="clear" w:color="auto" w:fill="C6EFCE"/>
            <w:noWrap/>
            <w:vAlign w:val="center"/>
            <w:hideMark/>
          </w:tcPr>
          <w:p w14:paraId="483C909C" w14:textId="77777777" w:rsidR="00235E11" w:rsidRDefault="00F837E4">
            <w:pPr>
              <w:pStyle w:val="P68B1DB1-Normal10"/>
              <w:spacing w:after="0"/>
              <w:rPr>
                <w:noProof/>
              </w:rPr>
            </w:pPr>
            <w:r>
              <w:rPr>
                <w:noProof/>
              </w:rPr>
              <w:t xml:space="preserve">Приемане от фламандския парламент на новото законодателство за подобряване на настоящата рамка за ИКТ по два аспекта: </w:t>
            </w:r>
          </w:p>
          <w:p w14:paraId="56847C6C" w14:textId="77777777" w:rsidR="00235E11" w:rsidRDefault="00F837E4">
            <w:pPr>
              <w:pStyle w:val="P68B1DB1-Normal10"/>
              <w:spacing w:after="0"/>
              <w:rPr>
                <w:noProof/>
              </w:rPr>
            </w:pPr>
            <w:r>
              <w:rPr>
                <w:noProof/>
              </w:rPr>
              <w:t xml:space="preserve">ролята на координаторите на ИКТ в училищата </w:t>
            </w:r>
          </w:p>
          <w:p w14:paraId="33A62D93" w14:textId="77777777" w:rsidR="00235E11" w:rsidRDefault="00F837E4">
            <w:pPr>
              <w:pStyle w:val="P68B1DB1-Normal10"/>
              <w:spacing w:after="0"/>
              <w:rPr>
                <w:noProof/>
              </w:rPr>
            </w:pPr>
            <w:r>
              <w:rPr>
                <w:noProof/>
              </w:rPr>
              <w:t>— и минималните цели в областта на ИКТ.</w:t>
            </w:r>
          </w:p>
          <w:p w14:paraId="74E86209" w14:textId="6786FD11" w:rsidR="00235E11" w:rsidRDefault="00F837E4">
            <w:pPr>
              <w:pStyle w:val="P68B1DB1-Normal10"/>
              <w:spacing w:after="0"/>
              <w:rPr>
                <w:noProof/>
              </w:rPr>
            </w:pPr>
            <w:r>
              <w:rPr>
                <w:noProof/>
              </w:rPr>
              <w:t>Законодателството ще позволи i) засилване на ролята на координаторите на ИКТ на всички равнища на образованието и осигуряване на по-добър надзор върху политиката в областта на ИКТ в училищата чрез изменение на Указ 31 и ii) ратифициране на минималните цели за</w:t>
            </w:r>
            <w:r>
              <w:rPr>
                <w:noProof/>
                <w:vertAlign w:val="superscript"/>
              </w:rPr>
              <w:t>2-ри</w:t>
            </w:r>
            <w:r>
              <w:rPr>
                <w:noProof/>
              </w:rPr>
              <w:t xml:space="preserve"> и</w:t>
            </w:r>
            <w:r>
              <w:rPr>
                <w:noProof/>
                <w:vertAlign w:val="superscript"/>
              </w:rPr>
              <w:t>3-ти</w:t>
            </w:r>
            <w:r>
              <w:rPr>
                <w:noProof/>
              </w:rPr>
              <w:t xml:space="preserve"> етап на средното образование.</w:t>
            </w:r>
          </w:p>
        </w:tc>
      </w:tr>
      <w:tr w:rsidR="00235E11" w14:paraId="44400163"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hideMark/>
          </w:tcPr>
          <w:p w14:paraId="08B941F3" w14:textId="77777777" w:rsidR="00235E11" w:rsidRDefault="00F837E4">
            <w:pPr>
              <w:pStyle w:val="P68B1DB1-Normal10"/>
              <w:spacing w:after="0"/>
              <w:jc w:val="center"/>
              <w:rPr>
                <w:noProof/>
              </w:rPr>
            </w:pPr>
            <w:r>
              <w:rPr>
                <w:noProof/>
              </w:rPr>
              <w:t>128</w:t>
            </w:r>
          </w:p>
        </w:tc>
        <w:tc>
          <w:tcPr>
            <w:tcW w:w="1701" w:type="dxa"/>
            <w:tcBorders>
              <w:top w:val="nil"/>
              <w:left w:val="nil"/>
              <w:bottom w:val="single" w:sz="4" w:space="0" w:color="auto"/>
              <w:right w:val="single" w:sz="4" w:space="0" w:color="auto"/>
            </w:tcBorders>
            <w:shd w:val="clear" w:color="auto" w:fill="C6EFCE"/>
            <w:noWrap/>
            <w:vAlign w:val="center"/>
            <w:hideMark/>
          </w:tcPr>
          <w:p w14:paraId="4623C1DF" w14:textId="77777777" w:rsidR="00235E11" w:rsidRDefault="00F837E4">
            <w:pPr>
              <w:pStyle w:val="P68B1DB1-Normal10"/>
              <w:spacing w:after="0"/>
              <w:rPr>
                <w:noProof/>
              </w:rPr>
            </w:pPr>
            <w:r>
              <w:rPr>
                <w:noProof/>
              </w:rPr>
              <w:t>Фонд за повишаване на висшето образование (R-4.02)</w:t>
            </w:r>
          </w:p>
        </w:tc>
        <w:tc>
          <w:tcPr>
            <w:tcW w:w="1383" w:type="dxa"/>
            <w:tcBorders>
              <w:top w:val="nil"/>
              <w:left w:val="nil"/>
              <w:bottom w:val="single" w:sz="4" w:space="0" w:color="auto"/>
              <w:right w:val="single" w:sz="4" w:space="0" w:color="auto"/>
            </w:tcBorders>
            <w:shd w:val="clear" w:color="auto" w:fill="C6EFCE"/>
            <w:noWrap/>
            <w:vAlign w:val="center"/>
            <w:hideMark/>
          </w:tcPr>
          <w:p w14:paraId="64D1637F" w14:textId="617EE947" w:rsidR="00235E11" w:rsidRDefault="00F837E4">
            <w:pPr>
              <w:pStyle w:val="P68B1DB1-Normal10"/>
              <w:spacing w:after="0"/>
              <w:rPr>
                <w:noProof/>
              </w:rPr>
            </w:pPr>
            <w:r>
              <w:rPr>
                <w:noProof/>
              </w:rPr>
              <w:t>M</w:t>
            </w:r>
          </w:p>
        </w:tc>
        <w:tc>
          <w:tcPr>
            <w:tcW w:w="1511" w:type="dxa"/>
            <w:tcBorders>
              <w:top w:val="nil"/>
              <w:left w:val="nil"/>
              <w:bottom w:val="single" w:sz="4" w:space="0" w:color="auto"/>
              <w:right w:val="single" w:sz="4" w:space="0" w:color="auto"/>
            </w:tcBorders>
            <w:shd w:val="clear" w:color="auto" w:fill="C6EFCE"/>
            <w:noWrap/>
            <w:vAlign w:val="center"/>
            <w:hideMark/>
          </w:tcPr>
          <w:p w14:paraId="4FE2F705" w14:textId="77777777" w:rsidR="00235E11" w:rsidRDefault="00F837E4">
            <w:pPr>
              <w:pStyle w:val="P68B1DB1-Normal10"/>
              <w:spacing w:after="0"/>
              <w:rPr>
                <w:noProof/>
              </w:rPr>
            </w:pPr>
            <w:r>
              <w:rPr>
                <w:noProof/>
              </w:rPr>
              <w:t>Документ за визия за ориентирано към бъдещето, гъвкаво и цифрово висше образование</w:t>
            </w:r>
          </w:p>
        </w:tc>
        <w:tc>
          <w:tcPr>
            <w:tcW w:w="1324" w:type="dxa"/>
            <w:tcBorders>
              <w:top w:val="nil"/>
              <w:left w:val="nil"/>
              <w:bottom w:val="single" w:sz="4" w:space="0" w:color="auto"/>
              <w:right w:val="single" w:sz="4" w:space="0" w:color="auto"/>
            </w:tcBorders>
            <w:shd w:val="clear" w:color="auto" w:fill="C6EFCE"/>
            <w:noWrap/>
            <w:vAlign w:val="center"/>
            <w:hideMark/>
          </w:tcPr>
          <w:p w14:paraId="512B6CA2" w14:textId="77777777" w:rsidR="00235E11" w:rsidRDefault="00F837E4">
            <w:pPr>
              <w:pStyle w:val="P68B1DB1-Normal10"/>
              <w:spacing w:after="0"/>
              <w:rPr>
                <w:noProof/>
              </w:rPr>
            </w:pPr>
            <w:r>
              <w:rPr>
                <w:noProof/>
              </w:rPr>
              <w:t>Приемане на обяснителна бележка от фламандското правителство</w:t>
            </w:r>
          </w:p>
        </w:tc>
        <w:tc>
          <w:tcPr>
            <w:tcW w:w="1134" w:type="dxa"/>
            <w:tcBorders>
              <w:top w:val="nil"/>
              <w:left w:val="nil"/>
              <w:bottom w:val="single" w:sz="4" w:space="0" w:color="auto"/>
              <w:right w:val="single" w:sz="4" w:space="0" w:color="auto"/>
            </w:tcBorders>
            <w:shd w:val="clear" w:color="auto" w:fill="C6EFCE"/>
            <w:noWrap/>
            <w:vAlign w:val="center"/>
            <w:hideMark/>
          </w:tcPr>
          <w:p w14:paraId="09F35953" w14:textId="77777777" w:rsidR="00235E11" w:rsidRDefault="00235E11">
            <w:pPr>
              <w:spacing w:after="0"/>
              <w:rPr>
                <w:rFonts w:ascii="Times New Roman" w:eastAsia="Times New Roman" w:hAnsi="Times New Roman" w:cs="Times New Roman"/>
                <w:noProof/>
                <w:color w:val="006100"/>
              </w:rPr>
            </w:pPr>
          </w:p>
        </w:tc>
        <w:tc>
          <w:tcPr>
            <w:tcW w:w="1066" w:type="dxa"/>
            <w:tcBorders>
              <w:top w:val="nil"/>
              <w:left w:val="nil"/>
              <w:bottom w:val="single" w:sz="4" w:space="0" w:color="auto"/>
              <w:right w:val="single" w:sz="4" w:space="0" w:color="auto"/>
            </w:tcBorders>
            <w:shd w:val="clear" w:color="auto" w:fill="C6EFCE"/>
            <w:noWrap/>
            <w:vAlign w:val="center"/>
            <w:hideMark/>
          </w:tcPr>
          <w:p w14:paraId="57B669CB" w14:textId="77777777" w:rsidR="00235E11" w:rsidRDefault="00235E11">
            <w:pPr>
              <w:spacing w:after="0"/>
              <w:jc w:val="center"/>
              <w:rPr>
                <w:rFonts w:ascii="Times New Roman" w:eastAsia="Times New Roman" w:hAnsi="Times New Roman" w:cs="Times New Roman"/>
                <w:noProof/>
                <w:color w:val="006100"/>
              </w:rPr>
            </w:pPr>
          </w:p>
        </w:tc>
        <w:tc>
          <w:tcPr>
            <w:tcW w:w="777" w:type="dxa"/>
            <w:tcBorders>
              <w:top w:val="nil"/>
              <w:left w:val="nil"/>
              <w:bottom w:val="single" w:sz="4" w:space="0" w:color="auto"/>
              <w:right w:val="single" w:sz="4" w:space="0" w:color="auto"/>
            </w:tcBorders>
            <w:shd w:val="clear" w:color="auto" w:fill="C6EFCE"/>
            <w:noWrap/>
            <w:vAlign w:val="center"/>
            <w:hideMark/>
          </w:tcPr>
          <w:p w14:paraId="0C0563C5" w14:textId="77777777" w:rsidR="00235E11" w:rsidRDefault="00235E11">
            <w:pPr>
              <w:spacing w:after="0"/>
              <w:jc w:val="right"/>
              <w:rPr>
                <w:rFonts w:ascii="Times New Roman" w:eastAsia="Times New Roman" w:hAnsi="Times New Roman" w:cs="Times New Roman"/>
                <w:noProof/>
                <w:color w:val="006100"/>
              </w:rPr>
            </w:pPr>
          </w:p>
        </w:tc>
        <w:tc>
          <w:tcPr>
            <w:tcW w:w="1027" w:type="dxa"/>
            <w:tcBorders>
              <w:top w:val="nil"/>
              <w:left w:val="nil"/>
              <w:bottom w:val="single" w:sz="4" w:space="0" w:color="auto"/>
              <w:right w:val="single" w:sz="4" w:space="0" w:color="auto"/>
            </w:tcBorders>
            <w:shd w:val="clear" w:color="auto" w:fill="C6EFCE"/>
            <w:noWrap/>
            <w:vAlign w:val="center"/>
            <w:hideMark/>
          </w:tcPr>
          <w:p w14:paraId="45D139EF"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hideMark/>
          </w:tcPr>
          <w:p w14:paraId="06A8569A" w14:textId="77777777" w:rsidR="00235E11" w:rsidRDefault="00F837E4">
            <w:pPr>
              <w:pStyle w:val="P68B1DB1-Normal10"/>
              <w:spacing w:after="0"/>
              <w:jc w:val="center"/>
              <w:rPr>
                <w:noProof/>
              </w:rPr>
            </w:pPr>
            <w:r>
              <w:rPr>
                <w:noProof/>
              </w:rPr>
              <w:t>2023</w:t>
            </w:r>
          </w:p>
        </w:tc>
        <w:tc>
          <w:tcPr>
            <w:tcW w:w="3849" w:type="dxa"/>
            <w:tcBorders>
              <w:top w:val="nil"/>
              <w:left w:val="nil"/>
              <w:bottom w:val="single" w:sz="4" w:space="0" w:color="auto"/>
              <w:right w:val="single" w:sz="4" w:space="0" w:color="auto"/>
            </w:tcBorders>
            <w:shd w:val="clear" w:color="auto" w:fill="C6EFCE"/>
            <w:noWrap/>
            <w:vAlign w:val="center"/>
            <w:hideMark/>
          </w:tcPr>
          <w:p w14:paraId="030EFE15" w14:textId="77777777" w:rsidR="00235E11" w:rsidRDefault="00F837E4">
            <w:pPr>
              <w:pStyle w:val="P68B1DB1-Normal10"/>
              <w:spacing w:after="0"/>
              <w:rPr>
                <w:noProof/>
              </w:rPr>
            </w:pPr>
            <w:r>
              <w:rPr>
                <w:noProof/>
              </w:rPr>
              <w:t xml:space="preserve">Одобряване от министъра на образованието и обучението на визия от фламандското правителство, в която се очертава профилът на висшето образование и ученето през целия живот във Фландрия. Новият текст има за цел да определи визията за разработване на фламандски портфейл за висше образование, който да е ориентиран към бъдещето и гъвкав. Тя се разработва в консултация с широк спектър от заинтересовани страни, включително висши учебни заведения, професионална област и социални партньори. </w:t>
            </w:r>
          </w:p>
          <w:p w14:paraId="71361E94" w14:textId="77777777" w:rsidR="00235E11" w:rsidRDefault="00F837E4">
            <w:pPr>
              <w:pStyle w:val="P68B1DB1-Normal10"/>
              <w:spacing w:after="0"/>
              <w:rPr>
                <w:noProof/>
              </w:rPr>
            </w:pPr>
            <w:r>
              <w:rPr>
                <w:noProof/>
              </w:rPr>
              <w:t>По-конкретно в него i) се определя нов профил на висшето образование във Фландрия, за да се гарантира, че висшите учебни заведения са най-съвременни, и ii) да се разработи визия за ученето през целия живот.</w:t>
            </w:r>
          </w:p>
        </w:tc>
      </w:tr>
      <w:tr w:rsidR="00235E11" w14:paraId="5F7DED13"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hideMark/>
          </w:tcPr>
          <w:p w14:paraId="668219D7" w14:textId="77777777" w:rsidR="00235E11" w:rsidRDefault="00F837E4">
            <w:pPr>
              <w:pStyle w:val="P68B1DB1-Normal10"/>
              <w:spacing w:after="0"/>
              <w:jc w:val="center"/>
              <w:rPr>
                <w:noProof/>
              </w:rPr>
            </w:pPr>
            <w:r>
              <w:rPr>
                <w:noProof/>
              </w:rPr>
              <w:t>129</w:t>
            </w:r>
          </w:p>
        </w:tc>
        <w:tc>
          <w:tcPr>
            <w:tcW w:w="1701" w:type="dxa"/>
            <w:tcBorders>
              <w:top w:val="nil"/>
              <w:left w:val="nil"/>
              <w:bottom w:val="single" w:sz="4" w:space="0" w:color="auto"/>
              <w:right w:val="single" w:sz="4" w:space="0" w:color="auto"/>
            </w:tcBorders>
            <w:shd w:val="clear" w:color="auto" w:fill="C6EFCE"/>
            <w:noWrap/>
            <w:vAlign w:val="center"/>
            <w:hideMark/>
          </w:tcPr>
          <w:p w14:paraId="28263602" w14:textId="77777777" w:rsidR="00235E11" w:rsidRDefault="00F837E4">
            <w:pPr>
              <w:pStyle w:val="P68B1DB1-Normal10"/>
              <w:spacing w:after="0"/>
              <w:rPr>
                <w:noProof/>
              </w:rPr>
            </w:pPr>
            <w:r>
              <w:rPr>
                <w:noProof/>
              </w:rPr>
              <w:t>Глобален план за действие срещу преждевременното напускане на училище (R-4.03)</w:t>
            </w:r>
          </w:p>
        </w:tc>
        <w:tc>
          <w:tcPr>
            <w:tcW w:w="1383" w:type="dxa"/>
            <w:tcBorders>
              <w:top w:val="nil"/>
              <w:left w:val="nil"/>
              <w:bottom w:val="single" w:sz="4" w:space="0" w:color="auto"/>
              <w:right w:val="single" w:sz="4" w:space="0" w:color="auto"/>
            </w:tcBorders>
            <w:shd w:val="clear" w:color="auto" w:fill="C6EFCE"/>
            <w:noWrap/>
            <w:vAlign w:val="center"/>
            <w:hideMark/>
          </w:tcPr>
          <w:p w14:paraId="5CF2A997" w14:textId="311CC80A" w:rsidR="00235E11" w:rsidRDefault="00F837E4">
            <w:pPr>
              <w:pStyle w:val="P68B1DB1-Normal10"/>
              <w:spacing w:after="0"/>
              <w:rPr>
                <w:noProof/>
              </w:rPr>
            </w:pPr>
            <w:r>
              <w:rPr>
                <w:noProof/>
              </w:rPr>
              <w:t>M</w:t>
            </w:r>
          </w:p>
        </w:tc>
        <w:tc>
          <w:tcPr>
            <w:tcW w:w="1511" w:type="dxa"/>
            <w:tcBorders>
              <w:top w:val="nil"/>
              <w:left w:val="nil"/>
              <w:bottom w:val="single" w:sz="4" w:space="0" w:color="auto"/>
              <w:right w:val="single" w:sz="4" w:space="0" w:color="auto"/>
            </w:tcBorders>
            <w:shd w:val="clear" w:color="auto" w:fill="C6EFCE"/>
            <w:noWrap/>
            <w:vAlign w:val="center"/>
            <w:hideMark/>
          </w:tcPr>
          <w:p w14:paraId="6460EEE7" w14:textId="77777777" w:rsidR="00235E11" w:rsidRDefault="00F837E4">
            <w:pPr>
              <w:pStyle w:val="P68B1DB1-Normal10"/>
              <w:spacing w:after="0"/>
              <w:rPr>
                <w:noProof/>
              </w:rPr>
            </w:pPr>
            <w:r>
              <w:rPr>
                <w:noProof/>
              </w:rPr>
              <w:t>Нов всеобхватен план за борба с отпадането от училище</w:t>
            </w:r>
          </w:p>
        </w:tc>
        <w:tc>
          <w:tcPr>
            <w:tcW w:w="1324" w:type="dxa"/>
            <w:tcBorders>
              <w:top w:val="nil"/>
              <w:left w:val="nil"/>
              <w:bottom w:val="single" w:sz="4" w:space="0" w:color="auto"/>
              <w:right w:val="single" w:sz="4" w:space="0" w:color="auto"/>
            </w:tcBorders>
            <w:shd w:val="clear" w:color="auto" w:fill="C6EFCE"/>
            <w:noWrap/>
            <w:vAlign w:val="center"/>
            <w:hideMark/>
          </w:tcPr>
          <w:p w14:paraId="75BA0714" w14:textId="77777777" w:rsidR="00235E11" w:rsidRDefault="00F837E4">
            <w:pPr>
              <w:pStyle w:val="P68B1DB1-Normal10"/>
              <w:spacing w:after="0"/>
              <w:rPr>
                <w:noProof/>
              </w:rPr>
            </w:pPr>
            <w:r>
              <w:rPr>
                <w:noProof/>
              </w:rPr>
              <w:t>Приемане от френската общност на нови законодателни актове срещу отпадането от училище</w:t>
            </w:r>
          </w:p>
        </w:tc>
        <w:tc>
          <w:tcPr>
            <w:tcW w:w="1134" w:type="dxa"/>
            <w:tcBorders>
              <w:top w:val="nil"/>
              <w:left w:val="nil"/>
              <w:bottom w:val="single" w:sz="4" w:space="0" w:color="auto"/>
              <w:right w:val="single" w:sz="4" w:space="0" w:color="auto"/>
            </w:tcBorders>
            <w:shd w:val="clear" w:color="auto" w:fill="C6EFCE"/>
            <w:noWrap/>
            <w:vAlign w:val="center"/>
            <w:hideMark/>
          </w:tcPr>
          <w:p w14:paraId="7CAE916F" w14:textId="77777777" w:rsidR="00235E11" w:rsidRDefault="00235E11">
            <w:pPr>
              <w:spacing w:after="0"/>
              <w:rPr>
                <w:rFonts w:ascii="Times New Roman" w:eastAsia="Times New Roman" w:hAnsi="Times New Roman" w:cs="Times New Roman"/>
                <w:noProof/>
                <w:color w:val="006100"/>
              </w:rPr>
            </w:pPr>
          </w:p>
        </w:tc>
        <w:tc>
          <w:tcPr>
            <w:tcW w:w="1066" w:type="dxa"/>
            <w:tcBorders>
              <w:top w:val="nil"/>
              <w:left w:val="nil"/>
              <w:bottom w:val="single" w:sz="4" w:space="0" w:color="auto"/>
              <w:right w:val="single" w:sz="4" w:space="0" w:color="auto"/>
            </w:tcBorders>
            <w:shd w:val="clear" w:color="auto" w:fill="C6EFCE"/>
            <w:noWrap/>
            <w:vAlign w:val="center"/>
            <w:hideMark/>
          </w:tcPr>
          <w:p w14:paraId="500E433D" w14:textId="77777777" w:rsidR="00235E11" w:rsidRDefault="00235E11">
            <w:pPr>
              <w:spacing w:after="0"/>
              <w:rPr>
                <w:rFonts w:ascii="Times New Roman" w:eastAsia="Times New Roman" w:hAnsi="Times New Roman" w:cs="Times New Roman"/>
                <w:noProof/>
                <w:color w:val="006100"/>
              </w:rPr>
            </w:pPr>
          </w:p>
        </w:tc>
        <w:tc>
          <w:tcPr>
            <w:tcW w:w="777" w:type="dxa"/>
            <w:tcBorders>
              <w:top w:val="nil"/>
              <w:left w:val="nil"/>
              <w:bottom w:val="single" w:sz="4" w:space="0" w:color="auto"/>
              <w:right w:val="single" w:sz="4" w:space="0" w:color="auto"/>
            </w:tcBorders>
            <w:shd w:val="clear" w:color="auto" w:fill="C6EFCE"/>
            <w:noWrap/>
            <w:vAlign w:val="center"/>
            <w:hideMark/>
          </w:tcPr>
          <w:p w14:paraId="4E365500" w14:textId="77777777" w:rsidR="00235E11" w:rsidRDefault="00235E11">
            <w:pPr>
              <w:spacing w:after="0"/>
              <w:rPr>
                <w:rFonts w:ascii="Times New Roman" w:eastAsia="Times New Roman" w:hAnsi="Times New Roman" w:cs="Times New Roman"/>
                <w:noProof/>
                <w:color w:val="006100"/>
              </w:rPr>
            </w:pPr>
          </w:p>
        </w:tc>
        <w:tc>
          <w:tcPr>
            <w:tcW w:w="1027" w:type="dxa"/>
            <w:tcBorders>
              <w:top w:val="nil"/>
              <w:left w:val="nil"/>
              <w:bottom w:val="single" w:sz="4" w:space="0" w:color="auto"/>
              <w:right w:val="single" w:sz="4" w:space="0" w:color="auto"/>
            </w:tcBorders>
            <w:shd w:val="clear" w:color="auto" w:fill="C6EFCE"/>
            <w:noWrap/>
            <w:vAlign w:val="center"/>
            <w:hideMark/>
          </w:tcPr>
          <w:p w14:paraId="1567B2AD" w14:textId="40A7529D" w:rsidR="00235E11" w:rsidRDefault="00F837E4">
            <w:pPr>
              <w:pStyle w:val="P68B1DB1-Normal10"/>
              <w:spacing w:after="0"/>
              <w:jc w:val="center"/>
              <w:rPr>
                <w:noProof/>
              </w:rPr>
            </w:pPr>
            <w:r>
              <w:rPr>
                <w:noProof/>
              </w:rPr>
              <w:t>Т2 Г.</w:t>
            </w:r>
          </w:p>
        </w:tc>
        <w:tc>
          <w:tcPr>
            <w:tcW w:w="850" w:type="dxa"/>
            <w:tcBorders>
              <w:top w:val="nil"/>
              <w:left w:val="nil"/>
              <w:bottom w:val="single" w:sz="4" w:space="0" w:color="auto"/>
              <w:right w:val="single" w:sz="4" w:space="0" w:color="auto"/>
            </w:tcBorders>
            <w:shd w:val="clear" w:color="auto" w:fill="C6EFCE"/>
            <w:noWrap/>
            <w:vAlign w:val="center"/>
            <w:hideMark/>
          </w:tcPr>
          <w:p w14:paraId="463E49E0" w14:textId="6E1917EA" w:rsidR="00235E11" w:rsidRDefault="00F837E4">
            <w:pPr>
              <w:pStyle w:val="P68B1DB1-Normal10"/>
              <w:spacing w:after="0"/>
              <w:jc w:val="center"/>
              <w:rPr>
                <w:noProof/>
              </w:rPr>
            </w:pPr>
            <w:r>
              <w:rPr>
                <w:noProof/>
              </w:rPr>
              <w:t>2024</w:t>
            </w:r>
          </w:p>
        </w:tc>
        <w:tc>
          <w:tcPr>
            <w:tcW w:w="3849" w:type="dxa"/>
            <w:tcBorders>
              <w:top w:val="nil"/>
              <w:left w:val="nil"/>
              <w:bottom w:val="single" w:sz="4" w:space="0" w:color="auto"/>
              <w:right w:val="single" w:sz="4" w:space="0" w:color="auto"/>
            </w:tcBorders>
            <w:shd w:val="clear" w:color="auto" w:fill="C6EFCE"/>
            <w:noWrap/>
            <w:vAlign w:val="center"/>
            <w:hideMark/>
          </w:tcPr>
          <w:p w14:paraId="5EA4E499" w14:textId="77777777" w:rsidR="00235E11" w:rsidRDefault="00F837E4">
            <w:pPr>
              <w:pStyle w:val="P68B1DB1-Normal10"/>
              <w:spacing w:after="0"/>
              <w:rPr>
                <w:noProof/>
              </w:rPr>
            </w:pPr>
            <w:r>
              <w:rPr>
                <w:noProof/>
              </w:rPr>
              <w:t>Цялостният план срещу отпадането от училище включва преразгледани укази, насочени към 4 ключови области:</w:t>
            </w:r>
          </w:p>
          <w:p w14:paraId="76E2B3B2" w14:textId="77777777" w:rsidR="00235E11" w:rsidRDefault="00F837E4">
            <w:pPr>
              <w:pStyle w:val="P68B1DB1-Normal10"/>
              <w:spacing w:after="0"/>
              <w:rPr>
                <w:noProof/>
              </w:rPr>
            </w:pPr>
            <w:r>
              <w:rPr>
                <w:noProof/>
              </w:rPr>
              <w:t>(1) „centres Psycho-Médicaux-Sociaux „(CPMS)“: с постановлението се преразглежда тяхната роля за засилване на акцента на тяхната мисия върху отпадането от училище.</w:t>
            </w:r>
          </w:p>
          <w:p w14:paraId="7214A600" w14:textId="77777777" w:rsidR="00235E11" w:rsidRDefault="00F837E4">
            <w:pPr>
              <w:pStyle w:val="P68B1DB1-Normal10"/>
              <w:spacing w:after="0"/>
              <w:rPr>
                <w:noProof/>
              </w:rPr>
            </w:pPr>
            <w:r>
              <w:rPr>
                <w:noProof/>
              </w:rPr>
              <w:t>(2) Изключване от училище: с постановлението се ограничават основанията за изключване и се създава единен апелативен съвет, за да се гарантира равно третиране на студентите.</w:t>
            </w:r>
          </w:p>
          <w:p w14:paraId="1D315566" w14:textId="77777777" w:rsidR="00235E11" w:rsidRDefault="00F837E4">
            <w:pPr>
              <w:pStyle w:val="P68B1DB1-Normal10"/>
              <w:spacing w:after="0"/>
              <w:rPr>
                <w:noProof/>
              </w:rPr>
            </w:pPr>
            <w:r>
              <w:rPr>
                <w:noProof/>
              </w:rPr>
              <w:t>(3) Превенция и намеса: постановлението засилва механизмите за подкрепа и превенция за студенти, които показват конкретни сигнали за потенциално отпадане (като например студенти с 10 полудни необосновани отсъствия).</w:t>
            </w:r>
          </w:p>
          <w:p w14:paraId="08A5E63A" w14:textId="77777777" w:rsidR="00235E11" w:rsidRDefault="00F837E4">
            <w:pPr>
              <w:pStyle w:val="P68B1DB1-Normal10"/>
              <w:spacing w:after="0"/>
              <w:rPr>
                <w:noProof/>
              </w:rPr>
            </w:pPr>
            <w:r>
              <w:rPr>
                <w:noProof/>
              </w:rPr>
              <w:t>(4) Компенсация: с постановлението се насърчават компенсаторни механизми, които да позволят на студентите — особено на тези, които са натрупали период на отсъствие от няколко месеца — да бъдат наети на работа от 3-та линия, за да предоставят преходна подкрепа на SAS или в рамките на стаж или граждански проект.</w:t>
            </w:r>
          </w:p>
        </w:tc>
      </w:tr>
      <w:tr w:rsidR="00235E11" w14:paraId="2CB88189"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0D0CEAFD" w14:textId="77777777" w:rsidR="00235E11" w:rsidRDefault="00F837E4">
            <w:pPr>
              <w:pStyle w:val="P68B1DB1-Normal10"/>
              <w:spacing w:after="0"/>
              <w:jc w:val="center"/>
              <w:rPr>
                <w:noProof/>
              </w:rPr>
            </w:pPr>
            <w:r>
              <w:rPr>
                <w:noProof/>
              </w:rPr>
              <w:t>131</w:t>
            </w:r>
          </w:p>
        </w:tc>
        <w:tc>
          <w:tcPr>
            <w:tcW w:w="1701" w:type="dxa"/>
            <w:tcBorders>
              <w:top w:val="nil"/>
              <w:left w:val="nil"/>
              <w:bottom w:val="single" w:sz="4" w:space="0" w:color="auto"/>
              <w:right w:val="single" w:sz="4" w:space="0" w:color="auto"/>
            </w:tcBorders>
            <w:shd w:val="clear" w:color="auto" w:fill="C6EFCE"/>
            <w:noWrap/>
            <w:vAlign w:val="center"/>
          </w:tcPr>
          <w:p w14:paraId="439FB68A" w14:textId="77777777" w:rsidR="00235E11" w:rsidRDefault="00F837E4">
            <w:pPr>
              <w:pStyle w:val="P68B1DB1-Normal10"/>
              <w:spacing w:after="0"/>
              <w:rPr>
                <w:noProof/>
              </w:rPr>
            </w:pPr>
            <w:r>
              <w:rPr>
                <w:noProof/>
              </w:rPr>
              <w:t>Предоставяне на цифрово оборудване и ИТ инфраструктура на училищата (I-4)</w:t>
            </w:r>
          </w:p>
        </w:tc>
        <w:tc>
          <w:tcPr>
            <w:tcW w:w="1383" w:type="dxa"/>
            <w:tcBorders>
              <w:top w:val="nil"/>
              <w:left w:val="nil"/>
              <w:bottom w:val="single" w:sz="4" w:space="0" w:color="auto"/>
              <w:right w:val="single" w:sz="4" w:space="0" w:color="auto"/>
            </w:tcBorders>
            <w:shd w:val="clear" w:color="auto" w:fill="C6EFCE"/>
            <w:noWrap/>
            <w:vAlign w:val="center"/>
          </w:tcPr>
          <w:p w14:paraId="612AA2AC" w14:textId="48EE8150" w:rsidR="00235E11" w:rsidRDefault="00F837E4">
            <w:pPr>
              <w:pStyle w:val="P68B1DB1-Normal10"/>
              <w:spacing w:after="0"/>
              <w:rPr>
                <w:noProof/>
              </w:rPr>
            </w:pPr>
            <w:r>
              <w:rPr>
                <w:noProof/>
              </w:rPr>
              <w:t>T</w:t>
            </w:r>
          </w:p>
        </w:tc>
        <w:tc>
          <w:tcPr>
            <w:tcW w:w="1511" w:type="dxa"/>
            <w:tcBorders>
              <w:top w:val="nil"/>
              <w:left w:val="nil"/>
              <w:bottom w:val="single" w:sz="4" w:space="0" w:color="auto"/>
              <w:right w:val="single" w:sz="4" w:space="0" w:color="auto"/>
            </w:tcBorders>
            <w:shd w:val="clear" w:color="auto" w:fill="C6EFCE"/>
            <w:noWrap/>
            <w:vAlign w:val="center"/>
          </w:tcPr>
          <w:p w14:paraId="3BAF98D2" w14:textId="77777777" w:rsidR="00235E11" w:rsidRDefault="00F837E4">
            <w:pPr>
              <w:pStyle w:val="P68B1DB1-Normal10"/>
              <w:spacing w:after="0"/>
              <w:rPr>
                <w:noProof/>
              </w:rPr>
            </w:pPr>
            <w:r>
              <w:rPr>
                <w:noProof/>
              </w:rPr>
              <w:t>Оборудване на училищата/институциите с подходящи ИКТ устройства и инфраструктура за подобряване на цялостното функциониране на образователните системи</w:t>
            </w:r>
          </w:p>
        </w:tc>
        <w:tc>
          <w:tcPr>
            <w:tcW w:w="1324" w:type="dxa"/>
            <w:tcBorders>
              <w:top w:val="nil"/>
              <w:left w:val="nil"/>
              <w:bottom w:val="single" w:sz="4" w:space="0" w:color="auto"/>
              <w:right w:val="single" w:sz="4" w:space="0" w:color="auto"/>
            </w:tcBorders>
            <w:shd w:val="clear" w:color="auto" w:fill="C6EFCE"/>
            <w:noWrap/>
            <w:vAlign w:val="center"/>
          </w:tcPr>
          <w:p w14:paraId="5A867F30"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74CA388A" w14:textId="46C9F3A5" w:rsidR="00235E11" w:rsidRDefault="00F837E4">
            <w:pPr>
              <w:pStyle w:val="P68B1DB1-Normal9"/>
              <w:spacing w:after="0"/>
              <w:rPr>
                <w:rFonts w:eastAsia="Times New Roman"/>
                <w:noProof/>
                <w:highlight w:val="cyan"/>
              </w:rPr>
            </w:pPr>
            <w:r>
              <w:rPr>
                <w:noProof/>
              </w:rPr>
              <w:t xml:space="preserve">Брой училища/институции, получаващи средства </w:t>
            </w:r>
          </w:p>
        </w:tc>
        <w:tc>
          <w:tcPr>
            <w:tcW w:w="1066" w:type="dxa"/>
            <w:tcBorders>
              <w:top w:val="nil"/>
              <w:left w:val="nil"/>
              <w:bottom w:val="single" w:sz="4" w:space="0" w:color="auto"/>
              <w:right w:val="single" w:sz="4" w:space="0" w:color="auto"/>
            </w:tcBorders>
            <w:shd w:val="clear" w:color="auto" w:fill="C6EFCE"/>
            <w:noWrap/>
            <w:vAlign w:val="center"/>
          </w:tcPr>
          <w:p w14:paraId="0CE7F9C0" w14:textId="4C94D277" w:rsidR="00235E11" w:rsidRDefault="00F837E4">
            <w:pPr>
              <w:pStyle w:val="P68B1DB1-Normal10"/>
              <w:spacing w:after="0"/>
              <w:rPr>
                <w:noProof/>
              </w:rPr>
            </w:pPr>
            <w:r>
              <w:rPr>
                <w:noProof/>
              </w:rPr>
              <w:t>0</w:t>
            </w:r>
          </w:p>
        </w:tc>
        <w:tc>
          <w:tcPr>
            <w:tcW w:w="777" w:type="dxa"/>
            <w:tcBorders>
              <w:top w:val="nil"/>
              <w:left w:val="nil"/>
              <w:bottom w:val="single" w:sz="4" w:space="0" w:color="auto"/>
              <w:right w:val="single" w:sz="4" w:space="0" w:color="auto"/>
            </w:tcBorders>
            <w:shd w:val="clear" w:color="auto" w:fill="C6EFCE"/>
            <w:noWrap/>
            <w:vAlign w:val="center"/>
          </w:tcPr>
          <w:p w14:paraId="3A64F8B7" w14:textId="045AEAB0" w:rsidR="00235E11" w:rsidRDefault="00F837E4">
            <w:pPr>
              <w:pStyle w:val="P68B1DB1-Normal9"/>
              <w:spacing w:after="0"/>
              <w:rPr>
                <w:rFonts w:eastAsia="Times New Roman"/>
                <w:noProof/>
              </w:rPr>
            </w:pPr>
            <w:r>
              <w:rPr>
                <w:noProof/>
              </w:rPr>
              <w:t>3 828</w:t>
            </w:r>
          </w:p>
        </w:tc>
        <w:tc>
          <w:tcPr>
            <w:tcW w:w="1027" w:type="dxa"/>
            <w:tcBorders>
              <w:top w:val="nil"/>
              <w:left w:val="nil"/>
              <w:bottom w:val="single" w:sz="4" w:space="0" w:color="auto"/>
              <w:right w:val="single" w:sz="4" w:space="0" w:color="auto"/>
            </w:tcBorders>
            <w:shd w:val="clear" w:color="auto" w:fill="C6EFCE"/>
            <w:noWrap/>
            <w:vAlign w:val="center"/>
          </w:tcPr>
          <w:p w14:paraId="4EA666A3"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tcPr>
          <w:p w14:paraId="60BC531B" w14:textId="77777777" w:rsidR="00235E11" w:rsidRDefault="00F837E4">
            <w:pPr>
              <w:pStyle w:val="P68B1DB1-Normal10"/>
              <w:spacing w:after="0"/>
              <w:jc w:val="center"/>
              <w:rPr>
                <w:noProof/>
              </w:rPr>
            </w:pPr>
            <w:r>
              <w:rPr>
                <w:noProof/>
              </w:rPr>
              <w:t>2022</w:t>
            </w:r>
          </w:p>
        </w:tc>
        <w:tc>
          <w:tcPr>
            <w:tcW w:w="3849" w:type="dxa"/>
            <w:tcBorders>
              <w:top w:val="nil"/>
              <w:left w:val="nil"/>
              <w:bottom w:val="single" w:sz="4" w:space="0" w:color="auto"/>
              <w:right w:val="single" w:sz="4" w:space="0" w:color="auto"/>
            </w:tcBorders>
            <w:shd w:val="clear" w:color="auto" w:fill="C6EFCE"/>
            <w:noWrap/>
            <w:vAlign w:val="center"/>
          </w:tcPr>
          <w:p w14:paraId="33CD0F1F" w14:textId="2EEA120B" w:rsidR="00235E11" w:rsidRDefault="00F837E4">
            <w:pPr>
              <w:pStyle w:val="P68B1DB1-Normal9"/>
              <w:spacing w:after="0"/>
              <w:rPr>
                <w:rFonts w:eastAsia="Times New Roman"/>
                <w:noProof/>
              </w:rPr>
            </w:pPr>
            <w:r>
              <w:rPr>
                <w:noProof/>
              </w:rPr>
              <w:t>3 828 училища и/или образователни институции в Белгия са получили средства за модернизиране на ИКТ инфраструктурата, включително:</w:t>
            </w:r>
          </w:p>
          <w:p w14:paraId="5CC9E9B5" w14:textId="64C2FAFF" w:rsidR="00235E11" w:rsidRDefault="00F837E4">
            <w:pPr>
              <w:pStyle w:val="P68B1DB1-Normal9"/>
              <w:spacing w:after="0"/>
              <w:rPr>
                <w:rFonts w:eastAsia="Times New Roman"/>
                <w:noProof/>
              </w:rPr>
            </w:pPr>
            <w:r>
              <w:rPr>
                <w:noProof/>
              </w:rPr>
              <w:t>— Фламандска общност (I-4.01): 3 785 училища за задължително образование</w:t>
            </w:r>
          </w:p>
          <w:p w14:paraId="4917AF9A" w14:textId="2B6E5D8C" w:rsidR="00235E11" w:rsidRDefault="00F837E4">
            <w:pPr>
              <w:spacing w:after="0"/>
              <w:rPr>
                <w:rFonts w:ascii="Times New Roman" w:eastAsia="Times New Roman" w:hAnsi="Times New Roman" w:cs="Times New Roman"/>
                <w:noProof/>
                <w:color w:val="006100"/>
              </w:rPr>
            </w:pPr>
            <w:r>
              <w:rPr>
                <w:rFonts w:ascii="Times New Roman" w:eastAsia="Times New Roman" w:hAnsi="Times New Roman" w:cs="Times New Roman"/>
                <w:noProof/>
                <w:color w:val="006100"/>
              </w:rPr>
              <w:t>—</w:t>
            </w:r>
            <w:r>
              <w:rPr>
                <w:noProof/>
              </w:rPr>
              <w:t xml:space="preserve"> </w:t>
            </w:r>
            <w:r>
              <w:rPr>
                <w:rFonts w:ascii="Times New Roman" w:eastAsia="Times New Roman" w:hAnsi="Times New Roman" w:cs="Times New Roman"/>
                <w:noProof/>
                <w:color w:val="006100"/>
              </w:rPr>
              <w:t>Немскоезична общност (I-4.06): 43 училища (от детска градина до средно училище), където всички учители се оборудват с лаптоп при поискване, включително 12 средни училища, където всички ученици трябва да бъдат оборудвани с лаптоп.</w:t>
            </w:r>
          </w:p>
        </w:tc>
      </w:tr>
      <w:tr w:rsidR="00235E11" w14:paraId="228C708F"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18A7E1FB" w14:textId="77777777" w:rsidR="00235E11" w:rsidRDefault="00F837E4">
            <w:pPr>
              <w:pStyle w:val="P68B1DB1-Normal10"/>
              <w:spacing w:after="0"/>
              <w:jc w:val="center"/>
              <w:rPr>
                <w:noProof/>
              </w:rPr>
            </w:pPr>
            <w:r>
              <w:rPr>
                <w:noProof/>
              </w:rPr>
              <w:t>133</w:t>
            </w:r>
          </w:p>
        </w:tc>
        <w:tc>
          <w:tcPr>
            <w:tcW w:w="1701" w:type="dxa"/>
            <w:tcBorders>
              <w:top w:val="nil"/>
              <w:left w:val="nil"/>
              <w:bottom w:val="single" w:sz="4" w:space="0" w:color="auto"/>
              <w:right w:val="single" w:sz="4" w:space="0" w:color="auto"/>
            </w:tcBorders>
            <w:shd w:val="clear" w:color="auto" w:fill="C6EFCE"/>
            <w:noWrap/>
            <w:vAlign w:val="center"/>
          </w:tcPr>
          <w:p w14:paraId="7B95173F" w14:textId="77777777" w:rsidR="00235E11" w:rsidRDefault="00F837E4">
            <w:pPr>
              <w:pStyle w:val="P68B1DB1-Normal10"/>
              <w:spacing w:after="0"/>
              <w:rPr>
                <w:noProof/>
              </w:rPr>
            </w:pPr>
            <w:r>
              <w:rPr>
                <w:noProof/>
              </w:rPr>
              <w:t>Предоставяне на цифрово оборудване и ИТ инфраструктура за училищата“ (I-4)</w:t>
            </w:r>
          </w:p>
        </w:tc>
        <w:tc>
          <w:tcPr>
            <w:tcW w:w="1383" w:type="dxa"/>
            <w:tcBorders>
              <w:top w:val="nil"/>
              <w:left w:val="nil"/>
              <w:bottom w:val="single" w:sz="4" w:space="0" w:color="auto"/>
              <w:right w:val="single" w:sz="4" w:space="0" w:color="auto"/>
            </w:tcBorders>
            <w:shd w:val="clear" w:color="auto" w:fill="C6EFCE"/>
            <w:noWrap/>
            <w:vAlign w:val="center"/>
          </w:tcPr>
          <w:p w14:paraId="21A9CD84" w14:textId="3B152D42" w:rsidR="00235E11" w:rsidRDefault="00F837E4">
            <w:pPr>
              <w:pStyle w:val="P68B1DB1-Normal10"/>
              <w:spacing w:after="0"/>
              <w:rPr>
                <w:noProof/>
              </w:rPr>
            </w:pPr>
            <w:r>
              <w:rPr>
                <w:noProof/>
              </w:rPr>
              <w:t>T</w:t>
            </w:r>
          </w:p>
        </w:tc>
        <w:tc>
          <w:tcPr>
            <w:tcW w:w="1511" w:type="dxa"/>
            <w:tcBorders>
              <w:top w:val="nil"/>
              <w:left w:val="nil"/>
              <w:bottom w:val="single" w:sz="4" w:space="0" w:color="auto"/>
              <w:right w:val="single" w:sz="4" w:space="0" w:color="auto"/>
            </w:tcBorders>
            <w:shd w:val="clear" w:color="auto" w:fill="C6EFCE"/>
            <w:noWrap/>
            <w:vAlign w:val="center"/>
          </w:tcPr>
          <w:p w14:paraId="0A3DFDB9" w14:textId="77777777" w:rsidR="00235E11" w:rsidRDefault="00F837E4">
            <w:pPr>
              <w:pStyle w:val="P68B1DB1-Normal10"/>
              <w:spacing w:after="0"/>
              <w:rPr>
                <w:noProof/>
              </w:rPr>
            </w:pPr>
            <w:r>
              <w:rPr>
                <w:noProof/>
              </w:rPr>
              <w:t>Оборудване на училищата/институциите с подходящи ИКТ устройства и инфраструктура за подобряване на цялостното функциониране на образователните системи</w:t>
            </w:r>
          </w:p>
        </w:tc>
        <w:tc>
          <w:tcPr>
            <w:tcW w:w="1324" w:type="dxa"/>
            <w:tcBorders>
              <w:top w:val="nil"/>
              <w:left w:val="nil"/>
              <w:bottom w:val="single" w:sz="4" w:space="0" w:color="auto"/>
              <w:right w:val="single" w:sz="4" w:space="0" w:color="auto"/>
            </w:tcBorders>
            <w:shd w:val="clear" w:color="auto" w:fill="C6EFCE"/>
            <w:noWrap/>
            <w:vAlign w:val="center"/>
          </w:tcPr>
          <w:p w14:paraId="073B619A"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0C1BF7B0" w14:textId="10113E54" w:rsidR="00235E11" w:rsidRDefault="00F837E4">
            <w:pPr>
              <w:pStyle w:val="P68B1DB1-Normal10"/>
              <w:spacing w:after="0"/>
              <w:rPr>
                <w:noProof/>
              </w:rPr>
            </w:pPr>
            <w:r>
              <w:rPr>
                <w:noProof/>
              </w:rPr>
              <w:t xml:space="preserve">Брой училища/институции, получаващи средства </w:t>
            </w:r>
          </w:p>
        </w:tc>
        <w:tc>
          <w:tcPr>
            <w:tcW w:w="1066" w:type="dxa"/>
            <w:tcBorders>
              <w:top w:val="nil"/>
              <w:left w:val="nil"/>
              <w:bottom w:val="single" w:sz="4" w:space="0" w:color="auto"/>
              <w:right w:val="single" w:sz="4" w:space="0" w:color="auto"/>
            </w:tcBorders>
            <w:shd w:val="clear" w:color="auto" w:fill="C6EFCE"/>
            <w:noWrap/>
            <w:vAlign w:val="center"/>
          </w:tcPr>
          <w:p w14:paraId="27F9CAE5" w14:textId="0090DB29" w:rsidR="00235E11" w:rsidRDefault="00F837E4">
            <w:pPr>
              <w:pStyle w:val="P68B1DB1-Normal9"/>
              <w:spacing w:after="0"/>
              <w:rPr>
                <w:rFonts w:eastAsia="Times New Roman"/>
                <w:noProof/>
              </w:rPr>
            </w:pPr>
            <w:r>
              <w:rPr>
                <w:noProof/>
              </w:rPr>
              <w:t>3 828</w:t>
            </w:r>
          </w:p>
        </w:tc>
        <w:tc>
          <w:tcPr>
            <w:tcW w:w="777" w:type="dxa"/>
            <w:tcBorders>
              <w:top w:val="nil"/>
              <w:left w:val="nil"/>
              <w:bottom w:val="single" w:sz="4" w:space="0" w:color="auto"/>
              <w:right w:val="single" w:sz="4" w:space="0" w:color="auto"/>
            </w:tcBorders>
            <w:shd w:val="clear" w:color="auto" w:fill="C6EFCE"/>
            <w:noWrap/>
            <w:vAlign w:val="center"/>
          </w:tcPr>
          <w:p w14:paraId="34E97042" w14:textId="503461AD" w:rsidR="00235E11" w:rsidRDefault="00F837E4">
            <w:pPr>
              <w:pStyle w:val="P68B1DB1-Normal9"/>
              <w:spacing w:after="0"/>
              <w:rPr>
                <w:rFonts w:eastAsia="Times New Roman"/>
                <w:noProof/>
              </w:rPr>
            </w:pPr>
            <w:r>
              <w:rPr>
                <w:noProof/>
              </w:rPr>
              <w:t>3 905</w:t>
            </w:r>
          </w:p>
        </w:tc>
        <w:tc>
          <w:tcPr>
            <w:tcW w:w="1027" w:type="dxa"/>
            <w:tcBorders>
              <w:top w:val="nil"/>
              <w:left w:val="nil"/>
              <w:bottom w:val="single" w:sz="4" w:space="0" w:color="auto"/>
              <w:right w:val="single" w:sz="4" w:space="0" w:color="auto"/>
            </w:tcBorders>
            <w:shd w:val="clear" w:color="auto" w:fill="C6EFCE"/>
            <w:noWrap/>
            <w:vAlign w:val="center"/>
          </w:tcPr>
          <w:p w14:paraId="7A846F3C" w14:textId="77777777" w:rsidR="00235E11" w:rsidRDefault="00F837E4">
            <w:pPr>
              <w:pStyle w:val="P68B1DB1-Normal10"/>
              <w:spacing w:after="0"/>
              <w:jc w:val="center"/>
              <w:rPr>
                <w:noProof/>
              </w:rPr>
            </w:pPr>
            <w:r>
              <w:rPr>
                <w:noProof/>
              </w:rPr>
              <w:t>Т2 Г.</w:t>
            </w:r>
          </w:p>
        </w:tc>
        <w:tc>
          <w:tcPr>
            <w:tcW w:w="850" w:type="dxa"/>
            <w:tcBorders>
              <w:top w:val="nil"/>
              <w:left w:val="nil"/>
              <w:bottom w:val="single" w:sz="4" w:space="0" w:color="auto"/>
              <w:right w:val="single" w:sz="4" w:space="0" w:color="auto"/>
            </w:tcBorders>
            <w:shd w:val="clear" w:color="auto" w:fill="C6EFCE"/>
            <w:noWrap/>
            <w:vAlign w:val="center"/>
          </w:tcPr>
          <w:p w14:paraId="45AC5A24" w14:textId="77777777" w:rsidR="00235E11" w:rsidRDefault="00F837E4">
            <w:pPr>
              <w:pStyle w:val="P68B1DB1-Normal10"/>
              <w:spacing w:after="0"/>
              <w:jc w:val="center"/>
              <w:rPr>
                <w:noProof/>
              </w:rPr>
            </w:pPr>
            <w:r>
              <w:rPr>
                <w:noProof/>
              </w:rPr>
              <w:t>2026</w:t>
            </w:r>
          </w:p>
        </w:tc>
        <w:tc>
          <w:tcPr>
            <w:tcW w:w="3849" w:type="dxa"/>
            <w:tcBorders>
              <w:top w:val="nil"/>
              <w:left w:val="nil"/>
              <w:bottom w:val="single" w:sz="4" w:space="0" w:color="auto"/>
              <w:right w:val="single" w:sz="4" w:space="0" w:color="auto"/>
            </w:tcBorders>
            <w:shd w:val="clear" w:color="auto" w:fill="C6EFCE"/>
            <w:noWrap/>
            <w:vAlign w:val="center"/>
          </w:tcPr>
          <w:p w14:paraId="000AEEF9" w14:textId="06527543" w:rsidR="00235E11" w:rsidRDefault="00F837E4">
            <w:pPr>
              <w:pStyle w:val="P68B1DB1-Normal9"/>
              <w:spacing w:after="0"/>
              <w:rPr>
                <w:rFonts w:eastAsia="Times New Roman"/>
                <w:noProof/>
              </w:rPr>
            </w:pPr>
            <w:r>
              <w:rPr>
                <w:noProof/>
              </w:rPr>
              <w:t>3 905 училища и/или образователни институции в Белгия са получили средства за модернизиране на ИКТ инфраструктурата, включително:</w:t>
            </w:r>
          </w:p>
          <w:p w14:paraId="1577733C" w14:textId="759B7E16" w:rsidR="00235E11" w:rsidRDefault="00F837E4">
            <w:pPr>
              <w:pStyle w:val="P68B1DB1-Normal10"/>
              <w:spacing w:after="0"/>
              <w:rPr>
                <w:noProof/>
              </w:rPr>
            </w:pPr>
            <w:r>
              <w:rPr>
                <w:noProof/>
              </w:rPr>
              <w:t>Френска общност (I-4.04), 40 % (77) от институциите за социално насърчаване на образованието и висшето образование.</w:t>
            </w:r>
          </w:p>
        </w:tc>
      </w:tr>
      <w:tr w:rsidR="00235E11" w14:paraId="1D08D246"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00C6D46D" w14:textId="77777777" w:rsidR="00235E11" w:rsidRDefault="00F837E4">
            <w:pPr>
              <w:pStyle w:val="P68B1DB1-Normal10"/>
              <w:spacing w:after="0"/>
              <w:jc w:val="center"/>
              <w:rPr>
                <w:noProof/>
              </w:rPr>
            </w:pPr>
            <w:r>
              <w:rPr>
                <w:noProof/>
              </w:rPr>
              <w:t>134</w:t>
            </w:r>
          </w:p>
        </w:tc>
        <w:tc>
          <w:tcPr>
            <w:tcW w:w="1701" w:type="dxa"/>
            <w:tcBorders>
              <w:top w:val="nil"/>
              <w:left w:val="nil"/>
              <w:bottom w:val="single" w:sz="4" w:space="0" w:color="auto"/>
              <w:right w:val="single" w:sz="4" w:space="0" w:color="auto"/>
            </w:tcBorders>
            <w:shd w:val="clear" w:color="auto" w:fill="C6EFCE"/>
            <w:noWrap/>
            <w:vAlign w:val="center"/>
          </w:tcPr>
          <w:p w14:paraId="66D00F18" w14:textId="77777777" w:rsidR="00235E11" w:rsidRDefault="00F837E4">
            <w:pPr>
              <w:pStyle w:val="P68B1DB1-Normal10"/>
              <w:spacing w:after="0"/>
              <w:rPr>
                <w:noProof/>
              </w:rPr>
            </w:pPr>
            <w:r>
              <w:rPr>
                <w:noProof/>
              </w:rPr>
              <w:t>Фонд за развитие на висшето образование (I-4.02)</w:t>
            </w:r>
          </w:p>
        </w:tc>
        <w:tc>
          <w:tcPr>
            <w:tcW w:w="1383" w:type="dxa"/>
            <w:tcBorders>
              <w:top w:val="nil"/>
              <w:left w:val="nil"/>
              <w:bottom w:val="single" w:sz="4" w:space="0" w:color="auto"/>
              <w:right w:val="single" w:sz="4" w:space="0" w:color="auto"/>
            </w:tcBorders>
            <w:shd w:val="clear" w:color="auto" w:fill="C6EFCE"/>
            <w:noWrap/>
            <w:vAlign w:val="center"/>
          </w:tcPr>
          <w:p w14:paraId="56E00015" w14:textId="356C52E0" w:rsidR="00235E11" w:rsidRDefault="00F837E4">
            <w:pPr>
              <w:pStyle w:val="P68B1DB1-Normal10"/>
              <w:spacing w:after="0"/>
              <w:rPr>
                <w:noProof/>
              </w:rPr>
            </w:pPr>
            <w:r>
              <w:rPr>
                <w:noProof/>
              </w:rPr>
              <w:t>T</w:t>
            </w:r>
          </w:p>
        </w:tc>
        <w:tc>
          <w:tcPr>
            <w:tcW w:w="1511" w:type="dxa"/>
            <w:tcBorders>
              <w:top w:val="nil"/>
              <w:left w:val="nil"/>
              <w:bottom w:val="single" w:sz="4" w:space="0" w:color="auto"/>
              <w:right w:val="single" w:sz="4" w:space="0" w:color="auto"/>
            </w:tcBorders>
            <w:shd w:val="clear" w:color="auto" w:fill="C6EFCE"/>
            <w:noWrap/>
            <w:vAlign w:val="center"/>
          </w:tcPr>
          <w:p w14:paraId="6A700E4D" w14:textId="77777777" w:rsidR="00235E11" w:rsidRDefault="00F837E4">
            <w:pPr>
              <w:pStyle w:val="P68B1DB1-Normal10"/>
              <w:spacing w:after="0"/>
              <w:rPr>
                <w:noProof/>
              </w:rPr>
            </w:pPr>
            <w:r>
              <w:rPr>
                <w:noProof/>
              </w:rPr>
              <w:t>Подобряване на предлагането на висше образование във Фландрия, за да стане то по-ориентирано към бъдещето и гъвкаво</w:t>
            </w:r>
          </w:p>
        </w:tc>
        <w:tc>
          <w:tcPr>
            <w:tcW w:w="1324" w:type="dxa"/>
            <w:tcBorders>
              <w:top w:val="nil"/>
              <w:left w:val="nil"/>
              <w:bottom w:val="single" w:sz="4" w:space="0" w:color="auto"/>
              <w:right w:val="single" w:sz="4" w:space="0" w:color="auto"/>
            </w:tcBorders>
            <w:shd w:val="clear" w:color="auto" w:fill="C6EFCE"/>
            <w:noWrap/>
            <w:vAlign w:val="center"/>
          </w:tcPr>
          <w:p w14:paraId="67E196A8"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545DA071" w14:textId="6940FC3D" w:rsidR="00235E11" w:rsidRDefault="00F837E4">
            <w:pPr>
              <w:pStyle w:val="P68B1DB1-Normal10"/>
              <w:spacing w:after="0"/>
              <w:rPr>
                <w:noProof/>
              </w:rPr>
            </w:pPr>
            <w:r>
              <w:rPr>
                <w:noProof/>
              </w:rPr>
              <w:t xml:space="preserve">Брой на институциите за висше образование, които са получили средства </w:t>
            </w:r>
          </w:p>
        </w:tc>
        <w:tc>
          <w:tcPr>
            <w:tcW w:w="1066" w:type="dxa"/>
            <w:tcBorders>
              <w:top w:val="nil"/>
              <w:left w:val="nil"/>
              <w:bottom w:val="single" w:sz="4" w:space="0" w:color="auto"/>
              <w:right w:val="single" w:sz="4" w:space="0" w:color="auto"/>
            </w:tcBorders>
            <w:shd w:val="clear" w:color="auto" w:fill="C6EFCE"/>
            <w:noWrap/>
            <w:vAlign w:val="center"/>
          </w:tcPr>
          <w:p w14:paraId="26E10118" w14:textId="77777777" w:rsidR="00235E11" w:rsidRDefault="00F837E4">
            <w:pPr>
              <w:pStyle w:val="P68B1DB1-Normal10"/>
              <w:spacing w:after="0"/>
              <w:rPr>
                <w:noProof/>
              </w:rPr>
            </w:pPr>
            <w:r>
              <w:rPr>
                <w:noProof/>
              </w:rPr>
              <w:t>0</w:t>
            </w:r>
          </w:p>
        </w:tc>
        <w:tc>
          <w:tcPr>
            <w:tcW w:w="777" w:type="dxa"/>
            <w:tcBorders>
              <w:top w:val="nil"/>
              <w:left w:val="nil"/>
              <w:bottom w:val="single" w:sz="4" w:space="0" w:color="auto"/>
              <w:right w:val="single" w:sz="4" w:space="0" w:color="auto"/>
            </w:tcBorders>
            <w:shd w:val="clear" w:color="auto" w:fill="C6EFCE"/>
            <w:noWrap/>
            <w:vAlign w:val="center"/>
          </w:tcPr>
          <w:p w14:paraId="20F3BABB" w14:textId="77777777" w:rsidR="00235E11" w:rsidRDefault="00F837E4">
            <w:pPr>
              <w:pStyle w:val="P68B1DB1-Normal10"/>
              <w:spacing w:after="0"/>
              <w:rPr>
                <w:noProof/>
              </w:rPr>
            </w:pPr>
            <w:r>
              <w:rPr>
                <w:noProof/>
              </w:rPr>
              <w:t>7</w:t>
            </w:r>
          </w:p>
        </w:tc>
        <w:tc>
          <w:tcPr>
            <w:tcW w:w="1027" w:type="dxa"/>
            <w:tcBorders>
              <w:top w:val="nil"/>
              <w:left w:val="nil"/>
              <w:bottom w:val="single" w:sz="4" w:space="0" w:color="auto"/>
              <w:right w:val="single" w:sz="4" w:space="0" w:color="auto"/>
            </w:tcBorders>
            <w:shd w:val="clear" w:color="auto" w:fill="C6EFCE"/>
            <w:noWrap/>
            <w:vAlign w:val="center"/>
          </w:tcPr>
          <w:p w14:paraId="414F5693"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tcPr>
          <w:p w14:paraId="1BB9198D" w14:textId="77777777" w:rsidR="00235E11" w:rsidRDefault="00F837E4">
            <w:pPr>
              <w:pStyle w:val="P68B1DB1-Normal10"/>
              <w:spacing w:after="0"/>
              <w:jc w:val="center"/>
              <w:rPr>
                <w:noProof/>
              </w:rPr>
            </w:pPr>
            <w:r>
              <w:rPr>
                <w:noProof/>
              </w:rPr>
              <w:t>2023</w:t>
            </w:r>
          </w:p>
        </w:tc>
        <w:tc>
          <w:tcPr>
            <w:tcW w:w="3849" w:type="dxa"/>
            <w:tcBorders>
              <w:top w:val="nil"/>
              <w:left w:val="nil"/>
              <w:bottom w:val="single" w:sz="4" w:space="0" w:color="auto"/>
              <w:right w:val="single" w:sz="4" w:space="0" w:color="auto"/>
            </w:tcBorders>
            <w:shd w:val="clear" w:color="auto" w:fill="C6EFCE"/>
            <w:noWrap/>
            <w:vAlign w:val="center"/>
          </w:tcPr>
          <w:p w14:paraId="2715E907" w14:textId="77777777" w:rsidR="00235E11" w:rsidRDefault="00F837E4">
            <w:pPr>
              <w:pStyle w:val="P68B1DB1-Normal10"/>
              <w:spacing w:after="0"/>
              <w:rPr>
                <w:noProof/>
              </w:rPr>
            </w:pPr>
            <w:r>
              <w:rPr>
                <w:noProof/>
              </w:rPr>
              <w:t>7 висши учебни заведения са се възползвали от Фонда за напредък в областта на висшето образование.</w:t>
            </w:r>
          </w:p>
          <w:p w14:paraId="0E996ADE" w14:textId="77777777" w:rsidR="00235E11" w:rsidRDefault="00F837E4">
            <w:pPr>
              <w:pStyle w:val="P68B1DB1-Normal10"/>
              <w:spacing w:after="0"/>
              <w:rPr>
                <w:noProof/>
              </w:rPr>
            </w:pPr>
            <w:r>
              <w:rPr>
                <w:noProof/>
              </w:rPr>
              <w:t>Чрез Фонда за развитие на висшето образование висшите учебни заведения, въз основа на анализи на портфейли от обучения, изготвят планове за действие за адаптиране и намаляване на съществуващите предложения и, когато е необходимо, създават нови такива. Освен това се обръща внимание на адаптирането на програмите въз основа на изискванията на пазара на труда и обществото.</w:t>
            </w:r>
          </w:p>
          <w:p w14:paraId="2EA57867" w14:textId="5B174DE8" w:rsidR="00235E11" w:rsidRDefault="00F837E4">
            <w:pPr>
              <w:pStyle w:val="P68B1DB1-Normal10"/>
              <w:spacing w:after="0"/>
              <w:rPr>
                <w:noProof/>
              </w:rPr>
            </w:pPr>
            <w:r>
              <w:rPr>
                <w:noProof/>
              </w:rPr>
              <w:t xml:space="preserve">Всички фламандски висши учебни заведения имат право да предлагат и представят проекти по настоящата покана за представяне на проекти. Участието в тази покана за представяне на предложения обаче не е задължително за висшите учебни заведения, нито представя план с гаранция за приемане. </w:t>
            </w:r>
          </w:p>
        </w:tc>
      </w:tr>
      <w:tr w:rsidR="00235E11" w14:paraId="5E8D06BA"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76778C83" w14:textId="77777777" w:rsidR="00235E11" w:rsidRDefault="00F837E4">
            <w:pPr>
              <w:pStyle w:val="P68B1DB1-Normal10"/>
              <w:spacing w:after="0"/>
              <w:jc w:val="center"/>
              <w:rPr>
                <w:noProof/>
              </w:rPr>
            </w:pPr>
            <w:r>
              <w:rPr>
                <w:noProof/>
              </w:rPr>
              <w:t>135</w:t>
            </w:r>
          </w:p>
        </w:tc>
        <w:tc>
          <w:tcPr>
            <w:tcW w:w="1701" w:type="dxa"/>
            <w:tcBorders>
              <w:top w:val="nil"/>
              <w:left w:val="nil"/>
              <w:bottom w:val="single" w:sz="4" w:space="0" w:color="auto"/>
              <w:right w:val="single" w:sz="4" w:space="0" w:color="auto"/>
            </w:tcBorders>
            <w:shd w:val="clear" w:color="auto" w:fill="C6EFCE"/>
            <w:noWrap/>
            <w:vAlign w:val="center"/>
          </w:tcPr>
          <w:p w14:paraId="6356698F" w14:textId="77777777" w:rsidR="00235E11" w:rsidRDefault="00F837E4">
            <w:pPr>
              <w:pStyle w:val="P68B1DB1-Normal10"/>
              <w:spacing w:after="0"/>
              <w:rPr>
                <w:noProof/>
              </w:rPr>
            </w:pPr>
            <w:r>
              <w:rPr>
                <w:noProof/>
              </w:rPr>
              <w:t>Персонализирано ориентиране в задължителното образование (I-4.03)</w:t>
            </w:r>
          </w:p>
        </w:tc>
        <w:tc>
          <w:tcPr>
            <w:tcW w:w="1383" w:type="dxa"/>
            <w:tcBorders>
              <w:top w:val="nil"/>
              <w:left w:val="nil"/>
              <w:bottom w:val="single" w:sz="4" w:space="0" w:color="auto"/>
              <w:right w:val="single" w:sz="4" w:space="0" w:color="auto"/>
            </w:tcBorders>
            <w:shd w:val="clear" w:color="auto" w:fill="C6EFCE"/>
            <w:noWrap/>
            <w:vAlign w:val="center"/>
          </w:tcPr>
          <w:p w14:paraId="051C896A" w14:textId="47317B23" w:rsidR="00235E11" w:rsidRDefault="00F837E4">
            <w:pPr>
              <w:pStyle w:val="P68B1DB1-Normal10"/>
              <w:spacing w:after="0"/>
              <w:rPr>
                <w:noProof/>
              </w:rPr>
            </w:pPr>
            <w:r>
              <w:rPr>
                <w:noProof/>
              </w:rPr>
              <w:t>M</w:t>
            </w:r>
          </w:p>
        </w:tc>
        <w:tc>
          <w:tcPr>
            <w:tcW w:w="1511" w:type="dxa"/>
            <w:tcBorders>
              <w:top w:val="nil"/>
              <w:left w:val="nil"/>
              <w:bottom w:val="single" w:sz="4" w:space="0" w:color="auto"/>
              <w:right w:val="single" w:sz="4" w:space="0" w:color="auto"/>
            </w:tcBorders>
            <w:shd w:val="clear" w:color="auto" w:fill="C6EFCE"/>
            <w:noWrap/>
            <w:vAlign w:val="center"/>
          </w:tcPr>
          <w:p w14:paraId="32D061A7" w14:textId="77777777" w:rsidR="00235E11" w:rsidRDefault="00F837E4">
            <w:pPr>
              <w:pStyle w:val="P68B1DB1-Normal10"/>
              <w:spacing w:after="0"/>
              <w:rPr>
                <w:noProof/>
              </w:rPr>
            </w:pPr>
            <w:r>
              <w:rPr>
                <w:noProof/>
              </w:rPr>
              <w:t>Приемане на нова регулаторна рамка, която определя условията за намеса на системата</w:t>
            </w:r>
          </w:p>
        </w:tc>
        <w:tc>
          <w:tcPr>
            <w:tcW w:w="1324" w:type="dxa"/>
            <w:tcBorders>
              <w:top w:val="nil"/>
              <w:left w:val="nil"/>
              <w:bottom w:val="single" w:sz="4" w:space="0" w:color="auto"/>
              <w:right w:val="single" w:sz="4" w:space="0" w:color="auto"/>
            </w:tcBorders>
            <w:shd w:val="clear" w:color="auto" w:fill="C6EFCE"/>
            <w:noWrap/>
            <w:vAlign w:val="center"/>
          </w:tcPr>
          <w:p w14:paraId="7F3F1BB5" w14:textId="77777777" w:rsidR="00235E11" w:rsidRDefault="00F837E4">
            <w:pPr>
              <w:pStyle w:val="P68B1DB1-Normal10"/>
              <w:spacing w:after="0"/>
              <w:rPr>
                <w:noProof/>
              </w:rPr>
            </w:pPr>
            <w:r>
              <w:rPr>
                <w:noProof/>
              </w:rPr>
              <w:t xml:space="preserve">Приемане от парламента на Френската общност на постановителната рамка, която определя условията за намеса на системата </w:t>
            </w:r>
          </w:p>
        </w:tc>
        <w:tc>
          <w:tcPr>
            <w:tcW w:w="1134" w:type="dxa"/>
            <w:tcBorders>
              <w:top w:val="nil"/>
              <w:left w:val="nil"/>
              <w:bottom w:val="single" w:sz="4" w:space="0" w:color="auto"/>
              <w:right w:val="single" w:sz="4" w:space="0" w:color="auto"/>
            </w:tcBorders>
            <w:shd w:val="clear" w:color="auto" w:fill="C6EFCE"/>
            <w:noWrap/>
            <w:vAlign w:val="center"/>
          </w:tcPr>
          <w:p w14:paraId="3316D901" w14:textId="77777777" w:rsidR="00235E11" w:rsidRDefault="00235E11">
            <w:pPr>
              <w:spacing w:after="0"/>
              <w:rPr>
                <w:rFonts w:ascii="Times New Roman" w:eastAsia="Times New Roman" w:hAnsi="Times New Roman" w:cs="Times New Roman"/>
                <w:noProof/>
                <w:color w:val="006100"/>
              </w:rPr>
            </w:pPr>
          </w:p>
        </w:tc>
        <w:tc>
          <w:tcPr>
            <w:tcW w:w="1066" w:type="dxa"/>
            <w:tcBorders>
              <w:top w:val="nil"/>
              <w:left w:val="nil"/>
              <w:bottom w:val="single" w:sz="4" w:space="0" w:color="auto"/>
              <w:right w:val="single" w:sz="4" w:space="0" w:color="auto"/>
            </w:tcBorders>
            <w:shd w:val="clear" w:color="auto" w:fill="C6EFCE"/>
            <w:noWrap/>
            <w:vAlign w:val="center"/>
          </w:tcPr>
          <w:p w14:paraId="0E8FC4B9" w14:textId="77777777" w:rsidR="00235E11" w:rsidRDefault="00235E11">
            <w:pPr>
              <w:spacing w:after="0"/>
              <w:rPr>
                <w:rFonts w:ascii="Times New Roman" w:eastAsia="Times New Roman" w:hAnsi="Times New Roman" w:cs="Times New Roman"/>
                <w:noProof/>
                <w:color w:val="006100"/>
              </w:rPr>
            </w:pPr>
          </w:p>
        </w:tc>
        <w:tc>
          <w:tcPr>
            <w:tcW w:w="777" w:type="dxa"/>
            <w:tcBorders>
              <w:top w:val="nil"/>
              <w:left w:val="nil"/>
              <w:bottom w:val="single" w:sz="4" w:space="0" w:color="auto"/>
              <w:right w:val="single" w:sz="4" w:space="0" w:color="auto"/>
            </w:tcBorders>
            <w:shd w:val="clear" w:color="auto" w:fill="C6EFCE"/>
            <w:noWrap/>
            <w:vAlign w:val="center"/>
          </w:tcPr>
          <w:p w14:paraId="3C7A9A04" w14:textId="77777777" w:rsidR="00235E11" w:rsidRDefault="00235E11">
            <w:pPr>
              <w:spacing w:after="0"/>
              <w:rPr>
                <w:rFonts w:ascii="Times New Roman" w:eastAsia="Times New Roman" w:hAnsi="Times New Roman" w:cs="Times New Roman"/>
                <w:noProof/>
                <w:color w:val="006100"/>
              </w:rPr>
            </w:pPr>
          </w:p>
        </w:tc>
        <w:tc>
          <w:tcPr>
            <w:tcW w:w="1027" w:type="dxa"/>
            <w:tcBorders>
              <w:top w:val="nil"/>
              <w:left w:val="nil"/>
              <w:bottom w:val="single" w:sz="4" w:space="0" w:color="auto"/>
              <w:right w:val="single" w:sz="4" w:space="0" w:color="auto"/>
            </w:tcBorders>
            <w:shd w:val="clear" w:color="auto" w:fill="C6EFCE"/>
            <w:noWrap/>
            <w:vAlign w:val="center"/>
          </w:tcPr>
          <w:p w14:paraId="467356C2" w14:textId="77777777" w:rsidR="00235E11" w:rsidRDefault="00F837E4">
            <w:pPr>
              <w:pStyle w:val="P68B1DB1-Normal10"/>
              <w:spacing w:after="0"/>
              <w:jc w:val="center"/>
              <w:rPr>
                <w:noProof/>
              </w:rPr>
            </w:pPr>
            <w:r>
              <w:rPr>
                <w:noProof/>
              </w:rPr>
              <w:t>Т3 Г.</w:t>
            </w:r>
          </w:p>
        </w:tc>
        <w:tc>
          <w:tcPr>
            <w:tcW w:w="850" w:type="dxa"/>
            <w:tcBorders>
              <w:top w:val="nil"/>
              <w:left w:val="nil"/>
              <w:bottom w:val="single" w:sz="4" w:space="0" w:color="auto"/>
              <w:right w:val="single" w:sz="4" w:space="0" w:color="auto"/>
            </w:tcBorders>
            <w:shd w:val="clear" w:color="auto" w:fill="C6EFCE"/>
            <w:noWrap/>
            <w:vAlign w:val="center"/>
          </w:tcPr>
          <w:p w14:paraId="51D41902" w14:textId="77777777" w:rsidR="00235E11" w:rsidRDefault="00F837E4">
            <w:pPr>
              <w:pStyle w:val="P68B1DB1-Normal10"/>
              <w:spacing w:after="0"/>
              <w:jc w:val="center"/>
              <w:rPr>
                <w:noProof/>
              </w:rPr>
            </w:pPr>
            <w:r>
              <w:rPr>
                <w:noProof/>
              </w:rPr>
              <w:t>2021</w:t>
            </w:r>
          </w:p>
        </w:tc>
        <w:tc>
          <w:tcPr>
            <w:tcW w:w="3849" w:type="dxa"/>
            <w:tcBorders>
              <w:top w:val="nil"/>
              <w:left w:val="nil"/>
              <w:bottom w:val="single" w:sz="4" w:space="0" w:color="auto"/>
              <w:right w:val="single" w:sz="4" w:space="0" w:color="auto"/>
            </w:tcBorders>
            <w:shd w:val="clear" w:color="auto" w:fill="C6EFCE"/>
            <w:noWrap/>
            <w:vAlign w:val="center"/>
          </w:tcPr>
          <w:p w14:paraId="50D034F9" w14:textId="77777777" w:rsidR="00235E11" w:rsidRDefault="00F837E4">
            <w:pPr>
              <w:pStyle w:val="P68B1DB1-Normal10"/>
              <w:spacing w:after="0"/>
              <w:rPr>
                <w:noProof/>
              </w:rPr>
            </w:pPr>
            <w:r>
              <w:rPr>
                <w:noProof/>
              </w:rPr>
              <w:t>Приемане от парламента на Френската общност на нова рамка от постановления, регулираща преходна система, включваща разпоредби, свързани с: (1) предоставянето на средства на училищата във връзка със стратегиите за диференцирано отстраняване и борбата срещу отпадането от училище, (2) изменението на договорите PR-FPO/WBE в контекста на кризата и (3) задачите на CPMS в контекста на кризата.</w:t>
            </w:r>
          </w:p>
        </w:tc>
      </w:tr>
      <w:tr w:rsidR="00235E11" w14:paraId="734B5509"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6347F857" w14:textId="77777777" w:rsidR="00235E11" w:rsidRDefault="00F837E4">
            <w:pPr>
              <w:pStyle w:val="P68B1DB1-Normal10"/>
              <w:spacing w:after="0"/>
              <w:jc w:val="center"/>
              <w:rPr>
                <w:noProof/>
              </w:rPr>
            </w:pPr>
            <w:r>
              <w:rPr>
                <w:noProof/>
              </w:rPr>
              <w:t>136</w:t>
            </w:r>
          </w:p>
        </w:tc>
        <w:tc>
          <w:tcPr>
            <w:tcW w:w="1701" w:type="dxa"/>
            <w:tcBorders>
              <w:top w:val="nil"/>
              <w:left w:val="nil"/>
              <w:bottom w:val="single" w:sz="4" w:space="0" w:color="auto"/>
              <w:right w:val="single" w:sz="4" w:space="0" w:color="auto"/>
            </w:tcBorders>
            <w:shd w:val="clear" w:color="auto" w:fill="C6EFCE"/>
            <w:noWrap/>
            <w:vAlign w:val="center"/>
          </w:tcPr>
          <w:p w14:paraId="5B0F1B96" w14:textId="77777777" w:rsidR="00235E11" w:rsidRDefault="00F837E4">
            <w:pPr>
              <w:pStyle w:val="P68B1DB1-Normal10"/>
              <w:spacing w:after="0"/>
              <w:rPr>
                <w:noProof/>
              </w:rPr>
            </w:pPr>
            <w:r>
              <w:rPr>
                <w:noProof/>
              </w:rPr>
              <w:t>Персонализирано ориентиране в задължителното образование (I-4.03)</w:t>
            </w:r>
          </w:p>
        </w:tc>
        <w:tc>
          <w:tcPr>
            <w:tcW w:w="1383" w:type="dxa"/>
            <w:tcBorders>
              <w:top w:val="nil"/>
              <w:left w:val="nil"/>
              <w:bottom w:val="single" w:sz="4" w:space="0" w:color="auto"/>
              <w:right w:val="single" w:sz="4" w:space="0" w:color="auto"/>
            </w:tcBorders>
            <w:shd w:val="clear" w:color="auto" w:fill="C6EFCE"/>
            <w:noWrap/>
            <w:vAlign w:val="center"/>
          </w:tcPr>
          <w:p w14:paraId="6DA23E9A" w14:textId="51968A21" w:rsidR="00235E11" w:rsidRDefault="00F837E4">
            <w:pPr>
              <w:pStyle w:val="P68B1DB1-Normal10"/>
              <w:spacing w:after="0"/>
              <w:rPr>
                <w:noProof/>
              </w:rPr>
            </w:pPr>
            <w:r>
              <w:rPr>
                <w:noProof/>
              </w:rPr>
              <w:t>T</w:t>
            </w:r>
          </w:p>
        </w:tc>
        <w:tc>
          <w:tcPr>
            <w:tcW w:w="1511" w:type="dxa"/>
            <w:tcBorders>
              <w:top w:val="nil"/>
              <w:left w:val="nil"/>
              <w:bottom w:val="single" w:sz="4" w:space="0" w:color="auto"/>
              <w:right w:val="single" w:sz="4" w:space="0" w:color="auto"/>
            </w:tcBorders>
            <w:shd w:val="clear" w:color="auto" w:fill="C6EFCE"/>
            <w:noWrap/>
            <w:vAlign w:val="center"/>
          </w:tcPr>
          <w:p w14:paraId="0448967B" w14:textId="77777777" w:rsidR="00235E11" w:rsidRDefault="00F837E4">
            <w:pPr>
              <w:pStyle w:val="P68B1DB1-Normal10"/>
              <w:spacing w:after="0"/>
              <w:rPr>
                <w:noProof/>
              </w:rPr>
            </w:pPr>
            <w:r>
              <w:rPr>
                <w:noProof/>
              </w:rPr>
              <w:t>Разгръщане на засилен механизъм за подкрепа на нуждаещите се студенти</w:t>
            </w:r>
          </w:p>
        </w:tc>
        <w:tc>
          <w:tcPr>
            <w:tcW w:w="1324" w:type="dxa"/>
            <w:tcBorders>
              <w:top w:val="nil"/>
              <w:left w:val="nil"/>
              <w:bottom w:val="single" w:sz="4" w:space="0" w:color="auto"/>
              <w:right w:val="single" w:sz="4" w:space="0" w:color="auto"/>
            </w:tcBorders>
            <w:shd w:val="clear" w:color="auto" w:fill="C6EFCE"/>
            <w:noWrap/>
            <w:vAlign w:val="center"/>
          </w:tcPr>
          <w:p w14:paraId="6FC19BF6"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71891DCE" w14:textId="77777777" w:rsidR="00235E11" w:rsidRDefault="00F837E4">
            <w:pPr>
              <w:pStyle w:val="P68B1DB1-Normal10"/>
              <w:spacing w:after="0"/>
              <w:rPr>
                <w:noProof/>
              </w:rPr>
            </w:pPr>
            <w:r>
              <w:rPr>
                <w:noProof/>
              </w:rPr>
              <w:t>Училища (и CPMS), които се ползват от подкрепа и наставничество</w:t>
            </w:r>
          </w:p>
        </w:tc>
        <w:tc>
          <w:tcPr>
            <w:tcW w:w="1066" w:type="dxa"/>
            <w:tcBorders>
              <w:top w:val="nil"/>
              <w:left w:val="nil"/>
              <w:bottom w:val="single" w:sz="4" w:space="0" w:color="auto"/>
              <w:right w:val="single" w:sz="4" w:space="0" w:color="auto"/>
            </w:tcBorders>
            <w:shd w:val="clear" w:color="auto" w:fill="C6EFCE"/>
            <w:noWrap/>
            <w:vAlign w:val="center"/>
          </w:tcPr>
          <w:p w14:paraId="34496857" w14:textId="77777777" w:rsidR="00235E11" w:rsidRDefault="00F837E4">
            <w:pPr>
              <w:pStyle w:val="P68B1DB1-Normal10"/>
              <w:spacing w:after="0"/>
              <w:rPr>
                <w:noProof/>
              </w:rPr>
            </w:pPr>
            <w:r>
              <w:rPr>
                <w:noProof/>
              </w:rPr>
              <w:t>0</w:t>
            </w:r>
          </w:p>
        </w:tc>
        <w:tc>
          <w:tcPr>
            <w:tcW w:w="777" w:type="dxa"/>
            <w:tcBorders>
              <w:top w:val="nil"/>
              <w:left w:val="nil"/>
              <w:bottom w:val="single" w:sz="4" w:space="0" w:color="auto"/>
              <w:right w:val="single" w:sz="4" w:space="0" w:color="auto"/>
            </w:tcBorders>
            <w:shd w:val="clear" w:color="auto" w:fill="C6EFCE"/>
            <w:noWrap/>
            <w:vAlign w:val="center"/>
          </w:tcPr>
          <w:p w14:paraId="7F3498DC" w14:textId="77777777" w:rsidR="00235E11" w:rsidRDefault="00F837E4">
            <w:pPr>
              <w:pStyle w:val="P68B1DB1-Normal10"/>
              <w:spacing w:after="0"/>
              <w:rPr>
                <w:noProof/>
              </w:rPr>
            </w:pPr>
            <w:r>
              <w:rPr>
                <w:noProof/>
              </w:rPr>
              <w:t>531</w:t>
            </w:r>
          </w:p>
        </w:tc>
        <w:tc>
          <w:tcPr>
            <w:tcW w:w="1027" w:type="dxa"/>
            <w:tcBorders>
              <w:top w:val="nil"/>
              <w:left w:val="nil"/>
              <w:bottom w:val="single" w:sz="4" w:space="0" w:color="auto"/>
              <w:right w:val="single" w:sz="4" w:space="0" w:color="auto"/>
            </w:tcBorders>
            <w:shd w:val="clear" w:color="auto" w:fill="C6EFCE"/>
            <w:noWrap/>
            <w:vAlign w:val="center"/>
          </w:tcPr>
          <w:p w14:paraId="1FD92629"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tcPr>
          <w:p w14:paraId="6899BEA5" w14:textId="77777777" w:rsidR="00235E11" w:rsidRDefault="00F837E4">
            <w:pPr>
              <w:pStyle w:val="P68B1DB1-Normal10"/>
              <w:spacing w:after="0"/>
              <w:jc w:val="center"/>
              <w:rPr>
                <w:noProof/>
              </w:rPr>
            </w:pPr>
            <w:r>
              <w:rPr>
                <w:noProof/>
              </w:rPr>
              <w:t>2022</w:t>
            </w:r>
          </w:p>
        </w:tc>
        <w:tc>
          <w:tcPr>
            <w:tcW w:w="3849" w:type="dxa"/>
            <w:tcBorders>
              <w:top w:val="nil"/>
              <w:left w:val="nil"/>
              <w:bottom w:val="single" w:sz="4" w:space="0" w:color="auto"/>
              <w:right w:val="single" w:sz="4" w:space="0" w:color="auto"/>
            </w:tcBorders>
            <w:shd w:val="clear" w:color="auto" w:fill="C6EFCE"/>
            <w:noWrap/>
            <w:vAlign w:val="center"/>
          </w:tcPr>
          <w:p w14:paraId="6D33B248" w14:textId="77777777" w:rsidR="00235E11" w:rsidRDefault="00F837E4">
            <w:pPr>
              <w:pStyle w:val="P68B1DB1-Normal10"/>
              <w:spacing w:after="0"/>
              <w:rPr>
                <w:noProof/>
              </w:rPr>
            </w:pPr>
            <w:r>
              <w:rPr>
                <w:noProof/>
              </w:rPr>
              <w:t>Предоставяне на допълнителни ресурси (като учители, преподаватели, персонал за психологическа подкрепа) в подкрепа на 531 училища/CPMS въз основа на установените нужди.</w:t>
            </w:r>
          </w:p>
        </w:tc>
      </w:tr>
      <w:tr w:rsidR="00235E11" w14:paraId="1C644EA4"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2C0A353A" w14:textId="77777777" w:rsidR="00235E11" w:rsidRDefault="00F837E4">
            <w:pPr>
              <w:pStyle w:val="P68B1DB1-Normal10"/>
              <w:spacing w:after="0"/>
              <w:jc w:val="center"/>
              <w:rPr>
                <w:noProof/>
              </w:rPr>
            </w:pPr>
            <w:r>
              <w:rPr>
                <w:noProof/>
              </w:rPr>
              <w:t>137</w:t>
            </w:r>
          </w:p>
        </w:tc>
        <w:tc>
          <w:tcPr>
            <w:tcW w:w="1701" w:type="dxa"/>
            <w:tcBorders>
              <w:top w:val="nil"/>
              <w:left w:val="nil"/>
              <w:bottom w:val="single" w:sz="4" w:space="0" w:color="auto"/>
              <w:right w:val="single" w:sz="4" w:space="0" w:color="auto"/>
            </w:tcBorders>
            <w:shd w:val="clear" w:color="auto" w:fill="C6EFCE"/>
            <w:noWrap/>
            <w:vAlign w:val="center"/>
          </w:tcPr>
          <w:p w14:paraId="1EA8CEC2" w14:textId="77777777" w:rsidR="00235E11" w:rsidRDefault="00F837E4">
            <w:pPr>
              <w:pStyle w:val="P68B1DB1-Normal10"/>
              <w:spacing w:after="0"/>
              <w:rPr>
                <w:noProof/>
              </w:rPr>
            </w:pPr>
            <w:r>
              <w:rPr>
                <w:noProof/>
              </w:rPr>
              <w:t>Цифрова трансформация за училищата в Брюксел (I-4.05)</w:t>
            </w:r>
          </w:p>
        </w:tc>
        <w:tc>
          <w:tcPr>
            <w:tcW w:w="1383" w:type="dxa"/>
            <w:tcBorders>
              <w:top w:val="nil"/>
              <w:left w:val="nil"/>
              <w:bottom w:val="single" w:sz="4" w:space="0" w:color="auto"/>
              <w:right w:val="single" w:sz="4" w:space="0" w:color="auto"/>
            </w:tcBorders>
            <w:shd w:val="clear" w:color="auto" w:fill="C6EFCE"/>
            <w:noWrap/>
            <w:vAlign w:val="center"/>
          </w:tcPr>
          <w:p w14:paraId="4D10B667" w14:textId="2F3D0D8C" w:rsidR="00235E11" w:rsidRDefault="00F837E4">
            <w:pPr>
              <w:pStyle w:val="P68B1DB1-Normal10"/>
              <w:spacing w:after="0"/>
              <w:rPr>
                <w:noProof/>
              </w:rPr>
            </w:pPr>
            <w:r>
              <w:rPr>
                <w:noProof/>
              </w:rPr>
              <w:t>T</w:t>
            </w:r>
          </w:p>
        </w:tc>
        <w:tc>
          <w:tcPr>
            <w:tcW w:w="1511" w:type="dxa"/>
            <w:tcBorders>
              <w:top w:val="nil"/>
              <w:left w:val="nil"/>
              <w:bottom w:val="single" w:sz="4" w:space="0" w:color="auto"/>
              <w:right w:val="single" w:sz="4" w:space="0" w:color="auto"/>
            </w:tcBorders>
            <w:shd w:val="clear" w:color="auto" w:fill="C6EFCE"/>
            <w:noWrap/>
            <w:vAlign w:val="center"/>
          </w:tcPr>
          <w:p w14:paraId="153263AA" w14:textId="77777777" w:rsidR="00235E11" w:rsidRDefault="00F837E4">
            <w:pPr>
              <w:pStyle w:val="P68B1DB1-Normal10"/>
              <w:spacing w:after="0"/>
              <w:rPr>
                <w:noProof/>
              </w:rPr>
            </w:pPr>
            <w:r>
              <w:rPr>
                <w:noProof/>
              </w:rPr>
              <w:t>Оборудване на училищата/институциите с подходящи ИКТ устройства и инфраструктура за подобряване на цялостното функциониране на образователните системи</w:t>
            </w:r>
          </w:p>
        </w:tc>
        <w:tc>
          <w:tcPr>
            <w:tcW w:w="1324" w:type="dxa"/>
            <w:tcBorders>
              <w:top w:val="nil"/>
              <w:left w:val="nil"/>
              <w:bottom w:val="single" w:sz="4" w:space="0" w:color="auto"/>
              <w:right w:val="single" w:sz="4" w:space="0" w:color="auto"/>
            </w:tcBorders>
            <w:shd w:val="clear" w:color="auto" w:fill="C6EFCE"/>
            <w:noWrap/>
            <w:vAlign w:val="center"/>
          </w:tcPr>
          <w:p w14:paraId="492626DB"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57AD7EF1" w14:textId="77777777" w:rsidR="00235E11" w:rsidRDefault="00F837E4">
            <w:pPr>
              <w:pStyle w:val="P68B1DB1-Normal10"/>
              <w:spacing w:after="0"/>
              <w:rPr>
                <w:noProof/>
              </w:rPr>
            </w:pPr>
            <w:r>
              <w:rPr>
                <w:noProof/>
              </w:rPr>
              <w:t>Инсталирани в училищата ИКТ устройства и горещи точки на WIFI</w:t>
            </w:r>
          </w:p>
        </w:tc>
        <w:tc>
          <w:tcPr>
            <w:tcW w:w="1066" w:type="dxa"/>
            <w:tcBorders>
              <w:top w:val="nil"/>
              <w:left w:val="nil"/>
              <w:bottom w:val="single" w:sz="4" w:space="0" w:color="auto"/>
              <w:right w:val="single" w:sz="4" w:space="0" w:color="auto"/>
            </w:tcBorders>
            <w:shd w:val="clear" w:color="auto" w:fill="C6EFCE"/>
            <w:noWrap/>
            <w:vAlign w:val="center"/>
          </w:tcPr>
          <w:p w14:paraId="35EBC628" w14:textId="77777777" w:rsidR="00235E11" w:rsidRDefault="00F837E4">
            <w:pPr>
              <w:pStyle w:val="P68B1DB1-Normal10"/>
              <w:spacing w:after="0"/>
              <w:rPr>
                <w:noProof/>
              </w:rPr>
            </w:pPr>
            <w:r>
              <w:rPr>
                <w:noProof/>
              </w:rPr>
              <w:t>900</w:t>
            </w:r>
          </w:p>
        </w:tc>
        <w:tc>
          <w:tcPr>
            <w:tcW w:w="777" w:type="dxa"/>
            <w:tcBorders>
              <w:top w:val="nil"/>
              <w:left w:val="nil"/>
              <w:bottom w:val="single" w:sz="4" w:space="0" w:color="auto"/>
              <w:right w:val="single" w:sz="4" w:space="0" w:color="auto"/>
            </w:tcBorders>
            <w:shd w:val="clear" w:color="auto" w:fill="C6EFCE"/>
            <w:noWrap/>
            <w:vAlign w:val="center"/>
          </w:tcPr>
          <w:p w14:paraId="311DC7DF" w14:textId="77777777" w:rsidR="00235E11" w:rsidRDefault="00F837E4">
            <w:pPr>
              <w:pStyle w:val="P68B1DB1-Normal10"/>
              <w:spacing w:after="0"/>
              <w:rPr>
                <w:noProof/>
              </w:rPr>
            </w:pPr>
            <w:r>
              <w:rPr>
                <w:noProof/>
              </w:rPr>
              <w:t>2200</w:t>
            </w:r>
          </w:p>
        </w:tc>
        <w:tc>
          <w:tcPr>
            <w:tcW w:w="1027" w:type="dxa"/>
            <w:tcBorders>
              <w:top w:val="nil"/>
              <w:left w:val="nil"/>
              <w:bottom w:val="single" w:sz="4" w:space="0" w:color="auto"/>
              <w:right w:val="single" w:sz="4" w:space="0" w:color="auto"/>
            </w:tcBorders>
            <w:shd w:val="clear" w:color="auto" w:fill="C6EFCE"/>
            <w:noWrap/>
            <w:vAlign w:val="center"/>
          </w:tcPr>
          <w:p w14:paraId="5E897998"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tcPr>
          <w:p w14:paraId="5B0AB647" w14:textId="77777777" w:rsidR="00235E11" w:rsidRDefault="00F837E4">
            <w:pPr>
              <w:pStyle w:val="P68B1DB1-Normal10"/>
              <w:spacing w:after="0"/>
              <w:jc w:val="center"/>
              <w:rPr>
                <w:noProof/>
              </w:rPr>
            </w:pPr>
            <w:r>
              <w:rPr>
                <w:noProof/>
              </w:rPr>
              <w:t>2021</w:t>
            </w:r>
          </w:p>
        </w:tc>
        <w:tc>
          <w:tcPr>
            <w:tcW w:w="3849" w:type="dxa"/>
            <w:tcBorders>
              <w:top w:val="nil"/>
              <w:left w:val="nil"/>
              <w:bottom w:val="single" w:sz="4" w:space="0" w:color="auto"/>
              <w:right w:val="single" w:sz="4" w:space="0" w:color="auto"/>
            </w:tcBorders>
            <w:shd w:val="clear" w:color="auto" w:fill="C6EFCE"/>
            <w:noWrap/>
            <w:vAlign w:val="center"/>
          </w:tcPr>
          <w:p w14:paraId="44FF9783" w14:textId="77777777" w:rsidR="00235E11" w:rsidRDefault="00F837E4">
            <w:pPr>
              <w:pStyle w:val="P68B1DB1-Normal10"/>
              <w:spacing w:after="0"/>
              <w:rPr>
                <w:noProof/>
              </w:rPr>
            </w:pPr>
            <w:r>
              <w:rPr>
                <w:noProof/>
              </w:rPr>
              <w:t>2200 ИКТ устройства (като лаптопи, таблети, интерактивни табла) и точки за достъп до WIFI се инсталират в училищата в Брюксел. Разпределението се основава на нуждите на училищата (с акцент върху училищата с по-нисък социално-икономически индекс)</w:t>
            </w:r>
          </w:p>
        </w:tc>
      </w:tr>
      <w:tr w:rsidR="00235E11" w14:paraId="7E7EEAC2" w14:textId="77777777">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hideMark/>
          </w:tcPr>
          <w:p w14:paraId="4F299915" w14:textId="77777777" w:rsidR="00235E11" w:rsidRDefault="00F837E4">
            <w:pPr>
              <w:pStyle w:val="P68B1DB1-Normal10"/>
              <w:spacing w:after="0"/>
              <w:jc w:val="center"/>
              <w:rPr>
                <w:noProof/>
              </w:rPr>
            </w:pPr>
            <w:r>
              <w:rPr>
                <w:noProof/>
              </w:rPr>
              <w:t>138</w:t>
            </w:r>
          </w:p>
        </w:tc>
        <w:tc>
          <w:tcPr>
            <w:tcW w:w="1701" w:type="dxa"/>
            <w:tcBorders>
              <w:top w:val="nil"/>
              <w:left w:val="nil"/>
              <w:bottom w:val="single" w:sz="4" w:space="0" w:color="auto"/>
              <w:right w:val="single" w:sz="4" w:space="0" w:color="auto"/>
            </w:tcBorders>
            <w:shd w:val="clear" w:color="auto" w:fill="C6EFCE"/>
            <w:noWrap/>
            <w:vAlign w:val="center"/>
            <w:hideMark/>
          </w:tcPr>
          <w:p w14:paraId="09E29A9E" w14:textId="77777777" w:rsidR="00235E11" w:rsidRDefault="00F837E4">
            <w:pPr>
              <w:pStyle w:val="P68B1DB1-Normal10"/>
              <w:spacing w:after="0"/>
              <w:rPr>
                <w:noProof/>
              </w:rPr>
            </w:pPr>
            <w:r>
              <w:rPr>
                <w:noProof/>
              </w:rPr>
              <w:t>Цифрова трансформация за училищата в Брюксел (I-4.05)</w:t>
            </w:r>
          </w:p>
        </w:tc>
        <w:tc>
          <w:tcPr>
            <w:tcW w:w="1383" w:type="dxa"/>
            <w:tcBorders>
              <w:top w:val="nil"/>
              <w:left w:val="nil"/>
              <w:bottom w:val="single" w:sz="4" w:space="0" w:color="auto"/>
              <w:right w:val="single" w:sz="4" w:space="0" w:color="auto"/>
            </w:tcBorders>
            <w:shd w:val="clear" w:color="auto" w:fill="C6EFCE"/>
            <w:noWrap/>
            <w:vAlign w:val="center"/>
            <w:hideMark/>
          </w:tcPr>
          <w:p w14:paraId="555246A9" w14:textId="7506875C" w:rsidR="00235E11" w:rsidRDefault="00F837E4">
            <w:pPr>
              <w:pStyle w:val="P68B1DB1-Normal10"/>
              <w:spacing w:after="0"/>
              <w:rPr>
                <w:noProof/>
              </w:rPr>
            </w:pPr>
            <w:r>
              <w:rPr>
                <w:noProof/>
              </w:rPr>
              <w:t>T</w:t>
            </w:r>
          </w:p>
        </w:tc>
        <w:tc>
          <w:tcPr>
            <w:tcW w:w="1511" w:type="dxa"/>
            <w:tcBorders>
              <w:top w:val="nil"/>
              <w:left w:val="nil"/>
              <w:bottom w:val="single" w:sz="4" w:space="0" w:color="auto"/>
              <w:right w:val="single" w:sz="4" w:space="0" w:color="auto"/>
            </w:tcBorders>
            <w:shd w:val="clear" w:color="auto" w:fill="C6EFCE"/>
            <w:noWrap/>
            <w:vAlign w:val="center"/>
            <w:hideMark/>
          </w:tcPr>
          <w:p w14:paraId="506DA220" w14:textId="77777777" w:rsidR="00235E11" w:rsidRDefault="00F837E4">
            <w:pPr>
              <w:pStyle w:val="P68B1DB1-Normal10"/>
              <w:spacing w:after="0"/>
              <w:rPr>
                <w:noProof/>
              </w:rPr>
            </w:pPr>
            <w:r>
              <w:rPr>
                <w:noProof/>
              </w:rPr>
              <w:t>Оборудване на училищата/институциите с подходящи ИКТ устройства и инфраструктура за подобряване на цялостното функциониране на образователните системи</w:t>
            </w:r>
          </w:p>
        </w:tc>
        <w:tc>
          <w:tcPr>
            <w:tcW w:w="1324" w:type="dxa"/>
            <w:tcBorders>
              <w:top w:val="nil"/>
              <w:left w:val="nil"/>
              <w:bottom w:val="single" w:sz="4" w:space="0" w:color="auto"/>
              <w:right w:val="single" w:sz="4" w:space="0" w:color="auto"/>
            </w:tcBorders>
            <w:shd w:val="clear" w:color="auto" w:fill="C6EFCE"/>
            <w:noWrap/>
            <w:vAlign w:val="center"/>
            <w:hideMark/>
          </w:tcPr>
          <w:p w14:paraId="18F19293"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hideMark/>
          </w:tcPr>
          <w:p w14:paraId="0690C8EE" w14:textId="77777777" w:rsidR="00235E11" w:rsidRDefault="00F837E4">
            <w:pPr>
              <w:pStyle w:val="P68B1DB1-Normal10"/>
              <w:spacing w:after="0"/>
              <w:rPr>
                <w:noProof/>
              </w:rPr>
            </w:pPr>
            <w:r>
              <w:rPr>
                <w:noProof/>
              </w:rPr>
              <w:t>ИКТ устройства и горещи точки на WIFI, инсталирани в средните училища</w:t>
            </w:r>
          </w:p>
        </w:tc>
        <w:tc>
          <w:tcPr>
            <w:tcW w:w="1066" w:type="dxa"/>
            <w:tcBorders>
              <w:top w:val="nil"/>
              <w:left w:val="nil"/>
              <w:bottom w:val="single" w:sz="4" w:space="0" w:color="auto"/>
              <w:right w:val="single" w:sz="4" w:space="0" w:color="auto"/>
            </w:tcBorders>
            <w:shd w:val="clear" w:color="auto" w:fill="C6EFCE"/>
            <w:noWrap/>
            <w:vAlign w:val="center"/>
            <w:hideMark/>
          </w:tcPr>
          <w:p w14:paraId="7B78F66C" w14:textId="0C755CF7" w:rsidR="00235E11" w:rsidRDefault="00F837E4">
            <w:pPr>
              <w:pStyle w:val="P68B1DB1-Normal9"/>
              <w:spacing w:after="0"/>
              <w:rPr>
                <w:rFonts w:eastAsia="Times New Roman"/>
                <w:noProof/>
              </w:rPr>
            </w:pPr>
            <w:r>
              <w:rPr>
                <w:noProof/>
              </w:rPr>
              <w:t>2 200</w:t>
            </w:r>
          </w:p>
        </w:tc>
        <w:tc>
          <w:tcPr>
            <w:tcW w:w="777" w:type="dxa"/>
            <w:tcBorders>
              <w:top w:val="nil"/>
              <w:left w:val="nil"/>
              <w:bottom w:val="single" w:sz="4" w:space="0" w:color="auto"/>
              <w:right w:val="single" w:sz="4" w:space="0" w:color="auto"/>
            </w:tcBorders>
            <w:shd w:val="clear" w:color="auto" w:fill="C6EFCE"/>
            <w:noWrap/>
            <w:vAlign w:val="center"/>
            <w:hideMark/>
          </w:tcPr>
          <w:p w14:paraId="6A9294A1" w14:textId="353F2C68" w:rsidR="00235E11" w:rsidRDefault="00F837E4">
            <w:pPr>
              <w:pStyle w:val="P68B1DB1-Normal9"/>
              <w:spacing w:after="0"/>
              <w:rPr>
                <w:rFonts w:eastAsia="Times New Roman"/>
                <w:noProof/>
              </w:rPr>
            </w:pPr>
            <w:r>
              <w:rPr>
                <w:noProof/>
              </w:rPr>
              <w:t>3 500</w:t>
            </w:r>
          </w:p>
        </w:tc>
        <w:tc>
          <w:tcPr>
            <w:tcW w:w="1027" w:type="dxa"/>
            <w:tcBorders>
              <w:top w:val="nil"/>
              <w:left w:val="nil"/>
              <w:bottom w:val="single" w:sz="4" w:space="0" w:color="auto"/>
              <w:right w:val="single" w:sz="4" w:space="0" w:color="auto"/>
            </w:tcBorders>
            <w:shd w:val="clear" w:color="auto" w:fill="C6EFCE"/>
            <w:noWrap/>
            <w:vAlign w:val="center"/>
            <w:hideMark/>
          </w:tcPr>
          <w:p w14:paraId="145CC706" w14:textId="77777777" w:rsidR="00235E11" w:rsidRDefault="00F837E4">
            <w:pPr>
              <w:pStyle w:val="P68B1DB1-Normal10"/>
              <w:spacing w:after="0"/>
              <w:jc w:val="center"/>
              <w:rPr>
                <w:noProof/>
              </w:rPr>
            </w:pPr>
            <w:r>
              <w:rPr>
                <w:noProof/>
              </w:rPr>
              <w:t>Т4 Г.</w:t>
            </w:r>
          </w:p>
        </w:tc>
        <w:tc>
          <w:tcPr>
            <w:tcW w:w="850" w:type="dxa"/>
            <w:tcBorders>
              <w:top w:val="nil"/>
              <w:left w:val="nil"/>
              <w:bottom w:val="single" w:sz="4" w:space="0" w:color="auto"/>
              <w:right w:val="single" w:sz="4" w:space="0" w:color="auto"/>
            </w:tcBorders>
            <w:shd w:val="clear" w:color="auto" w:fill="C6EFCE"/>
            <w:noWrap/>
            <w:vAlign w:val="center"/>
            <w:hideMark/>
          </w:tcPr>
          <w:p w14:paraId="464BDF30" w14:textId="77777777" w:rsidR="00235E11" w:rsidRDefault="00F837E4">
            <w:pPr>
              <w:pStyle w:val="P68B1DB1-Normal10"/>
              <w:spacing w:after="0"/>
              <w:jc w:val="center"/>
              <w:rPr>
                <w:noProof/>
              </w:rPr>
            </w:pPr>
            <w:r>
              <w:rPr>
                <w:noProof/>
              </w:rPr>
              <w:t>2024</w:t>
            </w:r>
          </w:p>
        </w:tc>
        <w:tc>
          <w:tcPr>
            <w:tcW w:w="3849" w:type="dxa"/>
            <w:tcBorders>
              <w:top w:val="nil"/>
              <w:left w:val="nil"/>
              <w:bottom w:val="single" w:sz="4" w:space="0" w:color="auto"/>
              <w:right w:val="single" w:sz="4" w:space="0" w:color="auto"/>
            </w:tcBorders>
            <w:shd w:val="clear" w:color="auto" w:fill="C6EFCE"/>
            <w:noWrap/>
            <w:vAlign w:val="center"/>
            <w:hideMark/>
          </w:tcPr>
          <w:p w14:paraId="67BDFC24" w14:textId="3F4F9879" w:rsidR="00235E11" w:rsidRDefault="00F837E4">
            <w:pPr>
              <w:pStyle w:val="P68B1DB1-Normal9"/>
              <w:spacing w:after="0"/>
              <w:rPr>
                <w:rFonts w:eastAsia="Times New Roman"/>
                <w:noProof/>
              </w:rPr>
            </w:pPr>
            <w:r>
              <w:rPr>
                <w:noProof/>
              </w:rPr>
              <w:t>3 500 WiFi точки за достъп се доставят в училищата в Брюксел.</w:t>
            </w:r>
          </w:p>
        </w:tc>
      </w:tr>
    </w:tbl>
    <w:p w14:paraId="66011414" w14:textId="77777777" w:rsidR="00235E11" w:rsidRDefault="00235E11">
      <w:pPr>
        <w:pStyle w:val="Text1"/>
        <w:ind w:left="709"/>
        <w:rPr>
          <w:noProof/>
        </w:rPr>
      </w:pPr>
    </w:p>
    <w:p w14:paraId="526C29FE" w14:textId="77777777" w:rsidR="00235E11" w:rsidRDefault="00235E11">
      <w:pPr>
        <w:ind w:left="709"/>
        <w:rPr>
          <w:rFonts w:ascii="Times New Roman" w:hAnsi="Times New Roman" w:cs="Times New Roman"/>
          <w:noProof/>
        </w:rPr>
        <w:sectPr w:rsidR="00235E11" w:rsidSect="007F56C3">
          <w:headerReference w:type="even" r:id="rId156"/>
          <w:headerReference w:type="default" r:id="rId157"/>
          <w:footerReference w:type="even" r:id="rId158"/>
          <w:footerReference w:type="default" r:id="rId159"/>
          <w:headerReference w:type="first" r:id="rId160"/>
          <w:footerReference w:type="first" r:id="rId161"/>
          <w:pgSz w:w="16839" w:h="11907" w:orient="landscape"/>
          <w:pgMar w:top="1134" w:right="1134" w:bottom="1134" w:left="1134" w:header="567" w:footer="567" w:gutter="0"/>
          <w:cols w:space="720"/>
          <w:docGrid w:linePitch="360"/>
        </w:sectPr>
      </w:pPr>
    </w:p>
    <w:p w14:paraId="1A93D03D" w14:textId="1B2F813F" w:rsidR="00235E11" w:rsidRDefault="00F837E4">
      <w:pPr>
        <w:pStyle w:val="ManualHeading1"/>
        <w:spacing w:before="120"/>
        <w:ind w:left="0" w:firstLine="0"/>
        <w:rPr>
          <w:noProof/>
        </w:rPr>
      </w:pPr>
      <w:r>
        <w:rPr>
          <w:noProof/>
        </w:rPr>
        <w:t>К. КОМПОНЕНТ 4.2: Обучение и заетост на уязвими групи</w:t>
      </w:r>
    </w:p>
    <w:p w14:paraId="33A87B45" w14:textId="77777777" w:rsidR="00235E11" w:rsidRDefault="00F837E4">
      <w:pPr>
        <w:pStyle w:val="NormalLeft"/>
        <w:jc w:val="both"/>
        <w:rPr>
          <w:noProof/>
        </w:rPr>
      </w:pPr>
      <w:r>
        <w:rPr>
          <w:noProof/>
        </w:rPr>
        <w:t>Мерките, предложени в рамките на този компонент от белгийския план за възстановяване и устойчивост, имат за цел да засилят социалната интеграция и интеграцията на пазара на труда на уязвимите групи, включително хората с мигрантски произход, жените, хората с увреждания, затворниците и хората, изложени на риск от цифрово изключване. Няколко от мерките са насочени към насърчаване на цифровото приобщаване и подобряване на достъпа до основни услуги, като например електронното управление, чрез съчетаване на предоставянето на цифрово оборудване с обучение по цифрови умения.</w:t>
      </w:r>
    </w:p>
    <w:p w14:paraId="618DC800" w14:textId="77777777" w:rsidR="00235E11" w:rsidRDefault="00F837E4">
      <w:pPr>
        <w:pStyle w:val="NormalLeft"/>
        <w:jc w:val="both"/>
        <w:rPr>
          <w:noProof/>
        </w:rPr>
      </w:pPr>
      <w:r>
        <w:rPr>
          <w:noProof/>
        </w:rPr>
        <w:t>Компонентът допринася за изпълнението на специфична за всяка държава препоръка 2019.2 относно засилването на интеграцията на уязвимите групи на пазара на труда и на специфична за държавата препоръка 2020.2 относно смекчаването на въздействието на кризата върху заетостта и социалната сфера.</w:t>
      </w:r>
    </w:p>
    <w:p w14:paraId="173EA236" w14:textId="77777777" w:rsidR="00235E11" w:rsidRDefault="00F837E4">
      <w:pPr>
        <w:pStyle w:val="P68B1DB1-Text16"/>
        <w:ind w:left="0"/>
        <w:rPr>
          <w:i/>
          <w:noProof/>
        </w:rPr>
      </w:pPr>
      <w:r>
        <w:rPr>
          <w:noProof/>
        </w:rPr>
        <w:t xml:space="preserve">К.1. </w:t>
      </w:r>
      <w:r>
        <w:rPr>
          <w:noProof/>
        </w:rPr>
        <w:tab/>
        <w:t>Описание на реформите и инвестициите за безвъзмездна финансова подкрепа</w:t>
      </w:r>
    </w:p>
    <w:p w14:paraId="58E1AEE8" w14:textId="77777777" w:rsidR="00235E11" w:rsidRDefault="00F837E4">
      <w:pPr>
        <w:pStyle w:val="P68B1DB1-Text111"/>
        <w:ind w:left="0"/>
        <w:rPr>
          <w:noProof/>
        </w:rPr>
      </w:pPr>
      <w:r>
        <w:rPr>
          <w:noProof/>
        </w:rPr>
        <w:t>Реформа R-4.04: „Борба с дискриминацията на пазара на труда“ на федералната държава</w:t>
      </w:r>
    </w:p>
    <w:p w14:paraId="64FFEA72" w14:textId="77777777" w:rsidR="00235E11" w:rsidRDefault="00F837E4">
      <w:pPr>
        <w:pStyle w:val="Text1"/>
        <w:ind w:left="0"/>
        <w:rPr>
          <w:noProof/>
        </w:rPr>
      </w:pPr>
      <w:r>
        <w:rPr>
          <w:noProof/>
        </w:rPr>
        <w:t>Реформата има за цел борба с дискриминацията на пазара на труда и се състои в (1) подобряване на регулаторната рамка на тестовете за дискриминация (2) подобряване на наличните инструменти и данни за целеви проверки и (3) обучение и укрепване на службите за мониторинг на социалното право на Федералната публична служба за заетост, труд и социален диалог с цел подобряване на ефективността на дискриминационните тестове. Адаптираната регулаторна рамка относно проверките за дискриминация влиза в сила до 1 януари 2024 г.</w:t>
      </w:r>
    </w:p>
    <w:p w14:paraId="48D21465" w14:textId="77777777" w:rsidR="00235E11" w:rsidRDefault="00F837E4">
      <w:pPr>
        <w:pStyle w:val="P68B1DB1-Text111"/>
        <w:ind w:left="0"/>
        <w:rPr>
          <w:noProof/>
        </w:rPr>
      </w:pPr>
      <w:r>
        <w:rPr>
          <w:noProof/>
        </w:rPr>
        <w:t>Реформа R-4.05: „Стратегия за преквалификация“ на регион Брюксел-столица</w:t>
      </w:r>
    </w:p>
    <w:p w14:paraId="3E653FA2" w14:textId="6EBBCFA2" w:rsidR="00235E11" w:rsidRDefault="00F837E4">
      <w:pPr>
        <w:pStyle w:val="Text1"/>
        <w:ind w:left="0"/>
        <w:rPr>
          <w:noProof/>
        </w:rPr>
      </w:pPr>
      <w:r>
        <w:rPr>
          <w:noProof/>
        </w:rPr>
        <w:t>Реформата има за цел да насърчи устойчивата интеграция на уязвимите групи на пазара на труда и се състои в приемането на два регулаторни текста, имащи за цел: (1) въвеждане на систематична оценка на цифровите и езиковите умения и/или на пътека за развитие на търсещите работа в Брюксел и (2) въвеждане на специална схема за бонуси в подкрепа на работодателите при наемането на работа на търсещи работа лица с увреждания. Освен това общоприетата ставка за излизане (</w:t>
      </w:r>
      <w:r w:rsidRPr="00B22925">
        <w:rPr>
          <w:i/>
          <w:iCs/>
          <w:noProof/>
        </w:rPr>
        <w:t>taux</w:t>
      </w:r>
      <w:r w:rsidR="00B22925" w:rsidRPr="00B22925">
        <w:rPr>
          <w:i/>
          <w:iCs/>
          <w:noProof/>
          <w:lang w:val="en-US"/>
        </w:rPr>
        <w:t xml:space="preserve"> </w:t>
      </w:r>
      <w:r>
        <w:rPr>
          <w:i/>
          <w:noProof/>
        </w:rPr>
        <w:t>de sortie vers l’emploi</w:t>
      </w:r>
      <w:r>
        <w:rPr>
          <w:noProof/>
        </w:rPr>
        <w:t xml:space="preserve">) ще бъде транспонирана в договорите за управление за периода 2023—2027 г. на Actiris, Bruxelles Formation и VDAB Brussel, като се определя рамката за неговото изпълнение, мониторинг и оценка на въздействието. Регулаторните актове за насърчаване на интеграцията на уязвимите групи на пазара на труда </w:t>
      </w:r>
      <w:r>
        <w:rPr>
          <w:rStyle w:val="eop"/>
          <w:noProof/>
          <w:color w:val="000000"/>
          <w:shd w:val="clear" w:color="auto" w:fill="FFFFFF"/>
        </w:rPr>
        <w:t>влизат в сила до 31 декември 2024 г.</w:t>
      </w:r>
    </w:p>
    <w:p w14:paraId="4D46F4A1" w14:textId="77777777" w:rsidR="00235E11" w:rsidRDefault="00F837E4">
      <w:pPr>
        <w:pStyle w:val="P68B1DB1-Text111"/>
        <w:ind w:left="0"/>
        <w:rPr>
          <w:noProof/>
        </w:rPr>
      </w:pPr>
      <w:r>
        <w:rPr>
          <w:noProof/>
        </w:rPr>
        <w:t>Реформа R-4.06: „Приобщаващ пазар на труда“ на фламандската общност</w:t>
      </w:r>
    </w:p>
    <w:p w14:paraId="3623A8F8" w14:textId="77777777" w:rsidR="00235E11" w:rsidRDefault="00F837E4">
      <w:pPr>
        <w:pStyle w:val="Text1"/>
        <w:ind w:left="0"/>
        <w:rPr>
          <w:noProof/>
        </w:rPr>
      </w:pPr>
      <w:r>
        <w:rPr>
          <w:noProof/>
        </w:rPr>
        <w:t>Реформата има за цел интегрирането на хората с мигрантски произход на пазара на труда и се състои в (1) разработване на интегрирана траектория за подпомагане на новодошлите (мигранти с гражданство на държава извън ЕС) при интегрирането им в обществото, и по-специално на пазара на труда, и (2) укрепване на политиката за недискриминация на секторно равнище, включително чрез засилено наблюдение и установяване на конкретни действия, като например обучения за справяне с дискриминацията и действия, специфични за групите в неравностойно положение. Изпълнението на реформата трябва да приключи до 31 декември 2023 г.</w:t>
      </w:r>
    </w:p>
    <w:p w14:paraId="1115FBD4" w14:textId="77777777" w:rsidR="00235E11" w:rsidRDefault="00F837E4">
      <w:pPr>
        <w:pStyle w:val="P68B1DB1-Text111"/>
        <w:ind w:left="0"/>
        <w:rPr>
          <w:noProof/>
        </w:rPr>
      </w:pPr>
      <w:r>
        <w:rPr>
          <w:noProof/>
        </w:rPr>
        <w:t>Инвестиция I-4.07: „Стратегия за преквалификация“ на регион Брюксел-столица</w:t>
      </w:r>
    </w:p>
    <w:p w14:paraId="136A9D4E" w14:textId="77777777" w:rsidR="00235E11" w:rsidRDefault="00F837E4">
      <w:pPr>
        <w:pStyle w:val="Text1"/>
        <w:ind w:left="0"/>
        <w:rPr>
          <w:noProof/>
        </w:rPr>
      </w:pPr>
      <w:r>
        <w:rPr>
          <w:noProof/>
        </w:rPr>
        <w:t>Инвестицията е насочена към насърчаване на устойчивата интеграция на уязвимите групи на пазара на труда и се състои от (1) създаване на систематична траектория на обучение, насочена към укрепване на езиковите и цифровите умения на безработните, (2) осигуряване на „спешни“ грижи за родителите, които са били наети на работа или са преминали обучение, и (3) подкрепа за социалните иновации, включително пилотни проекти, свързани със социалните иновации. Изпълнението на инвестицията трябва да приключи до 31 декември 2025 г.</w:t>
      </w:r>
    </w:p>
    <w:p w14:paraId="7C217008" w14:textId="77777777" w:rsidR="00235E11" w:rsidRDefault="00F837E4">
      <w:pPr>
        <w:pStyle w:val="P68B1DB1-Text111"/>
        <w:ind w:left="0"/>
        <w:rPr>
          <w:noProof/>
        </w:rPr>
      </w:pPr>
      <w:r>
        <w:rPr>
          <w:noProof/>
        </w:rPr>
        <w:t>Инвестиция I-4.08: „Електронно включване за Белгия“ на федералната държава</w:t>
      </w:r>
    </w:p>
    <w:p w14:paraId="29D3D3AD" w14:textId="77777777" w:rsidR="00235E11" w:rsidRDefault="00F837E4">
      <w:pPr>
        <w:pStyle w:val="Text1"/>
        <w:ind w:left="0"/>
        <w:rPr>
          <w:noProof/>
        </w:rPr>
      </w:pPr>
      <w:r>
        <w:rPr>
          <w:noProof/>
        </w:rPr>
        <w:t>Целта на инвестицията е да се насърчи социалната и икономическата интеграция на уязвимите групи в обществото чрез подобряване на техните цифрови умения. Инвестицията се състои от покана за представяне на проекти в подкрепа на цифровото приобщаване на уязвимите групи. Проектите имат за цел или (1) повишаване на осведомеността на уязвимите целеви групи, за да се запознаят със съответните ИКТ, за да се подобри личното им положение и да се засили социалната интеграция, (2) подобряване на цифровите умения на уязвимите целеви групи с цел подобряване на личното им положение и засилване на социалната интеграция, или (3) подобряване на цифровите умения на лицата, полагащи грижи за уязвими целеви групи. Изпълнението на инвестицията трябва да приключи до 30 юни 2024 г.</w:t>
      </w:r>
    </w:p>
    <w:p w14:paraId="3E6C558F" w14:textId="77777777" w:rsidR="00235E11" w:rsidRDefault="00F837E4">
      <w:pPr>
        <w:pStyle w:val="P68B1DB1-Text111"/>
        <w:ind w:left="0"/>
        <w:rPr>
          <w:noProof/>
        </w:rPr>
      </w:pPr>
      <w:r>
        <w:rPr>
          <w:noProof/>
        </w:rPr>
        <w:t>Инвестиция I-4.09: „Цифрови платформи за затворници“ на федералната държава</w:t>
      </w:r>
    </w:p>
    <w:p w14:paraId="5D1B3440" w14:textId="77777777" w:rsidR="00235E11" w:rsidRDefault="00F837E4">
      <w:pPr>
        <w:pStyle w:val="Text1"/>
        <w:ind w:left="0"/>
        <w:rPr>
          <w:noProof/>
        </w:rPr>
      </w:pPr>
      <w:r>
        <w:rPr>
          <w:noProof/>
        </w:rPr>
        <w:t>Целта на инвестицията е да се насърчи социалната и икономическата интеграция на затворниците в обществото чрез цифрови услуги. Инвестицията се състои в разработването на цифрова платформа в затворите, за да се даде възможност на затворниците да преминат обучения, да получат достъп до затворнически услуги и услуги за рехабилитация, както и да търсят или кандидатстват за работа. Изпълнението на инвестицията трябва да приключи до 31 декември 2024 г.</w:t>
      </w:r>
    </w:p>
    <w:p w14:paraId="77B06B44" w14:textId="77777777" w:rsidR="00235E11" w:rsidRDefault="00F837E4">
      <w:pPr>
        <w:pStyle w:val="P68B1DB1-Text111"/>
        <w:ind w:left="0"/>
        <w:rPr>
          <w:noProof/>
        </w:rPr>
      </w:pPr>
      <w:r>
        <w:rPr>
          <w:noProof/>
        </w:rPr>
        <w:t>Инвестиция I-4.10: „Пол и работа“ на федералната държава</w:t>
      </w:r>
    </w:p>
    <w:p w14:paraId="460FFEBF" w14:textId="77777777" w:rsidR="00235E11" w:rsidRDefault="00F837E4">
      <w:pPr>
        <w:pStyle w:val="Text1"/>
        <w:ind w:left="0"/>
        <w:rPr>
          <w:noProof/>
        </w:rPr>
      </w:pPr>
      <w:r>
        <w:rPr>
          <w:noProof/>
        </w:rPr>
        <w:t>Целта на инвестицията е да се анализира неравенството между половете на пазара на труда и да се насърчи интеграцията на жените на пазара на труда. Инвестицията се състои в отправяне на покана за представяне на проекти, насочени към интеграцията на уязвимите жени на пазара на труда. Изпълнението на инвестицията трябва да приключи до 31 декември 2024 г.</w:t>
      </w:r>
    </w:p>
    <w:p w14:paraId="6EACC6B7" w14:textId="77777777" w:rsidR="00235E11" w:rsidRDefault="00F837E4">
      <w:pPr>
        <w:pStyle w:val="P68B1DB1-Text111"/>
        <w:ind w:left="0"/>
        <w:rPr>
          <w:noProof/>
        </w:rPr>
      </w:pPr>
      <w:r>
        <w:rPr>
          <w:noProof/>
        </w:rPr>
        <w:t>Инвестиция I-4.11: „Digibank“ на Фламандския регион</w:t>
      </w:r>
    </w:p>
    <w:p w14:paraId="755058CF" w14:textId="77777777" w:rsidR="00235E11" w:rsidRDefault="00F837E4">
      <w:pPr>
        <w:pStyle w:val="Text1"/>
        <w:ind w:left="0"/>
        <w:rPr>
          <w:noProof/>
        </w:rPr>
      </w:pPr>
      <w:r>
        <w:rPr>
          <w:noProof/>
        </w:rPr>
        <w:t>Целта на инвестицията е да се насърчи социалната и икономическата интеграция на уязвимите групи чрез стимулиране на тяхното цифрово приобщаване на общинско равнище. Инвестицията се състои в (1) заемане на цифров хардуер, за да се гарантира равен достъп до цифрови технологии, (2) предоставяне на обучение и споделяне на знания с цел укрепване на цифровите умения, включително технически умения (като например ремонт на ИТ оборудване), и (3) предоставяне на помощ за подобряване на цифровия достъп до основни услуги (като например цифрови услуги от фламандското правителство, данъчно облагане по интернет) чрез т.нар. физически центрове. Изпълнението на инвестицията трябва да приключи до 31 декември 2022 г.</w:t>
      </w:r>
    </w:p>
    <w:p w14:paraId="266BE0A2" w14:textId="77777777" w:rsidR="00235E11" w:rsidRDefault="00235E11">
      <w:pPr>
        <w:pStyle w:val="Text1"/>
        <w:ind w:left="0"/>
        <w:rPr>
          <w:noProof/>
        </w:rPr>
      </w:pPr>
    </w:p>
    <w:p w14:paraId="13955BD4" w14:textId="77777777" w:rsidR="00235E11" w:rsidRDefault="00F837E4">
      <w:pPr>
        <w:pStyle w:val="P68B1DB1-Text16"/>
        <w:ind w:left="0"/>
        <w:rPr>
          <w:noProof/>
        </w:rPr>
      </w:pPr>
      <w:r>
        <w:rPr>
          <w:noProof/>
        </w:rPr>
        <w:t xml:space="preserve">К.2. </w:t>
      </w:r>
      <w:r>
        <w:rPr>
          <w:noProof/>
        </w:rPr>
        <w:tab/>
        <w:t>Ключови етапи, цели, показатели и график за мониторинг и изпълнение на безвъзмездната финансова подкрепа</w:t>
      </w:r>
    </w:p>
    <w:p w14:paraId="63F09799" w14:textId="77777777" w:rsidR="00235E11" w:rsidRDefault="00235E11">
      <w:pPr>
        <w:pStyle w:val="Text1"/>
        <w:rPr>
          <w:noProof/>
        </w:rPr>
      </w:pPr>
    </w:p>
    <w:p w14:paraId="1FF4C2A4" w14:textId="77777777" w:rsidR="00235E11" w:rsidRDefault="00235E11">
      <w:pPr>
        <w:pStyle w:val="Text1"/>
        <w:ind w:left="709"/>
        <w:rPr>
          <w:noProof/>
        </w:rPr>
        <w:sectPr w:rsidR="00235E11" w:rsidSect="007F56C3">
          <w:headerReference w:type="even" r:id="rId162"/>
          <w:headerReference w:type="default" r:id="rId163"/>
          <w:footerReference w:type="even" r:id="rId164"/>
          <w:footerReference w:type="default" r:id="rId165"/>
          <w:headerReference w:type="first" r:id="rId166"/>
          <w:footerReference w:type="first" r:id="rId167"/>
          <w:pgSz w:w="11907" w:h="16839"/>
          <w:pgMar w:top="1134" w:right="1134" w:bottom="1134" w:left="1134" w:header="567" w:footer="567" w:gutter="0"/>
          <w:cols w:space="720"/>
          <w:docGrid w:linePitch="360"/>
        </w:sectPr>
      </w:pPr>
    </w:p>
    <w:tbl>
      <w:tblPr>
        <w:tblW w:w="15502" w:type="dxa"/>
        <w:jc w:val="center"/>
        <w:tblLayout w:type="fixed"/>
        <w:tblLook w:val="04A0" w:firstRow="1" w:lastRow="0" w:firstColumn="1" w:lastColumn="0" w:noHBand="0" w:noVBand="1"/>
      </w:tblPr>
      <w:tblGrid>
        <w:gridCol w:w="846"/>
        <w:gridCol w:w="1452"/>
        <w:gridCol w:w="1275"/>
        <w:gridCol w:w="1384"/>
        <w:gridCol w:w="1417"/>
        <w:gridCol w:w="1310"/>
        <w:gridCol w:w="1134"/>
        <w:gridCol w:w="709"/>
        <w:gridCol w:w="992"/>
        <w:gridCol w:w="851"/>
        <w:gridCol w:w="4132"/>
      </w:tblGrid>
      <w:tr w:rsidR="00235E11" w14:paraId="1BD737D7" w14:textId="77777777">
        <w:trPr>
          <w:trHeight w:val="927"/>
          <w:tblHeade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DBE34D" w14:textId="556716DB" w:rsidR="00235E11" w:rsidRDefault="00F837E4">
            <w:pPr>
              <w:pStyle w:val="P68B1DB1-Normal15"/>
              <w:spacing w:after="0"/>
              <w:jc w:val="center"/>
              <w:rPr>
                <w:noProof/>
              </w:rPr>
            </w:pPr>
            <w:r>
              <w:rPr>
                <w:noProof/>
              </w:rPr>
              <w:t>Следващи Забележка:</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ABACA9" w14:textId="77777777" w:rsidR="00235E11" w:rsidRDefault="00F837E4">
            <w:pPr>
              <w:pStyle w:val="P68B1DB1-Normal15"/>
              <w:spacing w:after="0"/>
              <w:jc w:val="center"/>
              <w:rPr>
                <w:noProof/>
              </w:rPr>
            </w:pPr>
            <w:r>
              <w:rPr>
                <w:noProof/>
              </w:rPr>
              <w:t>Свързана мярка (реформа или инвестиции)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E0B7EE7" w14:textId="77777777" w:rsidR="00235E11" w:rsidRDefault="00F837E4">
            <w:pPr>
              <w:pStyle w:val="P68B1DB1-Normal15"/>
              <w:spacing w:after="0"/>
              <w:jc w:val="center"/>
              <w:rPr>
                <w:noProof/>
              </w:rPr>
            </w:pPr>
            <w:r>
              <w:rPr>
                <w:noProof/>
              </w:rPr>
              <w:t>Ключов етап/Цел</w:t>
            </w:r>
          </w:p>
        </w:tc>
        <w:tc>
          <w:tcPr>
            <w:tcW w:w="1384" w:type="dxa"/>
            <w:vMerge w:val="restart"/>
            <w:tcBorders>
              <w:top w:val="single" w:sz="4" w:space="0" w:color="auto"/>
              <w:left w:val="nil"/>
              <w:bottom w:val="single" w:sz="4" w:space="0" w:color="auto"/>
              <w:right w:val="single" w:sz="4" w:space="0" w:color="auto"/>
            </w:tcBorders>
            <w:shd w:val="clear" w:color="auto" w:fill="BDD7EE"/>
            <w:vAlign w:val="center"/>
            <w:hideMark/>
          </w:tcPr>
          <w:p w14:paraId="6A101D89" w14:textId="77777777" w:rsidR="00235E11" w:rsidRDefault="00F837E4">
            <w:pPr>
              <w:pStyle w:val="P68B1DB1-Normal15"/>
              <w:spacing w:after="0"/>
              <w:jc w:val="center"/>
              <w:rPr>
                <w:noProof/>
              </w:rPr>
            </w:pPr>
            <w:r>
              <w:rPr>
                <w:noProof/>
              </w:rPr>
              <w:t>Име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4A04C3"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3153" w:type="dxa"/>
            <w:gridSpan w:val="3"/>
            <w:tcBorders>
              <w:top w:val="single" w:sz="4" w:space="0" w:color="auto"/>
              <w:left w:val="nil"/>
              <w:bottom w:val="single" w:sz="4" w:space="0" w:color="auto"/>
              <w:right w:val="single" w:sz="4" w:space="0" w:color="auto"/>
            </w:tcBorders>
            <w:shd w:val="clear" w:color="auto" w:fill="BDD7EE"/>
            <w:vAlign w:val="center"/>
            <w:hideMark/>
          </w:tcPr>
          <w:p w14:paraId="3DA56736"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0D754934" w14:textId="77777777" w:rsidR="00235E11" w:rsidRDefault="00F837E4">
            <w:pPr>
              <w:pStyle w:val="P68B1DB1-Normal15"/>
              <w:spacing w:after="0"/>
              <w:jc w:val="center"/>
              <w:rPr>
                <w:noProof/>
              </w:rPr>
            </w:pPr>
            <w:r>
              <w:rPr>
                <w:noProof/>
              </w:rPr>
              <w:t xml:space="preserve">Примерен график за приключване </w:t>
            </w:r>
          </w:p>
        </w:tc>
        <w:tc>
          <w:tcPr>
            <w:tcW w:w="41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7860769" w14:textId="77777777" w:rsidR="00235E11" w:rsidRDefault="00F837E4">
            <w:pPr>
              <w:pStyle w:val="P68B1DB1-Normal15"/>
              <w:spacing w:after="0"/>
              <w:jc w:val="center"/>
              <w:rPr>
                <w:noProof/>
              </w:rPr>
            </w:pPr>
            <w:r>
              <w:rPr>
                <w:noProof/>
              </w:rPr>
              <w:t>Описание на всеки ключов етап и цел</w:t>
            </w:r>
          </w:p>
        </w:tc>
      </w:tr>
      <w:tr w:rsidR="00235E11" w14:paraId="53964A24" w14:textId="77777777">
        <w:trPr>
          <w:trHeight w:val="1013"/>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A85EDC7" w14:textId="77777777" w:rsidR="00235E11" w:rsidRDefault="00235E11">
            <w:pPr>
              <w:spacing w:after="0"/>
              <w:rPr>
                <w:rFonts w:ascii="Times New Roman" w:eastAsia="Times New Roman" w:hAnsi="Times New Roman" w:cs="Times New Roman"/>
                <w:b/>
                <w:noProof/>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6EFFA762" w14:textId="77777777" w:rsidR="00235E11" w:rsidRDefault="00235E11">
            <w:pPr>
              <w:spacing w:after="0"/>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54E5D" w14:textId="77777777" w:rsidR="00235E11" w:rsidRDefault="00235E11">
            <w:pPr>
              <w:spacing w:after="0"/>
              <w:rPr>
                <w:rFonts w:ascii="Times New Roman" w:eastAsia="Times New Roman" w:hAnsi="Times New Roman" w:cs="Times New Roman"/>
                <w:b/>
                <w:noProof/>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C5C380E" w14:textId="77777777" w:rsidR="00235E11" w:rsidRDefault="00235E11">
            <w:pPr>
              <w:spacing w:after="0"/>
              <w:rPr>
                <w:rFonts w:ascii="Times New Roman" w:eastAsia="Times New Roman" w:hAnsi="Times New Roman" w:cs="Times New Roman"/>
                <w:b/>
                <w:noProo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DF24A3" w14:textId="77777777" w:rsidR="00235E11" w:rsidRDefault="00235E11">
            <w:pPr>
              <w:spacing w:after="0"/>
              <w:rPr>
                <w:rFonts w:ascii="Times New Roman" w:eastAsia="Times New Roman" w:hAnsi="Times New Roman" w:cs="Times New Roman"/>
                <w:b/>
                <w:noProof/>
              </w:rPr>
            </w:pPr>
          </w:p>
        </w:tc>
        <w:tc>
          <w:tcPr>
            <w:tcW w:w="1310" w:type="dxa"/>
            <w:tcBorders>
              <w:top w:val="nil"/>
              <w:left w:val="single" w:sz="4" w:space="0" w:color="auto"/>
              <w:bottom w:val="single" w:sz="4" w:space="0" w:color="auto"/>
              <w:right w:val="single" w:sz="4" w:space="0" w:color="auto"/>
            </w:tcBorders>
            <w:shd w:val="clear" w:color="auto" w:fill="BDD7EE"/>
            <w:vAlign w:val="center"/>
            <w:hideMark/>
          </w:tcPr>
          <w:p w14:paraId="338D59DB" w14:textId="77777777" w:rsidR="00235E11" w:rsidRDefault="00F837E4">
            <w:pPr>
              <w:pStyle w:val="P68B1DB1-Normal15"/>
              <w:spacing w:after="0"/>
              <w:jc w:val="center"/>
              <w:rPr>
                <w:noProof/>
              </w:rPr>
            </w:pPr>
            <w:r>
              <w:rPr>
                <w:noProof/>
              </w:rPr>
              <w:t>Единица мярка</w:t>
            </w:r>
          </w:p>
        </w:tc>
        <w:tc>
          <w:tcPr>
            <w:tcW w:w="1134" w:type="dxa"/>
            <w:tcBorders>
              <w:top w:val="nil"/>
              <w:left w:val="nil"/>
              <w:bottom w:val="single" w:sz="4" w:space="0" w:color="auto"/>
              <w:right w:val="single" w:sz="4" w:space="0" w:color="auto"/>
            </w:tcBorders>
            <w:shd w:val="clear" w:color="auto" w:fill="BDD7EE"/>
            <w:vAlign w:val="center"/>
            <w:hideMark/>
          </w:tcPr>
          <w:p w14:paraId="50BCFBD4" w14:textId="77777777" w:rsidR="00235E11" w:rsidRDefault="00F837E4">
            <w:pPr>
              <w:pStyle w:val="P68B1DB1-Normal15"/>
              <w:spacing w:after="0"/>
              <w:jc w:val="center"/>
              <w:rPr>
                <w:noProof/>
              </w:rPr>
            </w:pPr>
            <w:r>
              <w:rPr>
                <w:noProof/>
              </w:rPr>
              <w:t xml:space="preserve">Базова линия </w:t>
            </w:r>
          </w:p>
        </w:tc>
        <w:tc>
          <w:tcPr>
            <w:tcW w:w="709" w:type="dxa"/>
            <w:tcBorders>
              <w:top w:val="nil"/>
              <w:left w:val="nil"/>
              <w:bottom w:val="single" w:sz="4" w:space="0" w:color="auto"/>
              <w:right w:val="single" w:sz="4" w:space="0" w:color="auto"/>
            </w:tcBorders>
            <w:shd w:val="clear" w:color="auto" w:fill="BDD7EE"/>
            <w:vAlign w:val="center"/>
            <w:hideMark/>
          </w:tcPr>
          <w:p w14:paraId="7D15C29D" w14:textId="77777777" w:rsidR="00235E11" w:rsidRDefault="00F837E4">
            <w:pPr>
              <w:pStyle w:val="P68B1DB1-Normal15"/>
              <w:spacing w:after="0"/>
              <w:jc w:val="center"/>
              <w:rPr>
                <w:noProof/>
              </w:rPr>
            </w:pPr>
            <w:r>
              <w:rPr>
                <w:noProof/>
              </w:rPr>
              <w:t xml:space="preserve">Цел </w:t>
            </w:r>
          </w:p>
        </w:tc>
        <w:tc>
          <w:tcPr>
            <w:tcW w:w="992" w:type="dxa"/>
            <w:tcBorders>
              <w:top w:val="nil"/>
              <w:left w:val="nil"/>
              <w:bottom w:val="single" w:sz="4" w:space="0" w:color="auto"/>
              <w:right w:val="single" w:sz="4" w:space="0" w:color="auto"/>
            </w:tcBorders>
            <w:shd w:val="clear" w:color="auto" w:fill="BDD7EE"/>
            <w:vAlign w:val="center"/>
            <w:hideMark/>
          </w:tcPr>
          <w:p w14:paraId="46D7EFA1" w14:textId="77777777" w:rsidR="00235E11" w:rsidRDefault="00F837E4">
            <w:pPr>
              <w:pStyle w:val="P68B1DB1-Normal15"/>
              <w:spacing w:after="0"/>
              <w:jc w:val="center"/>
              <w:rPr>
                <w:noProof/>
              </w:rPr>
            </w:pPr>
            <w:r>
              <w:rPr>
                <w:noProof/>
              </w:rPr>
              <w:t>Тримесечие</w:t>
            </w:r>
          </w:p>
        </w:tc>
        <w:tc>
          <w:tcPr>
            <w:tcW w:w="851" w:type="dxa"/>
            <w:tcBorders>
              <w:top w:val="nil"/>
              <w:left w:val="nil"/>
              <w:bottom w:val="single" w:sz="4" w:space="0" w:color="auto"/>
              <w:right w:val="single" w:sz="4" w:space="0" w:color="auto"/>
            </w:tcBorders>
            <w:shd w:val="clear" w:color="auto" w:fill="BDD7EE"/>
            <w:vAlign w:val="center"/>
            <w:hideMark/>
          </w:tcPr>
          <w:p w14:paraId="6510D139" w14:textId="77777777" w:rsidR="00235E11" w:rsidRDefault="00F837E4">
            <w:pPr>
              <w:pStyle w:val="P68B1DB1-Normal15"/>
              <w:spacing w:after="0"/>
              <w:jc w:val="center"/>
              <w:rPr>
                <w:noProof/>
              </w:rPr>
            </w:pPr>
            <w:r>
              <w:rPr>
                <w:noProof/>
              </w:rPr>
              <w:t>Година</w:t>
            </w:r>
          </w:p>
        </w:tc>
        <w:tc>
          <w:tcPr>
            <w:tcW w:w="4132" w:type="dxa"/>
            <w:vMerge/>
            <w:tcBorders>
              <w:top w:val="single" w:sz="4" w:space="0" w:color="auto"/>
              <w:bottom w:val="single" w:sz="4" w:space="0" w:color="auto"/>
              <w:right w:val="single" w:sz="4" w:space="0" w:color="auto"/>
            </w:tcBorders>
            <w:vAlign w:val="center"/>
            <w:hideMark/>
          </w:tcPr>
          <w:p w14:paraId="51375A76" w14:textId="77777777" w:rsidR="00235E11" w:rsidRDefault="00235E11">
            <w:pPr>
              <w:spacing w:after="0"/>
              <w:rPr>
                <w:rFonts w:ascii="Times New Roman" w:eastAsia="Times New Roman" w:hAnsi="Times New Roman" w:cs="Times New Roman"/>
                <w:b/>
                <w:noProof/>
              </w:rPr>
            </w:pPr>
          </w:p>
        </w:tc>
      </w:tr>
      <w:tr w:rsidR="00235E11" w14:paraId="6E5C0B04" w14:textId="77777777">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A728C9" w14:textId="77777777" w:rsidR="00235E11" w:rsidRDefault="00F837E4">
            <w:pPr>
              <w:pStyle w:val="P68B1DB1-Normal10"/>
              <w:spacing w:after="0"/>
              <w:jc w:val="center"/>
              <w:rPr>
                <w:noProof/>
              </w:rPr>
            </w:pPr>
            <w:r>
              <w:rPr>
                <w:noProof/>
              </w:rPr>
              <w:t>139</w:t>
            </w:r>
          </w:p>
        </w:tc>
        <w:tc>
          <w:tcPr>
            <w:tcW w:w="1452" w:type="dxa"/>
            <w:tcBorders>
              <w:top w:val="single" w:sz="4" w:space="0" w:color="auto"/>
              <w:left w:val="nil"/>
              <w:bottom w:val="single" w:sz="4" w:space="0" w:color="auto"/>
              <w:right w:val="single" w:sz="4" w:space="0" w:color="auto"/>
            </w:tcBorders>
            <w:shd w:val="clear" w:color="auto" w:fill="C6EFCE"/>
            <w:noWrap/>
            <w:vAlign w:val="center"/>
            <w:hideMark/>
          </w:tcPr>
          <w:p w14:paraId="72D47B76" w14:textId="77777777" w:rsidR="00235E11" w:rsidRDefault="00F837E4">
            <w:pPr>
              <w:pStyle w:val="P68B1DB1-Normal10"/>
              <w:spacing w:after="0"/>
              <w:rPr>
                <w:noProof/>
              </w:rPr>
            </w:pPr>
            <w:r>
              <w:rPr>
                <w:noProof/>
              </w:rPr>
              <w:t>Стратегия за преквалифициране (R-4.05)</w:t>
            </w:r>
          </w:p>
        </w:tc>
        <w:tc>
          <w:tcPr>
            <w:tcW w:w="1275" w:type="dxa"/>
            <w:tcBorders>
              <w:top w:val="single" w:sz="4" w:space="0" w:color="auto"/>
              <w:left w:val="nil"/>
              <w:bottom w:val="single" w:sz="4" w:space="0" w:color="auto"/>
              <w:right w:val="single" w:sz="4" w:space="0" w:color="auto"/>
            </w:tcBorders>
            <w:shd w:val="clear" w:color="auto" w:fill="C6EFCE"/>
            <w:noWrap/>
            <w:vAlign w:val="center"/>
            <w:hideMark/>
          </w:tcPr>
          <w:p w14:paraId="5C9152E7" w14:textId="25E5E1D8" w:rsidR="00235E11" w:rsidRDefault="00F837E4">
            <w:pPr>
              <w:pStyle w:val="P68B1DB1-Normal10"/>
              <w:spacing w:after="0"/>
              <w:jc w:val="center"/>
              <w:rPr>
                <w:noProof/>
              </w:rPr>
            </w:pPr>
            <w:r>
              <w:rPr>
                <w:noProof/>
              </w:rPr>
              <w:t>M</w:t>
            </w:r>
          </w:p>
        </w:tc>
        <w:tc>
          <w:tcPr>
            <w:tcW w:w="1384" w:type="dxa"/>
            <w:tcBorders>
              <w:top w:val="single" w:sz="4" w:space="0" w:color="auto"/>
              <w:left w:val="nil"/>
              <w:bottom w:val="single" w:sz="4" w:space="0" w:color="auto"/>
              <w:right w:val="single" w:sz="4" w:space="0" w:color="auto"/>
            </w:tcBorders>
            <w:shd w:val="clear" w:color="auto" w:fill="C6EFCE"/>
            <w:noWrap/>
            <w:vAlign w:val="center"/>
            <w:hideMark/>
          </w:tcPr>
          <w:p w14:paraId="4E265DA1" w14:textId="77777777" w:rsidR="00235E11" w:rsidRDefault="00F837E4">
            <w:pPr>
              <w:pStyle w:val="P68B1DB1-Normal10"/>
              <w:spacing w:after="0"/>
              <w:rPr>
                <w:noProof/>
              </w:rPr>
            </w:pPr>
            <w:r>
              <w:rPr>
                <w:noProof/>
              </w:rPr>
              <w:t>Приемане на нормативни текстове от правителството на Брюксел за насърчаване на интеграцията на уязвимите групи на пазара на труда</w:t>
            </w:r>
          </w:p>
        </w:tc>
        <w:tc>
          <w:tcPr>
            <w:tcW w:w="1417" w:type="dxa"/>
            <w:tcBorders>
              <w:top w:val="single" w:sz="4" w:space="0" w:color="auto"/>
              <w:left w:val="nil"/>
              <w:bottom w:val="single" w:sz="4" w:space="0" w:color="auto"/>
              <w:right w:val="single" w:sz="4" w:space="0" w:color="auto"/>
            </w:tcBorders>
            <w:shd w:val="clear" w:color="auto" w:fill="C6EFCE"/>
            <w:noWrap/>
            <w:vAlign w:val="center"/>
            <w:hideMark/>
          </w:tcPr>
          <w:p w14:paraId="30E2D10A" w14:textId="77777777" w:rsidR="00235E11" w:rsidRDefault="00F837E4">
            <w:pPr>
              <w:pStyle w:val="P68B1DB1-Normal10"/>
              <w:spacing w:after="0"/>
              <w:rPr>
                <w:noProof/>
              </w:rPr>
            </w:pPr>
            <w:r>
              <w:rPr>
                <w:noProof/>
              </w:rPr>
              <w:t>Публикуване на регулаторни текстове в Официален вестник</w:t>
            </w:r>
          </w:p>
        </w:tc>
        <w:tc>
          <w:tcPr>
            <w:tcW w:w="1310" w:type="dxa"/>
            <w:tcBorders>
              <w:top w:val="nil"/>
              <w:left w:val="nil"/>
              <w:bottom w:val="single" w:sz="4" w:space="0" w:color="auto"/>
              <w:right w:val="single" w:sz="4" w:space="0" w:color="auto"/>
            </w:tcBorders>
            <w:shd w:val="clear" w:color="auto" w:fill="C6EFCE"/>
            <w:noWrap/>
            <w:vAlign w:val="center"/>
          </w:tcPr>
          <w:p w14:paraId="087A4786"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56169FD1"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3CFE0159" w14:textId="77777777" w:rsidR="00235E11" w:rsidRDefault="00235E11">
            <w:pPr>
              <w:spacing w:after="0"/>
              <w:jc w:val="right"/>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778686CD" w14:textId="39C15495" w:rsidR="00235E11" w:rsidRDefault="00F837E4">
            <w:pPr>
              <w:pStyle w:val="P68B1DB1-Normal10"/>
              <w:spacing w:after="0"/>
              <w:jc w:val="center"/>
              <w:rPr>
                <w:noProof/>
              </w:rPr>
            </w:pPr>
            <w:r>
              <w:rPr>
                <w:noProof/>
              </w:rPr>
              <w:t>Т4 Г.</w:t>
            </w:r>
          </w:p>
        </w:tc>
        <w:tc>
          <w:tcPr>
            <w:tcW w:w="851" w:type="dxa"/>
            <w:tcBorders>
              <w:top w:val="nil"/>
              <w:left w:val="nil"/>
              <w:bottom w:val="single" w:sz="4" w:space="0" w:color="auto"/>
              <w:right w:val="single" w:sz="4" w:space="0" w:color="auto"/>
            </w:tcBorders>
            <w:shd w:val="clear" w:color="auto" w:fill="C6EFCE"/>
            <w:noWrap/>
            <w:vAlign w:val="center"/>
            <w:hideMark/>
          </w:tcPr>
          <w:p w14:paraId="7EEE4DA5" w14:textId="48D6AB00" w:rsidR="00235E11" w:rsidRDefault="00F837E4">
            <w:pPr>
              <w:pStyle w:val="P68B1DB1-Normal10"/>
              <w:spacing w:after="0"/>
              <w:jc w:val="center"/>
              <w:rPr>
                <w:noProof/>
              </w:rPr>
            </w:pPr>
            <w:r>
              <w:rPr>
                <w:noProof/>
              </w:rPr>
              <w:t>2024</w:t>
            </w:r>
          </w:p>
        </w:tc>
        <w:tc>
          <w:tcPr>
            <w:tcW w:w="4132" w:type="dxa"/>
            <w:tcBorders>
              <w:top w:val="single" w:sz="4" w:space="0" w:color="auto"/>
              <w:left w:val="nil"/>
              <w:bottom w:val="single" w:sz="4" w:space="0" w:color="auto"/>
              <w:right w:val="single" w:sz="4" w:space="0" w:color="auto"/>
            </w:tcBorders>
            <w:shd w:val="clear" w:color="auto" w:fill="C6EFCE"/>
            <w:noWrap/>
            <w:vAlign w:val="center"/>
            <w:hideMark/>
          </w:tcPr>
          <w:p w14:paraId="1725B7CB" w14:textId="183A894D" w:rsidR="00235E11" w:rsidRDefault="00F837E4">
            <w:pPr>
              <w:pStyle w:val="P68B1DB1-Normal10"/>
              <w:spacing w:after="0"/>
              <w:rPr>
                <w:noProof/>
              </w:rPr>
            </w:pPr>
            <w:r>
              <w:rPr>
                <w:noProof/>
              </w:rPr>
              <w:t>Приемане от правителството на Брюксел на два регулаторни текста, насочени към насърчаване на устойчивата интеграция на уязвимите групи на пазара на труда, по-специално (1) въвеждането на систематична оценка на цифровите и езиковите умения и/или на пътека за развитие на търсещите работа в Брюксел и (2) въвеждането на специална схема за бонуси в подкрепа на работодателите при наемането на работа на търсещи работа лица с увреждания.</w:t>
            </w:r>
          </w:p>
          <w:p w14:paraId="1D089C2C" w14:textId="77777777" w:rsidR="00235E11" w:rsidRDefault="00F837E4">
            <w:pPr>
              <w:pStyle w:val="P68B1DB1-Normal10"/>
              <w:spacing w:after="0"/>
              <w:rPr>
                <w:noProof/>
              </w:rPr>
            </w:pPr>
            <w:r>
              <w:rPr>
                <w:noProof/>
              </w:rPr>
              <w:t>Транспониране на общоприетия процент на напускане (taux</w:t>
            </w:r>
            <w:r>
              <w:rPr>
                <w:i/>
                <w:noProof/>
              </w:rPr>
              <w:t>de sortie vers l’emploi</w:t>
            </w:r>
            <w:r>
              <w:rPr>
                <w:noProof/>
              </w:rPr>
              <w:t xml:space="preserve">) в договорите за управление за периода 2023—2027 г. на Actiris, Bruxelles Formation и VDAB Brussel, с което се определя рамката за неговото прилагане, мониторинг и оценка на въздействието. </w:t>
            </w:r>
          </w:p>
        </w:tc>
      </w:tr>
      <w:tr w:rsidR="00235E11" w14:paraId="764355EC"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5C1F79C9" w14:textId="77777777" w:rsidR="00235E11" w:rsidRDefault="00F837E4">
            <w:pPr>
              <w:pStyle w:val="P68B1DB1-Normal10"/>
              <w:spacing w:after="0"/>
              <w:jc w:val="center"/>
              <w:rPr>
                <w:noProof/>
              </w:rPr>
            </w:pPr>
            <w:r>
              <w:rPr>
                <w:noProof/>
              </w:rPr>
              <w:t>140</w:t>
            </w:r>
          </w:p>
        </w:tc>
        <w:tc>
          <w:tcPr>
            <w:tcW w:w="1452" w:type="dxa"/>
            <w:tcBorders>
              <w:top w:val="nil"/>
              <w:left w:val="nil"/>
              <w:bottom w:val="single" w:sz="4" w:space="0" w:color="auto"/>
              <w:right w:val="single" w:sz="4" w:space="0" w:color="auto"/>
            </w:tcBorders>
            <w:shd w:val="clear" w:color="auto" w:fill="C6EFCE"/>
            <w:noWrap/>
            <w:vAlign w:val="center"/>
            <w:hideMark/>
          </w:tcPr>
          <w:p w14:paraId="3E8FEC10" w14:textId="77777777" w:rsidR="00235E11" w:rsidRDefault="00F837E4">
            <w:pPr>
              <w:pStyle w:val="P68B1DB1-Normal10"/>
              <w:spacing w:after="0"/>
              <w:rPr>
                <w:noProof/>
              </w:rPr>
            </w:pPr>
            <w:r>
              <w:rPr>
                <w:noProof/>
              </w:rPr>
              <w:t>Борба с дискриминацията на пазара на труда (R-4.04)</w:t>
            </w:r>
          </w:p>
        </w:tc>
        <w:tc>
          <w:tcPr>
            <w:tcW w:w="1275" w:type="dxa"/>
            <w:tcBorders>
              <w:top w:val="nil"/>
              <w:left w:val="nil"/>
              <w:bottom w:val="single" w:sz="4" w:space="0" w:color="auto"/>
              <w:right w:val="single" w:sz="4" w:space="0" w:color="auto"/>
            </w:tcBorders>
            <w:shd w:val="clear" w:color="auto" w:fill="C6EFCE"/>
            <w:noWrap/>
            <w:vAlign w:val="center"/>
            <w:hideMark/>
          </w:tcPr>
          <w:p w14:paraId="325FE5B3" w14:textId="7F15D7A2" w:rsidR="00235E11" w:rsidRDefault="00F837E4">
            <w:pPr>
              <w:pStyle w:val="P68B1DB1-Normal10"/>
              <w:spacing w:after="0"/>
              <w:jc w:val="center"/>
              <w:rPr>
                <w:noProof/>
              </w:rPr>
            </w:pPr>
            <w:r>
              <w:rPr>
                <w:noProof/>
              </w:rPr>
              <w:t>M</w:t>
            </w:r>
          </w:p>
        </w:tc>
        <w:tc>
          <w:tcPr>
            <w:tcW w:w="1384" w:type="dxa"/>
            <w:tcBorders>
              <w:top w:val="nil"/>
              <w:left w:val="nil"/>
              <w:bottom w:val="single" w:sz="4" w:space="0" w:color="auto"/>
              <w:right w:val="single" w:sz="4" w:space="0" w:color="auto"/>
            </w:tcBorders>
            <w:shd w:val="clear" w:color="auto" w:fill="C6EFCE"/>
            <w:noWrap/>
            <w:vAlign w:val="center"/>
            <w:hideMark/>
          </w:tcPr>
          <w:p w14:paraId="23FBCD3C" w14:textId="77777777" w:rsidR="00235E11" w:rsidRDefault="00F837E4">
            <w:pPr>
              <w:pStyle w:val="P68B1DB1-Normal10"/>
              <w:spacing w:after="0"/>
              <w:rPr>
                <w:noProof/>
              </w:rPr>
            </w:pPr>
            <w:r>
              <w:rPr>
                <w:noProof/>
              </w:rPr>
              <w:t>Адаптирана регулаторна рамка и подобрено прилагане на разграничителни тестове</w:t>
            </w:r>
          </w:p>
        </w:tc>
        <w:tc>
          <w:tcPr>
            <w:tcW w:w="1417" w:type="dxa"/>
            <w:tcBorders>
              <w:top w:val="nil"/>
              <w:left w:val="nil"/>
              <w:bottom w:val="single" w:sz="4" w:space="0" w:color="auto"/>
              <w:right w:val="single" w:sz="4" w:space="0" w:color="auto"/>
            </w:tcBorders>
            <w:shd w:val="clear" w:color="auto" w:fill="C6EFCE"/>
            <w:noWrap/>
            <w:vAlign w:val="center"/>
            <w:hideMark/>
          </w:tcPr>
          <w:p w14:paraId="0DFD3C09" w14:textId="77777777" w:rsidR="00235E11" w:rsidRDefault="00F837E4">
            <w:pPr>
              <w:pStyle w:val="P68B1DB1-Normal10"/>
              <w:spacing w:after="0"/>
              <w:rPr>
                <w:noProof/>
              </w:rPr>
            </w:pPr>
            <w:r>
              <w:rPr>
                <w:noProof/>
              </w:rPr>
              <w:t>Публикуване на адаптираната регулаторна рамка в Официален вестник</w:t>
            </w:r>
          </w:p>
        </w:tc>
        <w:tc>
          <w:tcPr>
            <w:tcW w:w="1310" w:type="dxa"/>
            <w:tcBorders>
              <w:top w:val="nil"/>
              <w:left w:val="nil"/>
              <w:bottom w:val="single" w:sz="4" w:space="0" w:color="auto"/>
              <w:right w:val="single" w:sz="4" w:space="0" w:color="auto"/>
            </w:tcBorders>
            <w:shd w:val="clear" w:color="auto" w:fill="C6EFCE"/>
            <w:noWrap/>
            <w:vAlign w:val="center"/>
          </w:tcPr>
          <w:p w14:paraId="46F4D274"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393A73EC"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127DFF07" w14:textId="77777777" w:rsidR="00235E11" w:rsidRDefault="00235E11">
            <w:pPr>
              <w:spacing w:after="0"/>
              <w:jc w:val="right"/>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06AD5E4D" w14:textId="77777777" w:rsidR="00235E11" w:rsidRDefault="00F837E4">
            <w:pPr>
              <w:pStyle w:val="P68B1DB1-Normal10"/>
              <w:spacing w:after="0"/>
              <w:jc w:val="center"/>
              <w:rPr>
                <w:noProof/>
              </w:rPr>
            </w:pPr>
            <w:r>
              <w:rPr>
                <w:noProof/>
              </w:rPr>
              <w:t>Т4 Г.</w:t>
            </w:r>
          </w:p>
        </w:tc>
        <w:tc>
          <w:tcPr>
            <w:tcW w:w="851" w:type="dxa"/>
            <w:tcBorders>
              <w:top w:val="nil"/>
              <w:left w:val="nil"/>
              <w:bottom w:val="single" w:sz="4" w:space="0" w:color="auto"/>
              <w:right w:val="single" w:sz="4" w:space="0" w:color="auto"/>
            </w:tcBorders>
            <w:shd w:val="clear" w:color="auto" w:fill="C6EFCE"/>
            <w:noWrap/>
            <w:vAlign w:val="center"/>
            <w:hideMark/>
          </w:tcPr>
          <w:p w14:paraId="440770A3" w14:textId="77777777" w:rsidR="00235E11" w:rsidRDefault="00F837E4">
            <w:pPr>
              <w:pStyle w:val="P68B1DB1-Normal10"/>
              <w:spacing w:after="0"/>
              <w:jc w:val="center"/>
              <w:rPr>
                <w:noProof/>
              </w:rPr>
            </w:pPr>
            <w:r>
              <w:rPr>
                <w:noProof/>
              </w:rPr>
              <w:t>2023</w:t>
            </w:r>
          </w:p>
        </w:tc>
        <w:tc>
          <w:tcPr>
            <w:tcW w:w="4132" w:type="dxa"/>
            <w:tcBorders>
              <w:top w:val="nil"/>
              <w:left w:val="nil"/>
              <w:bottom w:val="single" w:sz="4" w:space="0" w:color="auto"/>
              <w:right w:val="single" w:sz="4" w:space="0" w:color="auto"/>
            </w:tcBorders>
            <w:shd w:val="clear" w:color="auto" w:fill="C6EFCE"/>
            <w:noWrap/>
            <w:vAlign w:val="center"/>
          </w:tcPr>
          <w:p w14:paraId="6C78EDAF" w14:textId="77777777" w:rsidR="00235E11" w:rsidRDefault="00F837E4">
            <w:pPr>
              <w:pStyle w:val="P68B1DB1-Normal10"/>
              <w:spacing w:after="0"/>
              <w:rPr>
                <w:noProof/>
              </w:rPr>
            </w:pPr>
            <w:r>
              <w:rPr>
                <w:noProof/>
              </w:rPr>
              <w:t>(1) Публикуване в Официален вестник на адаптирана регулаторна рамка относно дискриминационните тестове (art.42/1 Социален наказателен кодекс), (2) подобряване на инструментите и данните за целеви проверки и (3) обучение и укрепване на службите за мониторинг на социалното право на Федералната публична служба за заетост, труд и социален диалог с цел подобряване на ефективността на дискриминационните тестове.</w:t>
            </w:r>
          </w:p>
        </w:tc>
      </w:tr>
      <w:tr w:rsidR="00235E11" w14:paraId="50087B79"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1044289C" w14:textId="77777777" w:rsidR="00235E11" w:rsidRDefault="00F837E4">
            <w:pPr>
              <w:pStyle w:val="P68B1DB1-Normal10"/>
              <w:spacing w:after="0"/>
              <w:jc w:val="center"/>
              <w:rPr>
                <w:noProof/>
              </w:rPr>
            </w:pPr>
            <w:r>
              <w:rPr>
                <w:noProof/>
              </w:rPr>
              <w:t>141</w:t>
            </w:r>
          </w:p>
        </w:tc>
        <w:tc>
          <w:tcPr>
            <w:tcW w:w="1452" w:type="dxa"/>
            <w:tcBorders>
              <w:top w:val="nil"/>
              <w:left w:val="nil"/>
              <w:bottom w:val="single" w:sz="4" w:space="0" w:color="auto"/>
              <w:right w:val="single" w:sz="4" w:space="0" w:color="auto"/>
            </w:tcBorders>
            <w:shd w:val="clear" w:color="auto" w:fill="C6EFCE"/>
            <w:noWrap/>
            <w:vAlign w:val="center"/>
            <w:hideMark/>
          </w:tcPr>
          <w:p w14:paraId="21D6B57A" w14:textId="77777777" w:rsidR="00235E11" w:rsidRDefault="00F837E4">
            <w:pPr>
              <w:pStyle w:val="P68B1DB1-Normal10"/>
              <w:spacing w:after="0"/>
              <w:rPr>
                <w:noProof/>
              </w:rPr>
            </w:pPr>
            <w:r>
              <w:rPr>
                <w:noProof/>
              </w:rPr>
              <w:t>Приобщаващ пазар на труда (R-4.06)</w:t>
            </w:r>
          </w:p>
        </w:tc>
        <w:tc>
          <w:tcPr>
            <w:tcW w:w="1275" w:type="dxa"/>
            <w:tcBorders>
              <w:top w:val="nil"/>
              <w:left w:val="nil"/>
              <w:bottom w:val="single" w:sz="4" w:space="0" w:color="auto"/>
              <w:right w:val="single" w:sz="4" w:space="0" w:color="auto"/>
            </w:tcBorders>
            <w:shd w:val="clear" w:color="auto" w:fill="C6EFCE"/>
            <w:noWrap/>
            <w:vAlign w:val="center"/>
            <w:hideMark/>
          </w:tcPr>
          <w:p w14:paraId="44FCC3C4" w14:textId="03FE5C97" w:rsidR="00235E11" w:rsidRDefault="00F837E4">
            <w:pPr>
              <w:pStyle w:val="P68B1DB1-Normal10"/>
              <w:spacing w:after="0"/>
              <w:jc w:val="center"/>
              <w:rPr>
                <w:noProof/>
              </w:rPr>
            </w:pPr>
            <w:r>
              <w:rPr>
                <w:noProof/>
              </w:rPr>
              <w:t>T</w:t>
            </w:r>
          </w:p>
        </w:tc>
        <w:tc>
          <w:tcPr>
            <w:tcW w:w="1384" w:type="dxa"/>
            <w:tcBorders>
              <w:top w:val="nil"/>
              <w:left w:val="nil"/>
              <w:bottom w:val="single" w:sz="4" w:space="0" w:color="auto"/>
              <w:right w:val="single" w:sz="4" w:space="0" w:color="auto"/>
            </w:tcBorders>
            <w:shd w:val="clear" w:color="auto" w:fill="C6EFCE"/>
            <w:noWrap/>
            <w:vAlign w:val="center"/>
            <w:hideMark/>
          </w:tcPr>
          <w:p w14:paraId="2FEF03C1" w14:textId="77777777" w:rsidR="00235E11" w:rsidRDefault="00F837E4">
            <w:pPr>
              <w:pStyle w:val="P68B1DB1-Normal10"/>
              <w:spacing w:after="0"/>
              <w:rPr>
                <w:noProof/>
              </w:rPr>
            </w:pPr>
            <w:r>
              <w:rPr>
                <w:noProof/>
              </w:rPr>
              <w:t>Приключване на секторни действия за недопускане на дискриминация</w:t>
            </w:r>
          </w:p>
        </w:tc>
        <w:tc>
          <w:tcPr>
            <w:tcW w:w="1417" w:type="dxa"/>
            <w:tcBorders>
              <w:top w:val="nil"/>
              <w:left w:val="nil"/>
              <w:bottom w:val="single" w:sz="4" w:space="0" w:color="auto"/>
              <w:right w:val="single" w:sz="4" w:space="0" w:color="auto"/>
            </w:tcBorders>
            <w:shd w:val="clear" w:color="auto" w:fill="C6EFCE"/>
            <w:noWrap/>
            <w:vAlign w:val="center"/>
            <w:hideMark/>
          </w:tcPr>
          <w:p w14:paraId="7F6FDCE0" w14:textId="77777777" w:rsidR="00235E11" w:rsidRDefault="00235E11">
            <w:pPr>
              <w:spacing w:after="0"/>
              <w:rPr>
                <w:rFonts w:ascii="Times New Roman" w:eastAsia="Times New Roman" w:hAnsi="Times New Roman" w:cs="Times New Roman"/>
                <w:noProof/>
                <w:color w:val="006100"/>
              </w:rPr>
            </w:pPr>
          </w:p>
        </w:tc>
        <w:tc>
          <w:tcPr>
            <w:tcW w:w="1310" w:type="dxa"/>
            <w:tcBorders>
              <w:top w:val="nil"/>
              <w:left w:val="nil"/>
              <w:bottom w:val="single" w:sz="4" w:space="0" w:color="auto"/>
              <w:right w:val="single" w:sz="4" w:space="0" w:color="auto"/>
            </w:tcBorders>
            <w:shd w:val="clear" w:color="auto" w:fill="C6EFCE"/>
            <w:noWrap/>
            <w:vAlign w:val="center"/>
            <w:hideMark/>
          </w:tcPr>
          <w:p w14:paraId="01796E72" w14:textId="77777777" w:rsidR="00235E11" w:rsidRDefault="00F837E4">
            <w:pPr>
              <w:pStyle w:val="P68B1DB1-Normal10"/>
              <w:spacing w:after="0"/>
              <w:rPr>
                <w:noProof/>
              </w:rPr>
            </w:pPr>
            <w:r>
              <w:rPr>
                <w:noProof/>
              </w:rPr>
              <w:t>Сектори</w:t>
            </w:r>
          </w:p>
        </w:tc>
        <w:tc>
          <w:tcPr>
            <w:tcW w:w="1134" w:type="dxa"/>
            <w:tcBorders>
              <w:top w:val="nil"/>
              <w:left w:val="nil"/>
              <w:bottom w:val="single" w:sz="4" w:space="0" w:color="auto"/>
              <w:right w:val="single" w:sz="4" w:space="0" w:color="auto"/>
            </w:tcBorders>
            <w:shd w:val="clear" w:color="auto" w:fill="C6EFCE"/>
            <w:noWrap/>
            <w:vAlign w:val="center"/>
          </w:tcPr>
          <w:p w14:paraId="2A8EC2A3" w14:textId="77777777" w:rsidR="00235E11" w:rsidRDefault="00F837E4">
            <w:pPr>
              <w:pStyle w:val="P68B1DB1-Normal10"/>
              <w:spacing w:after="0"/>
              <w:rPr>
                <w:noProof/>
              </w:rPr>
            </w:pPr>
            <w:r>
              <w:rPr>
                <w:noProof/>
              </w:rPr>
              <w:t>0</w:t>
            </w:r>
          </w:p>
        </w:tc>
        <w:tc>
          <w:tcPr>
            <w:tcW w:w="709" w:type="dxa"/>
            <w:tcBorders>
              <w:top w:val="nil"/>
              <w:left w:val="nil"/>
              <w:bottom w:val="single" w:sz="4" w:space="0" w:color="auto"/>
              <w:right w:val="single" w:sz="4" w:space="0" w:color="auto"/>
            </w:tcBorders>
            <w:shd w:val="clear" w:color="auto" w:fill="C6EFCE"/>
            <w:noWrap/>
            <w:vAlign w:val="center"/>
          </w:tcPr>
          <w:p w14:paraId="41CDBC09" w14:textId="77777777" w:rsidR="00235E11" w:rsidRDefault="00F837E4">
            <w:pPr>
              <w:pStyle w:val="P68B1DB1-Normal10"/>
              <w:spacing w:after="0"/>
              <w:rPr>
                <w:noProof/>
              </w:rPr>
            </w:pPr>
            <w:r>
              <w:rPr>
                <w:noProof/>
              </w:rPr>
              <w:t>37</w:t>
            </w:r>
          </w:p>
        </w:tc>
        <w:tc>
          <w:tcPr>
            <w:tcW w:w="992" w:type="dxa"/>
            <w:tcBorders>
              <w:top w:val="nil"/>
              <w:left w:val="nil"/>
              <w:bottom w:val="single" w:sz="4" w:space="0" w:color="auto"/>
              <w:right w:val="single" w:sz="4" w:space="0" w:color="auto"/>
            </w:tcBorders>
            <w:shd w:val="clear" w:color="auto" w:fill="C6EFCE"/>
            <w:noWrap/>
            <w:vAlign w:val="center"/>
            <w:hideMark/>
          </w:tcPr>
          <w:p w14:paraId="0CB37BED" w14:textId="77777777" w:rsidR="00235E11" w:rsidRDefault="00F837E4">
            <w:pPr>
              <w:pStyle w:val="P68B1DB1-Normal10"/>
              <w:spacing w:after="0"/>
              <w:jc w:val="center"/>
              <w:rPr>
                <w:noProof/>
              </w:rPr>
            </w:pPr>
            <w:r>
              <w:rPr>
                <w:noProof/>
              </w:rPr>
              <w:t>Т1 Г.</w:t>
            </w:r>
          </w:p>
        </w:tc>
        <w:tc>
          <w:tcPr>
            <w:tcW w:w="851" w:type="dxa"/>
            <w:tcBorders>
              <w:top w:val="nil"/>
              <w:left w:val="nil"/>
              <w:bottom w:val="single" w:sz="4" w:space="0" w:color="auto"/>
              <w:right w:val="single" w:sz="4" w:space="0" w:color="auto"/>
            </w:tcBorders>
            <w:shd w:val="clear" w:color="auto" w:fill="C6EFCE"/>
            <w:noWrap/>
            <w:vAlign w:val="center"/>
            <w:hideMark/>
          </w:tcPr>
          <w:p w14:paraId="5CA5FC60" w14:textId="77777777" w:rsidR="00235E11" w:rsidRDefault="00F837E4">
            <w:pPr>
              <w:pStyle w:val="P68B1DB1-Normal10"/>
              <w:spacing w:after="0"/>
              <w:jc w:val="center"/>
              <w:rPr>
                <w:noProof/>
              </w:rPr>
            </w:pPr>
            <w:r>
              <w:rPr>
                <w:noProof/>
              </w:rPr>
              <w:t>2023</w:t>
            </w:r>
          </w:p>
        </w:tc>
        <w:tc>
          <w:tcPr>
            <w:tcW w:w="4132" w:type="dxa"/>
            <w:tcBorders>
              <w:top w:val="nil"/>
              <w:left w:val="nil"/>
              <w:bottom w:val="single" w:sz="4" w:space="0" w:color="auto"/>
              <w:right w:val="single" w:sz="4" w:space="0" w:color="auto"/>
            </w:tcBorders>
            <w:shd w:val="clear" w:color="auto" w:fill="C6EFCE"/>
            <w:noWrap/>
            <w:vAlign w:val="center"/>
            <w:hideMark/>
          </w:tcPr>
          <w:p w14:paraId="66CFE170" w14:textId="77777777" w:rsidR="00235E11" w:rsidRDefault="00F837E4">
            <w:pPr>
              <w:spacing w:after="0"/>
              <w:rPr>
                <w:rFonts w:ascii="Times New Roman" w:eastAsia="Times New Roman" w:hAnsi="Times New Roman" w:cs="Times New Roman"/>
                <w:noProof/>
                <w:color w:val="006100"/>
              </w:rPr>
            </w:pPr>
            <w:r>
              <w:rPr>
                <w:rFonts w:ascii="Times New Roman" w:eastAsia="Times New Roman" w:hAnsi="Times New Roman" w:cs="Times New Roman"/>
                <w:noProof/>
                <w:color w:val="006100"/>
              </w:rPr>
              <w:t>37 професионални сектора изпълняват действия за недискриминация (вж. допълнения за недискриминация и приобщаване 2021—2022 г.).</w:t>
            </w:r>
            <w:r>
              <w:rPr>
                <w:rFonts w:ascii="Times New Roman" w:hAnsi="Times New Roman" w:cs="Times New Roman"/>
                <w:noProof/>
              </w:rPr>
              <w:t xml:space="preserve"> </w:t>
            </w:r>
            <w:r>
              <w:rPr>
                <w:rFonts w:ascii="Times New Roman" w:eastAsia="Times New Roman" w:hAnsi="Times New Roman" w:cs="Times New Roman"/>
                <w:noProof/>
                <w:color w:val="006100"/>
              </w:rPr>
              <w:t>Фламандското правителство оценява изпълнението на всяко действие въз основа на индивидуалните предварително определени ангажименти на всеки сектор.</w:t>
            </w:r>
          </w:p>
        </w:tc>
      </w:tr>
      <w:tr w:rsidR="00235E11" w14:paraId="06D6E4EF"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7075BF79" w14:textId="77777777" w:rsidR="00235E11" w:rsidRDefault="00F837E4">
            <w:pPr>
              <w:pStyle w:val="P68B1DB1-Normal10"/>
              <w:spacing w:after="0"/>
              <w:jc w:val="center"/>
              <w:rPr>
                <w:noProof/>
              </w:rPr>
            </w:pPr>
            <w:r>
              <w:rPr>
                <w:noProof/>
              </w:rPr>
              <w:t>142</w:t>
            </w:r>
          </w:p>
        </w:tc>
        <w:tc>
          <w:tcPr>
            <w:tcW w:w="1452" w:type="dxa"/>
            <w:tcBorders>
              <w:top w:val="nil"/>
              <w:left w:val="nil"/>
              <w:bottom w:val="single" w:sz="4" w:space="0" w:color="auto"/>
              <w:right w:val="single" w:sz="4" w:space="0" w:color="auto"/>
            </w:tcBorders>
            <w:shd w:val="clear" w:color="auto" w:fill="C6EFCE"/>
            <w:noWrap/>
            <w:vAlign w:val="center"/>
          </w:tcPr>
          <w:p w14:paraId="703F8216" w14:textId="77777777" w:rsidR="00235E11" w:rsidRDefault="00F837E4">
            <w:pPr>
              <w:pStyle w:val="P68B1DB1-Normal10"/>
              <w:spacing w:after="0"/>
              <w:rPr>
                <w:noProof/>
              </w:rPr>
            </w:pPr>
            <w:r>
              <w:rPr>
                <w:noProof/>
              </w:rPr>
              <w:t>Приобщаващ пазар на труда (R-4.06)</w:t>
            </w:r>
          </w:p>
        </w:tc>
        <w:tc>
          <w:tcPr>
            <w:tcW w:w="1275" w:type="dxa"/>
            <w:tcBorders>
              <w:top w:val="nil"/>
              <w:left w:val="nil"/>
              <w:bottom w:val="single" w:sz="4" w:space="0" w:color="auto"/>
              <w:right w:val="single" w:sz="4" w:space="0" w:color="auto"/>
            </w:tcBorders>
            <w:shd w:val="clear" w:color="auto" w:fill="C6EFCE"/>
            <w:noWrap/>
            <w:vAlign w:val="center"/>
          </w:tcPr>
          <w:p w14:paraId="4F6E6D05" w14:textId="250AE873" w:rsidR="00235E11" w:rsidRDefault="00F837E4">
            <w:pPr>
              <w:pStyle w:val="P68B1DB1-Normal10"/>
              <w:spacing w:after="0"/>
              <w:jc w:val="center"/>
              <w:rPr>
                <w:noProof/>
              </w:rPr>
            </w:pPr>
            <w:r>
              <w:rPr>
                <w:noProof/>
              </w:rPr>
              <w:t>T</w:t>
            </w:r>
          </w:p>
        </w:tc>
        <w:tc>
          <w:tcPr>
            <w:tcW w:w="1384" w:type="dxa"/>
            <w:tcBorders>
              <w:top w:val="nil"/>
              <w:left w:val="nil"/>
              <w:bottom w:val="single" w:sz="4" w:space="0" w:color="auto"/>
              <w:right w:val="single" w:sz="4" w:space="0" w:color="auto"/>
            </w:tcBorders>
            <w:shd w:val="clear" w:color="auto" w:fill="C6EFCE"/>
            <w:noWrap/>
            <w:vAlign w:val="center"/>
          </w:tcPr>
          <w:p w14:paraId="5A59295D" w14:textId="77777777" w:rsidR="00235E11" w:rsidRDefault="00F837E4">
            <w:pPr>
              <w:pStyle w:val="P68B1DB1-Normal10"/>
              <w:spacing w:after="0"/>
              <w:rPr>
                <w:noProof/>
              </w:rPr>
            </w:pPr>
            <w:r>
              <w:rPr>
                <w:noProof/>
              </w:rPr>
              <w:t>Нова интегрирана пътека за новодошлите</w:t>
            </w:r>
          </w:p>
        </w:tc>
        <w:tc>
          <w:tcPr>
            <w:tcW w:w="1417" w:type="dxa"/>
            <w:tcBorders>
              <w:top w:val="nil"/>
              <w:left w:val="nil"/>
              <w:bottom w:val="single" w:sz="4" w:space="0" w:color="auto"/>
              <w:right w:val="single" w:sz="4" w:space="0" w:color="auto"/>
            </w:tcBorders>
            <w:shd w:val="clear" w:color="auto" w:fill="C6EFCE"/>
            <w:noWrap/>
            <w:vAlign w:val="center"/>
          </w:tcPr>
          <w:p w14:paraId="2994B8BE" w14:textId="77777777" w:rsidR="00235E11" w:rsidRDefault="00235E11">
            <w:pPr>
              <w:spacing w:after="0"/>
              <w:rPr>
                <w:rFonts w:ascii="Times New Roman" w:eastAsia="Times New Roman" w:hAnsi="Times New Roman" w:cs="Times New Roman"/>
                <w:noProof/>
                <w:color w:val="006100"/>
              </w:rPr>
            </w:pPr>
          </w:p>
        </w:tc>
        <w:tc>
          <w:tcPr>
            <w:tcW w:w="1310" w:type="dxa"/>
            <w:tcBorders>
              <w:top w:val="nil"/>
              <w:left w:val="nil"/>
              <w:bottom w:val="single" w:sz="4" w:space="0" w:color="auto"/>
              <w:right w:val="single" w:sz="4" w:space="0" w:color="auto"/>
            </w:tcBorders>
            <w:shd w:val="clear" w:color="auto" w:fill="C6EFCE"/>
            <w:noWrap/>
            <w:vAlign w:val="center"/>
          </w:tcPr>
          <w:p w14:paraId="49801056" w14:textId="77777777" w:rsidR="00235E11" w:rsidRDefault="00F837E4">
            <w:pPr>
              <w:pStyle w:val="P68B1DB1-Normal10"/>
              <w:spacing w:after="0"/>
              <w:rPr>
                <w:noProof/>
              </w:rPr>
            </w:pPr>
            <w:r>
              <w:rPr>
                <w:noProof/>
              </w:rPr>
              <w:t>Статут на участници</w:t>
            </w:r>
          </w:p>
        </w:tc>
        <w:tc>
          <w:tcPr>
            <w:tcW w:w="1134" w:type="dxa"/>
            <w:tcBorders>
              <w:top w:val="nil"/>
              <w:left w:val="nil"/>
              <w:bottom w:val="single" w:sz="4" w:space="0" w:color="auto"/>
              <w:right w:val="single" w:sz="4" w:space="0" w:color="auto"/>
            </w:tcBorders>
            <w:shd w:val="clear" w:color="auto" w:fill="C6EFCE"/>
            <w:noWrap/>
            <w:vAlign w:val="center"/>
          </w:tcPr>
          <w:p w14:paraId="50FF9FBD" w14:textId="77777777" w:rsidR="00235E11" w:rsidRDefault="00F837E4">
            <w:pPr>
              <w:pStyle w:val="P68B1DB1-Normal10"/>
              <w:spacing w:after="0"/>
              <w:rPr>
                <w:noProof/>
              </w:rPr>
            </w:pPr>
            <w:r>
              <w:rPr>
                <w:noProof/>
              </w:rPr>
              <w:t>0</w:t>
            </w:r>
          </w:p>
        </w:tc>
        <w:tc>
          <w:tcPr>
            <w:tcW w:w="709" w:type="dxa"/>
            <w:tcBorders>
              <w:top w:val="nil"/>
              <w:left w:val="nil"/>
              <w:bottom w:val="single" w:sz="4" w:space="0" w:color="auto"/>
              <w:right w:val="single" w:sz="4" w:space="0" w:color="auto"/>
            </w:tcBorders>
            <w:shd w:val="clear" w:color="auto" w:fill="C6EFCE"/>
            <w:noWrap/>
            <w:vAlign w:val="center"/>
          </w:tcPr>
          <w:p w14:paraId="799FF018" w14:textId="5032AE59" w:rsidR="00235E11" w:rsidRDefault="00F837E4">
            <w:pPr>
              <w:pStyle w:val="P68B1DB1-Normal9"/>
              <w:spacing w:after="0"/>
              <w:rPr>
                <w:rFonts w:eastAsia="Times New Roman"/>
                <w:noProof/>
              </w:rPr>
            </w:pPr>
            <w:r>
              <w:rPr>
                <w:noProof/>
              </w:rPr>
              <w:t>2 000</w:t>
            </w:r>
          </w:p>
        </w:tc>
        <w:tc>
          <w:tcPr>
            <w:tcW w:w="992" w:type="dxa"/>
            <w:tcBorders>
              <w:top w:val="nil"/>
              <w:left w:val="nil"/>
              <w:bottom w:val="single" w:sz="4" w:space="0" w:color="auto"/>
              <w:right w:val="single" w:sz="4" w:space="0" w:color="auto"/>
            </w:tcBorders>
            <w:shd w:val="clear" w:color="auto" w:fill="C6EFCE"/>
            <w:noWrap/>
            <w:vAlign w:val="center"/>
          </w:tcPr>
          <w:p w14:paraId="07CAD224" w14:textId="77777777" w:rsidR="00235E11" w:rsidRDefault="00F837E4">
            <w:pPr>
              <w:pStyle w:val="P68B1DB1-Normal10"/>
              <w:spacing w:after="0"/>
              <w:jc w:val="center"/>
              <w:rPr>
                <w:noProof/>
              </w:rPr>
            </w:pPr>
            <w:r>
              <w:rPr>
                <w:noProof/>
              </w:rPr>
              <w:t>Т4 Г.</w:t>
            </w:r>
          </w:p>
        </w:tc>
        <w:tc>
          <w:tcPr>
            <w:tcW w:w="851" w:type="dxa"/>
            <w:tcBorders>
              <w:top w:val="nil"/>
              <w:left w:val="nil"/>
              <w:bottom w:val="single" w:sz="4" w:space="0" w:color="auto"/>
              <w:right w:val="single" w:sz="4" w:space="0" w:color="auto"/>
            </w:tcBorders>
            <w:shd w:val="clear" w:color="auto" w:fill="C6EFCE"/>
            <w:noWrap/>
            <w:vAlign w:val="center"/>
          </w:tcPr>
          <w:p w14:paraId="0AEC67A7" w14:textId="77777777" w:rsidR="00235E11" w:rsidRDefault="00F837E4">
            <w:pPr>
              <w:pStyle w:val="P68B1DB1-Normal10"/>
              <w:spacing w:after="0"/>
              <w:jc w:val="center"/>
              <w:rPr>
                <w:noProof/>
              </w:rPr>
            </w:pPr>
            <w:r>
              <w:rPr>
                <w:noProof/>
              </w:rPr>
              <w:t>2023</w:t>
            </w:r>
          </w:p>
        </w:tc>
        <w:tc>
          <w:tcPr>
            <w:tcW w:w="4132" w:type="dxa"/>
            <w:tcBorders>
              <w:top w:val="nil"/>
              <w:left w:val="nil"/>
              <w:bottom w:val="single" w:sz="4" w:space="0" w:color="auto"/>
              <w:right w:val="single" w:sz="4" w:space="0" w:color="auto"/>
            </w:tcBorders>
            <w:shd w:val="clear" w:color="auto" w:fill="C6EFCE"/>
            <w:noWrap/>
            <w:vAlign w:val="center"/>
          </w:tcPr>
          <w:p w14:paraId="2A512A77" w14:textId="77777777" w:rsidR="00235E11" w:rsidRDefault="00F837E4">
            <w:pPr>
              <w:pStyle w:val="P68B1DB1-Normal10"/>
              <w:spacing w:after="0"/>
              <w:rPr>
                <w:noProof/>
              </w:rPr>
            </w:pPr>
            <w:r>
              <w:rPr>
                <w:noProof/>
              </w:rPr>
              <w:t>2000 нови участници, участващи в новата интегрирана пътека.</w:t>
            </w:r>
          </w:p>
        </w:tc>
      </w:tr>
      <w:tr w:rsidR="00235E11" w14:paraId="21F7B78B"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7D196629" w14:textId="77777777" w:rsidR="00235E11" w:rsidRDefault="00F837E4">
            <w:pPr>
              <w:pStyle w:val="P68B1DB1-Normal10"/>
              <w:spacing w:after="0"/>
              <w:jc w:val="center"/>
              <w:rPr>
                <w:noProof/>
              </w:rPr>
            </w:pPr>
            <w:r>
              <w:rPr>
                <w:noProof/>
              </w:rPr>
              <w:t>143</w:t>
            </w:r>
          </w:p>
        </w:tc>
        <w:tc>
          <w:tcPr>
            <w:tcW w:w="1452" w:type="dxa"/>
            <w:tcBorders>
              <w:top w:val="nil"/>
              <w:left w:val="nil"/>
              <w:bottom w:val="single" w:sz="4" w:space="0" w:color="auto"/>
              <w:right w:val="single" w:sz="4" w:space="0" w:color="auto"/>
            </w:tcBorders>
            <w:shd w:val="clear" w:color="auto" w:fill="C6EFCE"/>
            <w:noWrap/>
            <w:vAlign w:val="center"/>
          </w:tcPr>
          <w:p w14:paraId="52711BB8" w14:textId="77777777" w:rsidR="00235E11" w:rsidRDefault="00F837E4">
            <w:pPr>
              <w:pStyle w:val="P68B1DB1-Normal10"/>
              <w:spacing w:after="0"/>
              <w:rPr>
                <w:noProof/>
              </w:rPr>
            </w:pPr>
            <w:r>
              <w:rPr>
                <w:noProof/>
              </w:rPr>
              <w:t>Стратегия за преквалифициране (I-4.07)</w:t>
            </w:r>
          </w:p>
        </w:tc>
        <w:tc>
          <w:tcPr>
            <w:tcW w:w="1275" w:type="dxa"/>
            <w:tcBorders>
              <w:top w:val="nil"/>
              <w:left w:val="nil"/>
              <w:bottom w:val="single" w:sz="4" w:space="0" w:color="auto"/>
              <w:right w:val="single" w:sz="4" w:space="0" w:color="auto"/>
            </w:tcBorders>
            <w:shd w:val="clear" w:color="auto" w:fill="C6EFCE"/>
            <w:noWrap/>
            <w:vAlign w:val="center"/>
          </w:tcPr>
          <w:p w14:paraId="5841402D" w14:textId="12C6BEE5" w:rsidR="00235E11" w:rsidRDefault="00F837E4">
            <w:pPr>
              <w:pStyle w:val="P68B1DB1-Normal10"/>
              <w:spacing w:after="0"/>
              <w:jc w:val="center"/>
              <w:rPr>
                <w:noProof/>
              </w:rPr>
            </w:pPr>
            <w:r>
              <w:rPr>
                <w:noProof/>
              </w:rPr>
              <w:t>M</w:t>
            </w:r>
          </w:p>
        </w:tc>
        <w:tc>
          <w:tcPr>
            <w:tcW w:w="1384" w:type="dxa"/>
            <w:tcBorders>
              <w:top w:val="nil"/>
              <w:left w:val="nil"/>
              <w:bottom w:val="single" w:sz="4" w:space="0" w:color="auto"/>
              <w:right w:val="single" w:sz="4" w:space="0" w:color="auto"/>
            </w:tcBorders>
            <w:shd w:val="clear" w:color="auto" w:fill="C6EFCE"/>
            <w:noWrap/>
            <w:vAlign w:val="center"/>
          </w:tcPr>
          <w:p w14:paraId="5A47F27C" w14:textId="77777777" w:rsidR="00235E11" w:rsidRDefault="00F837E4">
            <w:pPr>
              <w:pStyle w:val="P68B1DB1-Normal10"/>
              <w:spacing w:after="0"/>
              <w:rPr>
                <w:noProof/>
              </w:rPr>
            </w:pPr>
            <w:r>
              <w:rPr>
                <w:noProof/>
              </w:rPr>
              <w:t>Отпускане на безвъзмездни средства, свързани с инициативи за социални иновации</w:t>
            </w:r>
          </w:p>
        </w:tc>
        <w:tc>
          <w:tcPr>
            <w:tcW w:w="1417" w:type="dxa"/>
            <w:tcBorders>
              <w:top w:val="nil"/>
              <w:left w:val="nil"/>
              <w:bottom w:val="single" w:sz="4" w:space="0" w:color="auto"/>
              <w:right w:val="single" w:sz="4" w:space="0" w:color="auto"/>
            </w:tcBorders>
            <w:shd w:val="clear" w:color="auto" w:fill="C6EFCE"/>
            <w:noWrap/>
            <w:vAlign w:val="center"/>
          </w:tcPr>
          <w:p w14:paraId="152E6DB8" w14:textId="77777777" w:rsidR="00235E11" w:rsidRDefault="00F837E4">
            <w:pPr>
              <w:pStyle w:val="P68B1DB1-Normal10"/>
              <w:spacing w:after="0"/>
              <w:rPr>
                <w:noProof/>
              </w:rPr>
            </w:pPr>
            <w:r>
              <w:rPr>
                <w:noProof/>
              </w:rPr>
              <w:t>Писмено уведомление за възлагане на обществена поръчка на успелите кандидати</w:t>
            </w:r>
          </w:p>
        </w:tc>
        <w:tc>
          <w:tcPr>
            <w:tcW w:w="1310" w:type="dxa"/>
            <w:tcBorders>
              <w:top w:val="nil"/>
              <w:left w:val="nil"/>
              <w:bottom w:val="single" w:sz="4" w:space="0" w:color="auto"/>
              <w:right w:val="single" w:sz="4" w:space="0" w:color="auto"/>
            </w:tcBorders>
            <w:shd w:val="clear" w:color="auto" w:fill="C6EFCE"/>
            <w:noWrap/>
            <w:vAlign w:val="center"/>
          </w:tcPr>
          <w:p w14:paraId="3133EA2F"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2FABEBB6"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717E6866"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1978159B" w14:textId="77777777" w:rsidR="00235E11" w:rsidRDefault="00F837E4">
            <w:pPr>
              <w:pStyle w:val="P68B1DB1-Normal10"/>
              <w:spacing w:after="0"/>
              <w:jc w:val="center"/>
              <w:rPr>
                <w:noProof/>
              </w:rPr>
            </w:pPr>
            <w:r>
              <w:rPr>
                <w:noProof/>
              </w:rPr>
              <w:t>Т2 Г.</w:t>
            </w:r>
          </w:p>
        </w:tc>
        <w:tc>
          <w:tcPr>
            <w:tcW w:w="851" w:type="dxa"/>
            <w:tcBorders>
              <w:top w:val="nil"/>
              <w:left w:val="nil"/>
              <w:bottom w:val="single" w:sz="4" w:space="0" w:color="auto"/>
              <w:right w:val="single" w:sz="4" w:space="0" w:color="auto"/>
            </w:tcBorders>
            <w:shd w:val="clear" w:color="auto" w:fill="C6EFCE"/>
            <w:noWrap/>
            <w:vAlign w:val="center"/>
          </w:tcPr>
          <w:p w14:paraId="2EE19B39" w14:textId="77777777" w:rsidR="00235E11" w:rsidRDefault="00F837E4">
            <w:pPr>
              <w:pStyle w:val="P68B1DB1-Normal10"/>
              <w:spacing w:after="0"/>
              <w:jc w:val="center"/>
              <w:rPr>
                <w:noProof/>
              </w:rPr>
            </w:pPr>
            <w:r>
              <w:rPr>
                <w:noProof/>
              </w:rPr>
              <w:t>2023</w:t>
            </w:r>
          </w:p>
        </w:tc>
        <w:tc>
          <w:tcPr>
            <w:tcW w:w="4132" w:type="dxa"/>
            <w:tcBorders>
              <w:top w:val="nil"/>
              <w:left w:val="nil"/>
              <w:bottom w:val="single" w:sz="4" w:space="0" w:color="auto"/>
              <w:right w:val="single" w:sz="4" w:space="0" w:color="auto"/>
            </w:tcBorders>
            <w:shd w:val="clear" w:color="auto" w:fill="C6EFCE"/>
            <w:noWrap/>
            <w:vAlign w:val="center"/>
          </w:tcPr>
          <w:p w14:paraId="200CB13A" w14:textId="77777777" w:rsidR="00235E11" w:rsidRDefault="00F837E4">
            <w:pPr>
              <w:pStyle w:val="P68B1DB1-Normal10"/>
              <w:spacing w:after="0"/>
              <w:rPr>
                <w:noProof/>
              </w:rPr>
            </w:pPr>
            <w:r>
              <w:rPr>
                <w:noProof/>
              </w:rPr>
              <w:t>Отпускане на безвъзмездни средства от публичните служби по заетостта за инициативи за социални иновации в съответствие с критериите, определени в спецификациите за обществени поръчки.</w:t>
            </w:r>
          </w:p>
        </w:tc>
      </w:tr>
      <w:tr w:rsidR="00235E11" w14:paraId="05224902"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37490F30" w14:textId="77777777" w:rsidR="00235E11" w:rsidRDefault="00F837E4">
            <w:pPr>
              <w:pStyle w:val="P68B1DB1-Normal10"/>
              <w:spacing w:after="0"/>
              <w:jc w:val="center"/>
              <w:rPr>
                <w:noProof/>
              </w:rPr>
            </w:pPr>
            <w:r>
              <w:rPr>
                <w:noProof/>
              </w:rPr>
              <w:t>144</w:t>
            </w:r>
          </w:p>
        </w:tc>
        <w:tc>
          <w:tcPr>
            <w:tcW w:w="1452" w:type="dxa"/>
            <w:tcBorders>
              <w:top w:val="nil"/>
              <w:left w:val="nil"/>
              <w:bottom w:val="single" w:sz="4" w:space="0" w:color="auto"/>
              <w:right w:val="single" w:sz="4" w:space="0" w:color="auto"/>
            </w:tcBorders>
            <w:shd w:val="clear" w:color="auto" w:fill="C6EFCE"/>
            <w:noWrap/>
            <w:vAlign w:val="center"/>
          </w:tcPr>
          <w:p w14:paraId="08D8670D" w14:textId="77777777" w:rsidR="00235E11" w:rsidRDefault="00F837E4">
            <w:pPr>
              <w:pStyle w:val="P68B1DB1-Normal10"/>
              <w:spacing w:after="0"/>
              <w:rPr>
                <w:noProof/>
              </w:rPr>
            </w:pPr>
            <w:r>
              <w:rPr>
                <w:noProof/>
              </w:rPr>
              <w:t>Стратегия за преквалифициране (I-4.07)</w:t>
            </w:r>
          </w:p>
        </w:tc>
        <w:tc>
          <w:tcPr>
            <w:tcW w:w="1275" w:type="dxa"/>
            <w:tcBorders>
              <w:top w:val="nil"/>
              <w:left w:val="nil"/>
              <w:bottom w:val="single" w:sz="4" w:space="0" w:color="auto"/>
              <w:right w:val="single" w:sz="4" w:space="0" w:color="auto"/>
            </w:tcBorders>
            <w:shd w:val="clear" w:color="auto" w:fill="C6EFCE"/>
            <w:noWrap/>
            <w:vAlign w:val="center"/>
          </w:tcPr>
          <w:p w14:paraId="70F6238E" w14:textId="69428E40" w:rsidR="00235E11" w:rsidRDefault="00F837E4">
            <w:pPr>
              <w:pStyle w:val="P68B1DB1-Normal10"/>
              <w:spacing w:after="0"/>
              <w:jc w:val="center"/>
              <w:rPr>
                <w:noProof/>
              </w:rPr>
            </w:pPr>
            <w:r>
              <w:rPr>
                <w:noProof/>
              </w:rPr>
              <w:t>T</w:t>
            </w:r>
          </w:p>
        </w:tc>
        <w:tc>
          <w:tcPr>
            <w:tcW w:w="1384" w:type="dxa"/>
            <w:tcBorders>
              <w:top w:val="nil"/>
              <w:left w:val="nil"/>
              <w:bottom w:val="single" w:sz="4" w:space="0" w:color="auto"/>
              <w:right w:val="single" w:sz="4" w:space="0" w:color="auto"/>
            </w:tcBorders>
            <w:shd w:val="clear" w:color="auto" w:fill="C6EFCE"/>
            <w:noWrap/>
            <w:vAlign w:val="center"/>
          </w:tcPr>
          <w:p w14:paraId="2DBEE384" w14:textId="77777777" w:rsidR="00235E11" w:rsidRDefault="00F837E4">
            <w:pPr>
              <w:pStyle w:val="P68B1DB1-Normal10"/>
              <w:spacing w:after="0"/>
              <w:rPr>
                <w:noProof/>
              </w:rPr>
            </w:pPr>
            <w:r>
              <w:rPr>
                <w:noProof/>
              </w:rPr>
              <w:t>Профил на компетентност и съвети за работа</w:t>
            </w:r>
          </w:p>
        </w:tc>
        <w:tc>
          <w:tcPr>
            <w:tcW w:w="1417" w:type="dxa"/>
            <w:tcBorders>
              <w:top w:val="nil"/>
              <w:left w:val="nil"/>
              <w:bottom w:val="single" w:sz="4" w:space="0" w:color="auto"/>
              <w:right w:val="single" w:sz="4" w:space="0" w:color="auto"/>
            </w:tcBorders>
            <w:shd w:val="clear" w:color="auto" w:fill="C6EFCE"/>
            <w:noWrap/>
            <w:vAlign w:val="center"/>
          </w:tcPr>
          <w:p w14:paraId="0F2B0C35" w14:textId="77777777" w:rsidR="00235E11" w:rsidRDefault="00235E11">
            <w:pPr>
              <w:spacing w:after="0"/>
              <w:rPr>
                <w:rFonts w:ascii="Times New Roman" w:eastAsia="Times New Roman" w:hAnsi="Times New Roman" w:cs="Times New Roman"/>
                <w:noProof/>
                <w:color w:val="006100"/>
              </w:rPr>
            </w:pPr>
          </w:p>
        </w:tc>
        <w:tc>
          <w:tcPr>
            <w:tcW w:w="1310" w:type="dxa"/>
            <w:tcBorders>
              <w:top w:val="nil"/>
              <w:left w:val="nil"/>
              <w:bottom w:val="single" w:sz="4" w:space="0" w:color="auto"/>
              <w:right w:val="single" w:sz="4" w:space="0" w:color="auto"/>
            </w:tcBorders>
            <w:shd w:val="clear" w:color="auto" w:fill="C6EFCE"/>
            <w:noWrap/>
            <w:vAlign w:val="center"/>
          </w:tcPr>
          <w:p w14:paraId="01800B26" w14:textId="77777777" w:rsidR="00235E11" w:rsidRDefault="00F837E4">
            <w:pPr>
              <w:pStyle w:val="P68B1DB1-Normal10"/>
              <w:spacing w:after="0"/>
              <w:rPr>
                <w:noProof/>
              </w:rPr>
            </w:pPr>
            <w:r>
              <w:rPr>
                <w:noProof/>
              </w:rPr>
              <w:t>Търсещи работа</w:t>
            </w:r>
          </w:p>
        </w:tc>
        <w:tc>
          <w:tcPr>
            <w:tcW w:w="1134" w:type="dxa"/>
            <w:tcBorders>
              <w:top w:val="nil"/>
              <w:left w:val="nil"/>
              <w:bottom w:val="single" w:sz="4" w:space="0" w:color="auto"/>
              <w:right w:val="single" w:sz="4" w:space="0" w:color="auto"/>
            </w:tcBorders>
            <w:shd w:val="clear" w:color="auto" w:fill="C6EFCE"/>
            <w:noWrap/>
            <w:vAlign w:val="center"/>
          </w:tcPr>
          <w:p w14:paraId="283865A2" w14:textId="77777777" w:rsidR="00235E11" w:rsidRDefault="00F837E4">
            <w:pPr>
              <w:pStyle w:val="P68B1DB1-Normal10"/>
              <w:spacing w:after="0"/>
              <w:rPr>
                <w:noProof/>
              </w:rPr>
            </w:pPr>
            <w:r>
              <w:rPr>
                <w:noProof/>
              </w:rPr>
              <w:t>0</w:t>
            </w:r>
          </w:p>
        </w:tc>
        <w:tc>
          <w:tcPr>
            <w:tcW w:w="709" w:type="dxa"/>
            <w:tcBorders>
              <w:top w:val="nil"/>
              <w:left w:val="nil"/>
              <w:bottom w:val="single" w:sz="4" w:space="0" w:color="auto"/>
              <w:right w:val="single" w:sz="4" w:space="0" w:color="auto"/>
            </w:tcBorders>
            <w:shd w:val="clear" w:color="auto" w:fill="C6EFCE"/>
            <w:noWrap/>
            <w:vAlign w:val="center"/>
          </w:tcPr>
          <w:p w14:paraId="169FAD81" w14:textId="43576D97" w:rsidR="00235E11" w:rsidRDefault="00F837E4">
            <w:pPr>
              <w:pStyle w:val="P68B1DB1-Normal9"/>
              <w:spacing w:after="0"/>
              <w:rPr>
                <w:rFonts w:eastAsia="Times New Roman"/>
                <w:noProof/>
              </w:rPr>
            </w:pPr>
            <w:r>
              <w:rPr>
                <w:noProof/>
              </w:rPr>
              <w:t>6 000</w:t>
            </w:r>
          </w:p>
        </w:tc>
        <w:tc>
          <w:tcPr>
            <w:tcW w:w="992" w:type="dxa"/>
            <w:tcBorders>
              <w:top w:val="nil"/>
              <w:left w:val="nil"/>
              <w:bottom w:val="single" w:sz="4" w:space="0" w:color="auto"/>
              <w:right w:val="single" w:sz="4" w:space="0" w:color="auto"/>
            </w:tcBorders>
            <w:shd w:val="clear" w:color="auto" w:fill="C6EFCE"/>
            <w:noWrap/>
            <w:vAlign w:val="center"/>
          </w:tcPr>
          <w:p w14:paraId="720E50CD" w14:textId="096D328F" w:rsidR="00235E11" w:rsidRDefault="00F837E4">
            <w:pPr>
              <w:pStyle w:val="P68B1DB1-Normal10"/>
              <w:spacing w:after="0"/>
              <w:jc w:val="center"/>
              <w:rPr>
                <w:noProof/>
              </w:rPr>
            </w:pPr>
            <w:r>
              <w:rPr>
                <w:noProof/>
              </w:rPr>
              <w:t>Т4 Г.</w:t>
            </w:r>
          </w:p>
        </w:tc>
        <w:tc>
          <w:tcPr>
            <w:tcW w:w="851" w:type="dxa"/>
            <w:tcBorders>
              <w:top w:val="nil"/>
              <w:left w:val="nil"/>
              <w:bottom w:val="single" w:sz="4" w:space="0" w:color="auto"/>
              <w:right w:val="single" w:sz="4" w:space="0" w:color="auto"/>
            </w:tcBorders>
            <w:shd w:val="clear" w:color="auto" w:fill="C6EFCE"/>
            <w:noWrap/>
            <w:vAlign w:val="center"/>
          </w:tcPr>
          <w:p w14:paraId="2A3EC857" w14:textId="3D395C0F" w:rsidR="00235E11" w:rsidRDefault="00F837E4">
            <w:pPr>
              <w:pStyle w:val="P68B1DB1-Normal10"/>
              <w:spacing w:after="0"/>
              <w:jc w:val="center"/>
              <w:rPr>
                <w:noProof/>
              </w:rPr>
            </w:pPr>
            <w:r>
              <w:rPr>
                <w:noProof/>
              </w:rPr>
              <w:t>2024</w:t>
            </w:r>
          </w:p>
        </w:tc>
        <w:tc>
          <w:tcPr>
            <w:tcW w:w="4132" w:type="dxa"/>
            <w:tcBorders>
              <w:top w:val="nil"/>
              <w:left w:val="nil"/>
              <w:bottom w:val="single" w:sz="4" w:space="0" w:color="auto"/>
              <w:right w:val="single" w:sz="4" w:space="0" w:color="auto"/>
            </w:tcBorders>
            <w:shd w:val="clear" w:color="auto" w:fill="C6EFCE"/>
            <w:noWrap/>
            <w:vAlign w:val="center"/>
          </w:tcPr>
          <w:p w14:paraId="45987737" w14:textId="77777777" w:rsidR="00235E11" w:rsidRDefault="00F837E4">
            <w:pPr>
              <w:pStyle w:val="P68B1DB1-Normal10"/>
              <w:spacing w:after="0"/>
              <w:rPr>
                <w:noProof/>
              </w:rPr>
            </w:pPr>
            <w:r>
              <w:rPr>
                <w:noProof/>
              </w:rPr>
              <w:t>6000 търсещи работа лица в Брюксел са се възползвали от профил на компетентност и систематични професионални консултации, насочени към езиковите и цифровите умения, въведени от публичната служба по заетостта.</w:t>
            </w:r>
          </w:p>
        </w:tc>
      </w:tr>
      <w:tr w:rsidR="00235E11" w14:paraId="2A4F922C"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0F5784E8" w14:textId="77777777" w:rsidR="00235E11" w:rsidRDefault="00F837E4">
            <w:pPr>
              <w:pStyle w:val="P68B1DB1-Normal10"/>
              <w:spacing w:after="0"/>
              <w:jc w:val="center"/>
              <w:rPr>
                <w:noProof/>
              </w:rPr>
            </w:pPr>
            <w:r>
              <w:rPr>
                <w:noProof/>
              </w:rPr>
              <w:t>145</w:t>
            </w:r>
          </w:p>
        </w:tc>
        <w:tc>
          <w:tcPr>
            <w:tcW w:w="1452" w:type="dxa"/>
            <w:tcBorders>
              <w:top w:val="nil"/>
              <w:left w:val="nil"/>
              <w:bottom w:val="single" w:sz="4" w:space="0" w:color="auto"/>
              <w:right w:val="single" w:sz="4" w:space="0" w:color="auto"/>
            </w:tcBorders>
            <w:shd w:val="clear" w:color="auto" w:fill="C6EFCE"/>
            <w:noWrap/>
            <w:vAlign w:val="center"/>
          </w:tcPr>
          <w:p w14:paraId="2B926E15" w14:textId="77777777" w:rsidR="00235E11" w:rsidRDefault="00F837E4">
            <w:pPr>
              <w:pStyle w:val="P68B1DB1-Normal10"/>
              <w:spacing w:after="0"/>
              <w:rPr>
                <w:noProof/>
              </w:rPr>
            </w:pPr>
            <w:r>
              <w:rPr>
                <w:noProof/>
              </w:rPr>
              <w:t>Стратегия за преквалифициране (I-4.07)</w:t>
            </w:r>
          </w:p>
        </w:tc>
        <w:tc>
          <w:tcPr>
            <w:tcW w:w="1275" w:type="dxa"/>
            <w:tcBorders>
              <w:top w:val="nil"/>
              <w:left w:val="nil"/>
              <w:bottom w:val="single" w:sz="4" w:space="0" w:color="auto"/>
              <w:right w:val="single" w:sz="4" w:space="0" w:color="auto"/>
            </w:tcBorders>
            <w:shd w:val="clear" w:color="auto" w:fill="C6EFCE"/>
            <w:noWrap/>
            <w:vAlign w:val="center"/>
          </w:tcPr>
          <w:p w14:paraId="2B95DF24" w14:textId="440CAFF3" w:rsidR="00235E11" w:rsidRDefault="00F837E4">
            <w:pPr>
              <w:pStyle w:val="P68B1DB1-Normal10"/>
              <w:spacing w:after="0"/>
              <w:jc w:val="center"/>
              <w:rPr>
                <w:noProof/>
              </w:rPr>
            </w:pPr>
            <w:r>
              <w:rPr>
                <w:noProof/>
              </w:rPr>
              <w:t>T</w:t>
            </w:r>
          </w:p>
        </w:tc>
        <w:tc>
          <w:tcPr>
            <w:tcW w:w="1384" w:type="dxa"/>
            <w:tcBorders>
              <w:top w:val="nil"/>
              <w:left w:val="nil"/>
              <w:bottom w:val="single" w:sz="4" w:space="0" w:color="auto"/>
              <w:right w:val="single" w:sz="4" w:space="0" w:color="auto"/>
            </w:tcBorders>
            <w:shd w:val="clear" w:color="auto" w:fill="C6EFCE"/>
            <w:noWrap/>
            <w:vAlign w:val="center"/>
          </w:tcPr>
          <w:p w14:paraId="2F9E34CE" w14:textId="77777777" w:rsidR="00235E11" w:rsidRDefault="00F837E4">
            <w:pPr>
              <w:pStyle w:val="P68B1DB1-Normal10"/>
              <w:spacing w:after="0"/>
              <w:rPr>
                <w:noProof/>
              </w:rPr>
            </w:pPr>
            <w:r>
              <w:rPr>
                <w:noProof/>
              </w:rPr>
              <w:t>Път за устойчива интеграция на хората с увреждания</w:t>
            </w:r>
          </w:p>
        </w:tc>
        <w:tc>
          <w:tcPr>
            <w:tcW w:w="1417" w:type="dxa"/>
            <w:tcBorders>
              <w:top w:val="nil"/>
              <w:left w:val="nil"/>
              <w:bottom w:val="single" w:sz="4" w:space="0" w:color="auto"/>
              <w:right w:val="single" w:sz="4" w:space="0" w:color="auto"/>
            </w:tcBorders>
            <w:shd w:val="clear" w:color="auto" w:fill="C6EFCE"/>
            <w:noWrap/>
            <w:vAlign w:val="center"/>
          </w:tcPr>
          <w:p w14:paraId="635C9CAC" w14:textId="77777777" w:rsidR="00235E11" w:rsidRDefault="00235E11">
            <w:pPr>
              <w:spacing w:after="0"/>
              <w:rPr>
                <w:rFonts w:ascii="Times New Roman" w:eastAsia="Times New Roman" w:hAnsi="Times New Roman" w:cs="Times New Roman"/>
                <w:noProof/>
                <w:color w:val="006100"/>
              </w:rPr>
            </w:pPr>
          </w:p>
        </w:tc>
        <w:tc>
          <w:tcPr>
            <w:tcW w:w="1310" w:type="dxa"/>
            <w:tcBorders>
              <w:top w:val="nil"/>
              <w:left w:val="nil"/>
              <w:bottom w:val="single" w:sz="4" w:space="0" w:color="auto"/>
              <w:right w:val="single" w:sz="4" w:space="0" w:color="auto"/>
            </w:tcBorders>
            <w:shd w:val="clear" w:color="auto" w:fill="C6EFCE"/>
            <w:noWrap/>
            <w:vAlign w:val="center"/>
          </w:tcPr>
          <w:p w14:paraId="72F36A84" w14:textId="77777777" w:rsidR="00235E11" w:rsidRDefault="00F837E4">
            <w:pPr>
              <w:pStyle w:val="P68B1DB1-Normal10"/>
              <w:spacing w:after="0"/>
              <w:rPr>
                <w:noProof/>
              </w:rPr>
            </w:pPr>
            <w:r>
              <w:rPr>
                <w:noProof/>
              </w:rPr>
              <w:t>Хората с увреждания</w:t>
            </w:r>
          </w:p>
        </w:tc>
        <w:tc>
          <w:tcPr>
            <w:tcW w:w="1134" w:type="dxa"/>
            <w:tcBorders>
              <w:top w:val="nil"/>
              <w:left w:val="nil"/>
              <w:bottom w:val="single" w:sz="4" w:space="0" w:color="auto"/>
              <w:right w:val="single" w:sz="4" w:space="0" w:color="auto"/>
            </w:tcBorders>
            <w:shd w:val="clear" w:color="auto" w:fill="C6EFCE"/>
            <w:noWrap/>
            <w:vAlign w:val="center"/>
          </w:tcPr>
          <w:p w14:paraId="7F4A49B4" w14:textId="77777777" w:rsidR="00235E11" w:rsidRDefault="00F837E4">
            <w:pPr>
              <w:pStyle w:val="P68B1DB1-Normal10"/>
              <w:spacing w:after="0"/>
              <w:rPr>
                <w:noProof/>
              </w:rPr>
            </w:pPr>
            <w:r>
              <w:rPr>
                <w:noProof/>
              </w:rPr>
              <w:t>0</w:t>
            </w:r>
          </w:p>
        </w:tc>
        <w:tc>
          <w:tcPr>
            <w:tcW w:w="709" w:type="dxa"/>
            <w:tcBorders>
              <w:top w:val="nil"/>
              <w:left w:val="nil"/>
              <w:bottom w:val="single" w:sz="4" w:space="0" w:color="auto"/>
              <w:right w:val="single" w:sz="4" w:space="0" w:color="auto"/>
            </w:tcBorders>
            <w:shd w:val="clear" w:color="auto" w:fill="C6EFCE"/>
            <w:noWrap/>
            <w:vAlign w:val="center"/>
          </w:tcPr>
          <w:p w14:paraId="5FFA730D" w14:textId="77777777" w:rsidR="00235E11" w:rsidRDefault="00F837E4">
            <w:pPr>
              <w:pStyle w:val="P68B1DB1-Normal10"/>
              <w:spacing w:after="0"/>
              <w:rPr>
                <w:noProof/>
              </w:rPr>
            </w:pPr>
            <w:r>
              <w:rPr>
                <w:noProof/>
              </w:rPr>
              <w:t>450</w:t>
            </w:r>
          </w:p>
        </w:tc>
        <w:tc>
          <w:tcPr>
            <w:tcW w:w="992" w:type="dxa"/>
            <w:tcBorders>
              <w:top w:val="nil"/>
              <w:left w:val="nil"/>
              <w:bottom w:val="single" w:sz="4" w:space="0" w:color="auto"/>
              <w:right w:val="single" w:sz="4" w:space="0" w:color="auto"/>
            </w:tcBorders>
            <w:shd w:val="clear" w:color="auto" w:fill="C6EFCE"/>
            <w:noWrap/>
            <w:vAlign w:val="center"/>
          </w:tcPr>
          <w:p w14:paraId="261CB2E2" w14:textId="77777777" w:rsidR="00235E11" w:rsidRDefault="00F837E4">
            <w:pPr>
              <w:pStyle w:val="P68B1DB1-Normal10"/>
              <w:spacing w:after="0"/>
              <w:jc w:val="center"/>
              <w:rPr>
                <w:noProof/>
              </w:rPr>
            </w:pPr>
            <w:r>
              <w:rPr>
                <w:noProof/>
              </w:rPr>
              <w:t>Т4 Г.</w:t>
            </w:r>
          </w:p>
        </w:tc>
        <w:tc>
          <w:tcPr>
            <w:tcW w:w="851" w:type="dxa"/>
            <w:tcBorders>
              <w:top w:val="nil"/>
              <w:left w:val="nil"/>
              <w:bottom w:val="single" w:sz="4" w:space="0" w:color="auto"/>
              <w:right w:val="single" w:sz="4" w:space="0" w:color="auto"/>
            </w:tcBorders>
            <w:shd w:val="clear" w:color="auto" w:fill="C6EFCE"/>
            <w:noWrap/>
            <w:vAlign w:val="center"/>
          </w:tcPr>
          <w:p w14:paraId="360756ED" w14:textId="77777777" w:rsidR="00235E11" w:rsidRDefault="00F837E4">
            <w:pPr>
              <w:pStyle w:val="P68B1DB1-Normal10"/>
              <w:spacing w:after="0"/>
              <w:jc w:val="center"/>
              <w:rPr>
                <w:noProof/>
              </w:rPr>
            </w:pPr>
            <w:r>
              <w:rPr>
                <w:noProof/>
              </w:rPr>
              <w:t>2025</w:t>
            </w:r>
          </w:p>
        </w:tc>
        <w:tc>
          <w:tcPr>
            <w:tcW w:w="4132" w:type="dxa"/>
            <w:tcBorders>
              <w:top w:val="nil"/>
              <w:left w:val="nil"/>
              <w:bottom w:val="single" w:sz="4" w:space="0" w:color="auto"/>
              <w:right w:val="single" w:sz="4" w:space="0" w:color="auto"/>
            </w:tcBorders>
            <w:shd w:val="clear" w:color="auto" w:fill="C6EFCE"/>
            <w:noWrap/>
            <w:vAlign w:val="center"/>
          </w:tcPr>
          <w:p w14:paraId="529E9F3C" w14:textId="77777777" w:rsidR="00235E11" w:rsidRDefault="00F837E4">
            <w:pPr>
              <w:pStyle w:val="P68B1DB1-Normal10"/>
              <w:spacing w:after="0"/>
              <w:rPr>
                <w:noProof/>
              </w:rPr>
            </w:pPr>
            <w:r>
              <w:rPr>
                <w:noProof/>
              </w:rPr>
              <w:t>450 души с увреждания (търсещи работа или работещи) са преминали през модул за обучение по пътя на устойчивата интеграция.</w:t>
            </w:r>
          </w:p>
        </w:tc>
      </w:tr>
      <w:tr w:rsidR="00235E11" w14:paraId="2B1663A8"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49A75F80" w14:textId="77777777" w:rsidR="00235E11" w:rsidRDefault="00F837E4">
            <w:pPr>
              <w:pStyle w:val="P68B1DB1-Normal10"/>
              <w:spacing w:after="0"/>
              <w:jc w:val="center"/>
              <w:rPr>
                <w:noProof/>
              </w:rPr>
            </w:pPr>
            <w:r>
              <w:rPr>
                <w:noProof/>
              </w:rPr>
              <w:t>146</w:t>
            </w:r>
          </w:p>
        </w:tc>
        <w:tc>
          <w:tcPr>
            <w:tcW w:w="1452" w:type="dxa"/>
            <w:tcBorders>
              <w:top w:val="nil"/>
              <w:left w:val="nil"/>
              <w:bottom w:val="single" w:sz="4" w:space="0" w:color="auto"/>
              <w:right w:val="single" w:sz="4" w:space="0" w:color="auto"/>
            </w:tcBorders>
            <w:shd w:val="clear" w:color="auto" w:fill="C6EFCE"/>
            <w:noWrap/>
            <w:vAlign w:val="center"/>
          </w:tcPr>
          <w:p w14:paraId="35079036" w14:textId="77777777" w:rsidR="00235E11" w:rsidRDefault="00F837E4">
            <w:pPr>
              <w:pStyle w:val="P68B1DB1-Normal10"/>
              <w:spacing w:after="0"/>
              <w:rPr>
                <w:noProof/>
              </w:rPr>
            </w:pPr>
            <w:r>
              <w:rPr>
                <w:noProof/>
              </w:rPr>
              <w:t>Електронно приобщаване за Белгия (I-4.08)</w:t>
            </w:r>
          </w:p>
        </w:tc>
        <w:tc>
          <w:tcPr>
            <w:tcW w:w="1275" w:type="dxa"/>
            <w:tcBorders>
              <w:top w:val="nil"/>
              <w:left w:val="nil"/>
              <w:bottom w:val="single" w:sz="4" w:space="0" w:color="auto"/>
              <w:right w:val="single" w:sz="4" w:space="0" w:color="auto"/>
            </w:tcBorders>
            <w:shd w:val="clear" w:color="auto" w:fill="C6EFCE"/>
            <w:noWrap/>
            <w:vAlign w:val="center"/>
          </w:tcPr>
          <w:p w14:paraId="7E3431DE" w14:textId="5378F122" w:rsidR="00235E11" w:rsidRDefault="00F837E4">
            <w:pPr>
              <w:pStyle w:val="P68B1DB1-Normal10"/>
              <w:spacing w:after="0"/>
              <w:jc w:val="center"/>
              <w:rPr>
                <w:noProof/>
              </w:rPr>
            </w:pPr>
            <w:r>
              <w:rPr>
                <w:noProof/>
              </w:rPr>
              <w:t>T</w:t>
            </w:r>
          </w:p>
        </w:tc>
        <w:tc>
          <w:tcPr>
            <w:tcW w:w="1384" w:type="dxa"/>
            <w:tcBorders>
              <w:top w:val="nil"/>
              <w:left w:val="nil"/>
              <w:bottom w:val="single" w:sz="4" w:space="0" w:color="auto"/>
              <w:right w:val="single" w:sz="4" w:space="0" w:color="auto"/>
            </w:tcBorders>
            <w:shd w:val="clear" w:color="auto" w:fill="C6EFCE"/>
            <w:noWrap/>
            <w:vAlign w:val="center"/>
          </w:tcPr>
          <w:p w14:paraId="336A1214" w14:textId="77777777" w:rsidR="00235E11" w:rsidRDefault="00F837E4">
            <w:pPr>
              <w:pStyle w:val="P68B1DB1-Normal10"/>
              <w:spacing w:after="0"/>
              <w:rPr>
                <w:strike/>
                <w:noProof/>
              </w:rPr>
            </w:pPr>
            <w:r>
              <w:rPr>
                <w:noProof/>
              </w:rPr>
              <w:t>Отпускане на безвъзмездни средства</w:t>
            </w:r>
          </w:p>
        </w:tc>
        <w:tc>
          <w:tcPr>
            <w:tcW w:w="1417" w:type="dxa"/>
            <w:tcBorders>
              <w:top w:val="nil"/>
              <w:left w:val="nil"/>
              <w:bottom w:val="single" w:sz="4" w:space="0" w:color="auto"/>
              <w:right w:val="single" w:sz="4" w:space="0" w:color="auto"/>
            </w:tcBorders>
            <w:shd w:val="clear" w:color="auto" w:fill="C6EFCE"/>
            <w:noWrap/>
            <w:vAlign w:val="center"/>
          </w:tcPr>
          <w:p w14:paraId="074449A2" w14:textId="77777777" w:rsidR="00235E11" w:rsidRDefault="00235E11">
            <w:pPr>
              <w:spacing w:after="0"/>
              <w:rPr>
                <w:rFonts w:ascii="Times New Roman" w:eastAsia="Times New Roman" w:hAnsi="Times New Roman" w:cs="Times New Roman"/>
                <w:noProof/>
                <w:color w:val="006100"/>
              </w:rPr>
            </w:pPr>
          </w:p>
        </w:tc>
        <w:tc>
          <w:tcPr>
            <w:tcW w:w="1310" w:type="dxa"/>
            <w:tcBorders>
              <w:top w:val="nil"/>
              <w:left w:val="nil"/>
              <w:bottom w:val="single" w:sz="4" w:space="0" w:color="auto"/>
              <w:right w:val="single" w:sz="4" w:space="0" w:color="auto"/>
            </w:tcBorders>
            <w:shd w:val="clear" w:color="auto" w:fill="C6EFCE"/>
            <w:noWrap/>
            <w:vAlign w:val="center"/>
          </w:tcPr>
          <w:p w14:paraId="61C98073" w14:textId="77777777" w:rsidR="00235E11" w:rsidRDefault="00F837E4">
            <w:pPr>
              <w:pStyle w:val="P68B1DB1-Normal10"/>
              <w:spacing w:after="0"/>
              <w:rPr>
                <w:noProof/>
              </w:rPr>
            </w:pPr>
            <w:r>
              <w:rPr>
                <w:noProof/>
              </w:rPr>
              <w:t>Отпуснати безвъзмездни средства</w:t>
            </w:r>
          </w:p>
        </w:tc>
        <w:tc>
          <w:tcPr>
            <w:tcW w:w="1134" w:type="dxa"/>
            <w:tcBorders>
              <w:top w:val="nil"/>
              <w:left w:val="nil"/>
              <w:bottom w:val="single" w:sz="4" w:space="0" w:color="auto"/>
              <w:right w:val="single" w:sz="4" w:space="0" w:color="auto"/>
            </w:tcBorders>
            <w:shd w:val="clear" w:color="auto" w:fill="C6EFCE"/>
            <w:noWrap/>
            <w:vAlign w:val="center"/>
          </w:tcPr>
          <w:p w14:paraId="0A51A940" w14:textId="77777777" w:rsidR="00235E11" w:rsidRDefault="00F837E4">
            <w:pPr>
              <w:pStyle w:val="P68B1DB1-Normal10"/>
              <w:spacing w:after="0"/>
              <w:rPr>
                <w:noProof/>
              </w:rPr>
            </w:pPr>
            <w:r>
              <w:rPr>
                <w:noProof/>
              </w:rPr>
              <w:t>0</w:t>
            </w:r>
          </w:p>
        </w:tc>
        <w:tc>
          <w:tcPr>
            <w:tcW w:w="709" w:type="dxa"/>
            <w:tcBorders>
              <w:top w:val="nil"/>
              <w:left w:val="nil"/>
              <w:bottom w:val="single" w:sz="4" w:space="0" w:color="auto"/>
              <w:right w:val="single" w:sz="4" w:space="0" w:color="auto"/>
            </w:tcBorders>
            <w:shd w:val="clear" w:color="auto" w:fill="C6EFCE"/>
            <w:noWrap/>
            <w:vAlign w:val="center"/>
          </w:tcPr>
          <w:p w14:paraId="79D6BE2F" w14:textId="77777777" w:rsidR="00235E11" w:rsidRDefault="00F837E4">
            <w:pPr>
              <w:pStyle w:val="P68B1DB1-Normal10"/>
              <w:spacing w:after="0"/>
              <w:rPr>
                <w:noProof/>
              </w:rPr>
            </w:pPr>
            <w:r>
              <w:rPr>
                <w:noProof/>
              </w:rPr>
              <w:t>15</w:t>
            </w:r>
          </w:p>
        </w:tc>
        <w:tc>
          <w:tcPr>
            <w:tcW w:w="992" w:type="dxa"/>
            <w:tcBorders>
              <w:top w:val="nil"/>
              <w:left w:val="nil"/>
              <w:bottom w:val="single" w:sz="4" w:space="0" w:color="auto"/>
              <w:right w:val="single" w:sz="4" w:space="0" w:color="auto"/>
            </w:tcBorders>
            <w:shd w:val="clear" w:color="auto" w:fill="C6EFCE"/>
            <w:noWrap/>
            <w:vAlign w:val="center"/>
          </w:tcPr>
          <w:p w14:paraId="3E4B0B48" w14:textId="77777777" w:rsidR="00235E11" w:rsidRDefault="00F837E4">
            <w:pPr>
              <w:pStyle w:val="P68B1DB1-Normal10"/>
              <w:spacing w:after="0"/>
              <w:jc w:val="center"/>
              <w:rPr>
                <w:noProof/>
              </w:rPr>
            </w:pPr>
            <w:r>
              <w:rPr>
                <w:noProof/>
              </w:rPr>
              <w:t>Т2 Г.</w:t>
            </w:r>
          </w:p>
        </w:tc>
        <w:tc>
          <w:tcPr>
            <w:tcW w:w="851" w:type="dxa"/>
            <w:tcBorders>
              <w:top w:val="nil"/>
              <w:left w:val="nil"/>
              <w:bottom w:val="single" w:sz="4" w:space="0" w:color="auto"/>
              <w:right w:val="single" w:sz="4" w:space="0" w:color="auto"/>
            </w:tcBorders>
            <w:shd w:val="clear" w:color="auto" w:fill="C6EFCE"/>
            <w:noWrap/>
            <w:vAlign w:val="center"/>
          </w:tcPr>
          <w:p w14:paraId="5FFCACE2" w14:textId="77777777" w:rsidR="00235E11" w:rsidRDefault="00F837E4">
            <w:pPr>
              <w:pStyle w:val="P68B1DB1-Normal10"/>
              <w:spacing w:after="0"/>
              <w:jc w:val="center"/>
              <w:rPr>
                <w:noProof/>
              </w:rPr>
            </w:pPr>
            <w:r>
              <w:rPr>
                <w:noProof/>
              </w:rPr>
              <w:t>2024</w:t>
            </w:r>
          </w:p>
        </w:tc>
        <w:tc>
          <w:tcPr>
            <w:tcW w:w="4132" w:type="dxa"/>
            <w:tcBorders>
              <w:top w:val="nil"/>
              <w:left w:val="nil"/>
              <w:bottom w:val="single" w:sz="4" w:space="0" w:color="auto"/>
              <w:right w:val="single" w:sz="4" w:space="0" w:color="auto"/>
            </w:tcBorders>
            <w:shd w:val="clear" w:color="auto" w:fill="C6EFCE"/>
            <w:noWrap/>
            <w:vAlign w:val="center"/>
          </w:tcPr>
          <w:p w14:paraId="7B81513C" w14:textId="5C8D898F" w:rsidR="00235E11" w:rsidRDefault="00F837E4">
            <w:pPr>
              <w:pStyle w:val="P68B1DB1-Normal10"/>
              <w:spacing w:after="0"/>
              <w:rPr>
                <w:noProof/>
              </w:rPr>
            </w:pPr>
            <w:r>
              <w:rPr>
                <w:noProof/>
              </w:rPr>
              <w:t>Отпускане на безвъзмездни средства за 15 г. от компетентния орган и PPS Социална интеграция на проекти, отговарящи на критериите на документа „Проект за електронно приобщаване за Белгия — критерии за безвъзмездни средства“, публикуван на 15 декември 2021 г. Проектите имат за цел (1) повишаване на осведомеността на уязвимите целеви групи, за да се запознаят със съответните ИКТ, за да се подобри личното им положение и да се засили социалната интеграция, (2) подобряване на цифровите умения на уязвимите целеви групи с цел подобряване на личното им положение и засилване на социалната интеграция, и (3) подобряване на цифровите умения на лицата, полагащи грижи за уязвими целеви групи.</w:t>
            </w:r>
          </w:p>
        </w:tc>
      </w:tr>
      <w:tr w:rsidR="00235E11" w14:paraId="2772B9C1"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14F9FD6C" w14:textId="77777777" w:rsidR="00235E11" w:rsidRDefault="00F837E4">
            <w:pPr>
              <w:pStyle w:val="P68B1DB1-Normal10"/>
              <w:spacing w:after="0"/>
              <w:jc w:val="center"/>
              <w:rPr>
                <w:noProof/>
              </w:rPr>
            </w:pPr>
            <w:r>
              <w:rPr>
                <w:noProof/>
              </w:rPr>
              <w:t>147</w:t>
            </w:r>
          </w:p>
        </w:tc>
        <w:tc>
          <w:tcPr>
            <w:tcW w:w="1452" w:type="dxa"/>
            <w:tcBorders>
              <w:top w:val="nil"/>
              <w:left w:val="nil"/>
              <w:bottom w:val="single" w:sz="4" w:space="0" w:color="auto"/>
              <w:right w:val="single" w:sz="4" w:space="0" w:color="auto"/>
            </w:tcBorders>
            <w:shd w:val="clear" w:color="auto" w:fill="C6EFCE"/>
            <w:noWrap/>
            <w:vAlign w:val="center"/>
          </w:tcPr>
          <w:p w14:paraId="557BE675" w14:textId="77777777" w:rsidR="00235E11" w:rsidRDefault="00F837E4">
            <w:pPr>
              <w:pStyle w:val="P68B1DB1-Normal10"/>
              <w:spacing w:after="0"/>
              <w:rPr>
                <w:noProof/>
              </w:rPr>
            </w:pPr>
            <w:r>
              <w:rPr>
                <w:noProof/>
              </w:rPr>
              <w:t>Цифрови платформи за затворници (I-4.09)</w:t>
            </w:r>
          </w:p>
        </w:tc>
        <w:tc>
          <w:tcPr>
            <w:tcW w:w="1275" w:type="dxa"/>
            <w:tcBorders>
              <w:top w:val="nil"/>
              <w:left w:val="nil"/>
              <w:bottom w:val="single" w:sz="4" w:space="0" w:color="auto"/>
              <w:right w:val="single" w:sz="4" w:space="0" w:color="auto"/>
            </w:tcBorders>
            <w:shd w:val="clear" w:color="auto" w:fill="C6EFCE"/>
            <w:noWrap/>
            <w:vAlign w:val="center"/>
          </w:tcPr>
          <w:p w14:paraId="0D4508A0" w14:textId="5D846FE9" w:rsidR="00235E11" w:rsidRDefault="00F837E4">
            <w:pPr>
              <w:pStyle w:val="P68B1DB1-Normal10"/>
              <w:spacing w:after="0"/>
              <w:jc w:val="center"/>
              <w:rPr>
                <w:noProof/>
              </w:rPr>
            </w:pPr>
            <w:r>
              <w:rPr>
                <w:noProof/>
              </w:rPr>
              <w:t>T</w:t>
            </w:r>
          </w:p>
        </w:tc>
        <w:tc>
          <w:tcPr>
            <w:tcW w:w="1384" w:type="dxa"/>
            <w:tcBorders>
              <w:top w:val="nil"/>
              <w:left w:val="nil"/>
              <w:bottom w:val="single" w:sz="4" w:space="0" w:color="auto"/>
              <w:right w:val="single" w:sz="4" w:space="0" w:color="auto"/>
            </w:tcBorders>
            <w:shd w:val="clear" w:color="auto" w:fill="C6EFCE"/>
            <w:noWrap/>
            <w:vAlign w:val="center"/>
          </w:tcPr>
          <w:p w14:paraId="2C6887BE" w14:textId="77777777" w:rsidR="00235E11" w:rsidRDefault="00F837E4">
            <w:pPr>
              <w:pStyle w:val="P68B1DB1-Normal10"/>
              <w:spacing w:after="0"/>
              <w:rPr>
                <w:noProof/>
              </w:rPr>
            </w:pPr>
            <w:r>
              <w:rPr>
                <w:noProof/>
              </w:rPr>
              <w:t>Приключване на въвеждането</w:t>
            </w:r>
          </w:p>
        </w:tc>
        <w:tc>
          <w:tcPr>
            <w:tcW w:w="1417" w:type="dxa"/>
            <w:tcBorders>
              <w:top w:val="nil"/>
              <w:left w:val="nil"/>
              <w:bottom w:val="single" w:sz="4" w:space="0" w:color="auto"/>
              <w:right w:val="single" w:sz="4" w:space="0" w:color="auto"/>
            </w:tcBorders>
            <w:shd w:val="clear" w:color="auto" w:fill="C6EFCE"/>
            <w:noWrap/>
            <w:vAlign w:val="center"/>
          </w:tcPr>
          <w:p w14:paraId="412C3E8B" w14:textId="77777777" w:rsidR="00235E11" w:rsidRDefault="00235E11">
            <w:pPr>
              <w:spacing w:after="0"/>
              <w:rPr>
                <w:rFonts w:ascii="Times New Roman" w:eastAsia="Times New Roman" w:hAnsi="Times New Roman" w:cs="Times New Roman"/>
                <w:noProof/>
                <w:color w:val="006100"/>
              </w:rPr>
            </w:pPr>
          </w:p>
        </w:tc>
        <w:tc>
          <w:tcPr>
            <w:tcW w:w="1310" w:type="dxa"/>
            <w:tcBorders>
              <w:top w:val="nil"/>
              <w:left w:val="nil"/>
              <w:bottom w:val="single" w:sz="4" w:space="0" w:color="auto"/>
              <w:right w:val="single" w:sz="4" w:space="0" w:color="auto"/>
            </w:tcBorders>
            <w:shd w:val="clear" w:color="auto" w:fill="C6EFCE"/>
            <w:noWrap/>
            <w:vAlign w:val="center"/>
          </w:tcPr>
          <w:p w14:paraId="59682F04" w14:textId="77777777" w:rsidR="00235E11" w:rsidRDefault="00F837E4">
            <w:pPr>
              <w:pStyle w:val="P68B1DB1-Normal10"/>
              <w:spacing w:after="0"/>
              <w:rPr>
                <w:noProof/>
              </w:rPr>
            </w:pPr>
            <w:r>
              <w:rPr>
                <w:noProof/>
              </w:rPr>
              <w:t>Затвори</w:t>
            </w:r>
          </w:p>
        </w:tc>
        <w:tc>
          <w:tcPr>
            <w:tcW w:w="1134" w:type="dxa"/>
            <w:tcBorders>
              <w:top w:val="nil"/>
              <w:left w:val="nil"/>
              <w:bottom w:val="single" w:sz="4" w:space="0" w:color="auto"/>
              <w:right w:val="single" w:sz="4" w:space="0" w:color="auto"/>
            </w:tcBorders>
            <w:shd w:val="clear" w:color="auto" w:fill="C6EFCE"/>
            <w:noWrap/>
            <w:vAlign w:val="center"/>
          </w:tcPr>
          <w:p w14:paraId="0CE08219" w14:textId="77777777" w:rsidR="00235E11" w:rsidRDefault="00F837E4">
            <w:pPr>
              <w:pStyle w:val="P68B1DB1-Normal10"/>
              <w:spacing w:after="0"/>
              <w:rPr>
                <w:noProof/>
              </w:rPr>
            </w:pPr>
            <w:r>
              <w:rPr>
                <w:noProof/>
              </w:rPr>
              <w:t>0</w:t>
            </w:r>
          </w:p>
        </w:tc>
        <w:tc>
          <w:tcPr>
            <w:tcW w:w="709" w:type="dxa"/>
            <w:tcBorders>
              <w:top w:val="nil"/>
              <w:left w:val="nil"/>
              <w:bottom w:val="single" w:sz="4" w:space="0" w:color="auto"/>
              <w:right w:val="single" w:sz="4" w:space="0" w:color="auto"/>
            </w:tcBorders>
            <w:shd w:val="clear" w:color="auto" w:fill="C6EFCE"/>
            <w:noWrap/>
            <w:vAlign w:val="center"/>
          </w:tcPr>
          <w:p w14:paraId="1BEBC42A" w14:textId="77777777" w:rsidR="00235E11" w:rsidRDefault="00F837E4">
            <w:pPr>
              <w:pStyle w:val="P68B1DB1-Normal10"/>
              <w:spacing w:after="0"/>
              <w:rPr>
                <w:noProof/>
              </w:rPr>
            </w:pPr>
            <w:r>
              <w:rPr>
                <w:noProof/>
              </w:rPr>
              <w:t>32</w:t>
            </w:r>
          </w:p>
        </w:tc>
        <w:tc>
          <w:tcPr>
            <w:tcW w:w="992" w:type="dxa"/>
            <w:tcBorders>
              <w:top w:val="nil"/>
              <w:left w:val="nil"/>
              <w:bottom w:val="single" w:sz="4" w:space="0" w:color="auto"/>
              <w:right w:val="single" w:sz="4" w:space="0" w:color="auto"/>
            </w:tcBorders>
            <w:shd w:val="clear" w:color="auto" w:fill="C6EFCE"/>
            <w:noWrap/>
            <w:vAlign w:val="center"/>
          </w:tcPr>
          <w:p w14:paraId="3ED132E2" w14:textId="77777777" w:rsidR="00235E11" w:rsidRDefault="00F837E4">
            <w:pPr>
              <w:pStyle w:val="P68B1DB1-Normal10"/>
              <w:spacing w:after="0"/>
              <w:jc w:val="center"/>
              <w:rPr>
                <w:noProof/>
              </w:rPr>
            </w:pPr>
            <w:r>
              <w:rPr>
                <w:noProof/>
              </w:rPr>
              <w:t>Т4 Г.</w:t>
            </w:r>
          </w:p>
        </w:tc>
        <w:tc>
          <w:tcPr>
            <w:tcW w:w="851" w:type="dxa"/>
            <w:tcBorders>
              <w:top w:val="nil"/>
              <w:left w:val="nil"/>
              <w:bottom w:val="single" w:sz="4" w:space="0" w:color="auto"/>
              <w:right w:val="single" w:sz="4" w:space="0" w:color="auto"/>
            </w:tcBorders>
            <w:shd w:val="clear" w:color="auto" w:fill="C6EFCE"/>
            <w:noWrap/>
            <w:vAlign w:val="center"/>
          </w:tcPr>
          <w:p w14:paraId="7A99E7B5" w14:textId="77777777" w:rsidR="00235E11" w:rsidRDefault="00F837E4">
            <w:pPr>
              <w:pStyle w:val="P68B1DB1-Normal10"/>
              <w:spacing w:after="0"/>
              <w:jc w:val="center"/>
              <w:rPr>
                <w:noProof/>
              </w:rPr>
            </w:pPr>
            <w:r>
              <w:rPr>
                <w:noProof/>
              </w:rPr>
              <w:t>2024</w:t>
            </w:r>
          </w:p>
        </w:tc>
        <w:tc>
          <w:tcPr>
            <w:tcW w:w="4132" w:type="dxa"/>
            <w:tcBorders>
              <w:top w:val="nil"/>
              <w:left w:val="nil"/>
              <w:bottom w:val="single" w:sz="4" w:space="0" w:color="auto"/>
              <w:right w:val="single" w:sz="4" w:space="0" w:color="auto"/>
            </w:tcBorders>
            <w:shd w:val="clear" w:color="auto" w:fill="C6EFCE"/>
            <w:noWrap/>
            <w:vAlign w:val="center"/>
          </w:tcPr>
          <w:p w14:paraId="7D5B0243" w14:textId="77777777" w:rsidR="00235E11" w:rsidRDefault="00F837E4">
            <w:pPr>
              <w:pStyle w:val="P68B1DB1-Normal10"/>
              <w:spacing w:after="0"/>
              <w:rPr>
                <w:noProof/>
              </w:rPr>
            </w:pPr>
            <w:r>
              <w:rPr>
                <w:noProof/>
              </w:rPr>
              <w:t>Завършване на изграждането на цифрова платформа в 32 затвора, която позволява на затворниците: (1) да премине обучение от своята клетка или да проведе изискваните учения в онлайн или присъствен курс на обучение; (2) достъп до затворнически услуги и рехабилитационни услуги; (3) имат ограничен и сигурен достъп до интернет за търсене или кандидатстване за работа, достъп до цифрови произведения или обмен на информация с роднини и услуги за подкрепа.</w:t>
            </w:r>
          </w:p>
        </w:tc>
      </w:tr>
      <w:tr w:rsidR="00235E11" w14:paraId="6F34D5EB"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774CECDD" w14:textId="77777777" w:rsidR="00235E11" w:rsidRDefault="00F837E4">
            <w:pPr>
              <w:pStyle w:val="P68B1DB1-Normal10"/>
              <w:spacing w:after="0"/>
              <w:jc w:val="center"/>
              <w:rPr>
                <w:noProof/>
              </w:rPr>
            </w:pPr>
            <w:r>
              <w:rPr>
                <w:noProof/>
              </w:rPr>
              <w:t>148</w:t>
            </w:r>
          </w:p>
        </w:tc>
        <w:tc>
          <w:tcPr>
            <w:tcW w:w="1452" w:type="dxa"/>
            <w:tcBorders>
              <w:top w:val="nil"/>
              <w:left w:val="nil"/>
              <w:bottom w:val="single" w:sz="4" w:space="0" w:color="auto"/>
              <w:right w:val="single" w:sz="4" w:space="0" w:color="auto"/>
            </w:tcBorders>
            <w:shd w:val="clear" w:color="auto" w:fill="C6EFCE"/>
            <w:noWrap/>
            <w:vAlign w:val="center"/>
          </w:tcPr>
          <w:p w14:paraId="5D27CCA0" w14:textId="77777777" w:rsidR="00235E11" w:rsidRDefault="00F837E4">
            <w:pPr>
              <w:pStyle w:val="P68B1DB1-Normal10"/>
              <w:spacing w:after="0"/>
              <w:rPr>
                <w:noProof/>
              </w:rPr>
            </w:pPr>
            <w:r>
              <w:rPr>
                <w:noProof/>
              </w:rPr>
              <w:t>Пол и труд (I-4.10)</w:t>
            </w:r>
          </w:p>
        </w:tc>
        <w:tc>
          <w:tcPr>
            <w:tcW w:w="1275" w:type="dxa"/>
            <w:tcBorders>
              <w:top w:val="nil"/>
              <w:left w:val="nil"/>
              <w:bottom w:val="single" w:sz="4" w:space="0" w:color="auto"/>
              <w:right w:val="single" w:sz="4" w:space="0" w:color="auto"/>
            </w:tcBorders>
            <w:shd w:val="clear" w:color="auto" w:fill="C6EFCE"/>
            <w:noWrap/>
            <w:vAlign w:val="center"/>
          </w:tcPr>
          <w:p w14:paraId="5AE1F728" w14:textId="3C0EB118" w:rsidR="00235E11" w:rsidRDefault="00F837E4">
            <w:pPr>
              <w:pStyle w:val="P68B1DB1-Normal10"/>
              <w:spacing w:after="0"/>
              <w:jc w:val="center"/>
              <w:rPr>
                <w:noProof/>
              </w:rPr>
            </w:pPr>
            <w:r>
              <w:rPr>
                <w:noProof/>
              </w:rPr>
              <w:t>T</w:t>
            </w:r>
          </w:p>
        </w:tc>
        <w:tc>
          <w:tcPr>
            <w:tcW w:w="1384" w:type="dxa"/>
            <w:tcBorders>
              <w:top w:val="nil"/>
              <w:left w:val="nil"/>
              <w:bottom w:val="single" w:sz="4" w:space="0" w:color="auto"/>
              <w:right w:val="single" w:sz="4" w:space="0" w:color="auto"/>
            </w:tcBorders>
            <w:shd w:val="clear" w:color="auto" w:fill="C6EFCE"/>
            <w:noWrap/>
            <w:vAlign w:val="center"/>
          </w:tcPr>
          <w:p w14:paraId="29D39BFD" w14:textId="77777777" w:rsidR="00235E11" w:rsidRDefault="00F837E4">
            <w:pPr>
              <w:pStyle w:val="P68B1DB1-Normal10"/>
              <w:spacing w:after="0"/>
              <w:rPr>
                <w:noProof/>
              </w:rPr>
            </w:pPr>
            <w:r>
              <w:rPr>
                <w:noProof/>
              </w:rPr>
              <w:t>Участие на жените в проекти на място</w:t>
            </w:r>
          </w:p>
        </w:tc>
        <w:tc>
          <w:tcPr>
            <w:tcW w:w="1417" w:type="dxa"/>
            <w:tcBorders>
              <w:top w:val="nil"/>
              <w:left w:val="nil"/>
              <w:bottom w:val="single" w:sz="4" w:space="0" w:color="auto"/>
              <w:right w:val="single" w:sz="4" w:space="0" w:color="auto"/>
            </w:tcBorders>
            <w:shd w:val="clear" w:color="auto" w:fill="C6EFCE"/>
            <w:noWrap/>
            <w:vAlign w:val="center"/>
          </w:tcPr>
          <w:p w14:paraId="36140650" w14:textId="77777777" w:rsidR="00235E11" w:rsidRDefault="00235E11">
            <w:pPr>
              <w:spacing w:after="0"/>
              <w:rPr>
                <w:rFonts w:ascii="Times New Roman" w:eastAsia="Times New Roman" w:hAnsi="Times New Roman" w:cs="Times New Roman"/>
                <w:noProof/>
                <w:color w:val="006100"/>
              </w:rPr>
            </w:pPr>
          </w:p>
        </w:tc>
        <w:tc>
          <w:tcPr>
            <w:tcW w:w="1310" w:type="dxa"/>
            <w:tcBorders>
              <w:top w:val="nil"/>
              <w:left w:val="nil"/>
              <w:bottom w:val="single" w:sz="4" w:space="0" w:color="auto"/>
              <w:right w:val="single" w:sz="4" w:space="0" w:color="auto"/>
            </w:tcBorders>
            <w:shd w:val="clear" w:color="auto" w:fill="C6EFCE"/>
            <w:noWrap/>
            <w:vAlign w:val="center"/>
          </w:tcPr>
          <w:p w14:paraId="3942F6E4" w14:textId="77777777" w:rsidR="00235E11" w:rsidRDefault="00F837E4">
            <w:pPr>
              <w:pStyle w:val="P68B1DB1-Normal10"/>
              <w:spacing w:after="0"/>
              <w:rPr>
                <w:noProof/>
              </w:rPr>
            </w:pPr>
            <w:r>
              <w:rPr>
                <w:noProof/>
              </w:rPr>
              <w:t>Жените</w:t>
            </w:r>
          </w:p>
        </w:tc>
        <w:tc>
          <w:tcPr>
            <w:tcW w:w="1134" w:type="dxa"/>
            <w:tcBorders>
              <w:top w:val="nil"/>
              <w:left w:val="nil"/>
              <w:bottom w:val="single" w:sz="4" w:space="0" w:color="auto"/>
              <w:right w:val="single" w:sz="4" w:space="0" w:color="auto"/>
            </w:tcBorders>
            <w:shd w:val="clear" w:color="auto" w:fill="C6EFCE"/>
            <w:noWrap/>
            <w:vAlign w:val="center"/>
          </w:tcPr>
          <w:p w14:paraId="59065BC6" w14:textId="77777777" w:rsidR="00235E11" w:rsidRDefault="00F837E4">
            <w:pPr>
              <w:pStyle w:val="P68B1DB1-Normal10"/>
              <w:spacing w:after="0"/>
              <w:rPr>
                <w:noProof/>
              </w:rPr>
            </w:pPr>
            <w:r>
              <w:rPr>
                <w:noProof/>
              </w:rPr>
              <w:t>0</w:t>
            </w:r>
          </w:p>
        </w:tc>
        <w:tc>
          <w:tcPr>
            <w:tcW w:w="709" w:type="dxa"/>
            <w:tcBorders>
              <w:top w:val="nil"/>
              <w:left w:val="nil"/>
              <w:bottom w:val="single" w:sz="4" w:space="0" w:color="auto"/>
              <w:right w:val="single" w:sz="4" w:space="0" w:color="auto"/>
            </w:tcBorders>
            <w:shd w:val="clear" w:color="auto" w:fill="C6EFCE"/>
            <w:noWrap/>
            <w:vAlign w:val="center"/>
          </w:tcPr>
          <w:p w14:paraId="63FB97B0" w14:textId="77777777" w:rsidR="00235E11" w:rsidRDefault="00F837E4">
            <w:pPr>
              <w:pStyle w:val="P68B1DB1-Normal10"/>
              <w:spacing w:after="0"/>
              <w:rPr>
                <w:noProof/>
              </w:rPr>
            </w:pPr>
            <w:r>
              <w:rPr>
                <w:noProof/>
              </w:rPr>
              <w:t>250</w:t>
            </w:r>
          </w:p>
        </w:tc>
        <w:tc>
          <w:tcPr>
            <w:tcW w:w="992" w:type="dxa"/>
            <w:tcBorders>
              <w:top w:val="nil"/>
              <w:left w:val="nil"/>
              <w:bottom w:val="single" w:sz="4" w:space="0" w:color="auto"/>
              <w:right w:val="single" w:sz="4" w:space="0" w:color="auto"/>
            </w:tcBorders>
            <w:shd w:val="clear" w:color="auto" w:fill="C6EFCE"/>
            <w:noWrap/>
            <w:vAlign w:val="center"/>
          </w:tcPr>
          <w:p w14:paraId="45F73632" w14:textId="77777777" w:rsidR="00235E11" w:rsidRDefault="00F837E4">
            <w:pPr>
              <w:pStyle w:val="P68B1DB1-Normal10"/>
              <w:spacing w:after="0"/>
              <w:jc w:val="center"/>
              <w:rPr>
                <w:noProof/>
              </w:rPr>
            </w:pPr>
            <w:r>
              <w:rPr>
                <w:noProof/>
              </w:rPr>
              <w:t>Т4 Г.</w:t>
            </w:r>
          </w:p>
        </w:tc>
        <w:tc>
          <w:tcPr>
            <w:tcW w:w="851" w:type="dxa"/>
            <w:tcBorders>
              <w:top w:val="nil"/>
              <w:left w:val="nil"/>
              <w:bottom w:val="single" w:sz="4" w:space="0" w:color="auto"/>
              <w:right w:val="single" w:sz="4" w:space="0" w:color="auto"/>
            </w:tcBorders>
            <w:shd w:val="clear" w:color="auto" w:fill="C6EFCE"/>
            <w:noWrap/>
            <w:vAlign w:val="center"/>
          </w:tcPr>
          <w:p w14:paraId="37E6EE49" w14:textId="77777777" w:rsidR="00235E11" w:rsidRDefault="00F837E4">
            <w:pPr>
              <w:pStyle w:val="P68B1DB1-Normal10"/>
              <w:spacing w:after="0"/>
              <w:jc w:val="center"/>
              <w:rPr>
                <w:noProof/>
              </w:rPr>
            </w:pPr>
            <w:r>
              <w:rPr>
                <w:noProof/>
              </w:rPr>
              <w:t>2024</w:t>
            </w:r>
          </w:p>
        </w:tc>
        <w:tc>
          <w:tcPr>
            <w:tcW w:w="4132" w:type="dxa"/>
            <w:tcBorders>
              <w:top w:val="nil"/>
              <w:left w:val="nil"/>
              <w:bottom w:val="single" w:sz="4" w:space="0" w:color="auto"/>
              <w:right w:val="single" w:sz="4" w:space="0" w:color="auto"/>
            </w:tcBorders>
            <w:shd w:val="clear" w:color="auto" w:fill="C6EFCE"/>
            <w:noWrap/>
            <w:vAlign w:val="center"/>
          </w:tcPr>
          <w:p w14:paraId="3150435B" w14:textId="77777777" w:rsidR="00235E11" w:rsidRDefault="00F837E4">
            <w:pPr>
              <w:pStyle w:val="P68B1DB1-Normal10"/>
              <w:spacing w:after="0"/>
              <w:rPr>
                <w:noProof/>
              </w:rPr>
            </w:pPr>
            <w:r>
              <w:rPr>
                <w:noProof/>
              </w:rPr>
              <w:t>250 жени, участващи в проекти на място, отговарящи на критериите, определени в документа относно поканата за представяне на предложения, публикуван през септември 2022 г.</w:t>
            </w:r>
          </w:p>
        </w:tc>
      </w:tr>
      <w:tr w:rsidR="00235E11" w14:paraId="5D51BAC5"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58FF8CBC" w14:textId="77777777" w:rsidR="00235E11" w:rsidRDefault="00F837E4">
            <w:pPr>
              <w:pStyle w:val="P68B1DB1-Normal10"/>
              <w:spacing w:after="0"/>
              <w:jc w:val="center"/>
              <w:rPr>
                <w:noProof/>
              </w:rPr>
            </w:pPr>
            <w:r>
              <w:rPr>
                <w:noProof/>
              </w:rPr>
              <w:t>149</w:t>
            </w:r>
          </w:p>
        </w:tc>
        <w:tc>
          <w:tcPr>
            <w:tcW w:w="1452" w:type="dxa"/>
            <w:tcBorders>
              <w:top w:val="nil"/>
              <w:left w:val="nil"/>
              <w:bottom w:val="single" w:sz="4" w:space="0" w:color="auto"/>
              <w:right w:val="single" w:sz="4" w:space="0" w:color="auto"/>
            </w:tcBorders>
            <w:shd w:val="clear" w:color="auto" w:fill="C6EFCE"/>
            <w:noWrap/>
            <w:vAlign w:val="center"/>
          </w:tcPr>
          <w:p w14:paraId="5EC6E595" w14:textId="77777777" w:rsidR="00235E11" w:rsidRDefault="00F837E4">
            <w:pPr>
              <w:pStyle w:val="P68B1DB1-Normal10"/>
              <w:spacing w:after="0"/>
              <w:rPr>
                <w:noProof/>
              </w:rPr>
            </w:pPr>
            <w:r>
              <w:rPr>
                <w:noProof/>
              </w:rPr>
              <w:t>Digibank (I-4.11)</w:t>
            </w:r>
          </w:p>
        </w:tc>
        <w:tc>
          <w:tcPr>
            <w:tcW w:w="1275" w:type="dxa"/>
            <w:tcBorders>
              <w:top w:val="nil"/>
              <w:left w:val="nil"/>
              <w:bottom w:val="single" w:sz="4" w:space="0" w:color="auto"/>
              <w:right w:val="single" w:sz="4" w:space="0" w:color="auto"/>
            </w:tcBorders>
            <w:shd w:val="clear" w:color="auto" w:fill="C6EFCE"/>
            <w:noWrap/>
            <w:vAlign w:val="center"/>
          </w:tcPr>
          <w:p w14:paraId="0F626471" w14:textId="2F10B1EA" w:rsidR="00235E11" w:rsidRDefault="00F837E4">
            <w:pPr>
              <w:pStyle w:val="P68B1DB1-Normal10"/>
              <w:spacing w:after="0"/>
              <w:jc w:val="center"/>
              <w:rPr>
                <w:noProof/>
              </w:rPr>
            </w:pPr>
            <w:r>
              <w:rPr>
                <w:noProof/>
              </w:rPr>
              <w:t>T</w:t>
            </w:r>
          </w:p>
        </w:tc>
        <w:tc>
          <w:tcPr>
            <w:tcW w:w="1384" w:type="dxa"/>
            <w:tcBorders>
              <w:top w:val="nil"/>
              <w:left w:val="nil"/>
              <w:bottom w:val="single" w:sz="4" w:space="0" w:color="auto"/>
              <w:right w:val="single" w:sz="4" w:space="0" w:color="auto"/>
            </w:tcBorders>
            <w:shd w:val="clear" w:color="auto" w:fill="C6EFCE"/>
            <w:noWrap/>
            <w:vAlign w:val="center"/>
          </w:tcPr>
          <w:p w14:paraId="4CB3F853" w14:textId="77777777" w:rsidR="00235E11" w:rsidRDefault="00F837E4">
            <w:pPr>
              <w:pStyle w:val="P68B1DB1-Normal10"/>
              <w:spacing w:after="0"/>
              <w:rPr>
                <w:noProof/>
              </w:rPr>
            </w:pPr>
            <w:r>
              <w:rPr>
                <w:noProof/>
              </w:rPr>
              <w:t>Подписване на партньорства за насърчаване на цифровото приобщаване</w:t>
            </w:r>
          </w:p>
        </w:tc>
        <w:tc>
          <w:tcPr>
            <w:tcW w:w="1417" w:type="dxa"/>
            <w:tcBorders>
              <w:top w:val="nil"/>
              <w:left w:val="nil"/>
              <w:bottom w:val="single" w:sz="4" w:space="0" w:color="auto"/>
              <w:right w:val="single" w:sz="4" w:space="0" w:color="auto"/>
            </w:tcBorders>
            <w:shd w:val="clear" w:color="auto" w:fill="C6EFCE"/>
            <w:noWrap/>
            <w:vAlign w:val="center"/>
          </w:tcPr>
          <w:p w14:paraId="2F4A679D" w14:textId="77777777" w:rsidR="00235E11" w:rsidRDefault="00235E11">
            <w:pPr>
              <w:spacing w:after="0"/>
              <w:rPr>
                <w:rFonts w:ascii="Times New Roman" w:eastAsia="Times New Roman" w:hAnsi="Times New Roman" w:cs="Times New Roman"/>
                <w:noProof/>
                <w:color w:val="006100"/>
              </w:rPr>
            </w:pPr>
          </w:p>
        </w:tc>
        <w:tc>
          <w:tcPr>
            <w:tcW w:w="1310" w:type="dxa"/>
            <w:tcBorders>
              <w:top w:val="nil"/>
              <w:left w:val="nil"/>
              <w:bottom w:val="single" w:sz="4" w:space="0" w:color="auto"/>
              <w:right w:val="single" w:sz="4" w:space="0" w:color="auto"/>
            </w:tcBorders>
            <w:shd w:val="clear" w:color="auto" w:fill="C6EFCE"/>
            <w:noWrap/>
            <w:vAlign w:val="center"/>
          </w:tcPr>
          <w:p w14:paraId="5475B53F" w14:textId="77777777" w:rsidR="00235E11" w:rsidRDefault="00F837E4">
            <w:pPr>
              <w:pStyle w:val="P68B1DB1-Normal10"/>
              <w:spacing w:after="0"/>
              <w:rPr>
                <w:noProof/>
              </w:rPr>
            </w:pPr>
            <w:r>
              <w:rPr>
                <w:noProof/>
              </w:rPr>
              <w:t>Общини</w:t>
            </w:r>
          </w:p>
        </w:tc>
        <w:tc>
          <w:tcPr>
            <w:tcW w:w="1134" w:type="dxa"/>
            <w:tcBorders>
              <w:top w:val="nil"/>
              <w:left w:val="nil"/>
              <w:bottom w:val="single" w:sz="4" w:space="0" w:color="auto"/>
              <w:right w:val="single" w:sz="4" w:space="0" w:color="auto"/>
            </w:tcBorders>
            <w:shd w:val="clear" w:color="auto" w:fill="C6EFCE"/>
            <w:noWrap/>
            <w:vAlign w:val="center"/>
          </w:tcPr>
          <w:p w14:paraId="42B7091A" w14:textId="77777777" w:rsidR="00235E11" w:rsidRDefault="00F837E4">
            <w:pPr>
              <w:pStyle w:val="P68B1DB1-Normal10"/>
              <w:spacing w:after="0"/>
              <w:rPr>
                <w:noProof/>
              </w:rPr>
            </w:pPr>
            <w:r>
              <w:rPr>
                <w:noProof/>
              </w:rPr>
              <w:t>0</w:t>
            </w:r>
          </w:p>
        </w:tc>
        <w:tc>
          <w:tcPr>
            <w:tcW w:w="709" w:type="dxa"/>
            <w:tcBorders>
              <w:top w:val="nil"/>
              <w:left w:val="nil"/>
              <w:bottom w:val="single" w:sz="4" w:space="0" w:color="auto"/>
              <w:right w:val="single" w:sz="4" w:space="0" w:color="auto"/>
            </w:tcBorders>
            <w:shd w:val="clear" w:color="auto" w:fill="C6EFCE"/>
            <w:noWrap/>
            <w:vAlign w:val="center"/>
          </w:tcPr>
          <w:p w14:paraId="02E514C6" w14:textId="77777777" w:rsidR="00235E11" w:rsidRDefault="00F837E4">
            <w:pPr>
              <w:pStyle w:val="P68B1DB1-Normal10"/>
              <w:spacing w:after="0"/>
              <w:rPr>
                <w:noProof/>
              </w:rPr>
            </w:pPr>
            <w:r>
              <w:rPr>
                <w:noProof/>
              </w:rPr>
              <w:t>100</w:t>
            </w:r>
          </w:p>
        </w:tc>
        <w:tc>
          <w:tcPr>
            <w:tcW w:w="992" w:type="dxa"/>
            <w:tcBorders>
              <w:top w:val="nil"/>
              <w:left w:val="nil"/>
              <w:bottom w:val="single" w:sz="4" w:space="0" w:color="auto"/>
              <w:right w:val="single" w:sz="4" w:space="0" w:color="auto"/>
            </w:tcBorders>
            <w:shd w:val="clear" w:color="auto" w:fill="C6EFCE"/>
            <w:noWrap/>
            <w:vAlign w:val="center"/>
          </w:tcPr>
          <w:p w14:paraId="295A99BE" w14:textId="77777777" w:rsidR="00235E11" w:rsidRDefault="00F837E4">
            <w:pPr>
              <w:pStyle w:val="P68B1DB1-Normal10"/>
              <w:spacing w:after="0"/>
              <w:jc w:val="center"/>
              <w:rPr>
                <w:noProof/>
              </w:rPr>
            </w:pPr>
            <w:r>
              <w:rPr>
                <w:noProof/>
              </w:rPr>
              <w:t>Т4 Г.</w:t>
            </w:r>
          </w:p>
        </w:tc>
        <w:tc>
          <w:tcPr>
            <w:tcW w:w="851" w:type="dxa"/>
            <w:tcBorders>
              <w:top w:val="nil"/>
              <w:left w:val="nil"/>
              <w:bottom w:val="single" w:sz="4" w:space="0" w:color="auto"/>
              <w:right w:val="single" w:sz="4" w:space="0" w:color="auto"/>
            </w:tcBorders>
            <w:shd w:val="clear" w:color="auto" w:fill="C6EFCE"/>
            <w:noWrap/>
            <w:vAlign w:val="center"/>
          </w:tcPr>
          <w:p w14:paraId="13C8CF24" w14:textId="77777777" w:rsidR="00235E11" w:rsidRDefault="00F837E4">
            <w:pPr>
              <w:pStyle w:val="P68B1DB1-Normal10"/>
              <w:spacing w:after="0"/>
              <w:jc w:val="center"/>
              <w:rPr>
                <w:noProof/>
              </w:rPr>
            </w:pPr>
            <w:r>
              <w:rPr>
                <w:noProof/>
              </w:rPr>
              <w:t>2022</w:t>
            </w:r>
          </w:p>
        </w:tc>
        <w:tc>
          <w:tcPr>
            <w:tcW w:w="4132" w:type="dxa"/>
            <w:tcBorders>
              <w:top w:val="nil"/>
              <w:left w:val="nil"/>
              <w:bottom w:val="single" w:sz="4" w:space="0" w:color="auto"/>
              <w:right w:val="single" w:sz="4" w:space="0" w:color="auto"/>
            </w:tcBorders>
            <w:shd w:val="clear" w:color="auto" w:fill="C6EFCE"/>
            <w:noWrap/>
            <w:vAlign w:val="center"/>
          </w:tcPr>
          <w:p w14:paraId="19BF5CA4" w14:textId="77777777" w:rsidR="00235E11" w:rsidRDefault="00F837E4">
            <w:pPr>
              <w:pStyle w:val="P68B1DB1-Normal10"/>
              <w:spacing w:after="0"/>
              <w:rPr>
                <w:noProof/>
              </w:rPr>
            </w:pPr>
            <w:r>
              <w:rPr>
                <w:noProof/>
              </w:rPr>
              <w:t>Подписване на партньорство Digibank от 100 общини във Фландрия с Министерството на труда и социалната икономика на Фландрия с цел (1) гарантиране на равен достъп до цифрови технологии чрез условно предоставяне на преносими компютри, скрининг и друг хардуер и подкрепа в конкретен контекст (като например услуги по отпускане на заеми); (2) укрепване на цифровите умения, както лични, така и технически умения (като например ремонт на ИТ оборудване) чрез обучение и споделяне на знания; (3) осигуряване на цифров достъп до основни услуги (като например цифрови услуги от фламандското правителство, „Данъчно облагане в интернет“) чрез т.нар. физически центрове.</w:t>
            </w:r>
          </w:p>
        </w:tc>
      </w:tr>
    </w:tbl>
    <w:p w14:paraId="23770470" w14:textId="77777777" w:rsidR="00235E11" w:rsidRDefault="00235E11">
      <w:pPr>
        <w:pStyle w:val="Text1"/>
        <w:ind w:left="709"/>
        <w:rPr>
          <w:noProof/>
        </w:rPr>
      </w:pPr>
    </w:p>
    <w:p w14:paraId="27F2139B" w14:textId="77777777" w:rsidR="00235E11" w:rsidRDefault="00235E11">
      <w:pPr>
        <w:ind w:left="709"/>
        <w:rPr>
          <w:rFonts w:ascii="Times New Roman" w:hAnsi="Times New Roman" w:cs="Times New Roman"/>
          <w:noProof/>
        </w:rPr>
        <w:sectPr w:rsidR="00235E11" w:rsidSect="007F56C3">
          <w:headerReference w:type="even" r:id="rId168"/>
          <w:headerReference w:type="default" r:id="rId169"/>
          <w:footerReference w:type="even" r:id="rId170"/>
          <w:footerReference w:type="default" r:id="rId171"/>
          <w:headerReference w:type="first" r:id="rId172"/>
          <w:footerReference w:type="first" r:id="rId173"/>
          <w:pgSz w:w="16839" w:h="11907" w:orient="landscape"/>
          <w:pgMar w:top="1134" w:right="1134" w:bottom="1134" w:left="1134" w:header="567" w:footer="567" w:gutter="0"/>
          <w:cols w:space="720"/>
          <w:docGrid w:linePitch="360"/>
        </w:sectPr>
      </w:pPr>
    </w:p>
    <w:p w14:paraId="0CE6EFC3" w14:textId="296101DC" w:rsidR="00235E11" w:rsidRDefault="00F837E4">
      <w:pPr>
        <w:pStyle w:val="ManualHeading1"/>
        <w:spacing w:before="120"/>
        <w:ind w:left="0" w:firstLine="0"/>
        <w:rPr>
          <w:noProof/>
        </w:rPr>
      </w:pPr>
      <w:r>
        <w:rPr>
          <w:noProof/>
        </w:rPr>
        <w:t>L. КОМПОНЕНТ 4.3: Социална инфраструктура</w:t>
      </w:r>
    </w:p>
    <w:p w14:paraId="1288C623" w14:textId="77777777" w:rsidR="00235E11" w:rsidRDefault="00F837E4">
      <w:pPr>
        <w:pStyle w:val="NormalLeft"/>
        <w:jc w:val="both"/>
        <w:rPr>
          <w:noProof/>
        </w:rPr>
      </w:pPr>
      <w:r>
        <w:rPr>
          <w:noProof/>
        </w:rPr>
        <w:t>Мерките по този компонент на белгийския план за възстановяване и устойчивост преследват две цели:</w:t>
      </w:r>
    </w:p>
    <w:p w14:paraId="2425EC55" w14:textId="77777777" w:rsidR="00235E11" w:rsidRDefault="00F837E4">
      <w:pPr>
        <w:pStyle w:val="P68B1DB1-ListParagraph18"/>
        <w:numPr>
          <w:ilvl w:val="0"/>
          <w:numId w:val="23"/>
        </w:numPr>
        <w:tabs>
          <w:tab w:val="left" w:pos="426"/>
        </w:tabs>
        <w:spacing w:before="120" w:after="120" w:line="240" w:lineRule="auto"/>
        <w:ind w:left="0" w:firstLine="0"/>
        <w:jc w:val="both"/>
        <w:rPr>
          <w:noProof/>
        </w:rPr>
      </w:pPr>
      <w:r>
        <w:rPr>
          <w:noProof/>
        </w:rPr>
        <w:t>увеличаване на предлагането на социални жилища, за да се осигурят достойни жилищни условия на уязвимите групи (бездомни, хора с увреждания или загуба на автономност), като част от стратегия за деинституционализация;</w:t>
      </w:r>
    </w:p>
    <w:p w14:paraId="5DE83485" w14:textId="77777777" w:rsidR="00235E11" w:rsidRDefault="00F837E4">
      <w:pPr>
        <w:pStyle w:val="P68B1DB1-ListParagraph18"/>
        <w:numPr>
          <w:ilvl w:val="0"/>
          <w:numId w:val="23"/>
        </w:numPr>
        <w:tabs>
          <w:tab w:val="left" w:pos="426"/>
        </w:tabs>
        <w:spacing w:before="120" w:after="120" w:line="240" w:lineRule="auto"/>
        <w:ind w:left="0" w:firstLine="0"/>
        <w:jc w:val="both"/>
        <w:rPr>
          <w:noProof/>
        </w:rPr>
      </w:pPr>
      <w:r>
        <w:rPr>
          <w:noProof/>
        </w:rPr>
        <w:t>подобряване на обхвата на грижите за деца в ранна детска възраст, по-специално за уязвимите домакинства във Валония, включително жените и самотните родители с ниски доходи.</w:t>
      </w:r>
    </w:p>
    <w:p w14:paraId="3033C2A3" w14:textId="77777777" w:rsidR="00235E11" w:rsidRDefault="00F837E4">
      <w:pPr>
        <w:pStyle w:val="NormalLeft"/>
        <w:jc w:val="both"/>
        <w:rPr>
          <w:noProof/>
        </w:rPr>
      </w:pPr>
      <w:r>
        <w:rPr>
          <w:noProof/>
        </w:rPr>
        <w:t>Този компонент има за цел да предостави на уязвимите групи инфраструктура за улесняване на тяхната интеграция на пазара на труда и в по-широк план в обществото.</w:t>
      </w:r>
    </w:p>
    <w:p w14:paraId="4CBEA568" w14:textId="77777777" w:rsidR="00235E11" w:rsidRDefault="00F837E4">
      <w:pPr>
        <w:pStyle w:val="NormalLeft"/>
        <w:jc w:val="both"/>
        <w:rPr>
          <w:noProof/>
        </w:rPr>
      </w:pPr>
      <w:r>
        <w:rPr>
          <w:noProof/>
        </w:rPr>
        <w:t>Компонентът допринася за изпълнението на специфична за всяка държава препоръка 2019.2 относно демотивиращите фактори за работа и засилването на интеграцията на уязвимите групи на пазара на труда, както и на специфична за държавата препоръка 2020.2 за смекчаване на въздействието на кризата върху заетостта и социалната сфера.</w:t>
      </w:r>
    </w:p>
    <w:p w14:paraId="48DC577B" w14:textId="77777777" w:rsidR="00235E11" w:rsidRDefault="00F837E4">
      <w:pPr>
        <w:pStyle w:val="P68B1DB1-Text16"/>
        <w:ind w:left="0"/>
        <w:rPr>
          <w:i/>
          <w:noProof/>
        </w:rPr>
      </w:pPr>
      <w:r>
        <w:rPr>
          <w:noProof/>
        </w:rPr>
        <w:t xml:space="preserve">L.1. </w:t>
      </w:r>
      <w:r>
        <w:rPr>
          <w:noProof/>
        </w:rPr>
        <w:tab/>
        <w:t>Описание на реформите и инвестициите за безвъзмездна финансова подкрепа</w:t>
      </w:r>
    </w:p>
    <w:p w14:paraId="4814D536" w14:textId="77777777" w:rsidR="00235E11" w:rsidRDefault="00F837E4">
      <w:pPr>
        <w:pStyle w:val="P68B1DB1-Text111"/>
        <w:ind w:left="0"/>
        <w:rPr>
          <w:noProof/>
        </w:rPr>
      </w:pPr>
      <w:r>
        <w:rPr>
          <w:noProof/>
        </w:rPr>
        <w:t xml:space="preserve">Инвестиция I-4.12: „Развитие на комунални жилища и жилища за уязвими лица“ на Валонския регион </w:t>
      </w:r>
    </w:p>
    <w:p w14:paraId="6244560D" w14:textId="6AF415E5" w:rsidR="00235E11" w:rsidRDefault="00F837E4">
      <w:pPr>
        <w:pStyle w:val="Text1"/>
        <w:ind w:left="0"/>
        <w:rPr>
          <w:noProof/>
        </w:rPr>
      </w:pPr>
      <w:r>
        <w:rPr>
          <w:noProof/>
        </w:rPr>
        <w:t>Инвестициите включват строителство и енергийно ефективно саниране на i) жилища с нисък наем, ii) приобщаващи и солидарни жилища, както и iii) места за настаняване на групи, настанени в неравностойно положение. Освен това инвестицията се състои в iv) оборудване на домовете на уязвими лица, т.е. хора на възраст над 65 години и/или хора с увреждания, с кутии за дистанционна помощ, за да се забави или избегне институционализирането на тези хора с намалена автономност или да се намали продължителността на тяхната хоспитализация. Преди тази инвестиция правителството на Валония приема стратегия за деинституционализация на дългосрочните грижи. Изпълнението на инвестицията трябва да приключи до 30 юни 2026 г.</w:t>
      </w:r>
    </w:p>
    <w:p w14:paraId="72A61DF7" w14:textId="77777777" w:rsidR="00235E11" w:rsidRDefault="00F837E4">
      <w:pPr>
        <w:pStyle w:val="P68B1DB1-Text111"/>
        <w:ind w:left="0"/>
        <w:rPr>
          <w:noProof/>
        </w:rPr>
      </w:pPr>
      <w:r>
        <w:rPr>
          <w:noProof/>
        </w:rPr>
        <w:t>Инвестиция I-4.13: „Създаване и обновяване на инфраструктура за грижи за деца в ранна детска възраст“ на Валонския регион</w:t>
      </w:r>
    </w:p>
    <w:p w14:paraId="69D8867D" w14:textId="77777777" w:rsidR="00235E11" w:rsidRDefault="00F837E4">
      <w:pPr>
        <w:pStyle w:val="P68B1DB1-Normal17"/>
        <w:spacing w:before="120" w:after="120" w:line="240" w:lineRule="auto"/>
        <w:jc w:val="both"/>
        <w:rPr>
          <w:noProof/>
          <w:sz w:val="24"/>
        </w:rPr>
      </w:pPr>
      <w:r>
        <w:rPr>
          <w:noProof/>
          <w:sz w:val="24"/>
        </w:rPr>
        <w:t xml:space="preserve">Инвестицията има за цел да подобри обхвата на грижите за деца в ранна детска възраст. Инвестицията включва изграждането и енергийно ефективното обновяване на места за грижи за деца. Създават се нови места в общините, които съчетават нисък обхват на грижите за децата с ниско равнище на заетост при жените, висок дял на самотните родители и нисък </w:t>
      </w:r>
      <w:r>
        <w:rPr>
          <w:noProof/>
        </w:rPr>
        <w:t xml:space="preserve">доход на глава от населението. </w:t>
      </w:r>
      <w:r>
        <w:rPr>
          <w:noProof/>
          <w:sz w:val="24"/>
        </w:rPr>
        <w:t>Изпълнението на инвестицията трябва да приключи до 30 юни 2026 г.</w:t>
      </w:r>
    </w:p>
    <w:p w14:paraId="32AC49B2" w14:textId="77777777" w:rsidR="00235E11" w:rsidRDefault="00235E11">
      <w:pPr>
        <w:pStyle w:val="Text1"/>
        <w:ind w:left="0"/>
        <w:rPr>
          <w:b/>
          <w:noProof/>
          <w:u w:val="single"/>
        </w:rPr>
      </w:pPr>
    </w:p>
    <w:p w14:paraId="1693F4CD" w14:textId="77777777" w:rsidR="00235E11" w:rsidRDefault="00F837E4">
      <w:pPr>
        <w:pStyle w:val="P68B1DB1-Text16"/>
        <w:ind w:left="0"/>
        <w:rPr>
          <w:noProof/>
        </w:rPr>
      </w:pPr>
      <w:r>
        <w:rPr>
          <w:noProof/>
        </w:rPr>
        <w:t xml:space="preserve">L.2. </w:t>
      </w:r>
      <w:r>
        <w:rPr>
          <w:noProof/>
        </w:rPr>
        <w:tab/>
        <w:t>Ключови етапи, цели, показатели и график за мониторинг и изпълнение на безвъзмездната финансова подкрепа</w:t>
      </w:r>
    </w:p>
    <w:p w14:paraId="45232CB9" w14:textId="77777777" w:rsidR="00235E11" w:rsidRDefault="00235E11">
      <w:pPr>
        <w:pStyle w:val="Text1"/>
        <w:rPr>
          <w:noProof/>
        </w:rPr>
      </w:pPr>
    </w:p>
    <w:p w14:paraId="71777D49" w14:textId="77777777" w:rsidR="00235E11" w:rsidRDefault="00235E11">
      <w:pPr>
        <w:pStyle w:val="Text1"/>
        <w:ind w:left="709"/>
        <w:rPr>
          <w:noProof/>
        </w:rPr>
        <w:sectPr w:rsidR="00235E11" w:rsidSect="007F56C3">
          <w:headerReference w:type="even" r:id="rId174"/>
          <w:headerReference w:type="default" r:id="rId175"/>
          <w:footerReference w:type="even" r:id="rId176"/>
          <w:footerReference w:type="default" r:id="rId177"/>
          <w:headerReference w:type="first" r:id="rId178"/>
          <w:footerReference w:type="first" r:id="rId179"/>
          <w:pgSz w:w="11907" w:h="16839"/>
          <w:pgMar w:top="1134" w:right="1134" w:bottom="1134" w:left="1134" w:header="567" w:footer="567" w:gutter="0"/>
          <w:cols w:space="720"/>
          <w:docGrid w:linePitch="360"/>
        </w:sectPr>
      </w:pPr>
    </w:p>
    <w:tbl>
      <w:tblPr>
        <w:tblW w:w="15502" w:type="dxa"/>
        <w:jc w:val="center"/>
        <w:tblLayout w:type="fixed"/>
        <w:tblLook w:val="04A0" w:firstRow="1" w:lastRow="0" w:firstColumn="1" w:lastColumn="0" w:noHBand="0" w:noVBand="1"/>
      </w:tblPr>
      <w:tblGrid>
        <w:gridCol w:w="846"/>
        <w:gridCol w:w="1843"/>
        <w:gridCol w:w="1134"/>
        <w:gridCol w:w="1559"/>
        <w:gridCol w:w="1417"/>
        <w:gridCol w:w="1169"/>
        <w:gridCol w:w="674"/>
        <w:gridCol w:w="851"/>
        <w:gridCol w:w="708"/>
        <w:gridCol w:w="709"/>
        <w:gridCol w:w="4592"/>
      </w:tblGrid>
      <w:tr w:rsidR="00235E11" w14:paraId="33CC17AE" w14:textId="77777777">
        <w:trPr>
          <w:trHeight w:val="927"/>
          <w:tblHeade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00E4FAF" w14:textId="4A2891E8" w:rsidR="00235E11" w:rsidRDefault="00F837E4">
            <w:pPr>
              <w:pStyle w:val="P68B1DB1-Normal15"/>
              <w:spacing w:after="0"/>
              <w:jc w:val="center"/>
              <w:rPr>
                <w:noProof/>
              </w:rPr>
            </w:pPr>
            <w:r>
              <w:rPr>
                <w:noProof/>
              </w:rPr>
              <w:t>Сл. Нб.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013B149" w14:textId="77777777" w:rsidR="00235E11" w:rsidRDefault="00F837E4">
            <w:pPr>
              <w:pStyle w:val="P68B1DB1-Normal15"/>
              <w:spacing w:after="0"/>
              <w:jc w:val="center"/>
              <w:rPr>
                <w:noProof/>
              </w:rPr>
            </w:pPr>
            <w:r>
              <w:rPr>
                <w:noProof/>
              </w:rPr>
              <w:t>Свързана мярка (реформа или инвестиции)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8506A6" w14:textId="77777777" w:rsidR="00235E11" w:rsidRDefault="00F837E4">
            <w:pPr>
              <w:pStyle w:val="P68B1DB1-Normal15"/>
              <w:spacing w:after="0"/>
              <w:jc w:val="center"/>
              <w:rPr>
                <w:noProof/>
              </w:rPr>
            </w:pPr>
            <w:r>
              <w:rPr>
                <w:noProof/>
              </w:rPr>
              <w:t>Ключов етап/Цел</w:t>
            </w:r>
          </w:p>
        </w:tc>
        <w:tc>
          <w:tcPr>
            <w:tcW w:w="1559" w:type="dxa"/>
            <w:vMerge w:val="restart"/>
            <w:tcBorders>
              <w:top w:val="single" w:sz="4" w:space="0" w:color="auto"/>
              <w:left w:val="nil"/>
              <w:bottom w:val="single" w:sz="4" w:space="0" w:color="auto"/>
              <w:right w:val="single" w:sz="4" w:space="0" w:color="auto"/>
            </w:tcBorders>
            <w:shd w:val="clear" w:color="auto" w:fill="BDD7EE"/>
            <w:vAlign w:val="center"/>
            <w:hideMark/>
          </w:tcPr>
          <w:p w14:paraId="305CF2EF" w14:textId="77777777" w:rsidR="00235E11" w:rsidRDefault="00F837E4">
            <w:pPr>
              <w:pStyle w:val="P68B1DB1-Normal15"/>
              <w:spacing w:after="0"/>
              <w:jc w:val="center"/>
              <w:rPr>
                <w:noProof/>
              </w:rPr>
            </w:pPr>
            <w:r>
              <w:rPr>
                <w:noProof/>
              </w:rPr>
              <w:t>Име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E0927D"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694" w:type="dxa"/>
            <w:gridSpan w:val="3"/>
            <w:tcBorders>
              <w:top w:val="single" w:sz="4" w:space="0" w:color="auto"/>
              <w:left w:val="nil"/>
              <w:bottom w:val="single" w:sz="4" w:space="0" w:color="auto"/>
              <w:right w:val="single" w:sz="4" w:space="0" w:color="auto"/>
            </w:tcBorders>
            <w:shd w:val="clear" w:color="auto" w:fill="BDD7EE"/>
            <w:vAlign w:val="center"/>
            <w:hideMark/>
          </w:tcPr>
          <w:p w14:paraId="5A60B32E"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7" w:type="dxa"/>
            <w:gridSpan w:val="2"/>
            <w:tcBorders>
              <w:top w:val="single" w:sz="4" w:space="0" w:color="auto"/>
              <w:left w:val="nil"/>
              <w:bottom w:val="single" w:sz="4" w:space="0" w:color="auto"/>
              <w:right w:val="single" w:sz="4" w:space="0" w:color="auto"/>
            </w:tcBorders>
            <w:shd w:val="clear" w:color="auto" w:fill="BDD7EE"/>
            <w:vAlign w:val="center"/>
            <w:hideMark/>
          </w:tcPr>
          <w:p w14:paraId="4AC6C999" w14:textId="77777777" w:rsidR="00235E11" w:rsidRDefault="00F837E4">
            <w:pPr>
              <w:pStyle w:val="P68B1DB1-Normal15"/>
              <w:spacing w:after="0"/>
              <w:jc w:val="center"/>
              <w:rPr>
                <w:noProof/>
              </w:rPr>
            </w:pPr>
            <w:r>
              <w:rPr>
                <w:noProof/>
              </w:rPr>
              <w:t xml:space="preserve">Примерен график за приключване </w:t>
            </w:r>
          </w:p>
        </w:tc>
        <w:tc>
          <w:tcPr>
            <w:tcW w:w="45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30BCE9" w14:textId="77777777" w:rsidR="00235E11" w:rsidRDefault="00F837E4">
            <w:pPr>
              <w:pStyle w:val="P68B1DB1-Normal15"/>
              <w:spacing w:after="0"/>
              <w:jc w:val="center"/>
              <w:rPr>
                <w:noProof/>
              </w:rPr>
            </w:pPr>
            <w:r>
              <w:rPr>
                <w:noProof/>
              </w:rPr>
              <w:t>Описание на всеки ключов етап и цел</w:t>
            </w:r>
          </w:p>
        </w:tc>
      </w:tr>
      <w:tr w:rsidR="00235E11" w14:paraId="661F89BB" w14:textId="77777777">
        <w:trPr>
          <w:trHeight w:val="1013"/>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7B52A4E" w14:textId="77777777" w:rsidR="00235E11" w:rsidRDefault="00235E11">
            <w:pPr>
              <w:spacing w:after="0"/>
              <w:rPr>
                <w:rFonts w:ascii="Times New Roman" w:eastAsia="Times New Roman" w:hAnsi="Times New Roman" w:cs="Times New Roman"/>
                <w:b/>
                <w:noProof/>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24BFBD" w14:textId="77777777" w:rsidR="00235E11" w:rsidRDefault="00235E11">
            <w:pPr>
              <w:spacing w:after="0"/>
              <w:rPr>
                <w:rFonts w:ascii="Times New Roman" w:eastAsia="Times New Roman" w:hAnsi="Times New Roman" w:cs="Times New Roman"/>
                <w:b/>
                <w:noProof/>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DC817C" w14:textId="77777777" w:rsidR="00235E11" w:rsidRDefault="00235E11">
            <w:pPr>
              <w:spacing w:after="0"/>
              <w:rPr>
                <w:rFonts w:ascii="Times New Roman" w:eastAsia="Times New Roman" w:hAnsi="Times New Roman" w:cs="Times New Roman"/>
                <w:b/>
                <w:noProof/>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606B5A" w14:textId="77777777" w:rsidR="00235E11" w:rsidRDefault="00235E11">
            <w:pPr>
              <w:spacing w:after="0"/>
              <w:rPr>
                <w:rFonts w:ascii="Times New Roman" w:eastAsia="Times New Roman" w:hAnsi="Times New Roman" w:cs="Times New Roman"/>
                <w:b/>
                <w:noProo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035ED3" w14:textId="77777777" w:rsidR="00235E11" w:rsidRDefault="00235E11">
            <w:pPr>
              <w:spacing w:after="0"/>
              <w:rPr>
                <w:rFonts w:ascii="Times New Roman" w:eastAsia="Times New Roman" w:hAnsi="Times New Roman" w:cs="Times New Roman"/>
                <w:b/>
                <w:noProof/>
              </w:rPr>
            </w:pPr>
          </w:p>
        </w:tc>
        <w:tc>
          <w:tcPr>
            <w:tcW w:w="1169" w:type="dxa"/>
            <w:tcBorders>
              <w:top w:val="nil"/>
              <w:left w:val="single" w:sz="4" w:space="0" w:color="auto"/>
              <w:bottom w:val="single" w:sz="4" w:space="0" w:color="auto"/>
              <w:right w:val="single" w:sz="4" w:space="0" w:color="auto"/>
            </w:tcBorders>
            <w:shd w:val="clear" w:color="auto" w:fill="BDD7EE"/>
            <w:vAlign w:val="center"/>
            <w:hideMark/>
          </w:tcPr>
          <w:p w14:paraId="10597356" w14:textId="77777777" w:rsidR="00235E11" w:rsidRDefault="00F837E4">
            <w:pPr>
              <w:pStyle w:val="P68B1DB1-Normal15"/>
              <w:spacing w:after="0"/>
              <w:jc w:val="center"/>
              <w:rPr>
                <w:noProof/>
              </w:rPr>
            </w:pPr>
            <w:r>
              <w:rPr>
                <w:noProof/>
              </w:rPr>
              <w:t>Единица мярка</w:t>
            </w:r>
          </w:p>
        </w:tc>
        <w:tc>
          <w:tcPr>
            <w:tcW w:w="674" w:type="dxa"/>
            <w:tcBorders>
              <w:top w:val="nil"/>
              <w:left w:val="nil"/>
              <w:bottom w:val="single" w:sz="4" w:space="0" w:color="auto"/>
              <w:right w:val="single" w:sz="4" w:space="0" w:color="auto"/>
            </w:tcBorders>
            <w:shd w:val="clear" w:color="auto" w:fill="BDD7EE"/>
            <w:vAlign w:val="center"/>
            <w:hideMark/>
          </w:tcPr>
          <w:p w14:paraId="52AA63F0" w14:textId="3B113DC9" w:rsidR="00235E11" w:rsidRDefault="00F837E4">
            <w:pPr>
              <w:pStyle w:val="P68B1DB1-Normal15"/>
              <w:spacing w:after="0"/>
              <w:jc w:val="center"/>
              <w:rPr>
                <w:noProof/>
              </w:rPr>
            </w:pPr>
            <w:r>
              <w:rPr>
                <w:noProof/>
              </w:rPr>
              <w:t>Базова линия</w:t>
            </w:r>
          </w:p>
        </w:tc>
        <w:tc>
          <w:tcPr>
            <w:tcW w:w="851" w:type="dxa"/>
            <w:tcBorders>
              <w:top w:val="nil"/>
              <w:left w:val="nil"/>
              <w:bottom w:val="single" w:sz="4" w:space="0" w:color="auto"/>
              <w:right w:val="single" w:sz="4" w:space="0" w:color="auto"/>
            </w:tcBorders>
            <w:shd w:val="clear" w:color="auto" w:fill="BDD7EE"/>
            <w:vAlign w:val="center"/>
            <w:hideMark/>
          </w:tcPr>
          <w:p w14:paraId="6DC8C2C7" w14:textId="1F7C1FEA" w:rsidR="00235E11" w:rsidRDefault="00F837E4">
            <w:pPr>
              <w:pStyle w:val="P68B1DB1-Normal15"/>
              <w:spacing w:after="0"/>
              <w:jc w:val="center"/>
              <w:rPr>
                <w:noProof/>
              </w:rPr>
            </w:pPr>
            <w:r>
              <w:rPr>
                <w:noProof/>
              </w:rPr>
              <w:t>Цел</w:t>
            </w:r>
          </w:p>
        </w:tc>
        <w:tc>
          <w:tcPr>
            <w:tcW w:w="708" w:type="dxa"/>
            <w:tcBorders>
              <w:top w:val="nil"/>
              <w:left w:val="nil"/>
              <w:bottom w:val="single" w:sz="4" w:space="0" w:color="auto"/>
              <w:right w:val="single" w:sz="4" w:space="0" w:color="auto"/>
            </w:tcBorders>
            <w:shd w:val="clear" w:color="auto" w:fill="BDD7EE"/>
            <w:vAlign w:val="center"/>
            <w:hideMark/>
          </w:tcPr>
          <w:p w14:paraId="49E54F44" w14:textId="77777777" w:rsidR="00235E11" w:rsidRDefault="00F837E4">
            <w:pPr>
              <w:pStyle w:val="P68B1DB1-Normal15"/>
              <w:spacing w:after="0"/>
              <w:jc w:val="center"/>
              <w:rPr>
                <w:noProof/>
              </w:rPr>
            </w:pPr>
            <w:r>
              <w:rPr>
                <w:noProof/>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7D1ED105" w14:textId="77777777" w:rsidR="00235E11" w:rsidRDefault="00F837E4">
            <w:pPr>
              <w:pStyle w:val="P68B1DB1-Normal15"/>
              <w:spacing w:after="0"/>
              <w:jc w:val="center"/>
              <w:rPr>
                <w:noProof/>
              </w:rPr>
            </w:pPr>
            <w:r>
              <w:rPr>
                <w:noProof/>
              </w:rPr>
              <w:t>Година</w:t>
            </w:r>
          </w:p>
        </w:tc>
        <w:tc>
          <w:tcPr>
            <w:tcW w:w="4592" w:type="dxa"/>
            <w:vMerge/>
            <w:tcBorders>
              <w:top w:val="single" w:sz="4" w:space="0" w:color="auto"/>
              <w:bottom w:val="single" w:sz="4" w:space="0" w:color="auto"/>
              <w:right w:val="single" w:sz="4" w:space="0" w:color="auto"/>
            </w:tcBorders>
            <w:vAlign w:val="center"/>
            <w:hideMark/>
          </w:tcPr>
          <w:p w14:paraId="2245AD8C" w14:textId="77777777" w:rsidR="00235E11" w:rsidRDefault="00235E11">
            <w:pPr>
              <w:spacing w:after="0"/>
              <w:rPr>
                <w:rFonts w:ascii="Times New Roman" w:eastAsia="Times New Roman" w:hAnsi="Times New Roman" w:cs="Times New Roman"/>
                <w:b/>
                <w:noProof/>
              </w:rPr>
            </w:pPr>
          </w:p>
        </w:tc>
      </w:tr>
      <w:tr w:rsidR="00235E11" w14:paraId="5D7E4479" w14:textId="77777777">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2F3BBC6" w14:textId="77777777" w:rsidR="00235E11" w:rsidRDefault="00F837E4">
            <w:pPr>
              <w:pStyle w:val="P68B1DB1-Normal10"/>
              <w:spacing w:after="0"/>
              <w:jc w:val="center"/>
              <w:rPr>
                <w:noProof/>
              </w:rPr>
            </w:pPr>
            <w:r>
              <w:rPr>
                <w:noProof/>
              </w:rPr>
              <w:t>150</w:t>
            </w:r>
          </w:p>
        </w:tc>
        <w:tc>
          <w:tcPr>
            <w:tcW w:w="1843" w:type="dxa"/>
            <w:tcBorders>
              <w:top w:val="single" w:sz="4" w:space="0" w:color="auto"/>
              <w:left w:val="nil"/>
              <w:bottom w:val="single" w:sz="4" w:space="0" w:color="auto"/>
              <w:right w:val="single" w:sz="4" w:space="0" w:color="auto"/>
            </w:tcBorders>
            <w:shd w:val="clear" w:color="auto" w:fill="C6EFCE"/>
            <w:noWrap/>
            <w:vAlign w:val="center"/>
            <w:hideMark/>
          </w:tcPr>
          <w:p w14:paraId="3B7789E6" w14:textId="77777777" w:rsidR="00235E11" w:rsidRDefault="00F837E4">
            <w:pPr>
              <w:pStyle w:val="P68B1DB1-Normal10"/>
              <w:spacing w:after="0"/>
              <w:rPr>
                <w:noProof/>
              </w:rPr>
            </w:pPr>
            <w:r>
              <w:rPr>
                <w:noProof/>
              </w:rPr>
              <w:t>Развитие на комунални жилища и жилища за уязвими лица (I-4.12)</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73F216C4" w14:textId="4D997962" w:rsidR="00235E11" w:rsidRDefault="00F837E4">
            <w:pPr>
              <w:pStyle w:val="P68B1DB1-Normal10"/>
              <w:spacing w:after="0"/>
              <w:rPr>
                <w:noProof/>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296051B8" w14:textId="77777777" w:rsidR="00235E11" w:rsidRDefault="00F837E4">
            <w:pPr>
              <w:pStyle w:val="P68B1DB1-Normal10"/>
              <w:spacing w:after="0"/>
              <w:rPr>
                <w:noProof/>
              </w:rPr>
            </w:pPr>
            <w:r>
              <w:rPr>
                <w:noProof/>
              </w:rPr>
              <w:t>Валонска стратегия за деинституционализация (здравна политика на Валония)</w:t>
            </w:r>
          </w:p>
        </w:tc>
        <w:tc>
          <w:tcPr>
            <w:tcW w:w="1417" w:type="dxa"/>
            <w:tcBorders>
              <w:top w:val="single" w:sz="4" w:space="0" w:color="auto"/>
              <w:left w:val="nil"/>
              <w:bottom w:val="single" w:sz="4" w:space="0" w:color="auto"/>
              <w:right w:val="single" w:sz="4" w:space="0" w:color="auto"/>
            </w:tcBorders>
            <w:shd w:val="clear" w:color="auto" w:fill="C6EFCE"/>
            <w:noWrap/>
            <w:vAlign w:val="center"/>
            <w:hideMark/>
          </w:tcPr>
          <w:p w14:paraId="6F2BC4B3" w14:textId="77777777" w:rsidR="00235E11" w:rsidRDefault="00F837E4">
            <w:pPr>
              <w:pStyle w:val="P68B1DB1-Normal10"/>
              <w:spacing w:after="0"/>
              <w:rPr>
                <w:noProof/>
              </w:rPr>
            </w:pPr>
            <w:r>
              <w:rPr>
                <w:noProof/>
              </w:rPr>
              <w:t>Одобряване от правителството на Валония на стратегия за деинституционализация на Валония</w:t>
            </w:r>
          </w:p>
        </w:tc>
        <w:tc>
          <w:tcPr>
            <w:tcW w:w="1169" w:type="dxa"/>
            <w:tcBorders>
              <w:top w:val="nil"/>
              <w:left w:val="nil"/>
              <w:bottom w:val="single" w:sz="4" w:space="0" w:color="auto"/>
              <w:right w:val="single" w:sz="4" w:space="0" w:color="auto"/>
            </w:tcBorders>
            <w:shd w:val="clear" w:color="auto" w:fill="C6EFCE"/>
            <w:noWrap/>
            <w:vAlign w:val="center"/>
          </w:tcPr>
          <w:p w14:paraId="7D260474" w14:textId="77777777" w:rsidR="00235E11" w:rsidRDefault="00235E11">
            <w:pPr>
              <w:spacing w:after="0"/>
              <w:rPr>
                <w:rFonts w:ascii="Times New Roman" w:eastAsia="Times New Roman" w:hAnsi="Times New Roman" w:cs="Times New Roman"/>
                <w:noProof/>
                <w:color w:val="006100"/>
              </w:rPr>
            </w:pPr>
          </w:p>
        </w:tc>
        <w:tc>
          <w:tcPr>
            <w:tcW w:w="674" w:type="dxa"/>
            <w:tcBorders>
              <w:top w:val="nil"/>
              <w:left w:val="nil"/>
              <w:bottom w:val="single" w:sz="4" w:space="0" w:color="auto"/>
              <w:right w:val="single" w:sz="4" w:space="0" w:color="auto"/>
            </w:tcBorders>
            <w:shd w:val="clear" w:color="auto" w:fill="C6EFCE"/>
            <w:noWrap/>
            <w:vAlign w:val="center"/>
          </w:tcPr>
          <w:p w14:paraId="3685D90B" w14:textId="77777777" w:rsidR="00235E11" w:rsidRDefault="00235E11">
            <w:pPr>
              <w:spacing w:after="0"/>
              <w:jc w:val="right"/>
              <w:rPr>
                <w:rFonts w:ascii="Times New Roman" w:eastAsia="Times New Roman" w:hAnsi="Times New Roman" w:cs="Times New Roman"/>
                <w:noProof/>
                <w:color w:val="006100"/>
              </w:rPr>
            </w:pPr>
          </w:p>
        </w:tc>
        <w:tc>
          <w:tcPr>
            <w:tcW w:w="851" w:type="dxa"/>
            <w:tcBorders>
              <w:top w:val="nil"/>
              <w:left w:val="nil"/>
              <w:bottom w:val="single" w:sz="4" w:space="0" w:color="auto"/>
              <w:right w:val="single" w:sz="4" w:space="0" w:color="auto"/>
            </w:tcBorders>
            <w:shd w:val="clear" w:color="auto" w:fill="C6EFCE"/>
            <w:noWrap/>
            <w:vAlign w:val="center"/>
          </w:tcPr>
          <w:p w14:paraId="47E43B0F" w14:textId="77777777" w:rsidR="00235E11" w:rsidRDefault="00235E11">
            <w:pPr>
              <w:spacing w:after="0"/>
              <w:jc w:val="right"/>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hideMark/>
          </w:tcPr>
          <w:p w14:paraId="19BA93E8"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25C8DC83" w14:textId="77777777" w:rsidR="00235E11" w:rsidRDefault="00F837E4">
            <w:pPr>
              <w:pStyle w:val="P68B1DB1-Normal10"/>
              <w:spacing w:after="0"/>
              <w:jc w:val="center"/>
              <w:rPr>
                <w:noProof/>
              </w:rPr>
            </w:pPr>
            <w:r>
              <w:rPr>
                <w:noProof/>
              </w:rPr>
              <w:t>2021</w:t>
            </w:r>
          </w:p>
        </w:tc>
        <w:tc>
          <w:tcPr>
            <w:tcW w:w="4592" w:type="dxa"/>
            <w:tcBorders>
              <w:top w:val="single" w:sz="4" w:space="0" w:color="auto"/>
              <w:left w:val="nil"/>
              <w:bottom w:val="single" w:sz="4" w:space="0" w:color="auto"/>
              <w:right w:val="single" w:sz="4" w:space="0" w:color="auto"/>
            </w:tcBorders>
            <w:shd w:val="clear" w:color="auto" w:fill="C6EFCE"/>
            <w:noWrap/>
            <w:vAlign w:val="center"/>
            <w:hideMark/>
          </w:tcPr>
          <w:p w14:paraId="25C04E08" w14:textId="77777777" w:rsidR="00235E11" w:rsidRDefault="00F837E4">
            <w:pPr>
              <w:pStyle w:val="P68B1DB1-Normal10"/>
              <w:spacing w:after="0"/>
              <w:rPr>
                <w:noProof/>
              </w:rPr>
            </w:pPr>
            <w:r>
              <w:rPr>
                <w:noProof/>
              </w:rPr>
              <w:t>Одобряване на стратегия на Валонския регион за деинституционализация в контекста на здравната политика на Валония, по-специално за възрастните хора и хората с увреждания: (1) уточняване на концепцията за деинституционализация, (2) установяване на критерии за институционализация и деинституционализация, (3) предоставяне на количествена и качествена оценка на деинституционализацията, инициирана от приемащите институции и институциите за настаняване, (4) изготвяне на актуалното състояние на предоставянето на услуги (5) и отправяне на препоръки за привеждане в действие на стратегията.</w:t>
            </w:r>
          </w:p>
        </w:tc>
      </w:tr>
      <w:tr w:rsidR="00235E11" w14:paraId="18E46086"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5015BF4E" w14:textId="77777777" w:rsidR="00235E11" w:rsidRDefault="00F837E4">
            <w:pPr>
              <w:pStyle w:val="P68B1DB1-Normal10"/>
              <w:spacing w:after="0"/>
              <w:jc w:val="center"/>
              <w:rPr>
                <w:noProof/>
              </w:rPr>
            </w:pPr>
            <w:r>
              <w:rPr>
                <w:noProof/>
              </w:rPr>
              <w:t>151</w:t>
            </w:r>
          </w:p>
        </w:tc>
        <w:tc>
          <w:tcPr>
            <w:tcW w:w="1843" w:type="dxa"/>
            <w:tcBorders>
              <w:top w:val="nil"/>
              <w:left w:val="nil"/>
              <w:bottom w:val="single" w:sz="4" w:space="0" w:color="auto"/>
              <w:right w:val="single" w:sz="4" w:space="0" w:color="auto"/>
            </w:tcBorders>
            <w:shd w:val="clear" w:color="auto" w:fill="C6EFCE"/>
            <w:noWrap/>
            <w:vAlign w:val="center"/>
            <w:hideMark/>
          </w:tcPr>
          <w:p w14:paraId="6D58FC02" w14:textId="77777777" w:rsidR="00235E11" w:rsidRDefault="00F837E4">
            <w:pPr>
              <w:pStyle w:val="P68B1DB1-Normal10"/>
              <w:spacing w:after="0"/>
              <w:rPr>
                <w:noProof/>
              </w:rPr>
            </w:pPr>
            <w:r>
              <w:rPr>
                <w:noProof/>
              </w:rPr>
              <w:t>Развитие на комунални жилища и жилища за уязвими лица (I-4.12)</w:t>
            </w:r>
          </w:p>
        </w:tc>
        <w:tc>
          <w:tcPr>
            <w:tcW w:w="1134" w:type="dxa"/>
            <w:tcBorders>
              <w:top w:val="nil"/>
              <w:left w:val="nil"/>
              <w:bottom w:val="single" w:sz="4" w:space="0" w:color="auto"/>
              <w:right w:val="single" w:sz="4" w:space="0" w:color="auto"/>
            </w:tcBorders>
            <w:shd w:val="clear" w:color="auto" w:fill="C6EFCE"/>
            <w:noWrap/>
            <w:vAlign w:val="center"/>
            <w:hideMark/>
          </w:tcPr>
          <w:p w14:paraId="09C8CF6B" w14:textId="424A05CD" w:rsidR="00235E11" w:rsidRDefault="00F837E4">
            <w:pPr>
              <w:pStyle w:val="P68B1DB1-Normal10"/>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77C9E48E" w14:textId="77777777" w:rsidR="00235E11" w:rsidRDefault="00F837E4">
            <w:pPr>
              <w:pStyle w:val="P68B1DB1-Normal10"/>
              <w:spacing w:after="0"/>
              <w:rPr>
                <w:noProof/>
              </w:rPr>
            </w:pPr>
            <w:r>
              <w:rPr>
                <w:noProof/>
              </w:rPr>
              <w:t>Възлагане на част от строителните работи</w:t>
            </w:r>
          </w:p>
        </w:tc>
        <w:tc>
          <w:tcPr>
            <w:tcW w:w="1417" w:type="dxa"/>
            <w:tcBorders>
              <w:top w:val="nil"/>
              <w:left w:val="nil"/>
              <w:bottom w:val="single" w:sz="4" w:space="0" w:color="auto"/>
              <w:right w:val="single" w:sz="4" w:space="0" w:color="auto"/>
            </w:tcBorders>
            <w:shd w:val="clear" w:color="auto" w:fill="C6EFCE"/>
            <w:noWrap/>
            <w:vAlign w:val="center"/>
            <w:hideMark/>
          </w:tcPr>
          <w:p w14:paraId="17520DA1" w14:textId="77777777" w:rsidR="00235E11" w:rsidRDefault="00235E11">
            <w:pPr>
              <w:spacing w:after="0"/>
              <w:rPr>
                <w:rFonts w:ascii="Times New Roman" w:eastAsia="Times New Roman" w:hAnsi="Times New Roman" w:cs="Times New Roman"/>
                <w:noProof/>
                <w:color w:val="006100"/>
              </w:rPr>
            </w:pPr>
          </w:p>
        </w:tc>
        <w:tc>
          <w:tcPr>
            <w:tcW w:w="1169" w:type="dxa"/>
            <w:tcBorders>
              <w:top w:val="nil"/>
              <w:left w:val="nil"/>
              <w:bottom w:val="single" w:sz="4" w:space="0" w:color="auto"/>
              <w:right w:val="single" w:sz="4" w:space="0" w:color="auto"/>
            </w:tcBorders>
            <w:shd w:val="clear" w:color="auto" w:fill="C6EFCE"/>
            <w:noWrap/>
            <w:vAlign w:val="center"/>
          </w:tcPr>
          <w:p w14:paraId="41E19EA6" w14:textId="77777777" w:rsidR="00235E11" w:rsidRDefault="00F837E4">
            <w:pPr>
              <w:pStyle w:val="P68B1DB1-Normal10"/>
              <w:spacing w:after="0"/>
              <w:rPr>
                <w:noProof/>
              </w:rPr>
            </w:pPr>
            <w:r>
              <w:rPr>
                <w:noProof/>
              </w:rPr>
              <w:t>Жилища</w:t>
            </w:r>
          </w:p>
        </w:tc>
        <w:tc>
          <w:tcPr>
            <w:tcW w:w="674" w:type="dxa"/>
            <w:tcBorders>
              <w:top w:val="nil"/>
              <w:left w:val="nil"/>
              <w:bottom w:val="single" w:sz="4" w:space="0" w:color="auto"/>
              <w:right w:val="single" w:sz="4" w:space="0" w:color="auto"/>
            </w:tcBorders>
            <w:shd w:val="clear" w:color="auto" w:fill="C6EFCE"/>
            <w:noWrap/>
            <w:vAlign w:val="center"/>
          </w:tcPr>
          <w:p w14:paraId="079012E3" w14:textId="77777777" w:rsidR="00235E11" w:rsidRDefault="00F837E4">
            <w:pPr>
              <w:pStyle w:val="P68B1DB1-Normal10"/>
              <w:spacing w:after="0"/>
              <w:jc w:val="center"/>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23A4E447" w14:textId="77777777" w:rsidR="00235E11" w:rsidRDefault="00F837E4">
            <w:pPr>
              <w:pStyle w:val="P68B1DB1-Normal10"/>
              <w:spacing w:after="0"/>
              <w:jc w:val="center"/>
              <w:rPr>
                <w:noProof/>
              </w:rPr>
            </w:pPr>
            <w:r>
              <w:rPr>
                <w:noProof/>
              </w:rPr>
              <w:t>280</w:t>
            </w:r>
          </w:p>
        </w:tc>
        <w:tc>
          <w:tcPr>
            <w:tcW w:w="708" w:type="dxa"/>
            <w:tcBorders>
              <w:top w:val="nil"/>
              <w:left w:val="nil"/>
              <w:bottom w:val="single" w:sz="4" w:space="0" w:color="auto"/>
              <w:right w:val="single" w:sz="4" w:space="0" w:color="auto"/>
            </w:tcBorders>
            <w:shd w:val="clear" w:color="auto" w:fill="C6EFCE"/>
            <w:noWrap/>
            <w:vAlign w:val="center"/>
            <w:hideMark/>
          </w:tcPr>
          <w:p w14:paraId="07D65070" w14:textId="30F8D46C"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43D88798" w14:textId="54FA122B" w:rsidR="00235E11" w:rsidRDefault="00F837E4">
            <w:pPr>
              <w:pStyle w:val="P68B1DB1-Normal10"/>
              <w:spacing w:after="0"/>
              <w:jc w:val="center"/>
              <w:rPr>
                <w:noProof/>
              </w:rPr>
            </w:pPr>
            <w:r>
              <w:rPr>
                <w:noProof/>
              </w:rPr>
              <w:t>2024</w:t>
            </w:r>
          </w:p>
        </w:tc>
        <w:tc>
          <w:tcPr>
            <w:tcW w:w="4592" w:type="dxa"/>
            <w:tcBorders>
              <w:top w:val="nil"/>
              <w:left w:val="nil"/>
              <w:bottom w:val="single" w:sz="4" w:space="0" w:color="auto"/>
              <w:right w:val="single" w:sz="4" w:space="0" w:color="auto"/>
            </w:tcBorders>
            <w:shd w:val="clear" w:color="auto" w:fill="C6EFCE"/>
            <w:noWrap/>
            <w:vAlign w:val="center"/>
          </w:tcPr>
          <w:p w14:paraId="64D6A0D1" w14:textId="433FC99B" w:rsidR="00235E11" w:rsidRDefault="00F837E4">
            <w:pPr>
              <w:pStyle w:val="P68B1DB1-Normal10"/>
              <w:spacing w:after="0"/>
              <w:rPr>
                <w:noProof/>
              </w:rPr>
            </w:pPr>
            <w:r>
              <w:rPr>
                <w:noProof/>
              </w:rPr>
              <w:t>Възлагане на договори за строителни работи от оператори за 280 г. на жилища с нисък наем.).</w:t>
            </w:r>
          </w:p>
        </w:tc>
      </w:tr>
      <w:tr w:rsidR="00235E11" w14:paraId="21AD8CEC"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0C57AC0E" w14:textId="77777777" w:rsidR="00235E11" w:rsidRDefault="00F837E4">
            <w:pPr>
              <w:pStyle w:val="P68B1DB1-Normal10"/>
              <w:spacing w:after="0"/>
              <w:jc w:val="center"/>
              <w:rPr>
                <w:noProof/>
              </w:rPr>
            </w:pPr>
            <w:r>
              <w:rPr>
                <w:noProof/>
              </w:rPr>
              <w:t>152</w:t>
            </w:r>
          </w:p>
        </w:tc>
        <w:tc>
          <w:tcPr>
            <w:tcW w:w="1843" w:type="dxa"/>
            <w:tcBorders>
              <w:top w:val="nil"/>
              <w:left w:val="nil"/>
              <w:bottom w:val="single" w:sz="4" w:space="0" w:color="auto"/>
              <w:right w:val="single" w:sz="4" w:space="0" w:color="auto"/>
            </w:tcBorders>
            <w:shd w:val="clear" w:color="auto" w:fill="C6EFCE"/>
            <w:noWrap/>
            <w:vAlign w:val="center"/>
          </w:tcPr>
          <w:p w14:paraId="1A70517B" w14:textId="77777777" w:rsidR="00235E11" w:rsidRDefault="00F837E4">
            <w:pPr>
              <w:pStyle w:val="P68B1DB1-Normal10"/>
              <w:spacing w:after="0"/>
              <w:rPr>
                <w:noProof/>
              </w:rPr>
            </w:pPr>
            <w:r>
              <w:rPr>
                <w:noProof/>
              </w:rPr>
              <w:t>Развитие на комунални жилища и жилища за уязвими лица (I-4.12)</w:t>
            </w:r>
          </w:p>
        </w:tc>
        <w:tc>
          <w:tcPr>
            <w:tcW w:w="1134" w:type="dxa"/>
            <w:tcBorders>
              <w:top w:val="nil"/>
              <w:left w:val="nil"/>
              <w:bottom w:val="single" w:sz="4" w:space="0" w:color="auto"/>
              <w:right w:val="single" w:sz="4" w:space="0" w:color="auto"/>
            </w:tcBorders>
            <w:shd w:val="clear" w:color="auto" w:fill="C6EFCE"/>
            <w:noWrap/>
            <w:vAlign w:val="center"/>
          </w:tcPr>
          <w:p w14:paraId="61F29E98" w14:textId="7F5D70E7" w:rsidR="00235E11" w:rsidRDefault="00F837E4">
            <w:pPr>
              <w:pStyle w:val="P68B1DB1-Normal10"/>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33BB0EED" w14:textId="77777777" w:rsidR="00235E11" w:rsidRDefault="00F837E4">
            <w:pPr>
              <w:pStyle w:val="P68B1DB1-Normal10"/>
              <w:spacing w:after="0"/>
              <w:rPr>
                <w:noProof/>
              </w:rPr>
            </w:pPr>
            <w:r>
              <w:rPr>
                <w:noProof/>
              </w:rPr>
              <w:t>Инсталиране на дистанционна помощ за хора, загубили самостоятелността си</w:t>
            </w:r>
          </w:p>
        </w:tc>
        <w:tc>
          <w:tcPr>
            <w:tcW w:w="1417" w:type="dxa"/>
            <w:tcBorders>
              <w:top w:val="nil"/>
              <w:left w:val="nil"/>
              <w:bottom w:val="single" w:sz="4" w:space="0" w:color="auto"/>
              <w:right w:val="single" w:sz="4" w:space="0" w:color="auto"/>
            </w:tcBorders>
            <w:shd w:val="clear" w:color="auto" w:fill="C6EFCE"/>
            <w:noWrap/>
            <w:vAlign w:val="center"/>
          </w:tcPr>
          <w:p w14:paraId="2A386E8B" w14:textId="77777777" w:rsidR="00235E11" w:rsidRDefault="00235E11">
            <w:pPr>
              <w:spacing w:after="0"/>
              <w:rPr>
                <w:rFonts w:ascii="Times New Roman" w:eastAsia="Times New Roman" w:hAnsi="Times New Roman" w:cs="Times New Roman"/>
                <w:noProof/>
                <w:color w:val="006100"/>
              </w:rPr>
            </w:pPr>
          </w:p>
        </w:tc>
        <w:tc>
          <w:tcPr>
            <w:tcW w:w="1169" w:type="dxa"/>
            <w:tcBorders>
              <w:top w:val="nil"/>
              <w:left w:val="nil"/>
              <w:bottom w:val="single" w:sz="4" w:space="0" w:color="auto"/>
              <w:right w:val="single" w:sz="4" w:space="0" w:color="auto"/>
            </w:tcBorders>
            <w:shd w:val="clear" w:color="auto" w:fill="C6EFCE"/>
            <w:noWrap/>
            <w:vAlign w:val="center"/>
          </w:tcPr>
          <w:p w14:paraId="51F5992C" w14:textId="77777777" w:rsidR="00235E11" w:rsidRDefault="00F837E4">
            <w:pPr>
              <w:pStyle w:val="P68B1DB1-Normal10"/>
              <w:spacing w:after="0"/>
              <w:rPr>
                <w:noProof/>
              </w:rPr>
            </w:pPr>
            <w:r>
              <w:rPr>
                <w:noProof/>
              </w:rPr>
              <w:t>Инсталирани кутии за дистанционно подпомагане</w:t>
            </w:r>
          </w:p>
        </w:tc>
        <w:tc>
          <w:tcPr>
            <w:tcW w:w="674" w:type="dxa"/>
            <w:tcBorders>
              <w:top w:val="nil"/>
              <w:left w:val="nil"/>
              <w:bottom w:val="single" w:sz="4" w:space="0" w:color="auto"/>
              <w:right w:val="single" w:sz="4" w:space="0" w:color="auto"/>
            </w:tcBorders>
            <w:shd w:val="clear" w:color="auto" w:fill="C6EFCE"/>
            <w:noWrap/>
            <w:vAlign w:val="center"/>
          </w:tcPr>
          <w:p w14:paraId="5601FC2F" w14:textId="77777777" w:rsidR="00235E11" w:rsidRDefault="00F837E4">
            <w:pPr>
              <w:pStyle w:val="P68B1DB1-Normal10"/>
              <w:spacing w:after="0"/>
              <w:jc w:val="center"/>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253470B1" w14:textId="737E2DCC" w:rsidR="00235E11" w:rsidRDefault="00F837E4">
            <w:pPr>
              <w:pStyle w:val="P68B1DB1-Normal9"/>
              <w:spacing w:after="0"/>
              <w:jc w:val="center"/>
              <w:rPr>
                <w:rFonts w:eastAsia="Times New Roman"/>
                <w:noProof/>
              </w:rPr>
            </w:pPr>
            <w:r>
              <w:rPr>
                <w:noProof/>
              </w:rPr>
              <w:t>5 000</w:t>
            </w:r>
          </w:p>
        </w:tc>
        <w:tc>
          <w:tcPr>
            <w:tcW w:w="708" w:type="dxa"/>
            <w:tcBorders>
              <w:top w:val="nil"/>
              <w:left w:val="nil"/>
              <w:bottom w:val="single" w:sz="4" w:space="0" w:color="auto"/>
              <w:right w:val="single" w:sz="4" w:space="0" w:color="auto"/>
            </w:tcBorders>
            <w:shd w:val="clear" w:color="auto" w:fill="C6EFCE"/>
            <w:noWrap/>
            <w:vAlign w:val="center"/>
          </w:tcPr>
          <w:p w14:paraId="67D3F311" w14:textId="77777777" w:rsidR="00235E11" w:rsidRDefault="00F837E4">
            <w:pPr>
              <w:pStyle w:val="P68B1DB1-Normal10"/>
              <w:spacing w:after="0"/>
              <w:jc w:val="center"/>
              <w:rPr>
                <w:noProof/>
              </w:rPr>
            </w:pPr>
            <w:r>
              <w:rPr>
                <w:noProof/>
              </w:rPr>
              <w:t>Т3 Г.</w:t>
            </w:r>
          </w:p>
        </w:tc>
        <w:tc>
          <w:tcPr>
            <w:tcW w:w="709" w:type="dxa"/>
            <w:tcBorders>
              <w:top w:val="nil"/>
              <w:left w:val="nil"/>
              <w:bottom w:val="single" w:sz="4" w:space="0" w:color="auto"/>
              <w:right w:val="single" w:sz="4" w:space="0" w:color="auto"/>
            </w:tcBorders>
            <w:shd w:val="clear" w:color="auto" w:fill="C6EFCE"/>
            <w:noWrap/>
            <w:vAlign w:val="center"/>
          </w:tcPr>
          <w:p w14:paraId="4920B8EE" w14:textId="77777777" w:rsidR="00235E11" w:rsidRDefault="00F837E4">
            <w:pPr>
              <w:pStyle w:val="P68B1DB1-Normal10"/>
              <w:spacing w:after="0"/>
              <w:jc w:val="center"/>
              <w:rPr>
                <w:noProof/>
              </w:rPr>
            </w:pPr>
            <w:r>
              <w:rPr>
                <w:noProof/>
              </w:rPr>
              <w:t>2025</w:t>
            </w:r>
          </w:p>
        </w:tc>
        <w:tc>
          <w:tcPr>
            <w:tcW w:w="4592" w:type="dxa"/>
            <w:tcBorders>
              <w:top w:val="nil"/>
              <w:left w:val="nil"/>
              <w:bottom w:val="single" w:sz="4" w:space="0" w:color="auto"/>
              <w:right w:val="single" w:sz="4" w:space="0" w:color="auto"/>
            </w:tcBorders>
            <w:shd w:val="clear" w:color="auto" w:fill="C6EFCE"/>
            <w:noWrap/>
            <w:vAlign w:val="center"/>
          </w:tcPr>
          <w:p w14:paraId="07F01DA2" w14:textId="01260BBD" w:rsidR="00235E11" w:rsidRDefault="00F837E4">
            <w:pPr>
              <w:pStyle w:val="P68B1DB1-Normal10"/>
              <w:spacing w:after="0"/>
              <w:rPr>
                <w:noProof/>
              </w:rPr>
            </w:pPr>
            <w:r>
              <w:rPr>
                <w:noProof/>
              </w:rPr>
              <w:t>5000 кутии за дистанционна помощ, инсталирани в домовете на уязвими лица, т.е. хора на възраст над 65 години и/или хора с увреждания.</w:t>
            </w:r>
          </w:p>
        </w:tc>
      </w:tr>
      <w:tr w:rsidR="00235E11" w14:paraId="25D4670F"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1A03EEA3" w14:textId="77777777" w:rsidR="00235E11" w:rsidRDefault="00F837E4">
            <w:pPr>
              <w:pStyle w:val="P68B1DB1-Normal10"/>
              <w:spacing w:after="0"/>
              <w:jc w:val="center"/>
              <w:rPr>
                <w:noProof/>
              </w:rPr>
            </w:pPr>
            <w:r>
              <w:rPr>
                <w:noProof/>
              </w:rPr>
              <w:t>153</w:t>
            </w:r>
          </w:p>
        </w:tc>
        <w:tc>
          <w:tcPr>
            <w:tcW w:w="1843" w:type="dxa"/>
            <w:tcBorders>
              <w:top w:val="nil"/>
              <w:left w:val="nil"/>
              <w:bottom w:val="single" w:sz="4" w:space="0" w:color="auto"/>
              <w:right w:val="single" w:sz="4" w:space="0" w:color="auto"/>
            </w:tcBorders>
            <w:shd w:val="clear" w:color="auto" w:fill="C6EFCE"/>
            <w:noWrap/>
            <w:vAlign w:val="center"/>
            <w:hideMark/>
          </w:tcPr>
          <w:p w14:paraId="23E69FD5" w14:textId="77777777" w:rsidR="00235E11" w:rsidRDefault="00F837E4">
            <w:pPr>
              <w:pStyle w:val="P68B1DB1-Normal10"/>
              <w:spacing w:after="0"/>
              <w:rPr>
                <w:noProof/>
              </w:rPr>
            </w:pPr>
            <w:r>
              <w:rPr>
                <w:noProof/>
              </w:rPr>
              <w:t>Развитие на комунални жилища и жилища за уязвими лица (I-4.12)</w:t>
            </w:r>
          </w:p>
        </w:tc>
        <w:tc>
          <w:tcPr>
            <w:tcW w:w="1134" w:type="dxa"/>
            <w:tcBorders>
              <w:top w:val="nil"/>
              <w:left w:val="nil"/>
              <w:bottom w:val="single" w:sz="4" w:space="0" w:color="auto"/>
              <w:right w:val="single" w:sz="4" w:space="0" w:color="auto"/>
            </w:tcBorders>
            <w:shd w:val="clear" w:color="auto" w:fill="C6EFCE"/>
            <w:noWrap/>
            <w:vAlign w:val="center"/>
            <w:hideMark/>
          </w:tcPr>
          <w:p w14:paraId="618E8631" w14:textId="05C069DB" w:rsidR="00235E11" w:rsidRDefault="00F837E4">
            <w:pPr>
              <w:pStyle w:val="P68B1DB1-Normal10"/>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33BF0182" w14:textId="77777777" w:rsidR="00235E11" w:rsidRDefault="00F837E4">
            <w:pPr>
              <w:pStyle w:val="P68B1DB1-Normal10"/>
              <w:spacing w:after="0"/>
              <w:rPr>
                <w:noProof/>
              </w:rPr>
            </w:pPr>
            <w:r>
              <w:rPr>
                <w:noProof/>
              </w:rPr>
              <w:t>Жилищни единици, готови за обитаване</w:t>
            </w:r>
          </w:p>
        </w:tc>
        <w:tc>
          <w:tcPr>
            <w:tcW w:w="1417" w:type="dxa"/>
            <w:tcBorders>
              <w:top w:val="nil"/>
              <w:left w:val="nil"/>
              <w:bottom w:val="single" w:sz="4" w:space="0" w:color="auto"/>
              <w:right w:val="single" w:sz="4" w:space="0" w:color="auto"/>
            </w:tcBorders>
            <w:shd w:val="clear" w:color="auto" w:fill="C6EFCE"/>
            <w:noWrap/>
            <w:vAlign w:val="center"/>
            <w:hideMark/>
          </w:tcPr>
          <w:p w14:paraId="41A9ADCB" w14:textId="77777777" w:rsidR="00235E11" w:rsidRDefault="00235E11">
            <w:pPr>
              <w:spacing w:after="0"/>
              <w:rPr>
                <w:rFonts w:ascii="Times New Roman" w:eastAsia="Times New Roman" w:hAnsi="Times New Roman" w:cs="Times New Roman"/>
                <w:noProof/>
                <w:color w:val="006100"/>
              </w:rPr>
            </w:pPr>
          </w:p>
        </w:tc>
        <w:tc>
          <w:tcPr>
            <w:tcW w:w="1169" w:type="dxa"/>
            <w:tcBorders>
              <w:top w:val="nil"/>
              <w:left w:val="nil"/>
              <w:bottom w:val="single" w:sz="4" w:space="0" w:color="auto"/>
              <w:right w:val="single" w:sz="4" w:space="0" w:color="auto"/>
            </w:tcBorders>
            <w:shd w:val="clear" w:color="auto" w:fill="C6EFCE"/>
            <w:noWrap/>
            <w:vAlign w:val="center"/>
            <w:hideMark/>
          </w:tcPr>
          <w:p w14:paraId="257D2F39" w14:textId="77777777" w:rsidR="00235E11" w:rsidRDefault="00F837E4">
            <w:pPr>
              <w:pStyle w:val="P68B1DB1-Normal10"/>
              <w:spacing w:after="0"/>
              <w:rPr>
                <w:noProof/>
              </w:rPr>
            </w:pPr>
            <w:r>
              <w:rPr>
                <w:noProof/>
              </w:rPr>
              <w:t>Брой нови или реновирани жилищни единици</w:t>
            </w:r>
          </w:p>
        </w:tc>
        <w:tc>
          <w:tcPr>
            <w:tcW w:w="674" w:type="dxa"/>
            <w:tcBorders>
              <w:top w:val="nil"/>
              <w:left w:val="nil"/>
              <w:bottom w:val="single" w:sz="4" w:space="0" w:color="auto"/>
              <w:right w:val="single" w:sz="4" w:space="0" w:color="auto"/>
            </w:tcBorders>
            <w:shd w:val="clear" w:color="auto" w:fill="C6EFCE"/>
            <w:noWrap/>
            <w:vAlign w:val="center"/>
          </w:tcPr>
          <w:p w14:paraId="4E895574" w14:textId="77777777" w:rsidR="00235E11" w:rsidRDefault="00F837E4">
            <w:pPr>
              <w:pStyle w:val="P68B1DB1-Normal10"/>
              <w:spacing w:after="0"/>
              <w:jc w:val="center"/>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tcPr>
          <w:p w14:paraId="05A02261" w14:textId="2B9D0FA1" w:rsidR="00235E11" w:rsidRDefault="00F837E4">
            <w:pPr>
              <w:pStyle w:val="P68B1DB1-Normal9"/>
              <w:spacing w:after="0"/>
              <w:jc w:val="center"/>
              <w:rPr>
                <w:rFonts w:eastAsia="Times New Roman"/>
                <w:noProof/>
              </w:rPr>
            </w:pPr>
            <w:r>
              <w:rPr>
                <w:noProof/>
              </w:rPr>
              <w:t>1 212</w:t>
            </w:r>
          </w:p>
        </w:tc>
        <w:tc>
          <w:tcPr>
            <w:tcW w:w="708" w:type="dxa"/>
            <w:tcBorders>
              <w:top w:val="nil"/>
              <w:left w:val="nil"/>
              <w:bottom w:val="single" w:sz="4" w:space="0" w:color="auto"/>
              <w:right w:val="single" w:sz="4" w:space="0" w:color="auto"/>
            </w:tcBorders>
            <w:shd w:val="clear" w:color="auto" w:fill="C6EFCE"/>
            <w:noWrap/>
            <w:vAlign w:val="center"/>
            <w:hideMark/>
          </w:tcPr>
          <w:p w14:paraId="6B53918B" w14:textId="77777777" w:rsidR="00235E11" w:rsidRDefault="00F837E4">
            <w:pPr>
              <w:pStyle w:val="P68B1DB1-Normal10"/>
              <w:spacing w:after="0"/>
              <w:jc w:val="center"/>
              <w:rPr>
                <w:noProof/>
              </w:rPr>
            </w:pPr>
            <w:r>
              <w:rPr>
                <w:noProof/>
              </w:rPr>
              <w:t>Т3 Г.</w:t>
            </w:r>
          </w:p>
        </w:tc>
        <w:tc>
          <w:tcPr>
            <w:tcW w:w="709" w:type="dxa"/>
            <w:tcBorders>
              <w:top w:val="nil"/>
              <w:left w:val="nil"/>
              <w:bottom w:val="single" w:sz="4" w:space="0" w:color="auto"/>
              <w:right w:val="single" w:sz="4" w:space="0" w:color="auto"/>
            </w:tcBorders>
            <w:shd w:val="clear" w:color="auto" w:fill="C6EFCE"/>
            <w:noWrap/>
            <w:vAlign w:val="center"/>
            <w:hideMark/>
          </w:tcPr>
          <w:p w14:paraId="00036514" w14:textId="77777777" w:rsidR="00235E11" w:rsidRDefault="00F837E4">
            <w:pPr>
              <w:pStyle w:val="P68B1DB1-Normal10"/>
              <w:spacing w:after="0"/>
              <w:jc w:val="center"/>
              <w:rPr>
                <w:noProof/>
              </w:rPr>
            </w:pPr>
            <w:r>
              <w:rPr>
                <w:noProof/>
              </w:rPr>
              <w:t>2026</w:t>
            </w:r>
          </w:p>
        </w:tc>
        <w:tc>
          <w:tcPr>
            <w:tcW w:w="4592" w:type="dxa"/>
            <w:tcBorders>
              <w:top w:val="nil"/>
              <w:left w:val="nil"/>
              <w:bottom w:val="single" w:sz="4" w:space="0" w:color="auto"/>
              <w:right w:val="single" w:sz="4" w:space="0" w:color="auto"/>
            </w:tcBorders>
            <w:shd w:val="clear" w:color="auto" w:fill="C6EFCE"/>
            <w:noWrap/>
            <w:vAlign w:val="center"/>
            <w:hideMark/>
          </w:tcPr>
          <w:p w14:paraId="1D49732E" w14:textId="436D4F48" w:rsidR="00235E11" w:rsidRDefault="00F837E4">
            <w:pPr>
              <w:pStyle w:val="P68B1DB1-Normal9"/>
              <w:spacing w:after="0"/>
              <w:rPr>
                <w:rFonts w:eastAsia="Times New Roman"/>
                <w:noProof/>
              </w:rPr>
            </w:pPr>
            <w:r>
              <w:rPr>
                <w:noProof/>
              </w:rPr>
              <w:t>1 212 жилищни единици за комунални услуги (жилища с нисък наем, приобщаващи и солидарни жилища, както и места за настаняване на групи, настанени в неравностойно положение), построени или обновени във Валонския регион, са готови да бъдат заети.</w:t>
            </w:r>
          </w:p>
        </w:tc>
      </w:tr>
      <w:tr w:rsidR="00235E11" w14:paraId="7D25A189"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6082665A" w14:textId="77777777" w:rsidR="00235E11" w:rsidRDefault="00F837E4">
            <w:pPr>
              <w:pStyle w:val="P68B1DB1-Normal10"/>
              <w:spacing w:after="0"/>
              <w:jc w:val="center"/>
              <w:rPr>
                <w:noProof/>
              </w:rPr>
            </w:pPr>
            <w:r>
              <w:rPr>
                <w:noProof/>
              </w:rPr>
              <w:t>154</w:t>
            </w:r>
          </w:p>
        </w:tc>
        <w:tc>
          <w:tcPr>
            <w:tcW w:w="1843" w:type="dxa"/>
            <w:tcBorders>
              <w:top w:val="nil"/>
              <w:left w:val="nil"/>
              <w:bottom w:val="single" w:sz="4" w:space="0" w:color="auto"/>
              <w:right w:val="single" w:sz="4" w:space="0" w:color="auto"/>
            </w:tcBorders>
            <w:shd w:val="clear" w:color="auto" w:fill="C6EFCE"/>
            <w:noWrap/>
            <w:vAlign w:val="center"/>
            <w:hideMark/>
          </w:tcPr>
          <w:p w14:paraId="059D8039" w14:textId="77777777" w:rsidR="00235E11" w:rsidRDefault="00F837E4">
            <w:pPr>
              <w:pStyle w:val="P68B1DB1-Normal10"/>
              <w:spacing w:after="0"/>
              <w:rPr>
                <w:noProof/>
              </w:rPr>
            </w:pPr>
            <w:r>
              <w:rPr>
                <w:noProof/>
              </w:rPr>
              <w:t>Изграждане и обновяване на инфраструктура за грижи за деца в ранна детска възраст (I-4.13)</w:t>
            </w:r>
          </w:p>
        </w:tc>
        <w:tc>
          <w:tcPr>
            <w:tcW w:w="1134" w:type="dxa"/>
            <w:tcBorders>
              <w:top w:val="nil"/>
              <w:left w:val="nil"/>
              <w:bottom w:val="single" w:sz="4" w:space="0" w:color="auto"/>
              <w:right w:val="single" w:sz="4" w:space="0" w:color="auto"/>
            </w:tcBorders>
            <w:shd w:val="clear" w:color="auto" w:fill="C6EFCE"/>
            <w:noWrap/>
            <w:vAlign w:val="center"/>
            <w:hideMark/>
          </w:tcPr>
          <w:p w14:paraId="4B7BE7FA" w14:textId="5387608C" w:rsidR="00235E11" w:rsidRDefault="00F837E4">
            <w:pPr>
              <w:pStyle w:val="P68B1DB1-Normal10"/>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6B7F3224" w14:textId="77777777" w:rsidR="00235E11" w:rsidRDefault="00F837E4">
            <w:pPr>
              <w:pStyle w:val="P68B1DB1-Normal10"/>
              <w:spacing w:after="0"/>
              <w:rPr>
                <w:noProof/>
              </w:rPr>
            </w:pPr>
            <w:r>
              <w:rPr>
                <w:noProof/>
              </w:rPr>
              <w:t>Възлагане на поръчки за строителни работи за организаторите на проекти</w:t>
            </w:r>
          </w:p>
        </w:tc>
        <w:tc>
          <w:tcPr>
            <w:tcW w:w="1417" w:type="dxa"/>
            <w:tcBorders>
              <w:top w:val="nil"/>
              <w:left w:val="nil"/>
              <w:bottom w:val="single" w:sz="4" w:space="0" w:color="auto"/>
              <w:right w:val="single" w:sz="4" w:space="0" w:color="auto"/>
            </w:tcBorders>
            <w:shd w:val="clear" w:color="auto" w:fill="C6EFCE"/>
            <w:noWrap/>
            <w:vAlign w:val="center"/>
          </w:tcPr>
          <w:p w14:paraId="09B3847F" w14:textId="77777777" w:rsidR="00235E11" w:rsidRDefault="00235E11">
            <w:pPr>
              <w:spacing w:after="0"/>
              <w:rPr>
                <w:rFonts w:ascii="Times New Roman" w:eastAsia="Times New Roman" w:hAnsi="Times New Roman" w:cs="Times New Roman"/>
                <w:noProof/>
                <w:color w:val="006100"/>
              </w:rPr>
            </w:pPr>
          </w:p>
        </w:tc>
        <w:tc>
          <w:tcPr>
            <w:tcW w:w="1169" w:type="dxa"/>
            <w:tcBorders>
              <w:top w:val="nil"/>
              <w:left w:val="nil"/>
              <w:bottom w:val="single" w:sz="4" w:space="0" w:color="auto"/>
              <w:right w:val="single" w:sz="4" w:space="0" w:color="auto"/>
            </w:tcBorders>
            <w:shd w:val="clear" w:color="auto" w:fill="C6EFCE"/>
            <w:noWrap/>
            <w:vAlign w:val="center"/>
            <w:hideMark/>
          </w:tcPr>
          <w:p w14:paraId="46EEA187" w14:textId="77777777" w:rsidR="00235E11" w:rsidRDefault="00F837E4">
            <w:pPr>
              <w:pStyle w:val="P68B1DB1-Normal10"/>
              <w:spacing w:after="0"/>
              <w:rPr>
                <w:noProof/>
              </w:rPr>
            </w:pPr>
            <w:r>
              <w:rPr>
                <w:noProof/>
              </w:rPr>
              <w:t>Места за грижи за деца</w:t>
            </w:r>
          </w:p>
        </w:tc>
        <w:tc>
          <w:tcPr>
            <w:tcW w:w="674" w:type="dxa"/>
            <w:tcBorders>
              <w:top w:val="nil"/>
              <w:left w:val="nil"/>
              <w:bottom w:val="single" w:sz="4" w:space="0" w:color="auto"/>
              <w:right w:val="single" w:sz="4" w:space="0" w:color="auto"/>
            </w:tcBorders>
            <w:shd w:val="clear" w:color="auto" w:fill="C6EFCE"/>
            <w:noWrap/>
            <w:vAlign w:val="center"/>
            <w:hideMark/>
          </w:tcPr>
          <w:p w14:paraId="4BB78405" w14:textId="77777777" w:rsidR="00235E11" w:rsidRDefault="00F837E4">
            <w:pPr>
              <w:pStyle w:val="P68B1DB1-Normal10"/>
              <w:spacing w:after="0"/>
              <w:jc w:val="center"/>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hideMark/>
          </w:tcPr>
          <w:p w14:paraId="5A5094B3" w14:textId="77777777" w:rsidR="00235E11" w:rsidRDefault="00F837E4">
            <w:pPr>
              <w:pStyle w:val="P68B1DB1-Normal10"/>
              <w:spacing w:after="0"/>
              <w:jc w:val="center"/>
              <w:rPr>
                <w:noProof/>
              </w:rPr>
            </w:pPr>
            <w:r>
              <w:rPr>
                <w:noProof/>
              </w:rPr>
              <w:t>255</w:t>
            </w:r>
          </w:p>
        </w:tc>
        <w:tc>
          <w:tcPr>
            <w:tcW w:w="708" w:type="dxa"/>
            <w:tcBorders>
              <w:top w:val="nil"/>
              <w:left w:val="nil"/>
              <w:bottom w:val="single" w:sz="4" w:space="0" w:color="auto"/>
              <w:right w:val="single" w:sz="4" w:space="0" w:color="auto"/>
            </w:tcBorders>
            <w:shd w:val="clear" w:color="auto" w:fill="C6EFCE"/>
            <w:noWrap/>
            <w:vAlign w:val="center"/>
            <w:hideMark/>
          </w:tcPr>
          <w:p w14:paraId="60656B8B" w14:textId="0B8FC5DC"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2DDBAF81" w14:textId="77777777" w:rsidR="00235E11" w:rsidRDefault="00F837E4">
            <w:pPr>
              <w:pStyle w:val="P68B1DB1-Normal10"/>
              <w:spacing w:after="0"/>
              <w:jc w:val="center"/>
              <w:rPr>
                <w:noProof/>
              </w:rPr>
            </w:pPr>
            <w:r>
              <w:rPr>
                <w:noProof/>
              </w:rPr>
              <w:t>2023</w:t>
            </w:r>
          </w:p>
        </w:tc>
        <w:tc>
          <w:tcPr>
            <w:tcW w:w="4592" w:type="dxa"/>
            <w:tcBorders>
              <w:top w:val="nil"/>
              <w:left w:val="nil"/>
              <w:bottom w:val="single" w:sz="4" w:space="0" w:color="auto"/>
              <w:right w:val="single" w:sz="4" w:space="0" w:color="auto"/>
            </w:tcBorders>
            <w:shd w:val="clear" w:color="auto" w:fill="C6EFCE"/>
            <w:noWrap/>
            <w:vAlign w:val="center"/>
            <w:hideMark/>
          </w:tcPr>
          <w:p w14:paraId="5FE8B2F1" w14:textId="77777777" w:rsidR="00235E11" w:rsidRDefault="00F837E4">
            <w:pPr>
              <w:pStyle w:val="P68B1DB1-Normal10"/>
              <w:spacing w:after="0"/>
              <w:rPr>
                <w:noProof/>
              </w:rPr>
            </w:pPr>
            <w:r>
              <w:rPr>
                <w:noProof/>
              </w:rPr>
              <w:t>Възлагане на договори за строителни работи от оператори (ясли) за 15 % от новосъздадените детски заведения, т.е. 255 г.</w:t>
            </w:r>
          </w:p>
        </w:tc>
      </w:tr>
      <w:tr w:rsidR="00235E11" w14:paraId="68B3496B"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27B30ABE" w14:textId="77777777" w:rsidR="00235E11" w:rsidRDefault="00F837E4">
            <w:pPr>
              <w:pStyle w:val="P68B1DB1-Normal10"/>
              <w:spacing w:after="0"/>
              <w:jc w:val="center"/>
              <w:rPr>
                <w:noProof/>
              </w:rPr>
            </w:pPr>
            <w:r>
              <w:rPr>
                <w:noProof/>
              </w:rPr>
              <w:t>155</w:t>
            </w:r>
          </w:p>
        </w:tc>
        <w:tc>
          <w:tcPr>
            <w:tcW w:w="1843" w:type="dxa"/>
            <w:tcBorders>
              <w:top w:val="nil"/>
              <w:left w:val="nil"/>
              <w:bottom w:val="single" w:sz="4" w:space="0" w:color="auto"/>
              <w:right w:val="single" w:sz="4" w:space="0" w:color="auto"/>
            </w:tcBorders>
            <w:shd w:val="clear" w:color="auto" w:fill="C6EFCE"/>
            <w:noWrap/>
            <w:vAlign w:val="center"/>
            <w:hideMark/>
          </w:tcPr>
          <w:p w14:paraId="1AAFEC2C" w14:textId="77777777" w:rsidR="00235E11" w:rsidRDefault="00F837E4">
            <w:pPr>
              <w:pStyle w:val="P68B1DB1-Normal10"/>
              <w:spacing w:after="0"/>
              <w:rPr>
                <w:noProof/>
              </w:rPr>
            </w:pPr>
            <w:r>
              <w:rPr>
                <w:noProof/>
              </w:rPr>
              <w:t>Изграждане и обновяване на инфраструктура за грижи за деца в ранна детска възраст (I-4.13)</w:t>
            </w:r>
          </w:p>
        </w:tc>
        <w:tc>
          <w:tcPr>
            <w:tcW w:w="1134" w:type="dxa"/>
            <w:tcBorders>
              <w:top w:val="nil"/>
              <w:left w:val="nil"/>
              <w:bottom w:val="single" w:sz="4" w:space="0" w:color="auto"/>
              <w:right w:val="single" w:sz="4" w:space="0" w:color="auto"/>
            </w:tcBorders>
            <w:shd w:val="clear" w:color="auto" w:fill="C6EFCE"/>
            <w:noWrap/>
            <w:vAlign w:val="center"/>
            <w:hideMark/>
          </w:tcPr>
          <w:p w14:paraId="6A0422F5" w14:textId="37A630A6" w:rsidR="00235E11" w:rsidRDefault="00F837E4">
            <w:pPr>
              <w:pStyle w:val="P68B1DB1-Normal10"/>
              <w:spacing w:after="0"/>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3BBDFC14" w14:textId="77777777" w:rsidR="00235E11" w:rsidRDefault="00F837E4">
            <w:pPr>
              <w:pStyle w:val="P68B1DB1-Normal10"/>
              <w:spacing w:after="0"/>
              <w:rPr>
                <w:noProof/>
              </w:rPr>
            </w:pPr>
            <w:r>
              <w:rPr>
                <w:noProof/>
              </w:rPr>
              <w:t>Откриване на места за грижи за деца</w:t>
            </w:r>
          </w:p>
        </w:tc>
        <w:tc>
          <w:tcPr>
            <w:tcW w:w="1417" w:type="dxa"/>
            <w:tcBorders>
              <w:top w:val="nil"/>
              <w:left w:val="nil"/>
              <w:bottom w:val="single" w:sz="4" w:space="0" w:color="auto"/>
              <w:right w:val="single" w:sz="4" w:space="0" w:color="auto"/>
            </w:tcBorders>
            <w:shd w:val="clear" w:color="auto" w:fill="C6EFCE"/>
            <w:noWrap/>
            <w:vAlign w:val="center"/>
            <w:hideMark/>
          </w:tcPr>
          <w:p w14:paraId="027C5466" w14:textId="77777777" w:rsidR="00235E11" w:rsidRDefault="00235E11">
            <w:pPr>
              <w:spacing w:after="0"/>
              <w:rPr>
                <w:rFonts w:ascii="Times New Roman" w:eastAsia="Times New Roman" w:hAnsi="Times New Roman" w:cs="Times New Roman"/>
                <w:noProof/>
                <w:color w:val="006100"/>
              </w:rPr>
            </w:pPr>
          </w:p>
        </w:tc>
        <w:tc>
          <w:tcPr>
            <w:tcW w:w="1169" w:type="dxa"/>
            <w:tcBorders>
              <w:top w:val="nil"/>
              <w:left w:val="nil"/>
              <w:bottom w:val="single" w:sz="4" w:space="0" w:color="auto"/>
              <w:right w:val="single" w:sz="4" w:space="0" w:color="auto"/>
            </w:tcBorders>
            <w:shd w:val="clear" w:color="auto" w:fill="C6EFCE"/>
            <w:noWrap/>
            <w:vAlign w:val="center"/>
            <w:hideMark/>
          </w:tcPr>
          <w:p w14:paraId="76BE8B51" w14:textId="77777777" w:rsidR="00235E11" w:rsidRDefault="00F837E4">
            <w:pPr>
              <w:pStyle w:val="P68B1DB1-Normal10"/>
              <w:spacing w:after="0"/>
              <w:rPr>
                <w:noProof/>
              </w:rPr>
            </w:pPr>
            <w:r>
              <w:rPr>
                <w:noProof/>
              </w:rPr>
              <w:t>Брой създадени или обновени места за полагане на грижи за деца</w:t>
            </w:r>
          </w:p>
        </w:tc>
        <w:tc>
          <w:tcPr>
            <w:tcW w:w="674" w:type="dxa"/>
            <w:tcBorders>
              <w:top w:val="nil"/>
              <w:left w:val="nil"/>
              <w:bottom w:val="single" w:sz="4" w:space="0" w:color="auto"/>
              <w:right w:val="single" w:sz="4" w:space="0" w:color="auto"/>
            </w:tcBorders>
            <w:shd w:val="clear" w:color="auto" w:fill="C6EFCE"/>
            <w:noWrap/>
            <w:vAlign w:val="center"/>
            <w:hideMark/>
          </w:tcPr>
          <w:p w14:paraId="06F3A076" w14:textId="77777777" w:rsidR="00235E11" w:rsidRDefault="00F837E4">
            <w:pPr>
              <w:pStyle w:val="P68B1DB1-Normal10"/>
              <w:spacing w:after="0"/>
              <w:jc w:val="center"/>
              <w:rPr>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hideMark/>
          </w:tcPr>
          <w:p w14:paraId="4B5F86FD" w14:textId="483BDAC6" w:rsidR="00235E11" w:rsidRDefault="00F837E4">
            <w:pPr>
              <w:pStyle w:val="P68B1DB1-Normal9"/>
              <w:spacing w:after="0"/>
              <w:jc w:val="center"/>
              <w:rPr>
                <w:rFonts w:eastAsia="Times New Roman"/>
                <w:noProof/>
              </w:rPr>
            </w:pPr>
            <w:r>
              <w:rPr>
                <w:noProof/>
              </w:rPr>
              <w:t>1 700</w:t>
            </w:r>
          </w:p>
        </w:tc>
        <w:tc>
          <w:tcPr>
            <w:tcW w:w="708" w:type="dxa"/>
            <w:tcBorders>
              <w:top w:val="nil"/>
              <w:left w:val="nil"/>
              <w:bottom w:val="single" w:sz="4" w:space="0" w:color="auto"/>
              <w:right w:val="single" w:sz="4" w:space="0" w:color="auto"/>
            </w:tcBorders>
            <w:shd w:val="clear" w:color="auto" w:fill="C6EFCE"/>
            <w:noWrap/>
            <w:vAlign w:val="center"/>
            <w:hideMark/>
          </w:tcPr>
          <w:p w14:paraId="2ACA73A0" w14:textId="77777777" w:rsidR="00235E11" w:rsidRDefault="00F837E4">
            <w:pPr>
              <w:pStyle w:val="P68B1DB1-Normal10"/>
              <w:spacing w:after="0"/>
              <w:jc w:val="center"/>
              <w:rPr>
                <w:noProof/>
              </w:rPr>
            </w:pPr>
            <w:r>
              <w:rPr>
                <w:noProof/>
              </w:rPr>
              <w:t>Т3 Г.</w:t>
            </w:r>
          </w:p>
        </w:tc>
        <w:tc>
          <w:tcPr>
            <w:tcW w:w="709" w:type="dxa"/>
            <w:tcBorders>
              <w:top w:val="nil"/>
              <w:left w:val="nil"/>
              <w:bottom w:val="single" w:sz="4" w:space="0" w:color="auto"/>
              <w:right w:val="single" w:sz="4" w:space="0" w:color="auto"/>
            </w:tcBorders>
            <w:shd w:val="clear" w:color="auto" w:fill="C6EFCE"/>
            <w:noWrap/>
            <w:vAlign w:val="center"/>
            <w:hideMark/>
          </w:tcPr>
          <w:p w14:paraId="33C28131" w14:textId="77777777" w:rsidR="00235E11" w:rsidRDefault="00F837E4">
            <w:pPr>
              <w:pStyle w:val="P68B1DB1-Normal10"/>
              <w:spacing w:after="0"/>
              <w:jc w:val="center"/>
              <w:rPr>
                <w:noProof/>
              </w:rPr>
            </w:pPr>
            <w:r>
              <w:rPr>
                <w:noProof/>
              </w:rPr>
              <w:t>2026</w:t>
            </w:r>
          </w:p>
        </w:tc>
        <w:tc>
          <w:tcPr>
            <w:tcW w:w="4592" w:type="dxa"/>
            <w:tcBorders>
              <w:top w:val="nil"/>
              <w:left w:val="nil"/>
              <w:bottom w:val="single" w:sz="4" w:space="0" w:color="auto"/>
              <w:right w:val="single" w:sz="4" w:space="0" w:color="auto"/>
            </w:tcBorders>
            <w:shd w:val="clear" w:color="auto" w:fill="C6EFCE"/>
            <w:noWrap/>
            <w:vAlign w:val="center"/>
            <w:hideMark/>
          </w:tcPr>
          <w:p w14:paraId="47E2F3E4" w14:textId="24B7F5CB" w:rsidR="00235E11" w:rsidRDefault="00F837E4">
            <w:pPr>
              <w:pStyle w:val="P68B1DB1-Normal9"/>
              <w:spacing w:after="0"/>
              <w:rPr>
                <w:rFonts w:eastAsia="Times New Roman"/>
                <w:noProof/>
              </w:rPr>
            </w:pPr>
            <w:r>
              <w:rPr>
                <w:noProof/>
              </w:rPr>
              <w:t>Като част от инфраструктурата за грижи за деца във Валония са създадени 1 700 нови места за грижи за деца в ранна детска възраст. Новите места за отглеждане на деца включват и двете места, създадени в резултат на строителството на нови сгради или на санирането на съществуващи сгради.</w:t>
            </w:r>
          </w:p>
        </w:tc>
      </w:tr>
    </w:tbl>
    <w:p w14:paraId="411474AC" w14:textId="77777777" w:rsidR="00235E11" w:rsidRDefault="00235E11">
      <w:pPr>
        <w:pStyle w:val="Text1"/>
        <w:ind w:left="709"/>
        <w:rPr>
          <w:noProof/>
        </w:rPr>
      </w:pPr>
    </w:p>
    <w:p w14:paraId="48CCCC6A" w14:textId="77777777" w:rsidR="00235E11" w:rsidRDefault="00235E11">
      <w:pPr>
        <w:ind w:left="709"/>
        <w:rPr>
          <w:rFonts w:ascii="Times New Roman" w:hAnsi="Times New Roman" w:cs="Times New Roman"/>
          <w:noProof/>
        </w:rPr>
        <w:sectPr w:rsidR="00235E11" w:rsidSect="007F56C3">
          <w:headerReference w:type="even" r:id="rId180"/>
          <w:headerReference w:type="default" r:id="rId181"/>
          <w:footerReference w:type="even" r:id="rId182"/>
          <w:footerReference w:type="default" r:id="rId183"/>
          <w:headerReference w:type="first" r:id="rId184"/>
          <w:footerReference w:type="first" r:id="rId185"/>
          <w:pgSz w:w="16839" w:h="11907" w:orient="landscape"/>
          <w:pgMar w:top="1134" w:right="1134" w:bottom="1134" w:left="1134" w:header="567" w:footer="567" w:gutter="0"/>
          <w:cols w:space="720"/>
          <w:docGrid w:linePitch="360"/>
        </w:sectPr>
      </w:pPr>
    </w:p>
    <w:p w14:paraId="73CAE7DB" w14:textId="64707A78" w:rsidR="00235E11" w:rsidRDefault="00F837E4">
      <w:pPr>
        <w:pStyle w:val="ManualHeading1"/>
        <w:spacing w:before="120"/>
        <w:ind w:left="0" w:firstLine="0"/>
        <w:rPr>
          <w:noProof/>
        </w:rPr>
      </w:pPr>
      <w:r>
        <w:rPr>
          <w:noProof/>
        </w:rPr>
        <w:t>М. КОМПОНЕНТ 4.4: Край на кариерата и пенсии</w:t>
      </w:r>
    </w:p>
    <w:p w14:paraId="4A2DA53C" w14:textId="44161C3F" w:rsidR="00235E11" w:rsidRDefault="00F837E4">
      <w:pPr>
        <w:pStyle w:val="NormalLeft"/>
        <w:jc w:val="both"/>
        <w:rPr>
          <w:noProof/>
        </w:rPr>
      </w:pPr>
      <w:r>
        <w:rPr>
          <w:noProof/>
        </w:rPr>
        <w:t>Този компонент на белгийския план за възстановяване и устойчивост има за цел да осигури политически отговор на предизвикателствата пред пенсионната система по отношение на социалната адекватност и фискалната устойчивост.</w:t>
      </w:r>
    </w:p>
    <w:p w14:paraId="5428BF32" w14:textId="77777777" w:rsidR="00235E11" w:rsidRDefault="00F837E4">
      <w:pPr>
        <w:pStyle w:val="NormalLeft"/>
        <w:jc w:val="both"/>
        <w:rPr>
          <w:noProof/>
        </w:rPr>
      </w:pPr>
      <w:r>
        <w:rPr>
          <w:noProof/>
        </w:rPr>
        <w:t>Компонентът допринася за изпълнението на специфична за всяка държава препоръка 2019.1, за да се гарантира фискалната устойчивост на пенсионната система.</w:t>
      </w:r>
    </w:p>
    <w:p w14:paraId="3A3BB72F" w14:textId="77777777" w:rsidR="00235E11" w:rsidRDefault="00F837E4">
      <w:pPr>
        <w:pStyle w:val="P68B1DB1-Normal1"/>
        <w:spacing w:before="120" w:after="120" w:line="240" w:lineRule="auto"/>
        <w:jc w:val="both"/>
        <w:rPr>
          <w:noProof/>
        </w:rPr>
      </w:pPr>
      <w:r>
        <w:rPr>
          <w:noProof/>
        </w:rPr>
        <w:t xml:space="preserve">M.1. </w:t>
      </w:r>
      <w:r>
        <w:rPr>
          <w:noProof/>
        </w:rPr>
        <w:tab/>
        <w:t>Описание на реформите и инвестициите за безвъзмездна финансова подкрепа</w:t>
      </w:r>
    </w:p>
    <w:p w14:paraId="1FEF4DA2" w14:textId="77777777" w:rsidR="00235E11" w:rsidRDefault="00F837E4">
      <w:pPr>
        <w:pStyle w:val="P68B1DB1-Normal13"/>
        <w:spacing w:before="120" w:after="120" w:line="240" w:lineRule="auto"/>
        <w:jc w:val="both"/>
        <w:rPr>
          <w:noProof/>
        </w:rPr>
      </w:pPr>
      <w:r>
        <w:rPr>
          <w:noProof/>
        </w:rPr>
        <w:t>Реформа R-4.07: „Прекратяване на кариерата и пенсии“ на федералната държава</w:t>
      </w:r>
    </w:p>
    <w:p w14:paraId="3A82053C" w14:textId="77777777" w:rsidR="00235E11" w:rsidRDefault="00F837E4">
      <w:pPr>
        <w:pStyle w:val="NormalLeft"/>
        <w:jc w:val="both"/>
        <w:rPr>
          <w:noProof/>
        </w:rPr>
      </w:pPr>
      <w:r>
        <w:rPr>
          <w:noProof/>
        </w:rPr>
        <w:t>Тази реформа има за цел (1) адаптиране на пенсионната система към бъдещето, (2) подобряване на финансовата устойчивост на системата за социална сигурност и на публичните финанси, (3) засилване на солидарната роля на пенсионната система, (4) укрепване на „принципа на осигуряване „, (5) въвеждане на „проверка за равенство между половете“, (6) гарантиране на сближаването между и в рамките на различните пенсионни системи, (7) подобряване на ефективността на административните служби, занимаващи се с пенсиите. Законът за реформа на пенсионния режим се приема до 30 юни 2024 г. и влиза в сила на 1 януари 2025 г., като се подразбира, че може да предвижда разумни преходни периоди за някои разпоредби.</w:t>
      </w:r>
    </w:p>
    <w:p w14:paraId="290FB048" w14:textId="77777777" w:rsidR="00235E11" w:rsidRDefault="00F837E4">
      <w:pPr>
        <w:pStyle w:val="NormalLeft"/>
        <w:jc w:val="both"/>
        <w:rPr>
          <w:noProof/>
        </w:rPr>
      </w:pPr>
      <w:r>
        <w:rPr>
          <w:noProof/>
        </w:rPr>
        <w:t>За да включи заинтересованите страни, федералното правителство планира да организира конференция по въпросите на заетостта през 2021 г., която да се съсредоточи върху „края на кариерата“ и заетостта на по-възрастните работници. Въз основа на заключенията от тази конференция на федералното правителство ще бъде представен план за действие с предложения за конкретни мерки.</w:t>
      </w:r>
    </w:p>
    <w:p w14:paraId="59EA79B2" w14:textId="77777777" w:rsidR="00235E11" w:rsidRDefault="00235E11">
      <w:pPr>
        <w:pStyle w:val="Text1"/>
        <w:ind w:left="0"/>
        <w:rPr>
          <w:b/>
          <w:noProof/>
          <w:u w:val="single"/>
        </w:rPr>
      </w:pPr>
    </w:p>
    <w:p w14:paraId="134B7CB4" w14:textId="77777777" w:rsidR="00235E11" w:rsidRDefault="00F837E4">
      <w:pPr>
        <w:pStyle w:val="P68B1DB1-Text16"/>
        <w:ind w:left="0"/>
        <w:rPr>
          <w:noProof/>
        </w:rPr>
      </w:pPr>
      <w:r>
        <w:rPr>
          <w:noProof/>
        </w:rPr>
        <w:t xml:space="preserve">M.2. </w:t>
      </w:r>
      <w:r>
        <w:rPr>
          <w:noProof/>
        </w:rPr>
        <w:tab/>
        <w:t>Ключови етапи, цели, показатели и график за мониторинг и изпълнение на безвъзмездната финансова подкрепа</w:t>
      </w:r>
    </w:p>
    <w:p w14:paraId="51FBD377" w14:textId="77777777" w:rsidR="00235E11" w:rsidRDefault="00235E11">
      <w:pPr>
        <w:pStyle w:val="Text1"/>
        <w:rPr>
          <w:noProof/>
        </w:rPr>
      </w:pPr>
    </w:p>
    <w:p w14:paraId="44EC6069" w14:textId="77777777" w:rsidR="00235E11" w:rsidRDefault="00235E11">
      <w:pPr>
        <w:pStyle w:val="Text1"/>
        <w:ind w:left="709"/>
        <w:rPr>
          <w:noProof/>
        </w:rPr>
        <w:sectPr w:rsidR="00235E11" w:rsidSect="007F56C3">
          <w:headerReference w:type="even" r:id="rId186"/>
          <w:headerReference w:type="default" r:id="rId187"/>
          <w:footerReference w:type="even" r:id="rId188"/>
          <w:footerReference w:type="default" r:id="rId189"/>
          <w:headerReference w:type="first" r:id="rId190"/>
          <w:footerReference w:type="first" r:id="rId191"/>
          <w:pgSz w:w="11907" w:h="16839"/>
          <w:pgMar w:top="1134" w:right="1134" w:bottom="1134" w:left="1134" w:header="567" w:footer="567" w:gutter="0"/>
          <w:cols w:space="720"/>
          <w:docGrid w:linePitch="360"/>
        </w:sectPr>
      </w:pPr>
    </w:p>
    <w:tbl>
      <w:tblPr>
        <w:tblW w:w="15502" w:type="dxa"/>
        <w:jc w:val="center"/>
        <w:tblLayout w:type="fixed"/>
        <w:tblLook w:val="04A0" w:firstRow="1" w:lastRow="0" w:firstColumn="1" w:lastColumn="0" w:noHBand="0" w:noVBand="1"/>
      </w:tblPr>
      <w:tblGrid>
        <w:gridCol w:w="704"/>
        <w:gridCol w:w="1452"/>
        <w:gridCol w:w="1276"/>
        <w:gridCol w:w="1417"/>
        <w:gridCol w:w="1559"/>
        <w:gridCol w:w="1134"/>
        <w:gridCol w:w="1134"/>
        <w:gridCol w:w="709"/>
        <w:gridCol w:w="992"/>
        <w:gridCol w:w="993"/>
        <w:gridCol w:w="4132"/>
      </w:tblGrid>
      <w:tr w:rsidR="00235E11" w14:paraId="502DCAE2" w14:textId="77777777">
        <w:trPr>
          <w:trHeight w:val="927"/>
          <w:tblHeader/>
          <w:jc w:val="center"/>
        </w:trPr>
        <w:tc>
          <w:tcPr>
            <w:tcW w:w="7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B3B705D" w14:textId="419DE07E" w:rsidR="00235E11" w:rsidRDefault="00F837E4">
            <w:pPr>
              <w:pStyle w:val="P68B1DB1-Normal15"/>
              <w:spacing w:after="0"/>
              <w:jc w:val="center"/>
              <w:rPr>
                <w:noProof/>
              </w:rPr>
            </w:pPr>
            <w:r>
              <w:rPr>
                <w:noProof/>
              </w:rPr>
              <w:t>Seq.Nb.</w:t>
            </w:r>
          </w:p>
        </w:tc>
        <w:tc>
          <w:tcPr>
            <w:tcW w:w="145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2527FEA" w14:textId="77777777" w:rsidR="00235E11" w:rsidRDefault="00F837E4">
            <w:pPr>
              <w:pStyle w:val="P68B1DB1-Normal15"/>
              <w:spacing w:after="0"/>
              <w:jc w:val="center"/>
              <w:rPr>
                <w:noProof/>
              </w:rPr>
            </w:pPr>
            <w:r>
              <w:rPr>
                <w:noProof/>
              </w:rPr>
              <w:t>Свързана мярка (реформа или инвестиции)</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20235EF" w14:textId="77777777" w:rsidR="00235E11" w:rsidRDefault="00F837E4">
            <w:pPr>
              <w:pStyle w:val="P68B1DB1-Normal15"/>
              <w:spacing w:after="0"/>
              <w:jc w:val="center"/>
              <w:rPr>
                <w:noProof/>
              </w:rPr>
            </w:pPr>
            <w:r>
              <w:rPr>
                <w:noProof/>
              </w:rPr>
              <w:t>Ключов етап/Цел</w:t>
            </w:r>
          </w:p>
        </w:tc>
        <w:tc>
          <w:tcPr>
            <w:tcW w:w="141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09DBEA78" w14:textId="77777777" w:rsidR="00235E11" w:rsidRDefault="00F837E4">
            <w:pPr>
              <w:pStyle w:val="P68B1DB1-Normal15"/>
              <w:spacing w:after="0"/>
              <w:jc w:val="center"/>
              <w:rPr>
                <w:noProof/>
              </w:rPr>
            </w:pPr>
            <w:r>
              <w:rPr>
                <w:noProof/>
              </w:rPr>
              <w:t>Име</w:t>
            </w:r>
          </w:p>
        </w:tc>
        <w:tc>
          <w:tcPr>
            <w:tcW w:w="155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4BEAC7F"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977" w:type="dxa"/>
            <w:gridSpan w:val="3"/>
            <w:tcBorders>
              <w:top w:val="single" w:sz="4" w:space="0" w:color="auto"/>
              <w:left w:val="nil"/>
              <w:bottom w:val="single" w:sz="4" w:space="0" w:color="auto"/>
              <w:right w:val="single" w:sz="4" w:space="0" w:color="auto"/>
            </w:tcBorders>
            <w:shd w:val="clear" w:color="auto" w:fill="BDD7EE"/>
            <w:vAlign w:val="center"/>
            <w:hideMark/>
          </w:tcPr>
          <w:p w14:paraId="31EC791A"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14:paraId="57EEA2AD" w14:textId="77777777" w:rsidR="00235E11" w:rsidRDefault="00F837E4">
            <w:pPr>
              <w:pStyle w:val="P68B1DB1-Normal15"/>
              <w:spacing w:after="0"/>
              <w:jc w:val="center"/>
              <w:rPr>
                <w:noProof/>
              </w:rPr>
            </w:pPr>
            <w:r>
              <w:rPr>
                <w:noProof/>
              </w:rPr>
              <w:t xml:space="preserve">Примерен график за приключване </w:t>
            </w:r>
          </w:p>
        </w:tc>
        <w:tc>
          <w:tcPr>
            <w:tcW w:w="41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E3A494" w14:textId="77777777" w:rsidR="00235E11" w:rsidRDefault="00F837E4">
            <w:pPr>
              <w:pStyle w:val="P68B1DB1-Normal15"/>
              <w:spacing w:after="0"/>
              <w:jc w:val="center"/>
              <w:rPr>
                <w:noProof/>
              </w:rPr>
            </w:pPr>
            <w:r>
              <w:rPr>
                <w:noProof/>
              </w:rPr>
              <w:t>Описание на всеки ключов етап и цел</w:t>
            </w:r>
          </w:p>
        </w:tc>
      </w:tr>
      <w:tr w:rsidR="00235E11" w14:paraId="0B05782E" w14:textId="77777777">
        <w:trPr>
          <w:trHeight w:val="1013"/>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7CD2988" w14:textId="77777777" w:rsidR="00235E11" w:rsidRDefault="00235E11">
            <w:pPr>
              <w:spacing w:after="0"/>
              <w:rPr>
                <w:rFonts w:ascii="Times New Roman" w:eastAsia="Times New Roman" w:hAnsi="Times New Roman" w:cs="Times New Roman"/>
                <w:b/>
                <w:noProof/>
              </w:rPr>
            </w:pPr>
          </w:p>
        </w:tc>
        <w:tc>
          <w:tcPr>
            <w:tcW w:w="1452" w:type="dxa"/>
            <w:vMerge/>
            <w:tcBorders>
              <w:top w:val="single" w:sz="4" w:space="0" w:color="auto"/>
              <w:left w:val="single" w:sz="4" w:space="0" w:color="auto"/>
              <w:bottom w:val="single" w:sz="4" w:space="0" w:color="000000"/>
              <w:right w:val="single" w:sz="4" w:space="0" w:color="auto"/>
            </w:tcBorders>
            <w:vAlign w:val="center"/>
            <w:hideMark/>
          </w:tcPr>
          <w:p w14:paraId="64BEE952" w14:textId="77777777" w:rsidR="00235E11" w:rsidRDefault="00235E11">
            <w:pPr>
              <w:spacing w:after="0"/>
              <w:rPr>
                <w:rFonts w:ascii="Times New Roman" w:eastAsia="Times New Roman" w:hAnsi="Times New Roman" w:cs="Times New Roman"/>
                <w:b/>
                <w:noProof/>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09E15C" w14:textId="77777777" w:rsidR="00235E11" w:rsidRDefault="00235E11">
            <w:pPr>
              <w:spacing w:after="0"/>
              <w:rPr>
                <w:rFonts w:ascii="Times New Roman" w:eastAsia="Times New Roman" w:hAnsi="Times New Roman" w:cs="Times New Roman"/>
                <w:b/>
                <w:noProof/>
              </w:rPr>
            </w:pPr>
          </w:p>
        </w:tc>
        <w:tc>
          <w:tcPr>
            <w:tcW w:w="1417" w:type="dxa"/>
            <w:vMerge/>
            <w:tcBorders>
              <w:top w:val="single" w:sz="4" w:space="0" w:color="auto"/>
              <w:left w:val="nil"/>
              <w:bottom w:val="single" w:sz="4" w:space="0" w:color="000000"/>
              <w:right w:val="single" w:sz="4" w:space="0" w:color="auto"/>
            </w:tcBorders>
            <w:vAlign w:val="center"/>
            <w:hideMark/>
          </w:tcPr>
          <w:p w14:paraId="15172F7C" w14:textId="77777777" w:rsidR="00235E11" w:rsidRDefault="00235E11">
            <w:pPr>
              <w:spacing w:after="0"/>
              <w:rPr>
                <w:rFonts w:ascii="Times New Roman" w:eastAsia="Times New Roman" w:hAnsi="Times New Roman" w:cs="Times New Roman"/>
                <w:b/>
                <w:noProof/>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5857034" w14:textId="77777777" w:rsidR="00235E11" w:rsidRDefault="00235E11">
            <w:pPr>
              <w:spacing w:after="0"/>
              <w:rPr>
                <w:rFonts w:ascii="Times New Roman" w:eastAsia="Times New Roman" w:hAnsi="Times New Roman" w:cs="Times New Roman"/>
                <w:b/>
                <w:noProof/>
              </w:rPr>
            </w:pPr>
          </w:p>
        </w:tc>
        <w:tc>
          <w:tcPr>
            <w:tcW w:w="1134" w:type="dxa"/>
            <w:tcBorders>
              <w:top w:val="nil"/>
              <w:left w:val="nil"/>
              <w:bottom w:val="single" w:sz="4" w:space="0" w:color="auto"/>
              <w:right w:val="single" w:sz="4" w:space="0" w:color="auto"/>
            </w:tcBorders>
            <w:shd w:val="clear" w:color="auto" w:fill="BDD7EE"/>
            <w:vAlign w:val="center"/>
            <w:hideMark/>
          </w:tcPr>
          <w:p w14:paraId="5B2E51A8" w14:textId="77777777" w:rsidR="00235E11" w:rsidRDefault="00F837E4">
            <w:pPr>
              <w:pStyle w:val="P68B1DB1-Normal15"/>
              <w:spacing w:after="0"/>
              <w:jc w:val="center"/>
              <w:rPr>
                <w:noProof/>
              </w:rPr>
            </w:pPr>
            <w:r>
              <w:rPr>
                <w:noProof/>
              </w:rPr>
              <w:t>Единица мярка</w:t>
            </w:r>
          </w:p>
        </w:tc>
        <w:tc>
          <w:tcPr>
            <w:tcW w:w="1134" w:type="dxa"/>
            <w:tcBorders>
              <w:top w:val="nil"/>
              <w:left w:val="nil"/>
              <w:bottom w:val="single" w:sz="4" w:space="0" w:color="auto"/>
              <w:right w:val="single" w:sz="4" w:space="0" w:color="auto"/>
            </w:tcBorders>
            <w:shd w:val="clear" w:color="auto" w:fill="BDD7EE"/>
            <w:vAlign w:val="center"/>
            <w:hideMark/>
          </w:tcPr>
          <w:p w14:paraId="1AFF80E9" w14:textId="77777777" w:rsidR="00235E11" w:rsidRDefault="00F837E4">
            <w:pPr>
              <w:pStyle w:val="P68B1DB1-Normal15"/>
              <w:spacing w:after="0"/>
              <w:jc w:val="center"/>
              <w:rPr>
                <w:noProof/>
              </w:rPr>
            </w:pPr>
            <w:r>
              <w:rPr>
                <w:noProof/>
              </w:rPr>
              <w:t xml:space="preserve">Базова линия </w:t>
            </w:r>
          </w:p>
        </w:tc>
        <w:tc>
          <w:tcPr>
            <w:tcW w:w="709" w:type="dxa"/>
            <w:tcBorders>
              <w:top w:val="nil"/>
              <w:left w:val="nil"/>
              <w:bottom w:val="single" w:sz="4" w:space="0" w:color="auto"/>
              <w:right w:val="single" w:sz="4" w:space="0" w:color="auto"/>
            </w:tcBorders>
            <w:shd w:val="clear" w:color="auto" w:fill="BDD7EE"/>
            <w:vAlign w:val="center"/>
            <w:hideMark/>
          </w:tcPr>
          <w:p w14:paraId="57012D2E" w14:textId="77777777" w:rsidR="00235E11" w:rsidRDefault="00F837E4">
            <w:pPr>
              <w:pStyle w:val="P68B1DB1-Normal15"/>
              <w:spacing w:after="0"/>
              <w:jc w:val="center"/>
              <w:rPr>
                <w:noProof/>
              </w:rPr>
            </w:pPr>
            <w:r>
              <w:rPr>
                <w:noProof/>
              </w:rPr>
              <w:t xml:space="preserve">Цел </w:t>
            </w:r>
          </w:p>
        </w:tc>
        <w:tc>
          <w:tcPr>
            <w:tcW w:w="992" w:type="dxa"/>
            <w:tcBorders>
              <w:top w:val="nil"/>
              <w:left w:val="nil"/>
              <w:bottom w:val="single" w:sz="4" w:space="0" w:color="auto"/>
              <w:right w:val="single" w:sz="4" w:space="0" w:color="auto"/>
            </w:tcBorders>
            <w:shd w:val="clear" w:color="auto" w:fill="BDD7EE"/>
            <w:vAlign w:val="center"/>
            <w:hideMark/>
          </w:tcPr>
          <w:p w14:paraId="632F22F0" w14:textId="77777777" w:rsidR="00235E11" w:rsidRDefault="00F837E4">
            <w:pPr>
              <w:pStyle w:val="P68B1DB1-Normal15"/>
              <w:spacing w:after="0"/>
              <w:jc w:val="center"/>
              <w:rPr>
                <w:noProof/>
              </w:rPr>
            </w:pPr>
            <w:r>
              <w:rPr>
                <w:noProof/>
              </w:rPr>
              <w:t>Тримесечие</w:t>
            </w:r>
          </w:p>
        </w:tc>
        <w:tc>
          <w:tcPr>
            <w:tcW w:w="993" w:type="dxa"/>
            <w:tcBorders>
              <w:top w:val="nil"/>
              <w:left w:val="nil"/>
              <w:bottom w:val="single" w:sz="4" w:space="0" w:color="auto"/>
              <w:right w:val="single" w:sz="4" w:space="0" w:color="auto"/>
            </w:tcBorders>
            <w:shd w:val="clear" w:color="auto" w:fill="BDD7EE"/>
            <w:vAlign w:val="center"/>
            <w:hideMark/>
          </w:tcPr>
          <w:p w14:paraId="225C3A3D" w14:textId="77777777" w:rsidR="00235E11" w:rsidRDefault="00F837E4">
            <w:pPr>
              <w:pStyle w:val="P68B1DB1-Normal15"/>
              <w:spacing w:after="0"/>
              <w:jc w:val="center"/>
              <w:rPr>
                <w:noProof/>
              </w:rPr>
            </w:pPr>
            <w:r>
              <w:rPr>
                <w:noProof/>
              </w:rPr>
              <w:t>Година</w:t>
            </w:r>
          </w:p>
        </w:tc>
        <w:tc>
          <w:tcPr>
            <w:tcW w:w="4132" w:type="dxa"/>
            <w:vMerge/>
            <w:tcBorders>
              <w:top w:val="single" w:sz="4" w:space="0" w:color="auto"/>
              <w:left w:val="single" w:sz="4" w:space="0" w:color="auto"/>
              <w:bottom w:val="single" w:sz="4" w:space="0" w:color="auto"/>
              <w:right w:val="single" w:sz="4" w:space="0" w:color="auto"/>
            </w:tcBorders>
            <w:vAlign w:val="center"/>
            <w:hideMark/>
          </w:tcPr>
          <w:p w14:paraId="473302F6" w14:textId="77777777" w:rsidR="00235E11" w:rsidRDefault="00235E11">
            <w:pPr>
              <w:spacing w:after="0"/>
              <w:rPr>
                <w:rFonts w:ascii="Times New Roman" w:eastAsia="Times New Roman" w:hAnsi="Times New Roman" w:cs="Times New Roman"/>
                <w:b/>
                <w:noProof/>
              </w:rPr>
            </w:pPr>
          </w:p>
        </w:tc>
      </w:tr>
      <w:tr w:rsidR="00235E11" w14:paraId="1DAD9B5D"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6BE023E5" w14:textId="77777777" w:rsidR="00235E11" w:rsidRDefault="00F837E4">
            <w:pPr>
              <w:pStyle w:val="P68B1DB1-Normal10"/>
              <w:spacing w:after="0"/>
              <w:jc w:val="center"/>
              <w:rPr>
                <w:noProof/>
              </w:rPr>
            </w:pPr>
            <w:r>
              <w:rPr>
                <w:noProof/>
              </w:rPr>
              <w:t>156</w:t>
            </w:r>
          </w:p>
        </w:tc>
        <w:tc>
          <w:tcPr>
            <w:tcW w:w="1452" w:type="dxa"/>
            <w:tcBorders>
              <w:top w:val="nil"/>
              <w:left w:val="nil"/>
              <w:bottom w:val="single" w:sz="4" w:space="0" w:color="auto"/>
              <w:right w:val="single" w:sz="4" w:space="0" w:color="auto"/>
            </w:tcBorders>
            <w:shd w:val="clear" w:color="auto" w:fill="C6EFCE"/>
            <w:noWrap/>
            <w:vAlign w:val="center"/>
            <w:hideMark/>
          </w:tcPr>
          <w:p w14:paraId="10CE0852" w14:textId="77777777" w:rsidR="00235E11" w:rsidRDefault="00F837E4">
            <w:pPr>
              <w:pStyle w:val="P68B1DB1-Normal10"/>
              <w:spacing w:after="0"/>
              <w:rPr>
                <w:noProof/>
              </w:rPr>
            </w:pPr>
            <w:r>
              <w:rPr>
                <w:noProof/>
              </w:rPr>
              <w:t>Пенсия и край на кариерата (R-4.07)</w:t>
            </w:r>
          </w:p>
        </w:tc>
        <w:tc>
          <w:tcPr>
            <w:tcW w:w="1276" w:type="dxa"/>
            <w:tcBorders>
              <w:top w:val="nil"/>
              <w:left w:val="nil"/>
              <w:bottom w:val="single" w:sz="4" w:space="0" w:color="auto"/>
              <w:right w:val="single" w:sz="4" w:space="0" w:color="auto"/>
            </w:tcBorders>
            <w:shd w:val="clear" w:color="auto" w:fill="C6EFCE"/>
            <w:noWrap/>
            <w:vAlign w:val="center"/>
            <w:hideMark/>
          </w:tcPr>
          <w:p w14:paraId="4B21FCA4" w14:textId="7C2613E9" w:rsidR="00235E11" w:rsidRDefault="00F837E4">
            <w:pPr>
              <w:pStyle w:val="P68B1DB1-Normal10"/>
              <w:spacing w:after="0"/>
              <w:rPr>
                <w:noProof/>
              </w:rPr>
            </w:pPr>
            <w:r>
              <w:rPr>
                <w:noProof/>
              </w:rPr>
              <w:t>M</w:t>
            </w:r>
          </w:p>
        </w:tc>
        <w:tc>
          <w:tcPr>
            <w:tcW w:w="1417" w:type="dxa"/>
            <w:tcBorders>
              <w:top w:val="nil"/>
              <w:left w:val="nil"/>
              <w:bottom w:val="single" w:sz="4" w:space="0" w:color="auto"/>
              <w:right w:val="single" w:sz="4" w:space="0" w:color="auto"/>
            </w:tcBorders>
            <w:shd w:val="clear" w:color="auto" w:fill="C6EFCE"/>
            <w:noWrap/>
            <w:vAlign w:val="center"/>
            <w:hideMark/>
          </w:tcPr>
          <w:p w14:paraId="71E60B06" w14:textId="77777777" w:rsidR="00235E11" w:rsidRDefault="00F837E4">
            <w:pPr>
              <w:pStyle w:val="P68B1DB1-Normal10"/>
              <w:spacing w:after="0"/>
              <w:rPr>
                <w:noProof/>
              </w:rPr>
            </w:pPr>
            <w:r>
              <w:rPr>
                <w:noProof/>
              </w:rPr>
              <w:t>План за действие, основан на резултатите от конференцията по заетостта</w:t>
            </w:r>
          </w:p>
        </w:tc>
        <w:tc>
          <w:tcPr>
            <w:tcW w:w="1559" w:type="dxa"/>
            <w:tcBorders>
              <w:top w:val="nil"/>
              <w:left w:val="nil"/>
              <w:bottom w:val="single" w:sz="4" w:space="0" w:color="auto"/>
              <w:right w:val="single" w:sz="4" w:space="0" w:color="auto"/>
            </w:tcBorders>
            <w:shd w:val="clear" w:color="auto" w:fill="C6EFCE"/>
            <w:noWrap/>
            <w:vAlign w:val="center"/>
            <w:hideMark/>
          </w:tcPr>
          <w:p w14:paraId="2141D127" w14:textId="77777777" w:rsidR="00235E11" w:rsidRDefault="00F837E4">
            <w:pPr>
              <w:pStyle w:val="P68B1DB1-Normal10"/>
              <w:spacing w:after="0"/>
              <w:rPr>
                <w:noProof/>
              </w:rPr>
            </w:pPr>
            <w:r>
              <w:rPr>
                <w:noProof/>
              </w:rPr>
              <w:t>Излъчване на живо (и документиране) на дебатите на конференцията по заетостта и предложения план за действие, включени в дневния ред на Федералния съвет на министрите</w:t>
            </w:r>
          </w:p>
        </w:tc>
        <w:tc>
          <w:tcPr>
            <w:tcW w:w="1134" w:type="dxa"/>
            <w:tcBorders>
              <w:top w:val="nil"/>
              <w:left w:val="nil"/>
              <w:bottom w:val="single" w:sz="4" w:space="0" w:color="auto"/>
              <w:right w:val="single" w:sz="4" w:space="0" w:color="auto"/>
            </w:tcBorders>
            <w:shd w:val="clear" w:color="auto" w:fill="C6EFCE"/>
            <w:noWrap/>
            <w:vAlign w:val="center"/>
          </w:tcPr>
          <w:p w14:paraId="75019543" w14:textId="77777777" w:rsidR="00235E11" w:rsidRDefault="00235E11">
            <w:pPr>
              <w:spacing w:after="0"/>
              <w:jc w:val="center"/>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58C83236"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133B19A9" w14:textId="77777777" w:rsidR="00235E11" w:rsidRDefault="00235E11">
            <w:pPr>
              <w:spacing w:after="0"/>
              <w:jc w:val="center"/>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5D542C47" w14:textId="77777777" w:rsidR="00235E11" w:rsidRDefault="00F837E4">
            <w:pPr>
              <w:pStyle w:val="P68B1DB1-Normal10"/>
              <w:spacing w:after="0"/>
              <w:jc w:val="center"/>
              <w:rPr>
                <w:noProof/>
              </w:rPr>
            </w:pPr>
            <w:r>
              <w:rPr>
                <w:noProof/>
              </w:rPr>
              <w:t>Т2 Г.</w:t>
            </w:r>
          </w:p>
        </w:tc>
        <w:tc>
          <w:tcPr>
            <w:tcW w:w="993" w:type="dxa"/>
            <w:tcBorders>
              <w:top w:val="nil"/>
              <w:left w:val="nil"/>
              <w:bottom w:val="single" w:sz="4" w:space="0" w:color="auto"/>
              <w:right w:val="single" w:sz="4" w:space="0" w:color="auto"/>
            </w:tcBorders>
            <w:shd w:val="clear" w:color="auto" w:fill="C6EFCE"/>
            <w:noWrap/>
            <w:vAlign w:val="center"/>
            <w:hideMark/>
          </w:tcPr>
          <w:p w14:paraId="01338F5E" w14:textId="77777777" w:rsidR="00235E11" w:rsidRDefault="00F837E4">
            <w:pPr>
              <w:pStyle w:val="P68B1DB1-Normal10"/>
              <w:spacing w:after="0"/>
              <w:jc w:val="center"/>
              <w:rPr>
                <w:noProof/>
              </w:rPr>
            </w:pPr>
            <w:r>
              <w:rPr>
                <w:noProof/>
              </w:rPr>
              <w:t>2022</w:t>
            </w:r>
          </w:p>
        </w:tc>
        <w:tc>
          <w:tcPr>
            <w:tcW w:w="4132" w:type="dxa"/>
            <w:tcBorders>
              <w:top w:val="nil"/>
              <w:left w:val="nil"/>
              <w:bottom w:val="single" w:sz="4" w:space="0" w:color="auto"/>
              <w:right w:val="single" w:sz="4" w:space="0" w:color="auto"/>
            </w:tcBorders>
            <w:shd w:val="clear" w:color="auto" w:fill="C6EFCE"/>
            <w:noWrap/>
            <w:vAlign w:val="center"/>
            <w:hideMark/>
          </w:tcPr>
          <w:p w14:paraId="320FA805" w14:textId="77777777" w:rsidR="00235E11" w:rsidRDefault="00F837E4">
            <w:pPr>
              <w:pStyle w:val="P68B1DB1-Normal10"/>
              <w:spacing w:after="0"/>
              <w:rPr>
                <w:noProof/>
              </w:rPr>
            </w:pPr>
            <w:r>
              <w:rPr>
                <w:noProof/>
              </w:rPr>
              <w:t>Излъчване на живо (и запис) на разискванията в рамките на конференцията „Заетост“ от администрацията (SPF ETCS). В дневния ред на Министерския съвет се изготвя и включва в дневния ред на Министерския съвет предложен план за действие за повишаване на равнището на заетост на служителите към края на кариерата си въз основа на картографиране на съществуващите съответни федерални мерки, изготвен от федералното министерство на труда, и приноса на социалните партньори, регионите и други заинтересовани страни. Целта на този план за действие е да намери израз в конкретни регулаторни предложения (законодателни или административни), които да бъдат приети от федералните органи (ако е необходимо — федералния парламент).</w:t>
            </w:r>
          </w:p>
        </w:tc>
      </w:tr>
      <w:tr w:rsidR="00235E11" w14:paraId="0FCEBAB4"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282E1212" w14:textId="77777777" w:rsidR="00235E11" w:rsidRDefault="00F837E4">
            <w:pPr>
              <w:pStyle w:val="P68B1DB1-Normal10"/>
              <w:spacing w:after="0"/>
              <w:jc w:val="center"/>
              <w:rPr>
                <w:noProof/>
              </w:rPr>
            </w:pPr>
            <w:r>
              <w:rPr>
                <w:noProof/>
              </w:rPr>
              <w:t>157</w:t>
            </w:r>
          </w:p>
        </w:tc>
        <w:tc>
          <w:tcPr>
            <w:tcW w:w="1452" w:type="dxa"/>
            <w:tcBorders>
              <w:top w:val="nil"/>
              <w:left w:val="nil"/>
              <w:bottom w:val="single" w:sz="4" w:space="0" w:color="auto"/>
              <w:right w:val="single" w:sz="4" w:space="0" w:color="auto"/>
            </w:tcBorders>
            <w:shd w:val="clear" w:color="auto" w:fill="C6EFCE"/>
            <w:noWrap/>
            <w:vAlign w:val="center"/>
            <w:hideMark/>
          </w:tcPr>
          <w:p w14:paraId="0A77FF1E" w14:textId="77777777" w:rsidR="00235E11" w:rsidRDefault="00F837E4">
            <w:pPr>
              <w:pStyle w:val="P68B1DB1-Normal10"/>
              <w:spacing w:after="0"/>
              <w:rPr>
                <w:noProof/>
              </w:rPr>
            </w:pPr>
            <w:r>
              <w:rPr>
                <w:noProof/>
              </w:rPr>
              <w:t>Пенсия и край на кариерата (R-4.07)</w:t>
            </w:r>
          </w:p>
        </w:tc>
        <w:tc>
          <w:tcPr>
            <w:tcW w:w="1276" w:type="dxa"/>
            <w:tcBorders>
              <w:top w:val="nil"/>
              <w:left w:val="nil"/>
              <w:bottom w:val="single" w:sz="4" w:space="0" w:color="auto"/>
              <w:right w:val="single" w:sz="4" w:space="0" w:color="auto"/>
            </w:tcBorders>
            <w:shd w:val="clear" w:color="auto" w:fill="C6EFCE"/>
            <w:noWrap/>
            <w:vAlign w:val="center"/>
            <w:hideMark/>
          </w:tcPr>
          <w:p w14:paraId="3882D111" w14:textId="22A616B9" w:rsidR="00235E11" w:rsidRDefault="00F837E4">
            <w:pPr>
              <w:pStyle w:val="P68B1DB1-Normal10"/>
              <w:spacing w:after="0"/>
              <w:rPr>
                <w:noProof/>
              </w:rPr>
            </w:pPr>
            <w:r>
              <w:rPr>
                <w:noProof/>
              </w:rPr>
              <w:t>M</w:t>
            </w:r>
          </w:p>
        </w:tc>
        <w:tc>
          <w:tcPr>
            <w:tcW w:w="1417" w:type="dxa"/>
            <w:tcBorders>
              <w:top w:val="nil"/>
              <w:left w:val="nil"/>
              <w:bottom w:val="single" w:sz="4" w:space="0" w:color="auto"/>
              <w:right w:val="single" w:sz="4" w:space="0" w:color="auto"/>
            </w:tcBorders>
            <w:shd w:val="clear" w:color="auto" w:fill="C6EFCE"/>
            <w:noWrap/>
            <w:vAlign w:val="center"/>
            <w:hideMark/>
          </w:tcPr>
          <w:p w14:paraId="0D9B4CFD" w14:textId="77777777" w:rsidR="00235E11" w:rsidRDefault="00F837E4">
            <w:pPr>
              <w:pStyle w:val="P68B1DB1-Normal10"/>
              <w:spacing w:after="0"/>
              <w:rPr>
                <w:noProof/>
              </w:rPr>
            </w:pPr>
            <w:r>
              <w:rPr>
                <w:noProof/>
              </w:rPr>
              <w:t>Предложение за пенсионна реформа</w:t>
            </w:r>
          </w:p>
        </w:tc>
        <w:tc>
          <w:tcPr>
            <w:tcW w:w="1559" w:type="dxa"/>
            <w:tcBorders>
              <w:top w:val="nil"/>
              <w:left w:val="nil"/>
              <w:bottom w:val="single" w:sz="4" w:space="0" w:color="auto"/>
              <w:right w:val="single" w:sz="4" w:space="0" w:color="auto"/>
            </w:tcBorders>
            <w:shd w:val="clear" w:color="auto" w:fill="C6EFCE"/>
            <w:noWrap/>
            <w:vAlign w:val="center"/>
          </w:tcPr>
          <w:p w14:paraId="19E52C93" w14:textId="77777777" w:rsidR="00235E11" w:rsidRDefault="00F837E4">
            <w:pPr>
              <w:pStyle w:val="P68B1DB1-Normal10"/>
              <w:spacing w:after="0"/>
              <w:rPr>
                <w:noProof/>
              </w:rPr>
            </w:pPr>
            <w:r>
              <w:rPr>
                <w:noProof/>
              </w:rPr>
              <w:t>Предложение за реформа, представено на Министерския съвет на федералното правителство</w:t>
            </w:r>
          </w:p>
        </w:tc>
        <w:tc>
          <w:tcPr>
            <w:tcW w:w="1134" w:type="dxa"/>
            <w:tcBorders>
              <w:top w:val="nil"/>
              <w:left w:val="nil"/>
              <w:bottom w:val="single" w:sz="4" w:space="0" w:color="auto"/>
              <w:right w:val="single" w:sz="4" w:space="0" w:color="auto"/>
            </w:tcBorders>
            <w:shd w:val="clear" w:color="auto" w:fill="C6EFCE"/>
            <w:noWrap/>
            <w:vAlign w:val="center"/>
          </w:tcPr>
          <w:p w14:paraId="07EBD2C1" w14:textId="77777777" w:rsidR="00235E11" w:rsidRDefault="00235E11">
            <w:pPr>
              <w:spacing w:after="0"/>
              <w:jc w:val="center"/>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7D00F74C"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291C1FDD" w14:textId="77777777" w:rsidR="00235E11" w:rsidRDefault="00235E11">
            <w:pPr>
              <w:spacing w:after="0"/>
              <w:jc w:val="center"/>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36FF2180" w14:textId="77777777" w:rsidR="00235E11" w:rsidRDefault="00F837E4">
            <w:pPr>
              <w:pStyle w:val="P68B1DB1-Normal10"/>
              <w:spacing w:after="0"/>
              <w:jc w:val="center"/>
              <w:rPr>
                <w:noProof/>
              </w:rPr>
            </w:pPr>
            <w:r>
              <w:rPr>
                <w:noProof/>
              </w:rPr>
              <w:t>Т4 Г.</w:t>
            </w:r>
          </w:p>
        </w:tc>
        <w:tc>
          <w:tcPr>
            <w:tcW w:w="993" w:type="dxa"/>
            <w:tcBorders>
              <w:top w:val="nil"/>
              <w:left w:val="nil"/>
              <w:bottom w:val="single" w:sz="4" w:space="0" w:color="auto"/>
              <w:right w:val="single" w:sz="4" w:space="0" w:color="auto"/>
            </w:tcBorders>
            <w:shd w:val="clear" w:color="auto" w:fill="C6EFCE"/>
            <w:noWrap/>
            <w:vAlign w:val="center"/>
            <w:hideMark/>
          </w:tcPr>
          <w:p w14:paraId="74B4F886" w14:textId="77777777" w:rsidR="00235E11" w:rsidRDefault="00F837E4">
            <w:pPr>
              <w:pStyle w:val="P68B1DB1-Normal10"/>
              <w:spacing w:after="0"/>
              <w:jc w:val="center"/>
              <w:rPr>
                <w:noProof/>
              </w:rPr>
            </w:pPr>
            <w:r>
              <w:rPr>
                <w:noProof/>
              </w:rPr>
              <w:t>2021</w:t>
            </w:r>
          </w:p>
        </w:tc>
        <w:tc>
          <w:tcPr>
            <w:tcW w:w="4132" w:type="dxa"/>
            <w:tcBorders>
              <w:top w:val="nil"/>
              <w:left w:val="nil"/>
              <w:bottom w:val="single" w:sz="4" w:space="0" w:color="auto"/>
              <w:right w:val="single" w:sz="4" w:space="0" w:color="auto"/>
            </w:tcBorders>
            <w:shd w:val="clear" w:color="auto" w:fill="C6EFCE"/>
            <w:noWrap/>
            <w:vAlign w:val="center"/>
            <w:hideMark/>
          </w:tcPr>
          <w:p w14:paraId="5DAF2264" w14:textId="77777777" w:rsidR="00235E11" w:rsidRDefault="00F837E4">
            <w:pPr>
              <w:pStyle w:val="P68B1DB1-Normal10"/>
              <w:spacing w:after="0"/>
              <w:rPr>
                <w:noProof/>
              </w:rPr>
            </w:pPr>
            <w:r>
              <w:rPr>
                <w:noProof/>
              </w:rPr>
              <w:t xml:space="preserve">Предложение за реформа на пенсионния режим, представено за одобрение от Министерския съвет на федералното правителство, което включва следните елементи: </w:t>
            </w:r>
          </w:p>
          <w:p w14:paraId="22C73DF5" w14:textId="77777777" w:rsidR="00235E11" w:rsidRDefault="00F837E4">
            <w:pPr>
              <w:pStyle w:val="P68B1DB1-Normal10"/>
              <w:spacing w:after="0"/>
              <w:rPr>
                <w:noProof/>
              </w:rPr>
            </w:pPr>
            <w:r>
              <w:rPr>
                <w:noProof/>
              </w:rPr>
              <w:t xml:space="preserve">I) Мерки за подобряване на финансовата и социалната устойчивост на пенсионната система; </w:t>
            </w:r>
          </w:p>
          <w:p w14:paraId="50A09B7F" w14:textId="77777777" w:rsidR="00235E11" w:rsidRDefault="00F837E4">
            <w:pPr>
              <w:pStyle w:val="P68B1DB1-Normal10"/>
              <w:spacing w:after="0"/>
              <w:rPr>
                <w:noProof/>
              </w:rPr>
            </w:pPr>
            <w:r>
              <w:rPr>
                <w:noProof/>
              </w:rPr>
              <w:t xml:space="preserve">II) Мерки за стимулиране на хората да останат активни на пазара на труда след изпълнение на условията за ранно пенсиониране; </w:t>
            </w:r>
          </w:p>
          <w:p w14:paraId="3C7A3985" w14:textId="77777777" w:rsidR="00235E11" w:rsidRDefault="00F837E4">
            <w:pPr>
              <w:pStyle w:val="P68B1DB1-Normal10"/>
              <w:spacing w:after="0"/>
              <w:rPr>
                <w:noProof/>
              </w:rPr>
            </w:pPr>
            <w:r>
              <w:rPr>
                <w:noProof/>
              </w:rPr>
              <w:t>III) Мерки за засилване на своята солидарна роля за гарантиране на достойна минимална пенсия, застрахователна роля, баланс между половете, като се взема предвид общата цел за подобряване на финансовата и социалната устойчивост на пенсионния режим;</w:t>
            </w:r>
          </w:p>
          <w:p w14:paraId="37FD69C0" w14:textId="77777777" w:rsidR="00235E11" w:rsidRDefault="00F837E4">
            <w:pPr>
              <w:pStyle w:val="P68B1DB1-Normal10"/>
              <w:spacing w:after="0"/>
              <w:rPr>
                <w:noProof/>
              </w:rPr>
            </w:pPr>
            <w:r>
              <w:rPr>
                <w:noProof/>
              </w:rPr>
              <w:t>IV) Мерки за осигуряване на сближаване между и в рамките на различните системи.</w:t>
            </w:r>
          </w:p>
        </w:tc>
      </w:tr>
      <w:tr w:rsidR="00235E11" w14:paraId="19DD432B"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08DD379A" w14:textId="77777777" w:rsidR="00235E11" w:rsidRDefault="00F837E4">
            <w:pPr>
              <w:pStyle w:val="P68B1DB1-Normal10"/>
              <w:spacing w:after="0"/>
              <w:jc w:val="center"/>
              <w:rPr>
                <w:noProof/>
              </w:rPr>
            </w:pPr>
            <w:r>
              <w:rPr>
                <w:noProof/>
              </w:rPr>
              <w:t>158</w:t>
            </w:r>
          </w:p>
        </w:tc>
        <w:tc>
          <w:tcPr>
            <w:tcW w:w="1452" w:type="dxa"/>
            <w:tcBorders>
              <w:top w:val="nil"/>
              <w:left w:val="nil"/>
              <w:bottom w:val="single" w:sz="4" w:space="0" w:color="auto"/>
              <w:right w:val="single" w:sz="4" w:space="0" w:color="auto"/>
            </w:tcBorders>
            <w:shd w:val="clear" w:color="auto" w:fill="C6EFCE"/>
            <w:noWrap/>
            <w:vAlign w:val="center"/>
            <w:hideMark/>
          </w:tcPr>
          <w:p w14:paraId="29AAC8DE" w14:textId="77777777" w:rsidR="00235E11" w:rsidRDefault="00F837E4">
            <w:pPr>
              <w:pStyle w:val="P68B1DB1-Normal10"/>
              <w:spacing w:after="0"/>
              <w:rPr>
                <w:noProof/>
              </w:rPr>
            </w:pPr>
            <w:r>
              <w:rPr>
                <w:noProof/>
              </w:rPr>
              <w:t>Пенсия и край на кариерата (R-4.07)</w:t>
            </w:r>
          </w:p>
        </w:tc>
        <w:tc>
          <w:tcPr>
            <w:tcW w:w="1276" w:type="dxa"/>
            <w:tcBorders>
              <w:top w:val="nil"/>
              <w:left w:val="nil"/>
              <w:bottom w:val="single" w:sz="4" w:space="0" w:color="auto"/>
              <w:right w:val="single" w:sz="4" w:space="0" w:color="auto"/>
            </w:tcBorders>
            <w:shd w:val="clear" w:color="auto" w:fill="C6EFCE"/>
            <w:noWrap/>
            <w:vAlign w:val="center"/>
            <w:hideMark/>
          </w:tcPr>
          <w:p w14:paraId="17E8AFC9" w14:textId="46ECC974" w:rsidR="00235E11" w:rsidRDefault="00F837E4">
            <w:pPr>
              <w:pStyle w:val="P68B1DB1-Normal10"/>
              <w:spacing w:after="0"/>
              <w:rPr>
                <w:noProof/>
              </w:rPr>
            </w:pPr>
            <w:r>
              <w:rPr>
                <w:noProof/>
              </w:rPr>
              <w:t>M</w:t>
            </w:r>
          </w:p>
        </w:tc>
        <w:tc>
          <w:tcPr>
            <w:tcW w:w="1417" w:type="dxa"/>
            <w:tcBorders>
              <w:top w:val="nil"/>
              <w:left w:val="nil"/>
              <w:bottom w:val="single" w:sz="4" w:space="0" w:color="auto"/>
              <w:right w:val="single" w:sz="4" w:space="0" w:color="auto"/>
            </w:tcBorders>
            <w:shd w:val="clear" w:color="auto" w:fill="C6EFCE"/>
            <w:noWrap/>
            <w:vAlign w:val="center"/>
            <w:hideMark/>
          </w:tcPr>
          <w:p w14:paraId="54AC8244" w14:textId="77777777" w:rsidR="00235E11" w:rsidRDefault="00F837E4">
            <w:pPr>
              <w:pStyle w:val="P68B1DB1-Normal10"/>
              <w:spacing w:after="0"/>
              <w:rPr>
                <w:noProof/>
              </w:rPr>
            </w:pPr>
            <w:r>
              <w:rPr>
                <w:noProof/>
              </w:rPr>
              <w:t>Приемане на пенсионната реформа</w:t>
            </w:r>
          </w:p>
        </w:tc>
        <w:tc>
          <w:tcPr>
            <w:tcW w:w="1559" w:type="dxa"/>
            <w:tcBorders>
              <w:top w:val="nil"/>
              <w:left w:val="nil"/>
              <w:bottom w:val="single" w:sz="4" w:space="0" w:color="auto"/>
              <w:right w:val="single" w:sz="4" w:space="0" w:color="auto"/>
            </w:tcBorders>
            <w:shd w:val="clear" w:color="auto" w:fill="C6EFCE"/>
            <w:noWrap/>
            <w:vAlign w:val="center"/>
            <w:hideMark/>
          </w:tcPr>
          <w:p w14:paraId="790E5925" w14:textId="77777777" w:rsidR="00235E11" w:rsidRDefault="00F837E4">
            <w:pPr>
              <w:pStyle w:val="P68B1DB1-Normal10"/>
              <w:spacing w:after="0"/>
              <w:rPr>
                <w:noProof/>
              </w:rPr>
            </w:pPr>
            <w:r>
              <w:rPr>
                <w:noProof/>
              </w:rPr>
              <w:t>Приемане от федералния парламент на закона за реформа на пенсионната система</w:t>
            </w:r>
          </w:p>
        </w:tc>
        <w:tc>
          <w:tcPr>
            <w:tcW w:w="1134" w:type="dxa"/>
            <w:tcBorders>
              <w:top w:val="nil"/>
              <w:left w:val="nil"/>
              <w:bottom w:val="single" w:sz="4" w:space="0" w:color="auto"/>
              <w:right w:val="single" w:sz="4" w:space="0" w:color="auto"/>
            </w:tcBorders>
            <w:shd w:val="clear" w:color="auto" w:fill="C6EFCE"/>
            <w:noWrap/>
            <w:vAlign w:val="center"/>
            <w:hideMark/>
          </w:tcPr>
          <w:p w14:paraId="367ED69B" w14:textId="77777777" w:rsidR="00235E11" w:rsidRDefault="00235E11">
            <w:pPr>
              <w:spacing w:after="0"/>
              <w:jc w:val="center"/>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hideMark/>
          </w:tcPr>
          <w:p w14:paraId="3AFBBD05"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hideMark/>
          </w:tcPr>
          <w:p w14:paraId="668F31F2" w14:textId="77777777" w:rsidR="00235E11" w:rsidRDefault="00235E11">
            <w:pPr>
              <w:spacing w:after="0"/>
              <w:jc w:val="center"/>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1E7BF58C" w14:textId="77777777" w:rsidR="00235E11" w:rsidRDefault="00F837E4">
            <w:pPr>
              <w:pStyle w:val="P68B1DB1-Normal10"/>
              <w:spacing w:after="0"/>
              <w:jc w:val="center"/>
              <w:rPr>
                <w:noProof/>
              </w:rPr>
            </w:pPr>
            <w:r>
              <w:rPr>
                <w:noProof/>
              </w:rPr>
              <w:t>Т2 Г.</w:t>
            </w:r>
          </w:p>
        </w:tc>
        <w:tc>
          <w:tcPr>
            <w:tcW w:w="993" w:type="dxa"/>
            <w:tcBorders>
              <w:top w:val="nil"/>
              <w:left w:val="nil"/>
              <w:bottom w:val="single" w:sz="4" w:space="0" w:color="auto"/>
              <w:right w:val="single" w:sz="4" w:space="0" w:color="auto"/>
            </w:tcBorders>
            <w:shd w:val="clear" w:color="auto" w:fill="C6EFCE"/>
            <w:noWrap/>
            <w:vAlign w:val="center"/>
            <w:hideMark/>
          </w:tcPr>
          <w:p w14:paraId="1487AD2A" w14:textId="77777777" w:rsidR="00235E11" w:rsidRDefault="00F837E4">
            <w:pPr>
              <w:pStyle w:val="P68B1DB1-Normal10"/>
              <w:spacing w:after="0"/>
              <w:jc w:val="center"/>
              <w:rPr>
                <w:noProof/>
              </w:rPr>
            </w:pPr>
            <w:r>
              <w:rPr>
                <w:noProof/>
              </w:rPr>
              <w:t>2024</w:t>
            </w:r>
          </w:p>
        </w:tc>
        <w:tc>
          <w:tcPr>
            <w:tcW w:w="4132" w:type="dxa"/>
            <w:tcBorders>
              <w:top w:val="nil"/>
              <w:left w:val="nil"/>
              <w:bottom w:val="single" w:sz="4" w:space="0" w:color="auto"/>
              <w:right w:val="single" w:sz="4" w:space="0" w:color="auto"/>
            </w:tcBorders>
            <w:shd w:val="clear" w:color="auto" w:fill="C6EFCE"/>
            <w:noWrap/>
            <w:vAlign w:val="center"/>
            <w:hideMark/>
          </w:tcPr>
          <w:p w14:paraId="340AEBAA" w14:textId="77777777" w:rsidR="00235E11" w:rsidRDefault="00F837E4">
            <w:pPr>
              <w:pStyle w:val="P68B1DB1-Normal10"/>
              <w:spacing w:after="0"/>
              <w:rPr>
                <w:noProof/>
              </w:rPr>
            </w:pPr>
            <w:r>
              <w:rPr>
                <w:noProof/>
              </w:rPr>
              <w:t>Приемане на закона за реформа на пенсионния режим от федералния парламент. Законът включва следните елементи:</w:t>
            </w:r>
          </w:p>
          <w:p w14:paraId="21FFB692" w14:textId="77777777" w:rsidR="00235E11" w:rsidRDefault="00F837E4">
            <w:pPr>
              <w:pStyle w:val="P68B1DB1-Normal10"/>
              <w:spacing w:after="0"/>
              <w:rPr>
                <w:noProof/>
              </w:rPr>
            </w:pPr>
            <w:r>
              <w:rPr>
                <w:noProof/>
              </w:rPr>
              <w:t xml:space="preserve">I) Мерки за подобряване на финансовата и социалната устойчивост на пенсионната система; </w:t>
            </w:r>
          </w:p>
          <w:p w14:paraId="6A0BC266" w14:textId="77777777" w:rsidR="00235E11" w:rsidRDefault="00F837E4">
            <w:pPr>
              <w:pStyle w:val="P68B1DB1-Normal10"/>
              <w:spacing w:after="0"/>
              <w:rPr>
                <w:noProof/>
              </w:rPr>
            </w:pPr>
            <w:r>
              <w:rPr>
                <w:noProof/>
              </w:rPr>
              <w:t xml:space="preserve">II) Мерки за стимулиране на хората да останат активни на пазара на труда след изпълнение на условията за ранно пенсиониране; </w:t>
            </w:r>
          </w:p>
          <w:p w14:paraId="602DA835" w14:textId="77777777" w:rsidR="00235E11" w:rsidRDefault="00F837E4">
            <w:pPr>
              <w:pStyle w:val="P68B1DB1-Normal10"/>
              <w:spacing w:after="0"/>
              <w:rPr>
                <w:noProof/>
              </w:rPr>
            </w:pPr>
            <w:r>
              <w:rPr>
                <w:noProof/>
              </w:rPr>
              <w:t>III) Мерки за засилване на своята солидарна роля за гарантиране на достойна минимална пенсия, застрахователна роля, баланс между половете, като се взема предвид общата цел за подобряване на финансовата и социалната устойчивост на пенсионния режим;</w:t>
            </w:r>
          </w:p>
          <w:p w14:paraId="529ADB56" w14:textId="77777777" w:rsidR="00235E11" w:rsidRDefault="00F837E4">
            <w:pPr>
              <w:pStyle w:val="P68B1DB1-Normal10"/>
              <w:spacing w:after="0"/>
              <w:rPr>
                <w:noProof/>
              </w:rPr>
            </w:pPr>
            <w:r>
              <w:rPr>
                <w:noProof/>
              </w:rPr>
              <w:t>IV) Мерки за осигуряване на сближаване между и в рамките на различните системи.</w:t>
            </w:r>
          </w:p>
        </w:tc>
      </w:tr>
    </w:tbl>
    <w:p w14:paraId="668F7222" w14:textId="77777777" w:rsidR="00235E11" w:rsidRDefault="00235E11">
      <w:pPr>
        <w:pStyle w:val="Text1"/>
        <w:rPr>
          <w:noProof/>
        </w:rPr>
      </w:pPr>
    </w:p>
    <w:p w14:paraId="281A82EE" w14:textId="77777777" w:rsidR="00235E11" w:rsidRDefault="00235E11">
      <w:pPr>
        <w:pStyle w:val="Text1"/>
        <w:ind w:left="709"/>
        <w:rPr>
          <w:noProof/>
        </w:rPr>
        <w:sectPr w:rsidR="00235E11" w:rsidSect="007F56C3">
          <w:headerReference w:type="even" r:id="rId192"/>
          <w:headerReference w:type="default" r:id="rId193"/>
          <w:footerReference w:type="even" r:id="rId194"/>
          <w:footerReference w:type="default" r:id="rId195"/>
          <w:headerReference w:type="first" r:id="rId196"/>
          <w:footerReference w:type="first" r:id="rId197"/>
          <w:pgSz w:w="16839" w:h="11907" w:orient="landscape"/>
          <w:pgMar w:top="1134" w:right="1134" w:bottom="1134" w:left="1134" w:header="567" w:footer="567" w:gutter="0"/>
          <w:cols w:space="720"/>
          <w:docGrid w:linePitch="360"/>
        </w:sectPr>
      </w:pPr>
    </w:p>
    <w:p w14:paraId="5B548FD5" w14:textId="16C06C24" w:rsidR="00235E11" w:rsidRDefault="00675B08">
      <w:pPr>
        <w:pStyle w:val="ManualHeading1"/>
        <w:spacing w:before="120"/>
        <w:ind w:left="0" w:firstLine="0"/>
        <w:rPr>
          <w:noProof/>
        </w:rPr>
      </w:pPr>
      <w:r>
        <w:rPr>
          <w:noProof/>
          <w:lang w:val="bg-BG"/>
        </w:rPr>
        <w:t>Н</w:t>
      </w:r>
      <w:r w:rsidR="00F837E4">
        <w:rPr>
          <w:noProof/>
        </w:rPr>
        <w:t>. КОМПОНЕНТ 5.1: Обучение и пазар на труда</w:t>
      </w:r>
    </w:p>
    <w:p w14:paraId="561EC7F4" w14:textId="77777777" w:rsidR="00235E11" w:rsidRDefault="00F837E4">
      <w:pPr>
        <w:pStyle w:val="Text1"/>
        <w:ind w:left="0"/>
        <w:rPr>
          <w:noProof/>
        </w:rPr>
      </w:pPr>
      <w:r>
        <w:rPr>
          <w:noProof/>
        </w:rPr>
        <w:t>Този компонент на белгийския план за възстановяване и устойчивост се състои от мерки, насочени към увеличаване на равнището на заетост, като същевременно се гарантира приобщаващ пазар на труда. Мерките се състоят в предоставяне на работната сила на умения, съответстващи на настоящите и бъдещите нужди на пазара на труда, включително екологичен и цифров преход, и увеличаване на участието на пазара на труда чрез обучение, активизиране и наставничество, но също така и чрез справяне с капаните на заетостта и повишаване на привлекателността на труда.</w:t>
      </w:r>
    </w:p>
    <w:p w14:paraId="75E9B2DB" w14:textId="77777777" w:rsidR="00235E11" w:rsidRDefault="00F837E4">
      <w:pPr>
        <w:pStyle w:val="Text1"/>
        <w:ind w:left="0"/>
        <w:rPr>
          <w:noProof/>
        </w:rPr>
      </w:pPr>
      <w:r>
        <w:rPr>
          <w:noProof/>
        </w:rPr>
        <w:t>Компонентът допринася за изпълнението на специфична за държавата препоръка 2019.2 за намаляване на несъответствията между търсените и предлаганите умения и на специфична за държавата препоръка 2020.2 за смекчаване на въздействието на кризата върху заетостта и социалната сфера.</w:t>
      </w:r>
    </w:p>
    <w:p w14:paraId="217F65E2" w14:textId="77777777" w:rsidR="00235E11" w:rsidRDefault="00F837E4">
      <w:pPr>
        <w:pStyle w:val="Text1"/>
        <w:ind w:left="0"/>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2F745F5A" w14:textId="77777777" w:rsidR="00235E11" w:rsidRDefault="00F837E4">
      <w:pPr>
        <w:pStyle w:val="P68B1DB1-Normal1"/>
        <w:spacing w:before="120" w:after="120" w:line="240" w:lineRule="auto"/>
        <w:jc w:val="both"/>
        <w:rPr>
          <w:noProof/>
        </w:rPr>
      </w:pPr>
      <w:r>
        <w:rPr>
          <w:noProof/>
        </w:rPr>
        <w:t xml:space="preserve">Н.1. </w:t>
      </w:r>
      <w:r>
        <w:rPr>
          <w:noProof/>
        </w:rPr>
        <w:tab/>
        <w:t>Описание на реформите и инвестициите за безвъзмездна финансова подкрепа</w:t>
      </w:r>
    </w:p>
    <w:p w14:paraId="1E7AC7C7" w14:textId="77777777" w:rsidR="00235E11" w:rsidRDefault="00F837E4">
      <w:pPr>
        <w:pStyle w:val="P68B1DB1-Text12"/>
        <w:ind w:left="0"/>
        <w:rPr>
          <w:noProof/>
        </w:rPr>
      </w:pPr>
      <w:r>
        <w:rPr>
          <w:noProof/>
        </w:rPr>
        <w:t>Инвестиция I-5.01: „A6K/E6K Център за цифрови и технологични иновации и обучение“ на Валонския регион</w:t>
      </w:r>
    </w:p>
    <w:p w14:paraId="674EED17" w14:textId="6046CB9F" w:rsidR="00235E11" w:rsidRDefault="00F837E4">
      <w:pPr>
        <w:pStyle w:val="Text1"/>
        <w:ind w:left="0"/>
        <w:rPr>
          <w:noProof/>
          <w:color w:val="000000" w:themeColor="text1"/>
        </w:rPr>
      </w:pPr>
      <w:r>
        <w:rPr>
          <w:noProof/>
        </w:rPr>
        <w:t>С</w:t>
      </w:r>
      <w:r w:rsidR="005A0F69">
        <w:rPr>
          <w:noProof/>
          <w:lang w:val="bg-BG"/>
        </w:rPr>
        <w:t xml:space="preserve"> </w:t>
      </w:r>
      <w:r>
        <w:rPr>
          <w:noProof/>
          <w:color w:val="000000" w:themeColor="text1"/>
        </w:rPr>
        <w:t>инвестиционната мярка се разработва мултидисциплинарен център за инженерни науки (A6K), който обединява екипи от промишлени предприятия, стартиращи предприятия, университети и научноизследователски центрове с цел стимулиране на иновациите и промишлената трансформация във Валония, както и център за технологично образование (E6K), иновативна физическа платформа, обединяваща публични и частни оператори в областта на цифровото и технологичното образование в центъра на Шарлероа, предлагаща разнообразно обучение по съдържание и продължителност. Инвестицията се състои в обновяване и строителство на сгради, в които се помещават центровете, и в подкрепа на дейностите, необходими за ускоряване и разрастване на проекта.</w:t>
      </w:r>
      <w:r>
        <w:rPr>
          <w:noProof/>
        </w:rPr>
        <w:t xml:space="preserve"> Изпълнението на инвестицията трябва да приключи до 30 юни 2026 г.</w:t>
      </w:r>
    </w:p>
    <w:p w14:paraId="59EA765A" w14:textId="77777777" w:rsidR="00235E11" w:rsidRDefault="00F837E4">
      <w:pPr>
        <w:pStyle w:val="P68B1DB1-Text12"/>
        <w:ind w:left="0"/>
        <w:rPr>
          <w:noProof/>
        </w:rPr>
      </w:pPr>
      <w:r>
        <w:rPr>
          <w:noProof/>
        </w:rPr>
        <w:t>Инвестиция I-5.02: „Училище и здравен център на ЕС по биотехнологии“ на Валонския регион</w:t>
      </w:r>
    </w:p>
    <w:p w14:paraId="12CB4339" w14:textId="19F3C62F" w:rsidR="00235E11" w:rsidRDefault="00F837E4">
      <w:pPr>
        <w:pStyle w:val="Text1"/>
        <w:ind w:left="0"/>
        <w:rPr>
          <w:noProof/>
          <w:color w:val="000000" w:themeColor="text1"/>
        </w:rPr>
      </w:pPr>
      <w:r>
        <w:rPr>
          <w:noProof/>
          <w:color w:val="000000" w:themeColor="text1"/>
        </w:rPr>
        <w:t>Инвестиционната мярка обхваща изграждането и оборудването на център за обучение с площ 5</w:t>
      </w:r>
      <w:r>
        <w:rPr>
          <w:noProof/>
        </w:rPr>
        <w:t xml:space="preserve"> m²</w:t>
      </w:r>
      <w:r>
        <w:rPr>
          <w:noProof/>
          <w:color w:val="000000" w:themeColor="text1"/>
        </w:rPr>
        <w:t xml:space="preserve">, разположен в Биопарк в Gosselies (провинция Ено, Валонски регион), насочен към развиване на умения за по-нататъшно развитие на сектора на биотехнологиите/биофармамите. Центърът на ЕС по биотехнологии ще се съсредоточи върху изпълнението на програми за обучение, структурирани около четири стълба: STIM потапяне, биопроизводство и верига на доставки, данни и цифрови, общи и мини ЗМБ. </w:t>
      </w:r>
      <w:r>
        <w:rPr>
          <w:noProof/>
        </w:rPr>
        <w:t>Изпълнението на инвестицията трябва да приключи до 30 септември 2025 г.</w:t>
      </w:r>
    </w:p>
    <w:p w14:paraId="1ADEA419" w14:textId="77777777" w:rsidR="00235E11" w:rsidRDefault="00F837E4">
      <w:pPr>
        <w:pStyle w:val="P68B1DB1-Text12"/>
        <w:ind w:left="0"/>
        <w:rPr>
          <w:noProof/>
        </w:rPr>
      </w:pPr>
      <w:r>
        <w:rPr>
          <w:noProof/>
        </w:rPr>
        <w:t>Инвестиция I-5.03: „Модернизиране на инфраструктурата за специализирано обучение“ на Валонския регион</w:t>
      </w:r>
    </w:p>
    <w:p w14:paraId="6A4A0402" w14:textId="4A27707E" w:rsidR="00235E11" w:rsidRDefault="00F837E4">
      <w:pPr>
        <w:pStyle w:val="Text1"/>
        <w:ind w:left="0"/>
        <w:rPr>
          <w:noProof/>
          <w:color w:val="000000" w:themeColor="text1"/>
        </w:rPr>
      </w:pPr>
      <w:r>
        <w:rPr>
          <w:noProof/>
          <w:color w:val="000000" w:themeColor="text1"/>
        </w:rPr>
        <w:t xml:space="preserve">Инвестиционната мярка обхваща изграждането, обновяването, обновяването на съвременно оборудване, на шест проекта в подкрепа на развитието на умения във Валония: </w:t>
      </w:r>
      <w:r w:rsidR="00F05F84">
        <w:rPr>
          <w:noProof/>
          <w:color w:val="000000" w:themeColor="text1"/>
          <w:lang w:val="en-US"/>
        </w:rPr>
        <w:t>i</w:t>
      </w:r>
      <w:r>
        <w:rPr>
          <w:noProof/>
          <w:color w:val="000000" w:themeColor="text1"/>
        </w:rPr>
        <w:t xml:space="preserve">) Белградския център за обучение (Намюр); </w:t>
      </w:r>
      <w:r w:rsidR="00F05F84">
        <w:rPr>
          <w:noProof/>
          <w:color w:val="000000" w:themeColor="text1"/>
          <w:lang w:val="en-US"/>
        </w:rPr>
        <w:t>ii</w:t>
      </w:r>
      <w:r>
        <w:rPr>
          <w:noProof/>
          <w:color w:val="000000" w:themeColor="text1"/>
        </w:rPr>
        <w:t>) разширяването (273 m² на площадката Seneffe) и оборудването (1 052</w:t>
      </w:r>
      <w:r>
        <w:rPr>
          <w:noProof/>
        </w:rPr>
        <w:t xml:space="preserve"> m² </w:t>
      </w:r>
      <w:r>
        <w:rPr>
          <w:noProof/>
          <w:color w:val="000000" w:themeColor="text1"/>
        </w:rPr>
        <w:t xml:space="preserve">сграда FOREM — 300 m² Hall 3—700 m² Liège) на Експертния център „Aptaskil“, което може да бъде подпомогнато и от други фондове на ЕС; </w:t>
      </w:r>
      <w:r w:rsidR="00F05F84">
        <w:rPr>
          <w:noProof/>
          <w:color w:val="000000" w:themeColor="text1"/>
          <w:lang w:val="en-US"/>
        </w:rPr>
        <w:t>iii</w:t>
      </w:r>
      <w:r>
        <w:rPr>
          <w:noProof/>
          <w:color w:val="000000" w:themeColor="text1"/>
        </w:rPr>
        <w:t xml:space="preserve">) разширяването на Експертния център за технологии; </w:t>
      </w:r>
      <w:r w:rsidR="00F05F84">
        <w:rPr>
          <w:noProof/>
          <w:color w:val="000000" w:themeColor="text1"/>
          <w:lang w:val="en-US"/>
        </w:rPr>
        <w:t>iv</w:t>
      </w:r>
      <w:r>
        <w:rPr>
          <w:noProof/>
          <w:color w:val="000000" w:themeColor="text1"/>
        </w:rPr>
        <w:t xml:space="preserve">) обновяването на Центъра за технически експертни познания (Seraing); v) разширяване на инфраструктурата на центъра за класическо обучение на Forem; </w:t>
      </w:r>
      <w:r w:rsidR="00F05F84">
        <w:rPr>
          <w:noProof/>
          <w:color w:val="000000" w:themeColor="text1"/>
          <w:lang w:val="en-US"/>
        </w:rPr>
        <w:t>vi</w:t>
      </w:r>
      <w:r>
        <w:rPr>
          <w:noProof/>
          <w:color w:val="000000" w:themeColor="text1"/>
        </w:rPr>
        <w:t xml:space="preserve">) създаване на Център за екологични технологии и продължаващо обучение (Монс). </w:t>
      </w:r>
      <w:r>
        <w:rPr>
          <w:noProof/>
        </w:rPr>
        <w:t>Изпълнението на инвестицията трябва да приключи до 30 юни 2026 г.</w:t>
      </w:r>
    </w:p>
    <w:p w14:paraId="3488B205" w14:textId="77777777" w:rsidR="00235E11" w:rsidRDefault="00F837E4">
      <w:pPr>
        <w:pStyle w:val="P68B1DB1-Text12"/>
        <w:ind w:left="0"/>
        <w:rPr>
          <w:noProof/>
        </w:rPr>
      </w:pPr>
      <w:r>
        <w:rPr>
          <w:noProof/>
        </w:rPr>
        <w:t>Инвестиция I-5.04: „Офанзива за учене и професионално развитие“ на Фламандския регион</w:t>
      </w:r>
    </w:p>
    <w:p w14:paraId="7B2235DE" w14:textId="35DFB10A" w:rsidR="00235E11" w:rsidRDefault="00F837E4">
      <w:pPr>
        <w:pStyle w:val="P68B1DB1-Text13"/>
        <w:ind w:left="0"/>
        <w:rPr>
          <w:noProof/>
        </w:rPr>
      </w:pPr>
      <w:r>
        <w:rPr>
          <w:noProof/>
        </w:rPr>
        <w:t xml:space="preserve">Мярката е в изпълнение на споразумението, сключено между фламандското правителство и социалните партньори, което включва целта за насърчаване на обучението и ученето през целия живот. Мярката се състои от набор от подмерки: </w:t>
      </w:r>
      <w:r w:rsidR="00F05F84">
        <w:rPr>
          <w:noProof/>
          <w:lang w:val="en-US"/>
        </w:rPr>
        <w:t>i</w:t>
      </w:r>
      <w:r>
        <w:rPr>
          <w:noProof/>
        </w:rPr>
        <w:t xml:space="preserve">) проверки на компетентността на предприятията; </w:t>
      </w:r>
      <w:r w:rsidR="00F05F84">
        <w:rPr>
          <w:noProof/>
          <w:lang w:val="en-US"/>
        </w:rPr>
        <w:t>ii</w:t>
      </w:r>
      <w:r>
        <w:rPr>
          <w:noProof/>
        </w:rPr>
        <w:t xml:space="preserve">) разширяване на предлагането на онлайн обучение; </w:t>
      </w:r>
      <w:r w:rsidR="00F05F84">
        <w:rPr>
          <w:noProof/>
          <w:lang w:val="en-US"/>
        </w:rPr>
        <w:t>iii</w:t>
      </w:r>
      <w:r>
        <w:rPr>
          <w:noProof/>
        </w:rPr>
        <w:t xml:space="preserve">) обучение за временно безработни; </w:t>
      </w:r>
      <w:r w:rsidR="00F05F84">
        <w:rPr>
          <w:noProof/>
          <w:lang w:val="en-US"/>
        </w:rPr>
        <w:t xml:space="preserve">iv) </w:t>
      </w:r>
      <w:r>
        <w:rPr>
          <w:noProof/>
        </w:rPr>
        <w:t xml:space="preserve">силно социално предприемачество; </w:t>
      </w:r>
      <w:r w:rsidR="00F05F84">
        <w:rPr>
          <w:noProof/>
          <w:lang w:val="en-US"/>
        </w:rPr>
        <w:t>v</w:t>
      </w:r>
      <w:r>
        <w:rPr>
          <w:noProof/>
        </w:rPr>
        <w:t>) допълнителна подкрепа за отпуск за обучение. Изпълнението на инвестицията трябва да приключи до 31 декември 2024 г.</w:t>
      </w:r>
    </w:p>
    <w:p w14:paraId="6A796D7F" w14:textId="77777777" w:rsidR="00235E11" w:rsidRDefault="00F837E4">
      <w:pPr>
        <w:pStyle w:val="P68B1DB1-Text12"/>
        <w:ind w:left="0"/>
        <w:rPr>
          <w:noProof/>
        </w:rPr>
      </w:pPr>
      <w:r>
        <w:rPr>
          <w:noProof/>
        </w:rPr>
        <w:t>Инвестиция I-5.05: „Стратегия за съживяване на пазара на труда“ на регион Брюксел-столица</w:t>
      </w:r>
    </w:p>
    <w:p w14:paraId="4F6A980C" w14:textId="78E6749A" w:rsidR="00235E11" w:rsidRDefault="00F837E4">
      <w:pPr>
        <w:pStyle w:val="Text1"/>
        <w:ind w:left="0"/>
        <w:rPr>
          <w:noProof/>
          <w:color w:val="000000" w:themeColor="text1"/>
        </w:rPr>
      </w:pPr>
      <w:r>
        <w:rPr>
          <w:noProof/>
          <w:color w:val="000000" w:themeColor="text1"/>
        </w:rPr>
        <w:t xml:space="preserve">Инвестицията се състои в прилагането на стратегия за възстановяване на пазара на труда в регион Брюксел-столица. Стратегията е съсредоточена върху ефективността и оптимизирането на политиките за активизиране и обучение, както и върху подкрепата за търсещите работа и работниците за бъдещи работни места или работни места с недостиг на работна ръка. Инвестиционните мерки се състоят в подкрепа на преквалификацията или преориентирането към професии, характеризиращи се с недостиг на работна ръка. За тази цел 600 души, които се възползват от мерките на Брюкселската стратегия, също получават подкрепа за преквалификация или пренасочване към професии, в които има недостиг на работна ръка. Преквалификацията или пренасочването е под няколко форми: обучение, скрининг, тестване и адаптиране на длъжностната характеристика в базите данни. </w:t>
      </w:r>
      <w:r>
        <w:rPr>
          <w:noProof/>
        </w:rPr>
        <w:t>Изпълнението на инвестицията трябва да приключи до 31 декември 2024 г.</w:t>
      </w:r>
    </w:p>
    <w:p w14:paraId="4757E850" w14:textId="002387E3" w:rsidR="00235E11" w:rsidRDefault="00F837E4">
      <w:pPr>
        <w:pStyle w:val="P68B1DB1-Text12"/>
        <w:ind w:left="0"/>
        <w:rPr>
          <w:noProof/>
        </w:rPr>
      </w:pPr>
      <w:r>
        <w:rPr>
          <w:noProof/>
        </w:rPr>
        <w:t>Инвестиция I-5.06: „Цифрови умения“ на Фламандския регион</w:t>
      </w:r>
    </w:p>
    <w:p w14:paraId="12782ABE" w14:textId="394CFAD9" w:rsidR="00235E11" w:rsidRDefault="00F837E4">
      <w:pPr>
        <w:pStyle w:val="Text1"/>
        <w:ind w:left="0"/>
        <w:rPr>
          <w:noProof/>
          <w:color w:val="000000" w:themeColor="text1"/>
        </w:rPr>
      </w:pPr>
      <w:r>
        <w:rPr>
          <w:noProof/>
          <w:color w:val="000000" w:themeColor="text1"/>
        </w:rPr>
        <w:t>Мярката е в изпълнение на споразумението, сключено между фламандското правителство и социалните партньори, което включва целта за „цифрова трансформация на Фландрия“ (стълб II от споразумението). Проектът</w:t>
      </w:r>
      <w:r w:rsidR="005A0F69">
        <w:rPr>
          <w:noProof/>
          <w:color w:val="000000" w:themeColor="text1"/>
          <w:lang w:val="bg-BG"/>
        </w:rPr>
        <w:t xml:space="preserve"> </w:t>
      </w:r>
      <w:r>
        <w:rPr>
          <w:noProof/>
        </w:rPr>
        <w:t xml:space="preserve">се състои от три отделни инициативи: </w:t>
      </w:r>
      <w:r w:rsidR="005A0F69">
        <w:rPr>
          <w:noProof/>
          <w:lang w:val="en-US"/>
        </w:rPr>
        <w:t>i</w:t>
      </w:r>
      <w:r>
        <w:rPr>
          <w:noProof/>
        </w:rPr>
        <w:t>) „план за действие за електронно обучение</w:t>
      </w:r>
      <w:r w:rsidR="005A0F69">
        <w:rPr>
          <w:noProof/>
          <w:lang w:val="bg-BG"/>
        </w:rPr>
        <w:t>“</w:t>
      </w:r>
      <w:r>
        <w:rPr>
          <w:noProof/>
        </w:rPr>
        <w:t>, в който се призовава публичните доставчици на обучение да разработят своите предложения за онлайн обучение, ii) „цифрови инструменти и услуги за професионално развитие</w:t>
      </w:r>
      <w:r w:rsidR="005A0F69">
        <w:rPr>
          <w:noProof/>
          <w:lang w:val="bg-BG"/>
        </w:rPr>
        <w:t xml:space="preserve">“, </w:t>
      </w:r>
      <w:r>
        <w:rPr>
          <w:noProof/>
        </w:rPr>
        <w:t xml:space="preserve">с разработването на индивидуален профил за обучение и </w:t>
      </w:r>
      <w:r>
        <w:rPr>
          <w:noProof/>
          <w:color w:val="000000" w:themeColor="text1"/>
        </w:rPr>
        <w:t>кариера</w:t>
      </w:r>
      <w:r>
        <w:rPr>
          <w:noProof/>
        </w:rPr>
        <w:t>,</w:t>
      </w:r>
      <w:r>
        <w:rPr>
          <w:noProof/>
          <w:color w:val="000000" w:themeColor="text1"/>
        </w:rPr>
        <w:t xml:space="preserve"> iii</w:t>
      </w:r>
      <w:r>
        <w:rPr>
          <w:noProof/>
        </w:rPr>
        <w:t>) „цифрови инструменти и услуги за работодатели и партньори“, с цифровата трансформация на публичната служба по заетостта на Фландрия (VDAB) и на Министерството на труда и социалната икономика (Werk’Social Economie). Изпълнението на инвестицията трябва да приключи до 31 декември 2024 г.</w:t>
      </w:r>
    </w:p>
    <w:p w14:paraId="270C8128" w14:textId="77777777" w:rsidR="00235E11" w:rsidRDefault="00F837E4">
      <w:pPr>
        <w:pStyle w:val="P68B1DB1-Text12"/>
        <w:ind w:left="0"/>
        <w:rPr>
          <w:noProof/>
        </w:rPr>
      </w:pPr>
      <w:r>
        <w:rPr>
          <w:noProof/>
        </w:rPr>
        <w:t>Инвестиция I-5.07: „Цифрово обучение през целия живот“ на Валонския регион</w:t>
      </w:r>
    </w:p>
    <w:p w14:paraId="18796697" w14:textId="753DFA9D" w:rsidR="00235E11" w:rsidRDefault="00F837E4">
      <w:pPr>
        <w:pStyle w:val="Text1"/>
        <w:ind w:left="0"/>
        <w:rPr>
          <w:noProof/>
        </w:rPr>
      </w:pPr>
      <w:r>
        <w:rPr>
          <w:noProof/>
          <w:color w:val="000000" w:themeColor="text1"/>
        </w:rPr>
        <w:t>Инвестиционната мярка има за цел да засили цифровото обучение във Валония. В</w:t>
      </w:r>
      <w:r>
        <w:rPr>
          <w:noProof/>
        </w:rPr>
        <w:t xml:space="preserve">рамките на тази цел се осигурява цифрово оборудване за разработването на 22 пространства за обучение по потапяне в центрове за обучение и 17 интелигентни ъгъла за местни услуги на Валонския институт за алтернативно обучение за самостоятелно заетите и малките и средните предприятия (IFAPME). Основните потребности от цифрово обучение се интегрират в програмите за обучение, а на преподавателския персонал и стажантите се предоставят 10 000 часа педагогическо обучение за цифровия преход. </w:t>
      </w:r>
    </w:p>
    <w:p w14:paraId="2B7B5536" w14:textId="13281B63" w:rsidR="00235E11" w:rsidRDefault="00F837E4">
      <w:pPr>
        <w:pStyle w:val="Text1"/>
        <w:ind w:left="0"/>
        <w:rPr>
          <w:noProof/>
          <w:color w:val="000000" w:themeColor="text1"/>
        </w:rPr>
      </w:pPr>
      <w:r>
        <w:rPr>
          <w:noProof/>
        </w:rPr>
        <w:t>Ще бъдат изградени пет нови обекта за обучение на публичната служба по заетостта (FOREM), ще бъде изградена нова платформа за „реконструкция и НТИМ“ и ще бъдат обновени четири съществуващи обекта. Предоставя се цифрово оборудване, което позволява създаването на 9 потопяеми пространства за обучение („цифрови фабрики „) и цифровизацията на „платформата за преоборудване и НТИМ“. Изпълнението на инвестицията трябва да приключи до 30 юни 2026 г.</w:t>
      </w:r>
    </w:p>
    <w:p w14:paraId="3580B935" w14:textId="77777777" w:rsidR="00235E11" w:rsidRDefault="00F837E4">
      <w:pPr>
        <w:pStyle w:val="P68B1DB1-Text12"/>
        <w:ind w:left="0"/>
        <w:rPr>
          <w:noProof/>
        </w:rPr>
      </w:pPr>
      <w:r>
        <w:rPr>
          <w:noProof/>
        </w:rPr>
        <w:t>Реформа R-5.01: „Режим на натрупване и мобилност към сектори с недостиг“ на федералната държава</w:t>
      </w:r>
    </w:p>
    <w:p w14:paraId="264DEFC3" w14:textId="77777777" w:rsidR="00235E11" w:rsidRDefault="00F837E4">
      <w:pPr>
        <w:pStyle w:val="P68B1DB1-Text13"/>
        <w:ind w:left="0"/>
        <w:rPr>
          <w:noProof/>
        </w:rPr>
      </w:pPr>
      <w:r>
        <w:rPr>
          <w:noProof/>
        </w:rPr>
        <w:t>Мярката за реформа се състои от две направления с цел i) повишаване на привлекателността на труда и ii) насърчаване на трудовата мобилност към секторите, изправени пред недостиг.</w:t>
      </w:r>
    </w:p>
    <w:p w14:paraId="16F3C696" w14:textId="77777777" w:rsidR="00235E11" w:rsidRDefault="00F837E4">
      <w:pPr>
        <w:pStyle w:val="P68B1DB1-Text13"/>
        <w:ind w:left="0"/>
        <w:rPr>
          <w:noProof/>
          <w:color w:val="000000"/>
        </w:rPr>
      </w:pPr>
      <w:r>
        <w:rPr>
          <w:noProof/>
        </w:rPr>
        <w:t>Първото направление на реформата е заетостта да бъде по-изгодна за лицата, които се ползват от обезщетения за безработица или доходи за интеграция. Това се извършва, като се гарантира, че в случай на съчетаване на работа (на непълно работно време) и получаване на (частично) обезщетение за безработица или доход за интегриране (на непълно работно време) за съответното лице е по-изгодно от финансова и социална гледна точка да увеличи работното си време на непълно работно време. След консултация със социалните партньори се взема решение за разширяване на възможностите за временно или ограничено съчетаване на заплати и социални обезщетения.</w:t>
      </w:r>
    </w:p>
    <w:p w14:paraId="21162B8E" w14:textId="20364362" w:rsidR="00235E11" w:rsidRDefault="00F837E4">
      <w:pPr>
        <w:pStyle w:val="P68B1DB1-Text13"/>
        <w:ind w:left="0"/>
        <w:rPr>
          <w:noProof/>
          <w:color w:val="000000"/>
        </w:rPr>
      </w:pPr>
      <w:r>
        <w:rPr>
          <w:noProof/>
        </w:rPr>
        <w:t>По отношение на второто направление на реформата целта на мярката е да се насърчи трудовата мобилност на съкратените работници в даден сектор към сектори, в които има недостиг на квалифицирани работници. За тази цел правителството, като се консултира със социалните партньори, въвежда допълнителна помощ за трайно безработните лица, които се завръщат на работа в друг регион или в сектор, в който има недостиг на работна ръка.</w:t>
      </w:r>
    </w:p>
    <w:p w14:paraId="6A91AFDD" w14:textId="77777777" w:rsidR="00235E11" w:rsidRDefault="00F837E4">
      <w:pPr>
        <w:pStyle w:val="P68B1DB1-Text13"/>
        <w:ind w:left="0"/>
        <w:rPr>
          <w:noProof/>
          <w:color w:val="000000"/>
        </w:rPr>
      </w:pPr>
      <w:r>
        <w:rPr>
          <w:noProof/>
        </w:rPr>
        <w:t>Решението на федералното правителство за установяване на реформата влиза в сила до 1 януари 2024 г.</w:t>
      </w:r>
    </w:p>
    <w:p w14:paraId="7214A3D9" w14:textId="77777777" w:rsidR="00235E11" w:rsidRDefault="00F837E4">
      <w:pPr>
        <w:pStyle w:val="P68B1DB1-Text12"/>
        <w:ind w:left="0"/>
        <w:rPr>
          <w:noProof/>
        </w:rPr>
      </w:pPr>
      <w:r>
        <w:rPr>
          <w:noProof/>
        </w:rPr>
        <w:t>Реформа R-5.03: „Сметка за обучение“ на федералната държава</w:t>
      </w:r>
    </w:p>
    <w:p w14:paraId="1CDEB19F" w14:textId="62A93BE1" w:rsidR="00235E11" w:rsidRDefault="00F837E4">
      <w:pPr>
        <w:pStyle w:val="P68B1DB1-Text13"/>
        <w:ind w:left="0"/>
        <w:rPr>
          <w:noProof/>
        </w:rPr>
      </w:pPr>
      <w:r>
        <w:rPr>
          <w:noProof/>
        </w:rPr>
        <w:t xml:space="preserve">Мярката за реформа се състои от три части. Мярката има за цел i) да предостави индивидуално право на обучение на всеки работник; </w:t>
      </w:r>
      <w:r w:rsidR="0044517F">
        <w:rPr>
          <w:noProof/>
          <w:lang w:val="en-US"/>
        </w:rPr>
        <w:t>ii</w:t>
      </w:r>
      <w:r>
        <w:rPr>
          <w:noProof/>
        </w:rPr>
        <w:t>) да се разработят данъчни предимства за дружествата, които осигуряват на работниците и служителите повече часове обучение от вече предвидените в закона, и iii) да се премахнат, след консултация с федералните структури, пречките пред участието в обучение на временно безработните лица. Изпълнението на реформата трябва да приключи до 31 декември 2023 г.</w:t>
      </w:r>
    </w:p>
    <w:p w14:paraId="2650E8EB" w14:textId="77777777" w:rsidR="00235E11" w:rsidRDefault="00F837E4">
      <w:pPr>
        <w:pStyle w:val="P68B1DB1-Text13"/>
        <w:ind w:left="0"/>
        <w:rPr>
          <w:noProof/>
        </w:rPr>
      </w:pPr>
      <w:r>
        <w:rPr>
          <w:noProof/>
        </w:rPr>
        <w:t>За да се предостави на всеки работник индивидуално право на обучение i), се предвижда изменение на Закона от 5 март 2017 г. за работеща и управляема работа. Съгласно действащото законодателство е необходимо да се гарантира на междуотраслово равнище, че всеки работник има право на средно пет дни обучение (или еквивалентен брой часове) годишно. Целта на реформата е да се постигне индивидуално право на обучение за всеки служител преди края на парламентарния мандат. Предприятията с по-малко от 10 служители и предприятията с по-малко от 20 служители остават mutatis mutandis предмет на изключения или дерогации.</w:t>
      </w:r>
    </w:p>
    <w:p w14:paraId="09045624" w14:textId="77777777" w:rsidR="00235E11" w:rsidRDefault="00F837E4">
      <w:pPr>
        <w:pStyle w:val="P68B1DB1-Text13"/>
        <w:ind w:left="0"/>
        <w:rPr>
          <w:noProof/>
        </w:rPr>
      </w:pPr>
      <w:r>
        <w:rPr>
          <w:noProof/>
        </w:rPr>
        <w:t>За ii) реформата влезе в сила на 1 януари 2021 г., както е посочено в дял 4, глава 1, раздел 2 от Програмния закон от 20 декември 2020 г., публикуван в Официален вестник на 30 декември 2020 г. Данъчните предимства са под формата на освобождаване от авансово плащане на данък за служители, които са завършили курс на обучение от най-малко 10 дни в непрекъснат период от 30 календарни дни (за предприятия с работа на смени или нощен труд за непрекъснат период от 60 календарни дни; за малките предприятия прагът е 5 дни в непрекъснат период от 75 календарни дни).</w:t>
      </w:r>
    </w:p>
    <w:p w14:paraId="06696398" w14:textId="116B1EB4" w:rsidR="00235E11" w:rsidRDefault="00F837E4">
      <w:pPr>
        <w:pStyle w:val="P68B1DB1-Text13"/>
        <w:ind w:left="0"/>
        <w:rPr>
          <w:noProof/>
        </w:rPr>
      </w:pPr>
      <w:r>
        <w:rPr>
          <w:noProof/>
        </w:rPr>
        <w:t>Проучва се възможността за осигуряване на по-добър поток от данни между Националната служба по заетостта и регионалните служби по заетостта (VDAB/ACTIRIS/FOREM/Arbeitsambt) с цел организиране на предложение за обучение на работници, чиято временна безработица е продължителна или по-структурна iii). Информацията позволява на регионалните служби по заетостта да предлагат обучение за работниците в дългосрочна или структурна временна безработица, така че да бъдат реинтегрирани на пазара на труда.</w:t>
      </w:r>
    </w:p>
    <w:p w14:paraId="141E80C2" w14:textId="77777777" w:rsidR="00235E11" w:rsidRDefault="00F837E4">
      <w:pPr>
        <w:pStyle w:val="P68B1DB1-Text13"/>
        <w:ind w:left="0"/>
        <w:rPr>
          <w:noProof/>
        </w:rPr>
      </w:pPr>
      <w:r>
        <w:rPr>
          <w:noProof/>
        </w:rPr>
        <w:t>Изменението на Закона от 5 март 2017 г. за работеща и управляема работа влиза в сила до 1 януари 2022 г.</w:t>
      </w:r>
    </w:p>
    <w:p w14:paraId="713E5157" w14:textId="77777777" w:rsidR="00235E11" w:rsidRDefault="00F837E4">
      <w:pPr>
        <w:pStyle w:val="P68B1DB1-Text12"/>
        <w:ind w:left="0"/>
        <w:rPr>
          <w:noProof/>
        </w:rPr>
      </w:pPr>
      <w:r>
        <w:rPr>
          <w:noProof/>
        </w:rPr>
        <w:t>Реформа R-5.04: „Учене през целия живот“ на фламандската общност</w:t>
      </w:r>
    </w:p>
    <w:p w14:paraId="7EC35FA7" w14:textId="56F7DCCD" w:rsidR="00235E11" w:rsidRDefault="00F837E4">
      <w:pPr>
        <w:pStyle w:val="P68B1DB1-Text13"/>
        <w:ind w:left="0"/>
        <w:rPr>
          <w:noProof/>
        </w:rPr>
      </w:pPr>
      <w:r>
        <w:rPr>
          <w:noProof/>
        </w:rPr>
        <w:t>Мярката за реформа проправя пътя към индивидуална сметка за учене и професионално развитие, която прави всички стимули за обучение ясно видими заедно на едно централно място, така че гражданите ясно да познават своите права на учене и наличната подкрепа. Социалните партньори и фламандското правителство постигат съгласие по документ за визия, в който се посочва как във Фландрия да се въведе отчитане на ученето и кариерата, като се вземе предвид необходимостта от повишаване на прозрачността за гражданите, по-добро приобщаване на уязвимите групи и гарантиране на съгласуваност с платформата за цифрови сметки за обучение, създадена на федерално равнище. Документът за визията трябва да бъде представен до 30 юни 2022 г.</w:t>
      </w:r>
    </w:p>
    <w:p w14:paraId="28397CFC" w14:textId="77777777" w:rsidR="00235E11" w:rsidRDefault="00F837E4">
      <w:pPr>
        <w:pStyle w:val="P68B1DB1-Text12"/>
        <w:ind w:left="0"/>
        <w:rPr>
          <w:noProof/>
        </w:rPr>
      </w:pPr>
      <w:r>
        <w:rPr>
          <w:noProof/>
        </w:rPr>
        <w:t>Реформа R-5.05: „Реформа на подкрепата за търсещите работа във Валония“ на Валонския регион</w:t>
      </w:r>
    </w:p>
    <w:p w14:paraId="407C9801" w14:textId="20F78816" w:rsidR="00235E11" w:rsidRDefault="00F837E4">
      <w:pPr>
        <w:pStyle w:val="Text1"/>
        <w:ind w:left="0"/>
        <w:rPr>
          <w:noProof/>
          <w:color w:val="000000" w:themeColor="text1"/>
        </w:rPr>
      </w:pPr>
      <w:r>
        <w:rPr>
          <w:noProof/>
          <w:color w:val="000000" w:themeColor="text1"/>
        </w:rPr>
        <w:t xml:space="preserve">Мерките за реформа имат за цел да подобрят ефективността на активизирането на търсещите работа във Валония чрез </w:t>
      </w:r>
      <w:r>
        <w:rPr>
          <w:noProof/>
        </w:rPr>
        <w:t xml:space="preserve">адаптиране на постановлението, свързано с наставничеството и насочената към намирането на решения подкрепа за търсещите работа. </w:t>
      </w:r>
      <w:r>
        <w:rPr>
          <w:noProof/>
          <w:color w:val="000000" w:themeColor="text1"/>
        </w:rPr>
        <w:t>Новата наставническа и ориентирана към намирането на решения подкрепа за търсещите работа лица има за цел да подпомогне всички търсещи работа лица, да се възползва от цялата налична информация, да провери уменията при регистрацията и да оптимизира сътрудничеството между публичната служба по заетостта на Валония (Forem) и партньорите за подкрепа. Реформата ще се възползва от ефективни цифрови инструменти, които дават възможност за управление на професионалното развитие от разстояние и/или присъствено професионално развитие за най-независимите търсещи работа лица, като същевременно се засилва подкрепата лице в лице за най-нуждаещите се от подкрепа. Постановлението относно наставничеството и насочената към намирането на решения подкрепа за търсещите работа се приема до 30 септември 2021 г. и влиза в сила десет дни след публикуването му в Официален вестник</w:t>
      </w:r>
      <w:r>
        <w:rPr>
          <w:i/>
          <w:noProof/>
          <w:color w:val="000000" w:themeColor="text1"/>
        </w:rPr>
        <w:t>.</w:t>
      </w:r>
    </w:p>
    <w:p w14:paraId="06E02AA5" w14:textId="77777777" w:rsidR="00235E11" w:rsidRDefault="00235E11">
      <w:pPr>
        <w:spacing w:before="120" w:after="120" w:line="240" w:lineRule="auto"/>
        <w:jc w:val="both"/>
        <w:rPr>
          <w:rFonts w:ascii="Times New Roman" w:hAnsi="Times New Roman" w:cs="Times New Roman"/>
          <w:noProof/>
          <w:sz w:val="24"/>
        </w:rPr>
      </w:pPr>
    </w:p>
    <w:p w14:paraId="4062337E" w14:textId="07ED143F" w:rsidR="00235E11" w:rsidRDefault="00F837E4">
      <w:pPr>
        <w:pStyle w:val="P68B1DB1-Text16"/>
        <w:ind w:left="0"/>
        <w:rPr>
          <w:noProof/>
        </w:rPr>
      </w:pPr>
      <w:r>
        <w:rPr>
          <w:noProof/>
        </w:rPr>
        <w:t xml:space="preserve">Н.2. </w:t>
      </w:r>
      <w:r>
        <w:rPr>
          <w:noProof/>
        </w:rPr>
        <w:tab/>
        <w:t>Ключови етапи, цели, показатели и график за мониторинг и изпълнение на безвъзмездната финансова подкрепа</w:t>
      </w:r>
    </w:p>
    <w:p w14:paraId="125E3FEB" w14:textId="77777777" w:rsidR="00235E11" w:rsidRDefault="00235E11">
      <w:pPr>
        <w:pStyle w:val="Text1"/>
        <w:ind w:left="709"/>
        <w:rPr>
          <w:noProof/>
        </w:rPr>
        <w:sectPr w:rsidR="00235E11" w:rsidSect="007F56C3">
          <w:headerReference w:type="even" r:id="rId198"/>
          <w:headerReference w:type="default" r:id="rId199"/>
          <w:footerReference w:type="even" r:id="rId200"/>
          <w:footerReference w:type="default" r:id="rId201"/>
          <w:headerReference w:type="first" r:id="rId202"/>
          <w:footerReference w:type="first" r:id="rId203"/>
          <w:pgSz w:w="11907" w:h="16839"/>
          <w:pgMar w:top="1134" w:right="1134" w:bottom="1134" w:left="1134" w:header="567" w:footer="567" w:gutter="0"/>
          <w:cols w:space="720"/>
          <w:docGrid w:linePitch="360"/>
        </w:sectPr>
      </w:pPr>
    </w:p>
    <w:tbl>
      <w:tblPr>
        <w:tblW w:w="16268" w:type="dxa"/>
        <w:tblInd w:w="-856" w:type="dxa"/>
        <w:tblLayout w:type="fixed"/>
        <w:tblLook w:val="04A0" w:firstRow="1" w:lastRow="0" w:firstColumn="1" w:lastColumn="0" w:noHBand="0" w:noVBand="1"/>
      </w:tblPr>
      <w:tblGrid>
        <w:gridCol w:w="709"/>
        <w:gridCol w:w="1560"/>
        <w:gridCol w:w="1134"/>
        <w:gridCol w:w="1559"/>
        <w:gridCol w:w="1418"/>
        <w:gridCol w:w="1134"/>
        <w:gridCol w:w="1134"/>
        <w:gridCol w:w="992"/>
        <w:gridCol w:w="992"/>
        <w:gridCol w:w="709"/>
        <w:gridCol w:w="4927"/>
      </w:tblGrid>
      <w:tr w:rsidR="00235E11" w14:paraId="60E6B25E" w14:textId="77777777">
        <w:trPr>
          <w:trHeight w:val="939"/>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C6D75D" w14:textId="63E61567" w:rsidR="00235E11" w:rsidRDefault="00F837E4">
            <w:pPr>
              <w:pStyle w:val="P68B1DB1-Normal7"/>
              <w:spacing w:after="0"/>
              <w:jc w:val="center"/>
              <w:rPr>
                <w:noProof/>
              </w:rPr>
            </w:pPr>
            <w:r>
              <w:rPr>
                <w:noProof/>
              </w:rPr>
              <w:t>Следващи Забележка: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40DF15" w14:textId="77777777" w:rsidR="00235E11" w:rsidRDefault="00F837E4">
            <w:pPr>
              <w:pStyle w:val="P68B1DB1-Normal7"/>
              <w:spacing w:after="0"/>
              <w:jc w:val="center"/>
              <w:rPr>
                <w:noProof/>
              </w:rPr>
            </w:pPr>
            <w:r>
              <w:rPr>
                <w:noProof/>
              </w:rPr>
              <w:t>Свързана мярка (реформа или инвестиции)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BAE95E" w14:textId="77777777" w:rsidR="00235E11" w:rsidRDefault="00F837E4">
            <w:pPr>
              <w:pStyle w:val="P68B1DB1-Normal7"/>
              <w:spacing w:after="0"/>
              <w:jc w:val="center"/>
              <w:rPr>
                <w:noProof/>
              </w:rPr>
            </w:pPr>
            <w:r>
              <w:rPr>
                <w:noProof/>
              </w:rPr>
              <w:t>Ключов етап/Цел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7979296" w14:textId="77777777" w:rsidR="00235E11" w:rsidRDefault="00F837E4">
            <w:pPr>
              <w:pStyle w:val="P68B1DB1-Normal7"/>
              <w:spacing w:after="0"/>
              <w:jc w:val="center"/>
              <w:rPr>
                <w:noProof/>
              </w:rPr>
            </w:pPr>
            <w:r>
              <w:rPr>
                <w:noProof/>
              </w:rPr>
              <w:t>Име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DF83B9"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326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5CD142A"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78B85CB" w14:textId="77777777" w:rsidR="00235E11" w:rsidRDefault="00F837E4">
            <w:pPr>
              <w:pStyle w:val="P68B1DB1-Normal7"/>
              <w:spacing w:after="0"/>
              <w:jc w:val="center"/>
              <w:rPr>
                <w:noProof/>
              </w:rPr>
            </w:pPr>
            <w:r>
              <w:rPr>
                <w:noProof/>
              </w:rPr>
              <w:t xml:space="preserve">Примерен график за приключване </w:t>
            </w:r>
          </w:p>
        </w:tc>
        <w:tc>
          <w:tcPr>
            <w:tcW w:w="49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98A460" w14:textId="77777777" w:rsidR="00235E11" w:rsidRDefault="00F837E4">
            <w:pPr>
              <w:pStyle w:val="P68B1DB1-Normal7"/>
              <w:spacing w:after="0"/>
              <w:jc w:val="center"/>
              <w:rPr>
                <w:noProof/>
              </w:rPr>
            </w:pPr>
            <w:r>
              <w:rPr>
                <w:noProof/>
              </w:rPr>
              <w:t>Описание на всеки ключов етап и цел</w:t>
            </w:r>
          </w:p>
        </w:tc>
      </w:tr>
      <w:tr w:rsidR="00235E11" w14:paraId="3E5C1C02" w14:textId="77777777">
        <w:trPr>
          <w:trHeight w:val="102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55A288" w14:textId="77777777" w:rsidR="00235E11" w:rsidRDefault="00235E11">
            <w:pPr>
              <w:spacing w:after="0"/>
              <w:rPr>
                <w:rFonts w:ascii="Times New Roman" w:eastAsia="Times New Roman" w:hAnsi="Times New Roman" w:cs="Times New Roman"/>
                <w:b/>
                <w:noProof/>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4901D7" w14:textId="77777777" w:rsidR="00235E11" w:rsidRDefault="00235E11">
            <w:pPr>
              <w:spacing w:after="0"/>
              <w:rPr>
                <w:rFonts w:ascii="Times New Roman" w:eastAsia="Times New Roman" w:hAnsi="Times New Roman" w:cs="Times New Roman"/>
                <w:b/>
                <w:noProof/>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D8650D" w14:textId="77777777" w:rsidR="00235E11" w:rsidRDefault="00235E11">
            <w:pPr>
              <w:spacing w:after="0"/>
              <w:rPr>
                <w:rFonts w:ascii="Times New Roman" w:eastAsia="Times New Roman" w:hAnsi="Times New Roman" w:cs="Times New Roman"/>
                <w:b/>
                <w:noProof/>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A99CA8" w14:textId="77777777" w:rsidR="00235E11" w:rsidRDefault="00235E11">
            <w:pPr>
              <w:spacing w:after="0"/>
              <w:rPr>
                <w:rFonts w:ascii="Times New Roman" w:eastAsia="Times New Roman" w:hAnsi="Times New Roman" w:cs="Times New Roman"/>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EBB976" w14:textId="77777777" w:rsidR="00235E11" w:rsidRDefault="00235E11">
            <w:pPr>
              <w:spacing w:after="0"/>
              <w:rPr>
                <w:rFonts w:ascii="Times New Roman" w:eastAsia="Times New Roman" w:hAnsi="Times New Roman" w:cs="Times New Roman"/>
                <w:b/>
                <w:noProof/>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736DB4E" w14:textId="77777777" w:rsidR="00235E11" w:rsidRDefault="00F837E4">
            <w:pPr>
              <w:pStyle w:val="P68B1DB1-Normal7"/>
              <w:spacing w:after="0"/>
              <w:jc w:val="center"/>
              <w:rPr>
                <w:noProof/>
              </w:rPr>
            </w:pPr>
            <w:r>
              <w:rPr>
                <w:noProof/>
              </w:rPr>
              <w:t>Единица мярка</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4E880757" w14:textId="77777777" w:rsidR="00235E11" w:rsidRDefault="00F837E4">
            <w:pPr>
              <w:pStyle w:val="P68B1DB1-Normal7"/>
              <w:spacing w:after="0"/>
              <w:jc w:val="center"/>
              <w:rPr>
                <w:noProof/>
              </w:rPr>
            </w:pPr>
            <w:r>
              <w:rPr>
                <w:noProof/>
              </w:rPr>
              <w:t xml:space="preserve">Базова линия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538E83CC" w14:textId="77777777" w:rsidR="00235E11" w:rsidRDefault="00F837E4">
            <w:pPr>
              <w:pStyle w:val="P68B1DB1-Normal7"/>
              <w:spacing w:after="0"/>
              <w:jc w:val="center"/>
              <w:rPr>
                <w:noProof/>
              </w:rPr>
            </w:pPr>
            <w:r>
              <w:rPr>
                <w:noProof/>
              </w:rPr>
              <w:t xml:space="preserve">Цел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1D63183B" w14:textId="77777777" w:rsidR="00235E11" w:rsidRDefault="00F837E4">
            <w:pPr>
              <w:pStyle w:val="P68B1DB1-Normal7"/>
              <w:spacing w:after="0"/>
              <w:jc w:val="center"/>
              <w:rPr>
                <w:noProof/>
              </w:rPr>
            </w:pPr>
            <w:r>
              <w:rPr>
                <w:noProof/>
              </w:rPr>
              <w:t>Тримесечие</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7DA55138" w14:textId="77777777" w:rsidR="00235E11" w:rsidRDefault="00F837E4">
            <w:pPr>
              <w:pStyle w:val="P68B1DB1-Normal7"/>
              <w:spacing w:after="0"/>
              <w:jc w:val="center"/>
              <w:rPr>
                <w:noProof/>
              </w:rPr>
            </w:pPr>
            <w:r>
              <w:rPr>
                <w:noProof/>
              </w:rPr>
              <w:t>Година</w:t>
            </w:r>
          </w:p>
        </w:tc>
        <w:tc>
          <w:tcPr>
            <w:tcW w:w="4927" w:type="dxa"/>
            <w:vMerge/>
            <w:tcBorders>
              <w:top w:val="single" w:sz="4" w:space="0" w:color="auto"/>
              <w:bottom w:val="single" w:sz="4" w:space="0" w:color="auto"/>
              <w:right w:val="single" w:sz="4" w:space="0" w:color="auto"/>
            </w:tcBorders>
            <w:vAlign w:val="center"/>
            <w:hideMark/>
          </w:tcPr>
          <w:p w14:paraId="4A29BD9D" w14:textId="77777777" w:rsidR="00235E11" w:rsidRDefault="00235E11">
            <w:pPr>
              <w:spacing w:after="0"/>
              <w:rPr>
                <w:rFonts w:ascii="Times New Roman" w:eastAsia="Times New Roman" w:hAnsi="Times New Roman" w:cs="Times New Roman"/>
                <w:b/>
                <w:noProof/>
              </w:rPr>
            </w:pPr>
          </w:p>
        </w:tc>
      </w:tr>
      <w:tr w:rsidR="00235E11" w14:paraId="0F57F192" w14:textId="77777777">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EAB48BF" w14:textId="77777777" w:rsidR="00235E11" w:rsidRDefault="00F837E4">
            <w:pPr>
              <w:pStyle w:val="P68B1DB1-Normal9"/>
              <w:spacing w:after="0"/>
              <w:jc w:val="center"/>
              <w:rPr>
                <w:rFonts w:eastAsia="Times New Roman"/>
                <w:noProof/>
              </w:rPr>
            </w:pPr>
            <w:r>
              <w:rPr>
                <w:noProof/>
              </w:rPr>
              <w:t>159</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3C12C74A" w14:textId="77777777" w:rsidR="00235E11" w:rsidRDefault="00F837E4">
            <w:pPr>
              <w:pStyle w:val="P68B1DB1-Normal9"/>
              <w:spacing w:after="0"/>
              <w:rPr>
                <w:noProof/>
              </w:rPr>
            </w:pPr>
            <w:r>
              <w:rPr>
                <w:noProof/>
              </w:rPr>
              <w:t xml:space="preserve">A6K/E6K </w:t>
            </w:r>
          </w:p>
          <w:p w14:paraId="37743E1F" w14:textId="77777777" w:rsidR="00235E11" w:rsidRDefault="00F837E4">
            <w:pPr>
              <w:pStyle w:val="P68B1DB1-Normal9"/>
              <w:spacing w:after="0"/>
              <w:rPr>
                <w:noProof/>
              </w:rPr>
            </w:pPr>
            <w:r>
              <w:rPr>
                <w:noProof/>
              </w:rPr>
              <w:t>Център за цифрови и технологични иновации и обучение (I-5.01)</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017FF5BF" w14:textId="5F1933F8" w:rsidR="00235E11" w:rsidRDefault="00F837E4">
            <w:pPr>
              <w:pStyle w:val="P68B1DB1-Normal9"/>
              <w:spacing w:after="0"/>
              <w:jc w:val="center"/>
              <w:rPr>
                <w:rFonts w:eastAsia="Times New Roman"/>
                <w:noProof/>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50342A2" w14:textId="77777777" w:rsidR="00235E11" w:rsidRDefault="00F837E4">
            <w:pPr>
              <w:pStyle w:val="P68B1DB1-Normal9"/>
              <w:spacing w:after="0"/>
              <w:rPr>
                <w:noProof/>
              </w:rPr>
            </w:pPr>
            <w:r>
              <w:rPr>
                <w:noProof/>
              </w:rPr>
              <w:t>Дейност, развивана чрез A6K-E6K</w:t>
            </w:r>
          </w:p>
        </w:tc>
        <w:tc>
          <w:tcPr>
            <w:tcW w:w="1418" w:type="dxa"/>
            <w:tcBorders>
              <w:top w:val="single" w:sz="4" w:space="0" w:color="auto"/>
              <w:left w:val="nil"/>
              <w:bottom w:val="single" w:sz="4" w:space="0" w:color="auto"/>
              <w:right w:val="single" w:sz="4" w:space="0" w:color="auto"/>
            </w:tcBorders>
            <w:shd w:val="clear" w:color="auto" w:fill="C6EFCE"/>
            <w:noWrap/>
            <w:vAlign w:val="center"/>
            <w:hideMark/>
          </w:tcPr>
          <w:p w14:paraId="091FF4B5" w14:textId="77777777" w:rsidR="00235E11" w:rsidRDefault="00F837E4">
            <w:pPr>
              <w:pStyle w:val="P68B1DB1-Normal9"/>
              <w:spacing w:after="0"/>
              <w:rPr>
                <w:noProof/>
              </w:rPr>
            </w:pPr>
            <w:r>
              <w:rPr>
                <w:noProof/>
              </w:rPr>
              <w:t>Доклад относно предприетите от управителния комитет бизнес стъпки</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29FB770B" w14:textId="77777777" w:rsidR="00235E11" w:rsidRDefault="00235E11">
            <w:pPr>
              <w:spacing w:after="0"/>
              <w:jc w:val="center"/>
              <w:rPr>
                <w:rFonts w:ascii="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F12B46E" w14:textId="77777777" w:rsidR="00235E11" w:rsidRDefault="00235E11">
            <w:pPr>
              <w:spacing w:after="0"/>
              <w:jc w:val="center"/>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BA0B078" w14:textId="77777777" w:rsidR="00235E11" w:rsidRDefault="00235E11">
            <w:pPr>
              <w:spacing w:after="0"/>
              <w:jc w:val="center"/>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5E9EDF3E" w14:textId="77777777" w:rsidR="00235E11" w:rsidRDefault="00F837E4">
            <w:pPr>
              <w:pStyle w:val="P68B1DB1-Normal9"/>
              <w:spacing w:after="0"/>
              <w:jc w:val="center"/>
              <w:rPr>
                <w:noProof/>
              </w:rPr>
            </w:pPr>
            <w:r>
              <w:rPr>
                <w:noProof/>
              </w:rPr>
              <w:t>Т1 Г.</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0FE7487C" w14:textId="77777777" w:rsidR="00235E11" w:rsidRDefault="00F837E4">
            <w:pPr>
              <w:pStyle w:val="P68B1DB1-Normal9"/>
              <w:spacing w:after="0"/>
              <w:jc w:val="center"/>
              <w:rPr>
                <w:noProof/>
              </w:rPr>
            </w:pPr>
            <w:r>
              <w:rPr>
                <w:noProof/>
              </w:rPr>
              <w:t>2023</w:t>
            </w:r>
          </w:p>
        </w:tc>
        <w:tc>
          <w:tcPr>
            <w:tcW w:w="492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D4734C" w14:textId="77777777" w:rsidR="00235E11" w:rsidRDefault="00F837E4">
            <w:pPr>
              <w:pStyle w:val="P68B1DB1-Normal9"/>
              <w:spacing w:after="0"/>
              <w:rPr>
                <w:rFonts w:eastAsia="Times New Roman"/>
                <w:noProof/>
              </w:rPr>
            </w:pPr>
            <w:r>
              <w:rPr>
                <w:noProof/>
              </w:rPr>
              <w:t>Приключване на етапите на развитие на бизнеса за създаването на Център за цифрови и технологични иновации и обучение: разработване на предложение за инкубация чрез създаване на предприятие, разработване на предложение за цифрово обучение, покана за представяне на предложения за завършени проекти за стартиращи предприятия, технологични демонстрационни системи и инфраструктура, свързана със сътрудничество и оперативни проекти.</w:t>
            </w:r>
          </w:p>
        </w:tc>
      </w:tr>
      <w:tr w:rsidR="00235E11" w14:paraId="189B6AD1"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3BDB220A" w14:textId="77777777" w:rsidR="00235E11" w:rsidRDefault="00F837E4">
            <w:pPr>
              <w:pStyle w:val="P68B1DB1-Normal10"/>
              <w:spacing w:after="0"/>
              <w:jc w:val="center"/>
              <w:rPr>
                <w:noProof/>
              </w:rPr>
            </w:pPr>
            <w:r>
              <w:rPr>
                <w:noProof/>
              </w:rPr>
              <w:t>160</w:t>
            </w:r>
          </w:p>
        </w:tc>
        <w:tc>
          <w:tcPr>
            <w:tcW w:w="1560" w:type="dxa"/>
            <w:tcBorders>
              <w:top w:val="nil"/>
              <w:left w:val="nil"/>
              <w:bottom w:val="single" w:sz="4" w:space="0" w:color="auto"/>
              <w:right w:val="single" w:sz="4" w:space="0" w:color="auto"/>
            </w:tcBorders>
            <w:shd w:val="clear" w:color="auto" w:fill="C6EFCE"/>
            <w:noWrap/>
            <w:vAlign w:val="center"/>
          </w:tcPr>
          <w:p w14:paraId="60B5B5B8" w14:textId="77777777" w:rsidR="00235E11" w:rsidRDefault="00F837E4">
            <w:pPr>
              <w:pStyle w:val="P68B1DB1-Normal9"/>
              <w:spacing w:after="0"/>
              <w:rPr>
                <w:noProof/>
              </w:rPr>
            </w:pPr>
            <w:r>
              <w:rPr>
                <w:noProof/>
              </w:rPr>
              <w:t>Модернизиране на инфраструктурата за обучение на напреднали (I-5.03)</w:t>
            </w:r>
          </w:p>
        </w:tc>
        <w:tc>
          <w:tcPr>
            <w:tcW w:w="1134" w:type="dxa"/>
            <w:tcBorders>
              <w:top w:val="nil"/>
              <w:left w:val="nil"/>
              <w:bottom w:val="single" w:sz="4" w:space="0" w:color="auto"/>
              <w:right w:val="single" w:sz="4" w:space="0" w:color="auto"/>
            </w:tcBorders>
            <w:shd w:val="clear" w:color="auto" w:fill="C6EFCE"/>
            <w:noWrap/>
            <w:vAlign w:val="center"/>
            <w:hideMark/>
          </w:tcPr>
          <w:p w14:paraId="360936C0" w14:textId="7A88DBD4" w:rsidR="00235E11" w:rsidRDefault="00F837E4">
            <w:pPr>
              <w:pStyle w:val="P68B1DB1-Normal9"/>
              <w:spacing w:after="0"/>
              <w:jc w:val="center"/>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299CAB0C" w14:textId="7DCC896C" w:rsidR="00235E11" w:rsidRDefault="00F837E4">
            <w:pPr>
              <w:pStyle w:val="P68B1DB1-Normal9"/>
              <w:spacing w:after="0"/>
              <w:rPr>
                <w:rFonts w:eastAsia="Times New Roman"/>
                <w:noProof/>
              </w:rPr>
            </w:pPr>
            <w:r>
              <w:rPr>
                <w:noProof/>
              </w:rPr>
              <w:t>Сгради и оборудване за обучение, служби по заетостта</w:t>
            </w:r>
          </w:p>
        </w:tc>
        <w:tc>
          <w:tcPr>
            <w:tcW w:w="1418" w:type="dxa"/>
            <w:tcBorders>
              <w:top w:val="nil"/>
              <w:left w:val="nil"/>
              <w:bottom w:val="single" w:sz="4" w:space="0" w:color="auto"/>
              <w:right w:val="single" w:sz="4" w:space="0" w:color="auto"/>
            </w:tcBorders>
            <w:shd w:val="clear" w:color="auto" w:fill="C6EFCE"/>
            <w:noWrap/>
            <w:vAlign w:val="center"/>
            <w:hideMark/>
          </w:tcPr>
          <w:p w14:paraId="7A5AC08D" w14:textId="77777777" w:rsidR="00235E11" w:rsidRDefault="00235E11">
            <w:pPr>
              <w:spacing w:after="0"/>
              <w:rPr>
                <w:rFonts w:ascii="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hideMark/>
          </w:tcPr>
          <w:p w14:paraId="0699CF39" w14:textId="77777777" w:rsidR="00235E11" w:rsidRDefault="00F837E4">
            <w:pPr>
              <w:pStyle w:val="P68B1DB1-Normal9"/>
              <w:spacing w:after="0"/>
              <w:rPr>
                <w:noProof/>
              </w:rPr>
            </w:pPr>
            <w:r>
              <w:rPr>
                <w:noProof/>
              </w:rPr>
              <w:t>m</w:t>
            </w:r>
            <w:r>
              <w:rPr>
                <w:noProof/>
                <w:vertAlign w:val="superscript"/>
              </w:rPr>
              <w:t>2</w:t>
            </w:r>
          </w:p>
        </w:tc>
        <w:tc>
          <w:tcPr>
            <w:tcW w:w="1134" w:type="dxa"/>
            <w:tcBorders>
              <w:top w:val="nil"/>
              <w:left w:val="nil"/>
              <w:bottom w:val="single" w:sz="4" w:space="0" w:color="auto"/>
              <w:right w:val="single" w:sz="4" w:space="0" w:color="auto"/>
            </w:tcBorders>
            <w:shd w:val="clear" w:color="auto" w:fill="C6EFCE"/>
            <w:noWrap/>
            <w:vAlign w:val="center"/>
          </w:tcPr>
          <w:p w14:paraId="55AF63B2" w14:textId="77777777" w:rsidR="00235E11" w:rsidRDefault="00F837E4">
            <w:pPr>
              <w:pStyle w:val="P68B1DB1-Normal9"/>
              <w:spacing w:after="0"/>
              <w:jc w:val="center"/>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tcPr>
          <w:p w14:paraId="44908106" w14:textId="09BFD14F" w:rsidR="00235E11" w:rsidRDefault="00F837E4">
            <w:pPr>
              <w:pStyle w:val="P68B1DB1-Normal9"/>
              <w:spacing w:after="0"/>
              <w:jc w:val="center"/>
              <w:rPr>
                <w:noProof/>
              </w:rPr>
            </w:pPr>
            <w:r>
              <w:rPr>
                <w:noProof/>
              </w:rPr>
              <w:t xml:space="preserve">11 374 </w:t>
            </w:r>
          </w:p>
        </w:tc>
        <w:tc>
          <w:tcPr>
            <w:tcW w:w="992" w:type="dxa"/>
            <w:tcBorders>
              <w:top w:val="nil"/>
              <w:left w:val="nil"/>
              <w:bottom w:val="single" w:sz="4" w:space="0" w:color="auto"/>
              <w:right w:val="single" w:sz="4" w:space="0" w:color="auto"/>
            </w:tcBorders>
            <w:shd w:val="clear" w:color="auto" w:fill="C6EFCE"/>
            <w:noWrap/>
            <w:vAlign w:val="center"/>
            <w:hideMark/>
          </w:tcPr>
          <w:p w14:paraId="76B2A974" w14:textId="501B173E" w:rsidR="00235E11" w:rsidRDefault="00F837E4">
            <w:pPr>
              <w:pStyle w:val="P68B1DB1-Normal9"/>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3F1BC505" w14:textId="77777777" w:rsidR="00235E11" w:rsidRDefault="00F837E4">
            <w:pPr>
              <w:pStyle w:val="P68B1DB1-Normal9"/>
              <w:spacing w:after="0"/>
              <w:jc w:val="center"/>
              <w:rPr>
                <w:noProof/>
              </w:rPr>
            </w:pPr>
            <w:r>
              <w:rPr>
                <w:noProof/>
              </w:rPr>
              <w:t>2025</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76230A7" w14:textId="4AA9D34C" w:rsidR="00235E11" w:rsidRDefault="00F837E4">
            <w:pPr>
              <w:pStyle w:val="P68B1DB1-Normal9"/>
              <w:spacing w:after="0"/>
              <w:rPr>
                <w:rFonts w:eastAsia="Times New Roman"/>
                <w:noProof/>
              </w:rPr>
            </w:pPr>
            <w:r>
              <w:rPr>
                <w:noProof/>
              </w:rPr>
              <w:t>11 374 m² обхващат закупуването или ремонта, или изграждането (и оборудването) и/или оборудването на следните сгради:</w:t>
            </w:r>
          </w:p>
          <w:p w14:paraId="7CF1365B" w14:textId="4C182C1C" w:rsidR="00235E11" w:rsidRDefault="00F837E4">
            <w:pPr>
              <w:pStyle w:val="P68B1DB1-ListParagraph12"/>
              <w:numPr>
                <w:ilvl w:val="0"/>
                <w:numId w:val="33"/>
              </w:numPr>
              <w:spacing w:after="0"/>
              <w:rPr>
                <w:noProof/>
              </w:rPr>
            </w:pPr>
            <w:r>
              <w:rPr>
                <w:noProof/>
              </w:rPr>
              <w:t>Определяне на длъжността</w:t>
            </w:r>
          </w:p>
          <w:p w14:paraId="4CBF2A08" w14:textId="77777777" w:rsidR="00235E11" w:rsidRDefault="00F837E4">
            <w:pPr>
              <w:pStyle w:val="P68B1DB1-ListParagraph12"/>
              <w:numPr>
                <w:ilvl w:val="0"/>
                <w:numId w:val="33"/>
              </w:numPr>
              <w:spacing w:after="0"/>
              <w:rPr>
                <w:noProof/>
              </w:rPr>
            </w:pPr>
            <w:r>
              <w:rPr>
                <w:noProof/>
              </w:rPr>
              <w:t>Technocité</w:t>
            </w:r>
          </w:p>
          <w:p w14:paraId="5CBC612D" w14:textId="77777777" w:rsidR="00235E11" w:rsidRDefault="00F837E4">
            <w:pPr>
              <w:pStyle w:val="P68B1DB1-ListParagraph12"/>
              <w:numPr>
                <w:ilvl w:val="0"/>
                <w:numId w:val="33"/>
              </w:numPr>
              <w:spacing w:after="0"/>
              <w:rPr>
                <w:noProof/>
              </w:rPr>
            </w:pPr>
            <w:r>
              <w:rPr>
                <w:noProof/>
              </w:rPr>
              <w:t>FOREM</w:t>
            </w:r>
          </w:p>
          <w:p w14:paraId="17AE6668" w14:textId="6A5B7E35" w:rsidR="00235E11" w:rsidRDefault="00F837E4">
            <w:pPr>
              <w:pStyle w:val="P68B1DB1-ListParagraph12"/>
              <w:numPr>
                <w:ilvl w:val="0"/>
                <w:numId w:val="33"/>
              </w:numPr>
              <w:spacing w:after="0"/>
              <w:rPr>
                <w:noProof/>
              </w:rPr>
            </w:pPr>
            <w:r>
              <w:rPr>
                <w:noProof/>
              </w:rPr>
              <w:t>Център за екотехнологии — Монс</w:t>
            </w:r>
          </w:p>
        </w:tc>
      </w:tr>
      <w:tr w:rsidR="00235E11" w14:paraId="4CC05DF7" w14:textId="77777777">
        <w:trPr>
          <w:trHeight w:val="1591"/>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5D8EE6" w14:textId="77777777" w:rsidR="00235E11" w:rsidRDefault="00F837E4">
            <w:pPr>
              <w:pStyle w:val="P68B1DB1-Normal10"/>
              <w:spacing w:after="0"/>
              <w:jc w:val="center"/>
              <w:rPr>
                <w:noProof/>
              </w:rPr>
            </w:pPr>
            <w:r>
              <w:rPr>
                <w:noProof/>
              </w:rPr>
              <w:t>161</w:t>
            </w:r>
          </w:p>
        </w:tc>
        <w:tc>
          <w:tcPr>
            <w:tcW w:w="1560" w:type="dxa"/>
            <w:tcBorders>
              <w:top w:val="single" w:sz="4" w:space="0" w:color="auto"/>
              <w:left w:val="nil"/>
              <w:bottom w:val="single" w:sz="4" w:space="0" w:color="auto"/>
              <w:right w:val="single" w:sz="4" w:space="0" w:color="auto"/>
            </w:tcBorders>
            <w:shd w:val="clear" w:color="auto" w:fill="C6EFCE"/>
            <w:noWrap/>
            <w:vAlign w:val="center"/>
            <w:hideMark/>
          </w:tcPr>
          <w:p w14:paraId="293FBF29" w14:textId="77777777" w:rsidR="00235E11" w:rsidRDefault="00F837E4">
            <w:pPr>
              <w:pStyle w:val="P68B1DB1-Normal9"/>
              <w:spacing w:after="0"/>
              <w:rPr>
                <w:noProof/>
              </w:rPr>
            </w:pPr>
            <w:r>
              <w:rPr>
                <w:noProof/>
              </w:rPr>
              <w:t>Училище и здравен център на ЕС по биотехнологии (I-5.02)</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0D9544D1" w14:textId="19DC1626" w:rsidR="00235E11" w:rsidRDefault="00F837E4">
            <w:pPr>
              <w:pStyle w:val="P68B1DB1-Normal9"/>
              <w:spacing w:after="0"/>
              <w:jc w:val="center"/>
              <w:rPr>
                <w:noProof/>
              </w:rPr>
            </w:pPr>
            <w:r>
              <w:rPr>
                <w:noProof/>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327DACE4" w14:textId="77777777" w:rsidR="00235E11" w:rsidRDefault="00F837E4">
            <w:pPr>
              <w:pStyle w:val="P68B1DB1-Normal9"/>
              <w:spacing w:after="0"/>
              <w:rPr>
                <w:rFonts w:eastAsia="Times New Roman"/>
                <w:noProof/>
              </w:rPr>
            </w:pPr>
            <w:r>
              <w:rPr>
                <w:noProof/>
              </w:rPr>
              <w:t>Изграждане и оборудване на училището и здравния център на ЕС по биотехнологии</w:t>
            </w:r>
          </w:p>
        </w:tc>
        <w:tc>
          <w:tcPr>
            <w:tcW w:w="1418" w:type="dxa"/>
            <w:tcBorders>
              <w:top w:val="nil"/>
              <w:left w:val="nil"/>
              <w:bottom w:val="single" w:sz="4" w:space="0" w:color="auto"/>
              <w:right w:val="single" w:sz="4" w:space="0" w:color="auto"/>
            </w:tcBorders>
            <w:shd w:val="clear" w:color="auto" w:fill="C6EFCE"/>
            <w:noWrap/>
            <w:vAlign w:val="center"/>
            <w:hideMark/>
          </w:tcPr>
          <w:p w14:paraId="1A5E6BB1" w14:textId="77777777" w:rsidR="00235E11" w:rsidRDefault="00235E11">
            <w:pPr>
              <w:spacing w:after="0"/>
              <w:rPr>
                <w:rFonts w:ascii="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33561601" w14:textId="77777777" w:rsidR="00235E11" w:rsidRDefault="00F837E4">
            <w:pPr>
              <w:pStyle w:val="P68B1DB1-Normal9"/>
              <w:spacing w:after="0"/>
              <w:rPr>
                <w:noProof/>
              </w:rPr>
            </w:pPr>
            <w:r>
              <w:rPr>
                <w:noProof/>
              </w:rPr>
              <w:t>m</w:t>
            </w:r>
            <w:r>
              <w:rPr>
                <w:noProof/>
                <w:vertAlign w:val="superscript"/>
              </w:rPr>
              <w:t>2</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089700C1" w14:textId="77777777" w:rsidR="00235E11" w:rsidRDefault="00F837E4">
            <w:pPr>
              <w:pStyle w:val="P68B1DB1-Normal9"/>
              <w:spacing w:after="0"/>
              <w:jc w:val="center"/>
              <w:rPr>
                <w:noProof/>
              </w:rPr>
            </w:pPr>
            <w:r>
              <w:rPr>
                <w:noProof/>
              </w:rPr>
              <w:t>0</w:t>
            </w: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24049E2B" w14:textId="08C0D556" w:rsidR="00235E11" w:rsidRDefault="00F837E4">
            <w:pPr>
              <w:pStyle w:val="P68B1DB1-Normal9"/>
              <w:spacing w:after="0"/>
              <w:jc w:val="center"/>
              <w:rPr>
                <w:noProof/>
              </w:rPr>
            </w:pPr>
            <w:r>
              <w:rPr>
                <w:noProof/>
              </w:rPr>
              <w:t>5 500</w:t>
            </w: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603497FC" w14:textId="77777777" w:rsidR="00235E11" w:rsidRDefault="00F837E4">
            <w:pPr>
              <w:pStyle w:val="P68B1DB1-Normal9"/>
              <w:spacing w:after="0"/>
              <w:jc w:val="center"/>
              <w:rPr>
                <w:noProof/>
              </w:rPr>
            </w:pPr>
            <w:r>
              <w:rPr>
                <w:noProof/>
              </w:rPr>
              <w:t>Т3 Г.</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5CB77982" w14:textId="77777777" w:rsidR="00235E11" w:rsidRDefault="00F837E4">
            <w:pPr>
              <w:pStyle w:val="P68B1DB1-Normal9"/>
              <w:spacing w:after="0"/>
              <w:jc w:val="center"/>
              <w:rPr>
                <w:noProof/>
              </w:rPr>
            </w:pPr>
            <w:r>
              <w:rPr>
                <w:noProof/>
              </w:rPr>
              <w:t>2025</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05BD5DB3" w14:textId="5305B8F4" w:rsidR="00235E11" w:rsidRDefault="00F837E4">
            <w:pPr>
              <w:pStyle w:val="P68B1DB1-Normal9"/>
              <w:spacing w:after="0"/>
              <w:rPr>
                <w:rFonts w:eastAsia="Times New Roman"/>
                <w:noProof/>
              </w:rPr>
            </w:pPr>
            <w:r>
              <w:rPr>
                <w:noProof/>
              </w:rPr>
              <w:t>5 500 m² напълно оборудвана сграда за обучение, заетост и инкубационни услуги като част от изграждането от SODEVIMMO на поливалентна сграда, наречена Biotech 5 от 25 000 m² в BioPark в Госли. Оборудването включва по-специално модули за виртуална реалност, помещение за потапяне в областта на НТИМ, цифрово оборудване за близнаци, цифрово оборудване за учебни зали и роботизирана производствена линия.</w:t>
            </w:r>
          </w:p>
        </w:tc>
      </w:tr>
      <w:tr w:rsidR="00235E11" w14:paraId="512E9C2A"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0AE1A094" w14:textId="77777777" w:rsidR="00235E11" w:rsidRDefault="00F837E4">
            <w:pPr>
              <w:pStyle w:val="P68B1DB1-Normal10"/>
              <w:spacing w:after="0"/>
              <w:jc w:val="center"/>
              <w:rPr>
                <w:noProof/>
              </w:rPr>
            </w:pPr>
            <w:r>
              <w:rPr>
                <w:noProof/>
              </w:rPr>
              <w:t>162</w:t>
            </w:r>
          </w:p>
        </w:tc>
        <w:tc>
          <w:tcPr>
            <w:tcW w:w="1560" w:type="dxa"/>
            <w:tcBorders>
              <w:top w:val="nil"/>
              <w:left w:val="nil"/>
              <w:bottom w:val="single" w:sz="4" w:space="0" w:color="auto"/>
              <w:right w:val="single" w:sz="4" w:space="0" w:color="auto"/>
            </w:tcBorders>
            <w:shd w:val="clear" w:color="auto" w:fill="C6EFCE"/>
            <w:noWrap/>
            <w:vAlign w:val="center"/>
            <w:hideMark/>
          </w:tcPr>
          <w:p w14:paraId="0CDA0B0F" w14:textId="77777777" w:rsidR="00235E11" w:rsidRDefault="00F837E4">
            <w:pPr>
              <w:pStyle w:val="P68B1DB1-Normal9"/>
              <w:spacing w:after="0"/>
              <w:rPr>
                <w:rFonts w:eastAsia="Times New Roman"/>
                <w:noProof/>
              </w:rPr>
            </w:pPr>
            <w:r>
              <w:rPr>
                <w:noProof/>
              </w:rPr>
              <w:t>A6K/E6K Център за цифрови и технологични иновации и обучение (I-5.01)</w:t>
            </w:r>
          </w:p>
        </w:tc>
        <w:tc>
          <w:tcPr>
            <w:tcW w:w="1134" w:type="dxa"/>
            <w:tcBorders>
              <w:top w:val="nil"/>
              <w:left w:val="nil"/>
              <w:bottom w:val="single" w:sz="4" w:space="0" w:color="auto"/>
              <w:right w:val="single" w:sz="4" w:space="0" w:color="auto"/>
            </w:tcBorders>
            <w:shd w:val="clear" w:color="auto" w:fill="C6EFCE"/>
            <w:noWrap/>
            <w:vAlign w:val="center"/>
            <w:hideMark/>
          </w:tcPr>
          <w:p w14:paraId="23E70841" w14:textId="5C08C21F" w:rsidR="00235E11" w:rsidRDefault="00F837E4">
            <w:pPr>
              <w:pStyle w:val="P68B1DB1-Normal9"/>
              <w:spacing w:after="0"/>
              <w:jc w:val="center"/>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71347C3A" w14:textId="77777777" w:rsidR="00235E11" w:rsidRDefault="00F837E4">
            <w:pPr>
              <w:pStyle w:val="P68B1DB1-Normal9"/>
              <w:spacing w:after="0"/>
              <w:rPr>
                <w:rFonts w:eastAsia="Times New Roman"/>
                <w:noProof/>
              </w:rPr>
            </w:pPr>
            <w:r>
              <w:rPr>
                <w:noProof/>
              </w:rPr>
              <w:t>Приключване на обновяването и разширяването на A6K-E6K</w:t>
            </w:r>
          </w:p>
        </w:tc>
        <w:tc>
          <w:tcPr>
            <w:tcW w:w="1418" w:type="dxa"/>
            <w:tcBorders>
              <w:top w:val="nil"/>
              <w:left w:val="nil"/>
              <w:bottom w:val="single" w:sz="4" w:space="0" w:color="auto"/>
              <w:right w:val="single" w:sz="4" w:space="0" w:color="auto"/>
            </w:tcBorders>
            <w:shd w:val="clear" w:color="auto" w:fill="C6EFCE"/>
            <w:noWrap/>
            <w:vAlign w:val="center"/>
          </w:tcPr>
          <w:p w14:paraId="058EBC61" w14:textId="77777777" w:rsidR="00235E11" w:rsidRDefault="00235E11">
            <w:pPr>
              <w:spacing w:after="0"/>
              <w:rPr>
                <w:rFonts w:ascii="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hideMark/>
          </w:tcPr>
          <w:p w14:paraId="4FDD79BA" w14:textId="77777777" w:rsidR="00235E11" w:rsidRDefault="00F837E4">
            <w:pPr>
              <w:pStyle w:val="P68B1DB1-Normal9"/>
              <w:spacing w:after="0"/>
              <w:rPr>
                <w:noProof/>
              </w:rPr>
            </w:pPr>
            <w:r>
              <w:rPr>
                <w:noProof/>
              </w:rPr>
              <w:t>m</w:t>
            </w:r>
            <w:r>
              <w:rPr>
                <w:noProof/>
                <w:vertAlign w:val="superscript"/>
              </w:rPr>
              <w:t>2</w:t>
            </w:r>
          </w:p>
        </w:tc>
        <w:tc>
          <w:tcPr>
            <w:tcW w:w="1134" w:type="dxa"/>
            <w:tcBorders>
              <w:top w:val="nil"/>
              <w:left w:val="nil"/>
              <w:bottom w:val="single" w:sz="4" w:space="0" w:color="auto"/>
              <w:right w:val="single" w:sz="4" w:space="0" w:color="auto"/>
            </w:tcBorders>
            <w:shd w:val="clear" w:color="auto" w:fill="C6EFCE"/>
            <w:noWrap/>
            <w:vAlign w:val="center"/>
            <w:hideMark/>
          </w:tcPr>
          <w:p w14:paraId="7E93C004" w14:textId="7584C709" w:rsidR="00235E11" w:rsidRDefault="00F837E4">
            <w:pPr>
              <w:pStyle w:val="P68B1DB1-Normal9"/>
              <w:spacing w:after="0"/>
              <w:jc w:val="center"/>
              <w:rPr>
                <w:noProof/>
              </w:rPr>
            </w:pPr>
            <w:r>
              <w:rPr>
                <w:noProof/>
              </w:rPr>
              <w:t>5 000</w:t>
            </w:r>
          </w:p>
        </w:tc>
        <w:tc>
          <w:tcPr>
            <w:tcW w:w="992" w:type="dxa"/>
            <w:tcBorders>
              <w:top w:val="nil"/>
              <w:left w:val="nil"/>
              <w:bottom w:val="single" w:sz="4" w:space="0" w:color="auto"/>
              <w:right w:val="single" w:sz="4" w:space="0" w:color="auto"/>
            </w:tcBorders>
            <w:shd w:val="clear" w:color="auto" w:fill="C6EFCE"/>
            <w:noWrap/>
            <w:vAlign w:val="center"/>
            <w:hideMark/>
          </w:tcPr>
          <w:p w14:paraId="278636B3" w14:textId="07844F93" w:rsidR="00235E11" w:rsidRDefault="00F837E4">
            <w:pPr>
              <w:pStyle w:val="P68B1DB1-Normal9"/>
              <w:spacing w:after="0"/>
              <w:jc w:val="center"/>
              <w:rPr>
                <w:noProof/>
              </w:rPr>
            </w:pPr>
            <w:r>
              <w:rPr>
                <w:noProof/>
              </w:rPr>
              <w:t>25 000</w:t>
            </w:r>
          </w:p>
        </w:tc>
        <w:tc>
          <w:tcPr>
            <w:tcW w:w="992" w:type="dxa"/>
            <w:tcBorders>
              <w:top w:val="nil"/>
              <w:left w:val="nil"/>
              <w:bottom w:val="single" w:sz="4" w:space="0" w:color="auto"/>
              <w:right w:val="single" w:sz="4" w:space="0" w:color="auto"/>
            </w:tcBorders>
            <w:shd w:val="clear" w:color="auto" w:fill="C6EFCE"/>
            <w:noWrap/>
            <w:vAlign w:val="center"/>
            <w:hideMark/>
          </w:tcPr>
          <w:p w14:paraId="62ED2B2B" w14:textId="77777777" w:rsidR="00235E11" w:rsidRDefault="00F837E4">
            <w:pPr>
              <w:pStyle w:val="P68B1DB1-Normal9"/>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3F9E0F07" w14:textId="77777777" w:rsidR="00235E11" w:rsidRDefault="00F837E4">
            <w:pPr>
              <w:pStyle w:val="P68B1DB1-Normal9"/>
              <w:spacing w:after="0"/>
              <w:jc w:val="center"/>
              <w:rPr>
                <w:noProof/>
              </w:rPr>
            </w:pPr>
            <w:r>
              <w:rPr>
                <w:noProof/>
              </w:rPr>
              <w:t>2026</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DB3436E" w14:textId="20F329FE" w:rsidR="00235E11" w:rsidRDefault="00F837E4">
            <w:pPr>
              <w:pStyle w:val="P68B1DB1-Normal9"/>
              <w:spacing w:after="0"/>
              <w:rPr>
                <w:rFonts w:eastAsia="Times New Roman"/>
                <w:noProof/>
              </w:rPr>
            </w:pPr>
            <w:r>
              <w:rPr>
                <w:noProof/>
              </w:rPr>
              <w:t>25 000 m² напълно оборудвана сграда за обучение, заетост и инкубационни услуги.</w:t>
            </w:r>
          </w:p>
        </w:tc>
      </w:tr>
      <w:tr w:rsidR="00235E11" w14:paraId="1CBEF858"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0429E2DC" w14:textId="77777777" w:rsidR="00235E11" w:rsidRDefault="00F837E4">
            <w:pPr>
              <w:pStyle w:val="P68B1DB1-Normal10"/>
              <w:spacing w:after="0"/>
              <w:jc w:val="center"/>
              <w:rPr>
                <w:noProof/>
              </w:rPr>
            </w:pPr>
            <w:r>
              <w:rPr>
                <w:noProof/>
              </w:rPr>
              <w:t>163</w:t>
            </w:r>
          </w:p>
        </w:tc>
        <w:tc>
          <w:tcPr>
            <w:tcW w:w="1560" w:type="dxa"/>
            <w:tcBorders>
              <w:top w:val="nil"/>
              <w:left w:val="nil"/>
              <w:bottom w:val="single" w:sz="4" w:space="0" w:color="auto"/>
              <w:right w:val="single" w:sz="4" w:space="0" w:color="auto"/>
            </w:tcBorders>
            <w:shd w:val="clear" w:color="auto" w:fill="C6EFCE"/>
            <w:noWrap/>
            <w:vAlign w:val="center"/>
          </w:tcPr>
          <w:p w14:paraId="55F0BF1A" w14:textId="77777777" w:rsidR="00235E11" w:rsidRDefault="00F837E4">
            <w:pPr>
              <w:pStyle w:val="P68B1DB1-Normal9"/>
              <w:spacing w:after="0"/>
              <w:rPr>
                <w:noProof/>
              </w:rPr>
            </w:pPr>
            <w:r>
              <w:rPr>
                <w:noProof/>
              </w:rPr>
              <w:t>Модернизиране на инфраструктурата за обучение на напреднали (I-5.03)</w:t>
            </w:r>
          </w:p>
        </w:tc>
        <w:tc>
          <w:tcPr>
            <w:tcW w:w="1134" w:type="dxa"/>
            <w:tcBorders>
              <w:top w:val="nil"/>
              <w:left w:val="nil"/>
              <w:bottom w:val="single" w:sz="4" w:space="0" w:color="auto"/>
              <w:right w:val="single" w:sz="4" w:space="0" w:color="auto"/>
            </w:tcBorders>
            <w:shd w:val="clear" w:color="auto" w:fill="C6EFCE"/>
            <w:noWrap/>
            <w:vAlign w:val="center"/>
          </w:tcPr>
          <w:p w14:paraId="0FE03698" w14:textId="08291DC6" w:rsidR="00235E11" w:rsidRDefault="00F837E4">
            <w:pPr>
              <w:pStyle w:val="P68B1DB1-Normal9"/>
              <w:spacing w:after="0"/>
              <w:jc w:val="center"/>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04207590" w14:textId="515FB0D5" w:rsidR="00235E11" w:rsidRDefault="00F837E4">
            <w:pPr>
              <w:pStyle w:val="P68B1DB1-Normal9"/>
              <w:spacing w:after="0"/>
              <w:rPr>
                <w:noProof/>
              </w:rPr>
            </w:pPr>
            <w:r>
              <w:rPr>
                <w:noProof/>
              </w:rPr>
              <w:t>Сгради и оборудване за обучение, служби по заетостта</w:t>
            </w:r>
          </w:p>
        </w:tc>
        <w:tc>
          <w:tcPr>
            <w:tcW w:w="1418" w:type="dxa"/>
            <w:tcBorders>
              <w:top w:val="nil"/>
              <w:left w:val="nil"/>
              <w:bottom w:val="single" w:sz="4" w:space="0" w:color="auto"/>
              <w:right w:val="single" w:sz="4" w:space="0" w:color="auto"/>
            </w:tcBorders>
            <w:shd w:val="clear" w:color="auto" w:fill="C6EFCE"/>
            <w:noWrap/>
            <w:vAlign w:val="center"/>
          </w:tcPr>
          <w:p w14:paraId="6C4AD5F9" w14:textId="77777777" w:rsidR="00235E11" w:rsidRDefault="00235E11">
            <w:pPr>
              <w:spacing w:after="0"/>
              <w:rPr>
                <w:rFonts w:ascii="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0DFFA84C" w14:textId="77777777" w:rsidR="00235E11" w:rsidRDefault="00F837E4">
            <w:pPr>
              <w:pStyle w:val="P68B1DB1-Normal9"/>
              <w:spacing w:after="0"/>
              <w:rPr>
                <w:noProof/>
              </w:rPr>
            </w:pPr>
            <w:r>
              <w:rPr>
                <w:noProof/>
              </w:rPr>
              <w:t>m²</w:t>
            </w:r>
          </w:p>
        </w:tc>
        <w:tc>
          <w:tcPr>
            <w:tcW w:w="1134" w:type="dxa"/>
            <w:tcBorders>
              <w:top w:val="nil"/>
              <w:left w:val="nil"/>
              <w:bottom w:val="single" w:sz="4" w:space="0" w:color="auto"/>
              <w:right w:val="single" w:sz="4" w:space="0" w:color="auto"/>
            </w:tcBorders>
            <w:shd w:val="clear" w:color="auto" w:fill="C6EFCE"/>
            <w:noWrap/>
            <w:vAlign w:val="center"/>
          </w:tcPr>
          <w:p w14:paraId="23E82262" w14:textId="701BDF33" w:rsidR="00235E11" w:rsidRDefault="00F837E4">
            <w:pPr>
              <w:pStyle w:val="P68B1DB1-Normal9"/>
              <w:spacing w:after="0"/>
              <w:rPr>
                <w:noProof/>
              </w:rPr>
            </w:pPr>
            <w:r>
              <w:rPr>
                <w:noProof/>
              </w:rPr>
              <w:t>11 374</w:t>
            </w:r>
          </w:p>
        </w:tc>
        <w:tc>
          <w:tcPr>
            <w:tcW w:w="992" w:type="dxa"/>
            <w:tcBorders>
              <w:top w:val="nil"/>
              <w:left w:val="nil"/>
              <w:bottom w:val="single" w:sz="4" w:space="0" w:color="auto"/>
              <w:right w:val="single" w:sz="4" w:space="0" w:color="auto"/>
            </w:tcBorders>
            <w:shd w:val="clear" w:color="auto" w:fill="C6EFCE"/>
            <w:noWrap/>
            <w:vAlign w:val="center"/>
          </w:tcPr>
          <w:p w14:paraId="798C6655" w14:textId="3EBBEB16" w:rsidR="00235E11" w:rsidRDefault="00F837E4">
            <w:pPr>
              <w:pStyle w:val="P68B1DB1-Normal9"/>
              <w:spacing w:after="0"/>
              <w:rPr>
                <w:noProof/>
              </w:rPr>
            </w:pPr>
            <w:r>
              <w:rPr>
                <w:noProof/>
              </w:rPr>
              <w:t>35 574</w:t>
            </w:r>
          </w:p>
        </w:tc>
        <w:tc>
          <w:tcPr>
            <w:tcW w:w="992" w:type="dxa"/>
            <w:tcBorders>
              <w:top w:val="nil"/>
              <w:left w:val="nil"/>
              <w:bottom w:val="single" w:sz="4" w:space="0" w:color="auto"/>
              <w:right w:val="single" w:sz="4" w:space="0" w:color="auto"/>
            </w:tcBorders>
            <w:shd w:val="clear" w:color="auto" w:fill="C6EFCE"/>
            <w:noWrap/>
            <w:vAlign w:val="center"/>
          </w:tcPr>
          <w:p w14:paraId="1A3ECFF4" w14:textId="77777777" w:rsidR="00235E11" w:rsidRDefault="00F837E4">
            <w:pPr>
              <w:pStyle w:val="P68B1DB1-Normal9"/>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76BC8DE4" w14:textId="77777777" w:rsidR="00235E11" w:rsidRDefault="00F837E4">
            <w:pPr>
              <w:pStyle w:val="P68B1DB1-Normal9"/>
              <w:spacing w:after="0"/>
              <w:jc w:val="center"/>
              <w:rPr>
                <w:noProof/>
              </w:rPr>
            </w:pPr>
            <w:r>
              <w:rPr>
                <w:noProof/>
              </w:rPr>
              <w:t>2026</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3A9C6442" w14:textId="784EAA80" w:rsidR="00235E11" w:rsidRDefault="00F837E4">
            <w:pPr>
              <w:pStyle w:val="P68B1DB1-Normal9"/>
              <w:spacing w:after="0"/>
              <w:rPr>
                <w:rFonts w:eastAsia="Times New Roman"/>
                <w:noProof/>
              </w:rPr>
            </w:pPr>
            <w:r>
              <w:rPr>
                <w:noProof/>
              </w:rPr>
              <w:t>Общо 35 574 m² построени, обновени и/или оборудвани сгради, от които 24 200 m² обхващат „Ecocentre de formation „в Белград, Технифутур и „Centre des Ecotechnologies“ в Jemappes.</w:t>
            </w:r>
          </w:p>
        </w:tc>
      </w:tr>
      <w:tr w:rsidR="00235E11" w14:paraId="335E0496"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6549FC91" w14:textId="77777777" w:rsidR="00235E11" w:rsidRDefault="00F837E4">
            <w:pPr>
              <w:pStyle w:val="P68B1DB1-Normal9"/>
              <w:spacing w:after="0"/>
              <w:jc w:val="center"/>
              <w:rPr>
                <w:noProof/>
              </w:rPr>
            </w:pPr>
            <w:r>
              <w:rPr>
                <w:noProof/>
              </w:rPr>
              <w:t>164</w:t>
            </w:r>
          </w:p>
        </w:tc>
        <w:tc>
          <w:tcPr>
            <w:tcW w:w="1560" w:type="dxa"/>
            <w:tcBorders>
              <w:top w:val="nil"/>
              <w:left w:val="nil"/>
              <w:bottom w:val="single" w:sz="4" w:space="0" w:color="auto"/>
              <w:right w:val="single" w:sz="4" w:space="0" w:color="auto"/>
            </w:tcBorders>
            <w:shd w:val="clear" w:color="auto" w:fill="C6EFCE"/>
            <w:noWrap/>
            <w:vAlign w:val="center"/>
          </w:tcPr>
          <w:p w14:paraId="626B3425" w14:textId="77777777" w:rsidR="00235E11" w:rsidRDefault="00F837E4">
            <w:pPr>
              <w:pStyle w:val="P68B1DB1-Normal9"/>
              <w:spacing w:after="0"/>
              <w:rPr>
                <w:noProof/>
              </w:rPr>
            </w:pPr>
            <w:r>
              <w:rPr>
                <w:noProof/>
              </w:rPr>
              <w:t>Офанзива за учене и професионално развитие (I-5.04)</w:t>
            </w:r>
          </w:p>
        </w:tc>
        <w:tc>
          <w:tcPr>
            <w:tcW w:w="1134" w:type="dxa"/>
            <w:tcBorders>
              <w:top w:val="nil"/>
              <w:left w:val="nil"/>
              <w:bottom w:val="single" w:sz="4" w:space="0" w:color="auto"/>
              <w:right w:val="single" w:sz="4" w:space="0" w:color="auto"/>
            </w:tcBorders>
            <w:shd w:val="clear" w:color="auto" w:fill="C6EFCE"/>
            <w:noWrap/>
            <w:vAlign w:val="center"/>
          </w:tcPr>
          <w:p w14:paraId="45BC57BE" w14:textId="47CBD2A9" w:rsidR="00235E11" w:rsidRDefault="00F837E4">
            <w:pPr>
              <w:pStyle w:val="P68B1DB1-Normal9"/>
              <w:spacing w:after="0"/>
              <w:jc w:val="center"/>
              <w:rPr>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657EE7DE" w14:textId="77777777" w:rsidR="00235E11" w:rsidRDefault="00F837E4">
            <w:pPr>
              <w:pStyle w:val="P68B1DB1-Normal9"/>
              <w:spacing w:after="0"/>
              <w:rPr>
                <w:noProof/>
              </w:rPr>
            </w:pPr>
            <w:r>
              <w:rPr>
                <w:noProof/>
              </w:rPr>
              <w:t>Подкрепа за отпуски за обучение и предлагане на онлайн обучение във Фландрия</w:t>
            </w:r>
          </w:p>
        </w:tc>
        <w:tc>
          <w:tcPr>
            <w:tcW w:w="1418" w:type="dxa"/>
            <w:tcBorders>
              <w:top w:val="nil"/>
              <w:left w:val="nil"/>
              <w:bottom w:val="single" w:sz="4" w:space="0" w:color="auto"/>
              <w:right w:val="single" w:sz="4" w:space="0" w:color="auto"/>
            </w:tcBorders>
            <w:shd w:val="clear" w:color="auto" w:fill="C6EFCE"/>
            <w:noWrap/>
            <w:vAlign w:val="center"/>
          </w:tcPr>
          <w:p w14:paraId="5092134D"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0EFB6125" w14:textId="77777777" w:rsidR="00235E11" w:rsidRDefault="00F837E4">
            <w:pPr>
              <w:pStyle w:val="P68B1DB1-Normal9"/>
              <w:spacing w:after="0"/>
              <w:rPr>
                <w:noProof/>
              </w:rPr>
            </w:pPr>
            <w:r>
              <w:rPr>
                <w:noProof/>
              </w:rPr>
              <w:t>Лица</w:t>
            </w:r>
          </w:p>
        </w:tc>
        <w:tc>
          <w:tcPr>
            <w:tcW w:w="1134" w:type="dxa"/>
            <w:tcBorders>
              <w:top w:val="nil"/>
              <w:left w:val="nil"/>
              <w:bottom w:val="single" w:sz="4" w:space="0" w:color="auto"/>
              <w:right w:val="single" w:sz="4" w:space="0" w:color="auto"/>
            </w:tcBorders>
            <w:shd w:val="clear" w:color="auto" w:fill="C6EFCE"/>
            <w:noWrap/>
            <w:vAlign w:val="center"/>
          </w:tcPr>
          <w:p w14:paraId="5CCA78B2" w14:textId="77777777" w:rsidR="00235E11" w:rsidRDefault="00F837E4">
            <w:pPr>
              <w:pStyle w:val="P68B1DB1-Normal9"/>
              <w:spacing w:after="0"/>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tcPr>
          <w:p w14:paraId="5E851D9A" w14:textId="1D1DA660" w:rsidR="00235E11" w:rsidRDefault="00F837E4">
            <w:pPr>
              <w:pStyle w:val="P68B1DB1-Normal9"/>
              <w:spacing w:after="0"/>
              <w:rPr>
                <w:noProof/>
              </w:rPr>
            </w:pPr>
            <w:r>
              <w:rPr>
                <w:noProof/>
              </w:rPr>
              <w:t>307 500</w:t>
            </w:r>
          </w:p>
        </w:tc>
        <w:tc>
          <w:tcPr>
            <w:tcW w:w="992" w:type="dxa"/>
            <w:tcBorders>
              <w:top w:val="nil"/>
              <w:left w:val="nil"/>
              <w:bottom w:val="single" w:sz="4" w:space="0" w:color="auto"/>
              <w:right w:val="single" w:sz="4" w:space="0" w:color="auto"/>
            </w:tcBorders>
            <w:shd w:val="clear" w:color="auto" w:fill="C6EFCE"/>
            <w:noWrap/>
            <w:vAlign w:val="center"/>
          </w:tcPr>
          <w:p w14:paraId="33CD8E17" w14:textId="77777777" w:rsidR="00235E11" w:rsidRDefault="00F837E4">
            <w:pPr>
              <w:pStyle w:val="P68B1DB1-Normal9"/>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6FD0C678" w14:textId="77777777" w:rsidR="00235E11" w:rsidRDefault="00F837E4">
            <w:pPr>
              <w:pStyle w:val="P68B1DB1-Normal9"/>
              <w:spacing w:after="0"/>
              <w:jc w:val="center"/>
              <w:rPr>
                <w:noProof/>
              </w:rPr>
            </w:pPr>
            <w:r>
              <w:rPr>
                <w:noProof/>
              </w:rPr>
              <w:t>2022</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375AD9B0" w14:textId="0FF00BAD" w:rsidR="00235E11" w:rsidRDefault="00F837E4">
            <w:pPr>
              <w:pStyle w:val="P68B1DB1-Normal9"/>
              <w:spacing w:after="0"/>
              <w:rPr>
                <w:rFonts w:eastAsia="Times New Roman"/>
                <w:noProof/>
              </w:rPr>
            </w:pPr>
            <w:r>
              <w:rPr>
                <w:noProof/>
              </w:rPr>
              <w:t>От 2021 г. насам 307 500 души са се възползвали от правото си на отпуск за обучение или са се записали в онлайн предложение за обучение, което включва ориентирани към пазара на труда цифрови курсове с акцент върху техническите и/или социалните умения.</w:t>
            </w:r>
          </w:p>
        </w:tc>
      </w:tr>
      <w:tr w:rsidR="00235E11" w14:paraId="607F721D"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38E2CB8E" w14:textId="77777777" w:rsidR="00235E11" w:rsidRDefault="00F837E4">
            <w:pPr>
              <w:pStyle w:val="P68B1DB1-Normal9"/>
              <w:spacing w:after="0"/>
              <w:jc w:val="center"/>
              <w:rPr>
                <w:rFonts w:eastAsia="Times New Roman"/>
                <w:noProof/>
              </w:rPr>
            </w:pPr>
            <w:r>
              <w:rPr>
                <w:noProof/>
              </w:rPr>
              <w:t>165</w:t>
            </w:r>
          </w:p>
        </w:tc>
        <w:tc>
          <w:tcPr>
            <w:tcW w:w="1560" w:type="dxa"/>
            <w:tcBorders>
              <w:top w:val="nil"/>
              <w:left w:val="nil"/>
              <w:bottom w:val="single" w:sz="4" w:space="0" w:color="auto"/>
              <w:right w:val="single" w:sz="4" w:space="0" w:color="auto"/>
            </w:tcBorders>
            <w:shd w:val="clear" w:color="auto" w:fill="C6EFCE"/>
            <w:noWrap/>
            <w:vAlign w:val="center"/>
          </w:tcPr>
          <w:p w14:paraId="6FA7D0FD" w14:textId="77777777" w:rsidR="00235E11" w:rsidRDefault="00F837E4">
            <w:pPr>
              <w:pStyle w:val="P68B1DB1-Normal9"/>
              <w:spacing w:after="0"/>
              <w:rPr>
                <w:noProof/>
              </w:rPr>
            </w:pPr>
            <w:r>
              <w:rPr>
                <w:noProof/>
              </w:rPr>
              <w:t>Учене и кариерно развитие (I-5.04)</w:t>
            </w:r>
          </w:p>
        </w:tc>
        <w:tc>
          <w:tcPr>
            <w:tcW w:w="1134" w:type="dxa"/>
            <w:tcBorders>
              <w:top w:val="nil"/>
              <w:left w:val="nil"/>
              <w:bottom w:val="single" w:sz="4" w:space="0" w:color="auto"/>
              <w:right w:val="single" w:sz="4" w:space="0" w:color="auto"/>
            </w:tcBorders>
            <w:shd w:val="clear" w:color="auto" w:fill="C6EFCE"/>
            <w:noWrap/>
            <w:vAlign w:val="center"/>
          </w:tcPr>
          <w:p w14:paraId="140961EA" w14:textId="7A65C8CF" w:rsidR="00235E11" w:rsidRDefault="00F837E4">
            <w:pPr>
              <w:pStyle w:val="P68B1DB1-Normal9"/>
              <w:spacing w:after="0"/>
              <w:jc w:val="center"/>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46FE05FB" w14:textId="624619B2" w:rsidR="00235E11" w:rsidRDefault="00F837E4">
            <w:pPr>
              <w:pStyle w:val="P68B1DB1-Normal9"/>
              <w:spacing w:after="0"/>
              <w:rPr>
                <w:rFonts w:eastAsia="Times New Roman"/>
                <w:noProof/>
              </w:rPr>
            </w:pPr>
            <w:r>
              <w:rPr>
                <w:noProof/>
              </w:rPr>
              <w:t>Подкрепа за предприятията във Фландрия чрез проверки на компетентността и покани за представяне на проекти</w:t>
            </w:r>
          </w:p>
        </w:tc>
        <w:tc>
          <w:tcPr>
            <w:tcW w:w="1418" w:type="dxa"/>
            <w:tcBorders>
              <w:top w:val="nil"/>
              <w:left w:val="nil"/>
              <w:bottom w:val="single" w:sz="4" w:space="0" w:color="auto"/>
              <w:right w:val="single" w:sz="4" w:space="0" w:color="auto"/>
            </w:tcBorders>
            <w:shd w:val="clear" w:color="auto" w:fill="C6EFCE"/>
            <w:noWrap/>
            <w:vAlign w:val="center"/>
          </w:tcPr>
          <w:p w14:paraId="1A383BF6" w14:textId="5BBD5430"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7962EF2F" w14:textId="3654A193" w:rsidR="00235E11" w:rsidRDefault="00F837E4">
            <w:pPr>
              <w:pStyle w:val="P68B1DB1-Normal9"/>
              <w:spacing w:after="0"/>
              <w:rPr>
                <w:noProof/>
              </w:rPr>
            </w:pPr>
            <w:r>
              <w:rPr>
                <w:noProof/>
              </w:rPr>
              <w:t>Предприятия</w:t>
            </w:r>
          </w:p>
        </w:tc>
        <w:tc>
          <w:tcPr>
            <w:tcW w:w="1134" w:type="dxa"/>
            <w:tcBorders>
              <w:top w:val="nil"/>
              <w:left w:val="nil"/>
              <w:bottom w:val="single" w:sz="4" w:space="0" w:color="auto"/>
              <w:right w:val="single" w:sz="4" w:space="0" w:color="auto"/>
            </w:tcBorders>
            <w:shd w:val="clear" w:color="auto" w:fill="C6EFCE"/>
            <w:noWrap/>
            <w:vAlign w:val="center"/>
          </w:tcPr>
          <w:p w14:paraId="637EE312" w14:textId="77777777" w:rsidR="00235E11" w:rsidRDefault="00F837E4">
            <w:pPr>
              <w:pStyle w:val="P68B1DB1-Normal9"/>
              <w:spacing w:after="0"/>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tcPr>
          <w:p w14:paraId="15DA1344" w14:textId="6397634D" w:rsidR="00235E11" w:rsidRDefault="00F837E4">
            <w:pPr>
              <w:pStyle w:val="P68B1DB1-Normal9"/>
              <w:spacing w:after="0"/>
              <w:rPr>
                <w:noProof/>
              </w:rPr>
            </w:pPr>
            <w:r>
              <w:rPr>
                <w:noProof/>
              </w:rPr>
              <w:t>357</w:t>
            </w:r>
          </w:p>
        </w:tc>
        <w:tc>
          <w:tcPr>
            <w:tcW w:w="992" w:type="dxa"/>
            <w:tcBorders>
              <w:top w:val="nil"/>
              <w:left w:val="nil"/>
              <w:bottom w:val="single" w:sz="4" w:space="0" w:color="auto"/>
              <w:right w:val="single" w:sz="4" w:space="0" w:color="auto"/>
            </w:tcBorders>
            <w:shd w:val="clear" w:color="auto" w:fill="C6EFCE"/>
            <w:noWrap/>
            <w:vAlign w:val="center"/>
          </w:tcPr>
          <w:p w14:paraId="6A21D67E" w14:textId="77777777" w:rsidR="00235E11" w:rsidRDefault="00F837E4">
            <w:pPr>
              <w:pStyle w:val="P68B1DB1-Normal9"/>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2F2E81DB" w14:textId="77777777" w:rsidR="00235E11" w:rsidRDefault="00F837E4">
            <w:pPr>
              <w:pStyle w:val="P68B1DB1-Normal9"/>
              <w:spacing w:after="0"/>
              <w:jc w:val="center"/>
              <w:rPr>
                <w:noProof/>
              </w:rPr>
            </w:pPr>
            <w:r>
              <w:rPr>
                <w:noProof/>
              </w:rPr>
              <w:t>2024</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6387F7C" w14:textId="677C4EE7" w:rsidR="00235E11" w:rsidRDefault="00F837E4">
            <w:pPr>
              <w:pStyle w:val="P68B1DB1-Normal9"/>
              <w:spacing w:after="0"/>
              <w:rPr>
                <w:rFonts w:eastAsia="Times New Roman"/>
                <w:noProof/>
              </w:rPr>
            </w:pPr>
            <w:r>
              <w:rPr>
                <w:noProof/>
              </w:rPr>
              <w:t>357 предприятия, попадащи в една от следните категории, са се възползвали от подпомагането по мярката: I) МСП достигнаха до проверка на компетентностите ii) предприятията от социалната икономика, подпомагани в тяхната иновативна стратегическа трансформация чрез поканите за представяне на предложения „отворена стратегическа трансформация в областта на иновациите „и „ориентирано към бъдещето обучение в подкрепа на най-уязвимите групи в социалната икономика“.</w:t>
            </w:r>
          </w:p>
        </w:tc>
      </w:tr>
      <w:tr w:rsidR="00235E11" w14:paraId="0C4F78F0"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1449B9F9" w14:textId="77777777" w:rsidR="00235E11" w:rsidRDefault="00F837E4">
            <w:pPr>
              <w:pStyle w:val="P68B1DB1-Normal9"/>
              <w:spacing w:after="0"/>
              <w:jc w:val="center"/>
              <w:rPr>
                <w:rFonts w:eastAsia="Times New Roman"/>
                <w:noProof/>
              </w:rPr>
            </w:pPr>
            <w:r>
              <w:rPr>
                <w:noProof/>
              </w:rPr>
              <w:t>166</w:t>
            </w:r>
          </w:p>
        </w:tc>
        <w:tc>
          <w:tcPr>
            <w:tcW w:w="1560" w:type="dxa"/>
            <w:tcBorders>
              <w:top w:val="nil"/>
              <w:left w:val="nil"/>
              <w:bottom w:val="single" w:sz="4" w:space="0" w:color="auto"/>
              <w:right w:val="single" w:sz="4" w:space="0" w:color="auto"/>
            </w:tcBorders>
            <w:shd w:val="clear" w:color="auto" w:fill="C6EFCE"/>
            <w:noWrap/>
            <w:vAlign w:val="center"/>
          </w:tcPr>
          <w:p w14:paraId="6B704D76" w14:textId="77777777" w:rsidR="00235E11" w:rsidRDefault="00F837E4">
            <w:pPr>
              <w:pStyle w:val="P68B1DB1-Normal9"/>
              <w:spacing w:after="0"/>
              <w:rPr>
                <w:noProof/>
              </w:rPr>
            </w:pPr>
            <w:r>
              <w:rPr>
                <w:noProof/>
              </w:rPr>
              <w:t>Стратегия за съживяване на пазара на труда, съсредоточена върху ефективността и оптимизирането на политиките за активизиране и обучение (I-5.05)</w:t>
            </w:r>
          </w:p>
        </w:tc>
        <w:tc>
          <w:tcPr>
            <w:tcW w:w="1134" w:type="dxa"/>
            <w:tcBorders>
              <w:top w:val="nil"/>
              <w:left w:val="nil"/>
              <w:bottom w:val="single" w:sz="4" w:space="0" w:color="auto"/>
              <w:right w:val="single" w:sz="4" w:space="0" w:color="auto"/>
            </w:tcBorders>
            <w:shd w:val="clear" w:color="auto" w:fill="C6EFCE"/>
            <w:noWrap/>
            <w:vAlign w:val="center"/>
          </w:tcPr>
          <w:p w14:paraId="4E58970F" w14:textId="1D145AD0" w:rsidR="00235E11" w:rsidRDefault="00F837E4">
            <w:pPr>
              <w:pStyle w:val="P68B1DB1-Normal9"/>
              <w:spacing w:after="0"/>
              <w:jc w:val="center"/>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37A80992" w14:textId="77777777" w:rsidR="00235E11" w:rsidRDefault="00F837E4">
            <w:pPr>
              <w:pStyle w:val="P68B1DB1-Normal10"/>
              <w:spacing w:after="0"/>
              <w:rPr>
                <w:noProof/>
              </w:rPr>
            </w:pPr>
            <w:r>
              <w:rPr>
                <w:noProof/>
              </w:rPr>
              <w:t>Подкрепа за активизиране на търсещите работа и работниците в Брюксел</w:t>
            </w:r>
          </w:p>
        </w:tc>
        <w:tc>
          <w:tcPr>
            <w:tcW w:w="1418" w:type="dxa"/>
            <w:tcBorders>
              <w:top w:val="nil"/>
              <w:left w:val="nil"/>
              <w:bottom w:val="single" w:sz="4" w:space="0" w:color="auto"/>
              <w:right w:val="single" w:sz="4" w:space="0" w:color="auto"/>
            </w:tcBorders>
            <w:shd w:val="clear" w:color="auto" w:fill="C6EFCE"/>
            <w:noWrap/>
            <w:vAlign w:val="center"/>
          </w:tcPr>
          <w:p w14:paraId="4483E7D3" w14:textId="3CA89BF5"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136175ED" w14:textId="77777777" w:rsidR="00235E11" w:rsidRDefault="00F837E4">
            <w:pPr>
              <w:pStyle w:val="P68B1DB1-Normal9"/>
              <w:spacing w:after="0"/>
              <w:rPr>
                <w:noProof/>
              </w:rPr>
            </w:pPr>
            <w:r>
              <w:rPr>
                <w:noProof/>
              </w:rPr>
              <w:t>Лица</w:t>
            </w:r>
          </w:p>
        </w:tc>
        <w:tc>
          <w:tcPr>
            <w:tcW w:w="1134" w:type="dxa"/>
            <w:tcBorders>
              <w:top w:val="nil"/>
              <w:left w:val="nil"/>
              <w:bottom w:val="single" w:sz="4" w:space="0" w:color="auto"/>
              <w:right w:val="single" w:sz="4" w:space="0" w:color="auto"/>
            </w:tcBorders>
            <w:shd w:val="clear" w:color="auto" w:fill="C6EFCE"/>
            <w:noWrap/>
            <w:vAlign w:val="center"/>
          </w:tcPr>
          <w:p w14:paraId="1CF5CAA2" w14:textId="77777777" w:rsidR="00235E11" w:rsidRDefault="00F837E4">
            <w:pPr>
              <w:pStyle w:val="P68B1DB1-Normal9"/>
              <w:spacing w:after="0"/>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tcPr>
          <w:p w14:paraId="1C6B71E9" w14:textId="77777777" w:rsidR="00235E11" w:rsidRDefault="00F837E4">
            <w:pPr>
              <w:pStyle w:val="P68B1DB1-Normal9"/>
              <w:spacing w:after="0"/>
              <w:rPr>
                <w:noProof/>
              </w:rPr>
            </w:pPr>
            <w:r>
              <w:rPr>
                <w:noProof/>
              </w:rPr>
              <w:t>600</w:t>
            </w:r>
          </w:p>
        </w:tc>
        <w:tc>
          <w:tcPr>
            <w:tcW w:w="992" w:type="dxa"/>
            <w:tcBorders>
              <w:top w:val="nil"/>
              <w:left w:val="nil"/>
              <w:bottom w:val="single" w:sz="4" w:space="0" w:color="auto"/>
              <w:right w:val="single" w:sz="4" w:space="0" w:color="auto"/>
            </w:tcBorders>
            <w:shd w:val="clear" w:color="auto" w:fill="C6EFCE"/>
            <w:noWrap/>
            <w:vAlign w:val="center"/>
          </w:tcPr>
          <w:p w14:paraId="60FDAEF1" w14:textId="77777777" w:rsidR="00235E11" w:rsidRDefault="00F837E4">
            <w:pPr>
              <w:pStyle w:val="P68B1DB1-Normal9"/>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7F2D2F56" w14:textId="77777777" w:rsidR="00235E11" w:rsidRDefault="00F837E4">
            <w:pPr>
              <w:pStyle w:val="P68B1DB1-Normal9"/>
              <w:spacing w:after="0"/>
              <w:jc w:val="center"/>
              <w:rPr>
                <w:noProof/>
              </w:rPr>
            </w:pPr>
            <w:r>
              <w:rPr>
                <w:noProof/>
              </w:rPr>
              <w:t>2024</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0CB163D4" w14:textId="6AB76FF6" w:rsidR="00235E11" w:rsidRDefault="00F837E4">
            <w:pPr>
              <w:pStyle w:val="P68B1DB1-Normal9"/>
              <w:spacing w:after="0"/>
              <w:rPr>
                <w:noProof/>
              </w:rPr>
            </w:pPr>
            <w:r>
              <w:rPr>
                <w:noProof/>
              </w:rPr>
              <w:t>600 души се възползват от мерките на Брюкселската стратегия, включително схемата за подпомагане на преквалификацията или пренасочването към професии, в които има недостиг. Преквалификацията или пренасочването е под няколко форми: обучение, скрининг, тестване и дори адаптиране на длъжностната характеристика в базите данни.</w:t>
            </w:r>
          </w:p>
        </w:tc>
      </w:tr>
      <w:tr w:rsidR="00235E11" w14:paraId="70525F64" w14:textId="77777777">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DF3626" w14:textId="77777777" w:rsidR="00235E11" w:rsidRDefault="00F837E4">
            <w:pPr>
              <w:pStyle w:val="P68B1DB1-Normal10"/>
              <w:spacing w:after="0"/>
              <w:jc w:val="center"/>
              <w:rPr>
                <w:noProof/>
              </w:rPr>
            </w:pPr>
            <w:r>
              <w:rPr>
                <w:noProof/>
              </w:rPr>
              <w:t>167</w:t>
            </w:r>
          </w:p>
        </w:tc>
        <w:tc>
          <w:tcPr>
            <w:tcW w:w="1560"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112D3B08" w14:textId="77777777" w:rsidR="00235E11" w:rsidRDefault="00F837E4">
            <w:pPr>
              <w:pStyle w:val="P68B1DB1-Normal9"/>
              <w:spacing w:after="0"/>
              <w:rPr>
                <w:rFonts w:eastAsia="Times New Roman"/>
                <w:noProof/>
              </w:rPr>
            </w:pPr>
            <w:r>
              <w:rPr>
                <w:noProof/>
              </w:rPr>
              <w:t>Учене и кариерно развитие (I-5.04)</w:t>
            </w:r>
          </w:p>
        </w:tc>
        <w:tc>
          <w:tcPr>
            <w:tcW w:w="1134"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0F3E529D" w14:textId="6DD06474" w:rsidR="00235E11" w:rsidRDefault="00F837E4">
            <w:pPr>
              <w:pStyle w:val="P68B1DB1-Normal9"/>
              <w:spacing w:after="0"/>
              <w:jc w:val="center"/>
              <w:rPr>
                <w:rFonts w:eastAsia="Times New Roman"/>
                <w:noProof/>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64F4070E" w14:textId="77777777" w:rsidR="00235E11" w:rsidRDefault="00F837E4">
            <w:pPr>
              <w:pStyle w:val="P68B1DB1-Normal10"/>
              <w:spacing w:after="0"/>
              <w:rPr>
                <w:noProof/>
              </w:rPr>
            </w:pPr>
            <w:r>
              <w:rPr>
                <w:noProof/>
              </w:rPr>
              <w:t>Подкрепа за временно безработните във Фландрия</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00BFA2DE" w14:textId="77777777" w:rsidR="00235E11" w:rsidRDefault="00F837E4">
            <w:pPr>
              <w:pStyle w:val="P68B1DB1-Normal9"/>
              <w:spacing w:after="0"/>
              <w:rPr>
                <w:rFonts w:eastAsia="Times New Roman"/>
                <w:noProof/>
              </w:rPr>
            </w:pPr>
            <w:r>
              <w:rPr>
                <w:noProof/>
              </w:rPr>
              <w:t>Доклад на VDAB, удостоверяващ усилията за достигане до обществеността</w:t>
            </w:r>
          </w:p>
        </w:tc>
        <w:tc>
          <w:tcPr>
            <w:tcW w:w="1134"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52D7DF03" w14:textId="77777777" w:rsidR="00235E11" w:rsidRDefault="00235E11">
            <w:pPr>
              <w:spacing w:after="0"/>
              <w:rPr>
                <w:rFonts w:ascii="Times New Roman" w:hAnsi="Times New Roman" w:cs="Times New Roman"/>
                <w:noProof/>
                <w:color w:val="006100"/>
              </w:rPr>
            </w:pPr>
          </w:p>
        </w:tc>
        <w:tc>
          <w:tcPr>
            <w:tcW w:w="1134"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3E93510E" w14:textId="77777777" w:rsidR="00235E11" w:rsidRDefault="00235E11">
            <w:pPr>
              <w:spacing w:after="0"/>
              <w:rPr>
                <w:rFonts w:ascii="Times New Roman" w:hAnsi="Times New Roman" w:cs="Times New Roman"/>
                <w:noProof/>
                <w:color w:val="006100"/>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349958A8" w14:textId="77777777" w:rsidR="00235E11" w:rsidRDefault="00235E11">
            <w:pPr>
              <w:spacing w:after="0"/>
              <w:rPr>
                <w:rFonts w:ascii="Times New Roman" w:hAnsi="Times New Roman" w:cs="Times New Roman"/>
                <w:noProof/>
                <w:color w:val="006100"/>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79EB0550" w14:textId="77777777" w:rsidR="00235E11" w:rsidRDefault="00F837E4">
            <w:pPr>
              <w:pStyle w:val="P68B1DB1-Normal9"/>
              <w:spacing w:after="0"/>
              <w:jc w:val="center"/>
              <w:rPr>
                <w:noProof/>
              </w:rPr>
            </w:pPr>
            <w:r>
              <w:rPr>
                <w:noProof/>
              </w:rPr>
              <w:t>Т4 Г.</w:t>
            </w:r>
          </w:p>
        </w:tc>
        <w:tc>
          <w:tcPr>
            <w:tcW w:w="709"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4837B790" w14:textId="77777777" w:rsidR="00235E11" w:rsidRDefault="00F837E4">
            <w:pPr>
              <w:pStyle w:val="P68B1DB1-Normal9"/>
              <w:spacing w:after="0"/>
              <w:jc w:val="center"/>
              <w:rPr>
                <w:noProof/>
              </w:rPr>
            </w:pPr>
            <w:r>
              <w:rPr>
                <w:noProof/>
              </w:rPr>
              <w:t>2022</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vAlign w:val="center"/>
          </w:tcPr>
          <w:p w14:paraId="1C89DF90" w14:textId="77777777" w:rsidR="00235E11" w:rsidRDefault="00F837E4">
            <w:pPr>
              <w:pStyle w:val="P68B1DB1-Normal9"/>
              <w:spacing w:after="0"/>
              <w:rPr>
                <w:rFonts w:eastAsia="Times New Roman"/>
                <w:noProof/>
              </w:rPr>
            </w:pPr>
            <w:r>
              <w:rPr>
                <w:noProof/>
              </w:rPr>
              <w:t>Фламандската публична служба по заетостта (VDAB) се свързва с всички временно безработни лица от 01/01/2021 г., за да се запишат в обучение, стаж, временна работа или доброволческа работа.</w:t>
            </w:r>
          </w:p>
        </w:tc>
      </w:tr>
      <w:tr w:rsidR="00235E11" w14:paraId="2DCEE66D"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2322757E" w14:textId="77777777" w:rsidR="00235E11" w:rsidRDefault="00F837E4">
            <w:pPr>
              <w:pStyle w:val="P68B1DB1-Normal10"/>
              <w:spacing w:after="0"/>
              <w:jc w:val="center"/>
              <w:rPr>
                <w:noProof/>
              </w:rPr>
            </w:pPr>
            <w:r>
              <w:rPr>
                <w:noProof/>
              </w:rPr>
              <w:t>168</w:t>
            </w:r>
          </w:p>
        </w:tc>
        <w:tc>
          <w:tcPr>
            <w:tcW w:w="1560" w:type="dxa"/>
            <w:tcBorders>
              <w:top w:val="nil"/>
              <w:left w:val="nil"/>
              <w:bottom w:val="single" w:sz="4" w:space="0" w:color="000000" w:themeColor="text1"/>
              <w:right w:val="single" w:sz="4" w:space="0" w:color="000000" w:themeColor="text1"/>
            </w:tcBorders>
            <w:shd w:val="clear" w:color="auto" w:fill="C6EFCE"/>
            <w:noWrap/>
            <w:vAlign w:val="center"/>
          </w:tcPr>
          <w:p w14:paraId="7C02277B" w14:textId="1A4F282E" w:rsidR="00235E11" w:rsidRDefault="00F837E4">
            <w:pPr>
              <w:pStyle w:val="P68B1DB1-Normal9"/>
              <w:spacing w:after="0"/>
              <w:rPr>
                <w:rFonts w:eastAsia="Times New Roman"/>
                <w:noProof/>
              </w:rPr>
            </w:pPr>
            <w:r>
              <w:rPr>
                <w:noProof/>
              </w:rPr>
              <w:t>Учене през целия живот във Фламандската общност (R-5.04)</w:t>
            </w:r>
          </w:p>
        </w:tc>
        <w:tc>
          <w:tcPr>
            <w:tcW w:w="1134" w:type="dxa"/>
            <w:tcBorders>
              <w:top w:val="nil"/>
              <w:left w:val="nil"/>
              <w:bottom w:val="single" w:sz="4" w:space="0" w:color="auto"/>
              <w:right w:val="single" w:sz="4" w:space="0" w:color="auto"/>
            </w:tcBorders>
            <w:shd w:val="clear" w:color="auto" w:fill="C6EFCE"/>
            <w:noWrap/>
            <w:vAlign w:val="center"/>
          </w:tcPr>
          <w:p w14:paraId="79B1892C" w14:textId="7944BDE5" w:rsidR="00235E11" w:rsidRDefault="00F837E4">
            <w:pPr>
              <w:pStyle w:val="P68B1DB1-Normal9"/>
              <w:spacing w:after="0"/>
              <w:jc w:val="center"/>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2AE867FA" w14:textId="77777777" w:rsidR="00235E11" w:rsidRDefault="00F837E4">
            <w:pPr>
              <w:pStyle w:val="P68B1DB1-Normal10"/>
              <w:spacing w:after="0"/>
              <w:rPr>
                <w:noProof/>
              </w:rPr>
            </w:pPr>
            <w:r>
              <w:rPr>
                <w:noProof/>
              </w:rPr>
              <w:t>Документ за визия относно профила за учене и професионално развитие във Фландрия</w:t>
            </w:r>
          </w:p>
        </w:tc>
        <w:tc>
          <w:tcPr>
            <w:tcW w:w="1418" w:type="dxa"/>
            <w:tcBorders>
              <w:top w:val="nil"/>
              <w:left w:val="nil"/>
              <w:bottom w:val="single" w:sz="4" w:space="0" w:color="auto"/>
              <w:right w:val="single" w:sz="4" w:space="0" w:color="auto"/>
            </w:tcBorders>
            <w:shd w:val="clear" w:color="auto" w:fill="C6EFCE"/>
            <w:noWrap/>
            <w:vAlign w:val="center"/>
          </w:tcPr>
          <w:p w14:paraId="30E9B990" w14:textId="77777777" w:rsidR="00235E11" w:rsidRDefault="00F837E4">
            <w:pPr>
              <w:pStyle w:val="P68B1DB1-Normal10"/>
              <w:spacing w:after="0"/>
              <w:rPr>
                <w:noProof/>
              </w:rPr>
            </w:pPr>
            <w:r>
              <w:rPr>
                <w:noProof/>
              </w:rPr>
              <w:t>Публикуване на съгласието на правителството</w:t>
            </w:r>
          </w:p>
        </w:tc>
        <w:tc>
          <w:tcPr>
            <w:tcW w:w="1134" w:type="dxa"/>
            <w:tcBorders>
              <w:top w:val="nil"/>
              <w:left w:val="nil"/>
              <w:bottom w:val="single" w:sz="4" w:space="0" w:color="000000" w:themeColor="text1"/>
              <w:right w:val="single" w:sz="4" w:space="0" w:color="000000" w:themeColor="text1"/>
            </w:tcBorders>
            <w:shd w:val="clear" w:color="auto" w:fill="C6EFCE"/>
            <w:noWrap/>
            <w:vAlign w:val="center"/>
          </w:tcPr>
          <w:p w14:paraId="118097B1" w14:textId="77777777" w:rsidR="00235E11" w:rsidRDefault="00F837E4">
            <w:pPr>
              <w:pStyle w:val="P68B1DB1-Normal9"/>
              <w:spacing w:after="0"/>
              <w:rPr>
                <w:noProof/>
              </w:rPr>
            </w:pPr>
            <w:r>
              <w:rPr>
                <w:noProof/>
              </w:rPr>
              <w:t xml:space="preserve"> </w:t>
            </w:r>
          </w:p>
        </w:tc>
        <w:tc>
          <w:tcPr>
            <w:tcW w:w="1134" w:type="dxa"/>
            <w:tcBorders>
              <w:top w:val="nil"/>
              <w:left w:val="nil"/>
              <w:bottom w:val="single" w:sz="4" w:space="0" w:color="000000" w:themeColor="text1"/>
              <w:right w:val="single" w:sz="4" w:space="0" w:color="000000" w:themeColor="text1"/>
            </w:tcBorders>
            <w:shd w:val="clear" w:color="auto" w:fill="C6EFCE"/>
            <w:noWrap/>
            <w:vAlign w:val="center"/>
          </w:tcPr>
          <w:p w14:paraId="0D4814A1" w14:textId="77777777" w:rsidR="00235E11" w:rsidRDefault="00F837E4">
            <w:pPr>
              <w:pStyle w:val="P68B1DB1-Normal9"/>
              <w:spacing w:after="0"/>
              <w:rPr>
                <w:noProof/>
              </w:rPr>
            </w:pPr>
            <w:r>
              <w:rPr>
                <w:noProof/>
              </w:rPr>
              <w:t xml:space="preserve"> </w:t>
            </w:r>
          </w:p>
        </w:tc>
        <w:tc>
          <w:tcPr>
            <w:tcW w:w="992" w:type="dxa"/>
            <w:tcBorders>
              <w:top w:val="nil"/>
              <w:left w:val="nil"/>
              <w:bottom w:val="single" w:sz="4" w:space="0" w:color="000000" w:themeColor="text1"/>
              <w:right w:val="single" w:sz="4" w:space="0" w:color="000000" w:themeColor="text1"/>
            </w:tcBorders>
            <w:shd w:val="clear" w:color="auto" w:fill="C6EFCE"/>
            <w:noWrap/>
            <w:vAlign w:val="center"/>
          </w:tcPr>
          <w:p w14:paraId="214C283A" w14:textId="77777777" w:rsidR="00235E11" w:rsidRDefault="00F837E4">
            <w:pPr>
              <w:pStyle w:val="P68B1DB1-Normal9"/>
              <w:spacing w:after="0"/>
              <w:rPr>
                <w:noProof/>
              </w:rPr>
            </w:pPr>
            <w:r>
              <w:rPr>
                <w:noProof/>
              </w:rPr>
              <w:t xml:space="preserve"> </w:t>
            </w:r>
          </w:p>
        </w:tc>
        <w:tc>
          <w:tcPr>
            <w:tcW w:w="992" w:type="dxa"/>
            <w:tcBorders>
              <w:top w:val="nil"/>
              <w:left w:val="nil"/>
              <w:bottom w:val="single" w:sz="4" w:space="0" w:color="000000" w:themeColor="text1"/>
              <w:right w:val="single" w:sz="4" w:space="0" w:color="000000" w:themeColor="text1"/>
            </w:tcBorders>
            <w:shd w:val="clear" w:color="auto" w:fill="C6EFCE"/>
            <w:noWrap/>
            <w:vAlign w:val="center"/>
          </w:tcPr>
          <w:p w14:paraId="01AFF458" w14:textId="77777777" w:rsidR="00235E11" w:rsidRDefault="00F837E4">
            <w:pPr>
              <w:pStyle w:val="P68B1DB1-Normal9"/>
              <w:spacing w:after="0"/>
              <w:jc w:val="center"/>
              <w:rPr>
                <w:noProof/>
              </w:rPr>
            </w:pPr>
            <w:r>
              <w:rPr>
                <w:noProof/>
              </w:rPr>
              <w:t>Т2 Г.</w:t>
            </w:r>
          </w:p>
        </w:tc>
        <w:tc>
          <w:tcPr>
            <w:tcW w:w="709" w:type="dxa"/>
            <w:tcBorders>
              <w:top w:val="nil"/>
              <w:left w:val="nil"/>
              <w:bottom w:val="single" w:sz="4" w:space="0" w:color="000000" w:themeColor="text1"/>
              <w:right w:val="single" w:sz="4" w:space="0" w:color="000000" w:themeColor="text1"/>
            </w:tcBorders>
            <w:shd w:val="clear" w:color="auto" w:fill="C6EFCE"/>
            <w:noWrap/>
            <w:vAlign w:val="center"/>
          </w:tcPr>
          <w:p w14:paraId="563D7B15" w14:textId="77777777" w:rsidR="00235E11" w:rsidRDefault="00F837E4">
            <w:pPr>
              <w:pStyle w:val="P68B1DB1-Normal9"/>
              <w:spacing w:after="0"/>
              <w:jc w:val="center"/>
              <w:rPr>
                <w:noProof/>
              </w:rPr>
            </w:pPr>
            <w:r>
              <w:rPr>
                <w:noProof/>
              </w:rPr>
              <w:t>2022</w:t>
            </w:r>
          </w:p>
        </w:tc>
        <w:tc>
          <w:tcPr>
            <w:tcW w:w="4927" w:type="dxa"/>
            <w:tcBorders>
              <w:top w:val="nil"/>
              <w:left w:val="single" w:sz="4" w:space="0" w:color="000000" w:themeColor="text1"/>
              <w:bottom w:val="single" w:sz="4" w:space="0" w:color="000000" w:themeColor="text1"/>
              <w:right w:val="single" w:sz="4" w:space="0" w:color="000000" w:themeColor="text1"/>
            </w:tcBorders>
            <w:shd w:val="clear" w:color="auto" w:fill="C6EFCE"/>
            <w:noWrap/>
            <w:vAlign w:val="center"/>
          </w:tcPr>
          <w:p w14:paraId="0FA7A76E" w14:textId="77777777" w:rsidR="00235E11" w:rsidRDefault="00F837E4">
            <w:pPr>
              <w:pStyle w:val="P68B1DB1-Normal9"/>
              <w:spacing w:after="0"/>
              <w:rPr>
                <w:rFonts w:eastAsia="Times New Roman"/>
                <w:noProof/>
              </w:rPr>
            </w:pPr>
            <w:r>
              <w:rPr>
                <w:noProof/>
              </w:rPr>
              <w:t>Споразумение между социалните партньори и фламандското правителство относно документ за визия, в който се посочва как във Фландрия се въвежда отчитане на ученето и кариерата, като се отчита необходимостта от повишаване на прозрачността за гражданите, по-добро приобщаване на уязвимите групи и гарантиране на съгласуваност с платформата за цифрови сметки за обучение, създадена на федерално равнище.</w:t>
            </w:r>
          </w:p>
        </w:tc>
      </w:tr>
      <w:tr w:rsidR="00235E11" w14:paraId="45379B95"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756AB7AA" w14:textId="77777777" w:rsidR="00235E11" w:rsidRDefault="00F837E4">
            <w:pPr>
              <w:pStyle w:val="P68B1DB1-Normal9"/>
              <w:spacing w:after="0"/>
              <w:jc w:val="center"/>
              <w:rPr>
                <w:rFonts w:eastAsia="Times New Roman"/>
                <w:noProof/>
              </w:rPr>
            </w:pPr>
            <w:r>
              <w:rPr>
                <w:noProof/>
              </w:rPr>
              <w:t>169</w:t>
            </w:r>
          </w:p>
        </w:tc>
        <w:tc>
          <w:tcPr>
            <w:tcW w:w="1560" w:type="dxa"/>
            <w:tcBorders>
              <w:top w:val="nil"/>
              <w:left w:val="nil"/>
              <w:bottom w:val="single" w:sz="4" w:space="0" w:color="auto"/>
              <w:right w:val="single" w:sz="4" w:space="0" w:color="auto"/>
            </w:tcBorders>
            <w:shd w:val="clear" w:color="auto" w:fill="C6EFCE"/>
            <w:noWrap/>
            <w:vAlign w:val="center"/>
          </w:tcPr>
          <w:p w14:paraId="1A14ED52" w14:textId="77777777" w:rsidR="00235E11" w:rsidRDefault="00F837E4">
            <w:pPr>
              <w:pStyle w:val="P68B1DB1-Normal9"/>
              <w:spacing w:after="0"/>
              <w:rPr>
                <w:rFonts w:eastAsia="Times New Roman"/>
                <w:noProof/>
              </w:rPr>
            </w:pPr>
            <w:r>
              <w:rPr>
                <w:noProof/>
              </w:rPr>
              <w:t>Цифрови умения (I-5.06)</w:t>
            </w:r>
          </w:p>
        </w:tc>
        <w:tc>
          <w:tcPr>
            <w:tcW w:w="1134" w:type="dxa"/>
            <w:tcBorders>
              <w:top w:val="nil"/>
              <w:left w:val="nil"/>
              <w:bottom w:val="single" w:sz="4" w:space="0" w:color="auto"/>
              <w:right w:val="single" w:sz="4" w:space="0" w:color="auto"/>
            </w:tcBorders>
            <w:shd w:val="clear" w:color="auto" w:fill="C6EFCE"/>
            <w:noWrap/>
            <w:vAlign w:val="center"/>
          </w:tcPr>
          <w:p w14:paraId="2FE1204E" w14:textId="5E35997E" w:rsidR="00235E11" w:rsidRDefault="00F837E4">
            <w:pPr>
              <w:pStyle w:val="P68B1DB1-Normal9"/>
              <w:spacing w:after="0"/>
              <w:jc w:val="center"/>
              <w:rPr>
                <w:rFonts w:eastAsia="Times New Roman"/>
                <w:noProof/>
              </w:rPr>
            </w:pPr>
            <w:r>
              <w:rPr>
                <w:noProof/>
              </w:rPr>
              <w:t>T</w:t>
            </w:r>
          </w:p>
        </w:tc>
        <w:tc>
          <w:tcPr>
            <w:tcW w:w="1559" w:type="dxa"/>
            <w:tcBorders>
              <w:top w:val="nil"/>
              <w:left w:val="nil"/>
              <w:bottom w:val="single" w:sz="4" w:space="0" w:color="auto"/>
              <w:right w:val="single" w:sz="4" w:space="0" w:color="auto"/>
            </w:tcBorders>
            <w:shd w:val="clear" w:color="auto" w:fill="C6EFCE"/>
            <w:noWrap/>
            <w:vAlign w:val="center"/>
          </w:tcPr>
          <w:p w14:paraId="6AA12F0B" w14:textId="0B73887D" w:rsidR="00235E11" w:rsidRDefault="00F837E4">
            <w:pPr>
              <w:pStyle w:val="P68B1DB1-Normal9"/>
              <w:spacing w:after="0"/>
              <w:rPr>
                <w:noProof/>
              </w:rPr>
            </w:pPr>
            <w:r>
              <w:rPr>
                <w:noProof/>
              </w:rPr>
              <w:t>Разработване на предложения за електронно обучение във Фландрия</w:t>
            </w:r>
          </w:p>
        </w:tc>
        <w:tc>
          <w:tcPr>
            <w:tcW w:w="1418" w:type="dxa"/>
            <w:tcBorders>
              <w:top w:val="nil"/>
              <w:left w:val="nil"/>
              <w:bottom w:val="single" w:sz="4" w:space="0" w:color="auto"/>
              <w:right w:val="single" w:sz="4" w:space="0" w:color="auto"/>
            </w:tcBorders>
            <w:shd w:val="clear" w:color="auto" w:fill="C6EFCE"/>
            <w:noWrap/>
            <w:vAlign w:val="center"/>
          </w:tcPr>
          <w:p w14:paraId="4496A99D"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62F5C619" w14:textId="77777777" w:rsidR="00235E11" w:rsidRDefault="00F837E4">
            <w:pPr>
              <w:pStyle w:val="P68B1DB1-Normal9"/>
              <w:spacing w:after="0"/>
              <w:rPr>
                <w:noProof/>
              </w:rPr>
            </w:pPr>
            <w:r>
              <w:rPr>
                <w:noProof/>
              </w:rPr>
              <w:t>Проекти за електронно обучение</w:t>
            </w:r>
          </w:p>
        </w:tc>
        <w:tc>
          <w:tcPr>
            <w:tcW w:w="1134" w:type="dxa"/>
            <w:tcBorders>
              <w:top w:val="nil"/>
              <w:left w:val="nil"/>
              <w:bottom w:val="single" w:sz="4" w:space="0" w:color="auto"/>
              <w:right w:val="single" w:sz="4" w:space="0" w:color="auto"/>
            </w:tcBorders>
            <w:shd w:val="clear" w:color="auto" w:fill="C6EFCE"/>
            <w:noWrap/>
            <w:vAlign w:val="center"/>
          </w:tcPr>
          <w:p w14:paraId="09BD93AA" w14:textId="77777777" w:rsidR="00235E11" w:rsidRDefault="00F837E4">
            <w:pPr>
              <w:pStyle w:val="P68B1DB1-Normal9"/>
              <w:spacing w:after="0"/>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tcPr>
          <w:p w14:paraId="48D6876C" w14:textId="4CFD25C0" w:rsidR="00235E11" w:rsidRDefault="00F837E4">
            <w:pPr>
              <w:pStyle w:val="P68B1DB1-Normal9"/>
              <w:spacing w:after="0"/>
              <w:rPr>
                <w:noProof/>
              </w:rPr>
            </w:pPr>
            <w:r>
              <w:rPr>
                <w:noProof/>
              </w:rPr>
              <w:t xml:space="preserve">37 </w:t>
            </w:r>
          </w:p>
        </w:tc>
        <w:tc>
          <w:tcPr>
            <w:tcW w:w="992" w:type="dxa"/>
            <w:tcBorders>
              <w:top w:val="nil"/>
              <w:left w:val="nil"/>
              <w:bottom w:val="single" w:sz="4" w:space="0" w:color="auto"/>
              <w:right w:val="single" w:sz="4" w:space="0" w:color="auto"/>
            </w:tcBorders>
            <w:shd w:val="clear" w:color="auto" w:fill="C6EFCE"/>
            <w:noWrap/>
            <w:vAlign w:val="center"/>
          </w:tcPr>
          <w:p w14:paraId="69160995" w14:textId="77777777" w:rsidR="00235E11" w:rsidRDefault="00F837E4">
            <w:pPr>
              <w:pStyle w:val="P68B1DB1-Normal9"/>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0D7A80AF" w14:textId="77777777" w:rsidR="00235E11" w:rsidRDefault="00F837E4">
            <w:pPr>
              <w:pStyle w:val="P68B1DB1-Normal9"/>
              <w:spacing w:after="0"/>
              <w:jc w:val="center"/>
              <w:rPr>
                <w:noProof/>
              </w:rPr>
            </w:pPr>
            <w:r>
              <w:rPr>
                <w:noProof/>
              </w:rPr>
              <w:t>2022</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FA76E1A" w14:textId="1C677A91" w:rsidR="00235E11" w:rsidRDefault="00F837E4">
            <w:pPr>
              <w:pStyle w:val="P68B1DB1-Normal9"/>
              <w:spacing w:after="0"/>
              <w:rPr>
                <w:rFonts w:eastAsia="Times New Roman"/>
                <w:strike/>
                <w:noProof/>
              </w:rPr>
            </w:pPr>
            <w:r>
              <w:rPr>
                <w:noProof/>
              </w:rPr>
              <w:t>37 проекта за електронно обучение са одобрени, стартирани и завършени след покана за представяне на проекти.</w:t>
            </w:r>
          </w:p>
        </w:tc>
      </w:tr>
      <w:tr w:rsidR="00235E11" w14:paraId="6F02310C"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01588F8E" w14:textId="77777777" w:rsidR="00235E11" w:rsidRDefault="00F837E4">
            <w:pPr>
              <w:pStyle w:val="P68B1DB1-Normal9"/>
              <w:spacing w:after="0"/>
              <w:jc w:val="center"/>
              <w:rPr>
                <w:rFonts w:eastAsia="Times New Roman"/>
                <w:noProof/>
              </w:rPr>
            </w:pPr>
            <w:r>
              <w:rPr>
                <w:noProof/>
              </w:rPr>
              <w:t>170</w:t>
            </w:r>
          </w:p>
        </w:tc>
        <w:tc>
          <w:tcPr>
            <w:tcW w:w="1560" w:type="dxa"/>
            <w:tcBorders>
              <w:top w:val="nil"/>
              <w:left w:val="nil"/>
              <w:bottom w:val="single" w:sz="4" w:space="0" w:color="auto"/>
              <w:right w:val="single" w:sz="4" w:space="0" w:color="auto"/>
            </w:tcBorders>
            <w:shd w:val="clear" w:color="auto" w:fill="C6EFCE"/>
            <w:noWrap/>
            <w:vAlign w:val="center"/>
          </w:tcPr>
          <w:p w14:paraId="3D87E7B1" w14:textId="77777777" w:rsidR="00235E11" w:rsidRDefault="00F837E4">
            <w:pPr>
              <w:pStyle w:val="P68B1DB1-Normal9"/>
              <w:spacing w:after="0"/>
              <w:rPr>
                <w:rFonts w:eastAsia="Times New Roman"/>
                <w:noProof/>
              </w:rPr>
            </w:pPr>
            <w:r>
              <w:rPr>
                <w:noProof/>
              </w:rPr>
              <w:t>Цифрови умения (I-5.06)</w:t>
            </w:r>
          </w:p>
        </w:tc>
        <w:tc>
          <w:tcPr>
            <w:tcW w:w="1134" w:type="dxa"/>
            <w:tcBorders>
              <w:top w:val="nil"/>
              <w:left w:val="nil"/>
              <w:bottom w:val="single" w:sz="4" w:space="0" w:color="auto"/>
              <w:right w:val="single" w:sz="4" w:space="0" w:color="auto"/>
            </w:tcBorders>
            <w:shd w:val="clear" w:color="auto" w:fill="C6EFCE"/>
            <w:noWrap/>
            <w:vAlign w:val="center"/>
          </w:tcPr>
          <w:p w14:paraId="21D0587B" w14:textId="3F905649" w:rsidR="00235E11" w:rsidRDefault="00F837E4">
            <w:pPr>
              <w:pStyle w:val="P68B1DB1-Normal9"/>
              <w:spacing w:after="0"/>
              <w:jc w:val="center"/>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50DF2A31" w14:textId="77777777" w:rsidR="00235E11" w:rsidRDefault="00F837E4">
            <w:pPr>
              <w:pStyle w:val="P68B1DB1-Normal9"/>
              <w:spacing w:after="0"/>
              <w:rPr>
                <w:rFonts w:eastAsia="Times New Roman"/>
                <w:noProof/>
              </w:rPr>
            </w:pPr>
            <w:r>
              <w:rPr>
                <w:noProof/>
              </w:rPr>
              <w:t>Цифрови инструменти и услуги за гражданите, работодателите и фламандските публични служби по заетостта (VDAB), изцяло внедрени във Фландрия</w:t>
            </w:r>
          </w:p>
        </w:tc>
        <w:tc>
          <w:tcPr>
            <w:tcW w:w="1418" w:type="dxa"/>
            <w:tcBorders>
              <w:top w:val="nil"/>
              <w:left w:val="nil"/>
              <w:bottom w:val="single" w:sz="4" w:space="0" w:color="auto"/>
              <w:right w:val="single" w:sz="4" w:space="0" w:color="auto"/>
            </w:tcBorders>
            <w:shd w:val="clear" w:color="auto" w:fill="C6EFCE"/>
            <w:noWrap/>
            <w:vAlign w:val="center"/>
          </w:tcPr>
          <w:p w14:paraId="1C628CE5" w14:textId="77777777" w:rsidR="00235E11" w:rsidRDefault="00F837E4">
            <w:pPr>
              <w:pStyle w:val="P68B1DB1-Normal10"/>
              <w:rPr>
                <w:noProof/>
              </w:rPr>
            </w:pPr>
            <w:r>
              <w:rPr>
                <w:noProof/>
              </w:rPr>
              <w:t>Доклад за наблюдение на управлението и политиката на VDAB и отдел WSE</w:t>
            </w:r>
          </w:p>
        </w:tc>
        <w:tc>
          <w:tcPr>
            <w:tcW w:w="1134" w:type="dxa"/>
            <w:tcBorders>
              <w:top w:val="nil"/>
              <w:left w:val="nil"/>
              <w:bottom w:val="single" w:sz="4" w:space="0" w:color="auto"/>
              <w:right w:val="single" w:sz="4" w:space="0" w:color="auto"/>
            </w:tcBorders>
            <w:shd w:val="clear" w:color="auto" w:fill="C6EFCE"/>
            <w:noWrap/>
            <w:vAlign w:val="center"/>
          </w:tcPr>
          <w:p w14:paraId="0BC3E0AC" w14:textId="3AFF507D"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748ED1CA" w14:textId="7CF90C4B"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26133223" w14:textId="292EE9B8"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49773704"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7D86672C" w14:textId="48D5DEA6" w:rsidR="00235E11" w:rsidRDefault="00F837E4">
            <w:pPr>
              <w:pStyle w:val="P68B1DB1-Normal9"/>
              <w:spacing w:after="0"/>
              <w:jc w:val="center"/>
              <w:rPr>
                <w:rFonts w:eastAsia="Times New Roman"/>
                <w:noProof/>
              </w:rPr>
            </w:pPr>
            <w:r>
              <w:rPr>
                <w:noProof/>
              </w:rPr>
              <w:t>2024</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830F135" w14:textId="77777777" w:rsidR="00235E11" w:rsidRDefault="00F837E4">
            <w:pPr>
              <w:pStyle w:val="P68B1DB1-Normal9"/>
              <w:spacing w:after="0"/>
              <w:rPr>
                <w:noProof/>
              </w:rPr>
            </w:pPr>
            <w:r>
              <w:rPr>
                <w:noProof/>
              </w:rPr>
              <w:t>В доклада се удостоверява пълното внедряване на следните цифрови инструменти и услуги за гражданите, работодателите и партньорите от VDAB, които са изцяло внедрени във Фландрия:</w:t>
            </w:r>
          </w:p>
          <w:p w14:paraId="78A23938" w14:textId="77777777" w:rsidR="00235E11" w:rsidRDefault="00F837E4">
            <w:pPr>
              <w:pStyle w:val="P68B1DB1-Normal9"/>
              <w:spacing w:after="0"/>
              <w:rPr>
                <w:noProof/>
              </w:rPr>
            </w:pPr>
            <w:r>
              <w:rPr>
                <w:noProof/>
              </w:rPr>
              <w:t>1. Персонализирана цифрова платформа за професионално развитие, съчетана с персонализирано предлагане на възможности за обучение и стимули за гражданите, е достъпна и оперативна.</w:t>
            </w:r>
          </w:p>
          <w:p w14:paraId="027A17AD" w14:textId="77777777" w:rsidR="00235E11" w:rsidRDefault="00F837E4">
            <w:pPr>
              <w:pStyle w:val="P68B1DB1-Normal9"/>
              <w:spacing w:after="0"/>
              <w:rPr>
                <w:noProof/>
              </w:rPr>
            </w:pPr>
            <w:r>
              <w:rPr>
                <w:noProof/>
              </w:rPr>
              <w:t>2. Цифровото бюро на работодателите на VDAB и цифровата партньорска платформа функционират, което позволява на медиаторите на VDAB активно да се свързват с всички работодатели със свободни работни места при споделено управление и да ги подпомагат по цифров път при попълването на свободните работни места. Последващите действия на всички партньори от VDAB се извършват и чрез платформата за цифрови партньори.</w:t>
            </w:r>
          </w:p>
          <w:p w14:paraId="20EB04EB" w14:textId="77777777" w:rsidR="00235E11" w:rsidRDefault="00F837E4">
            <w:pPr>
              <w:pStyle w:val="NumPar1"/>
              <w:numPr>
                <w:ilvl w:val="0"/>
                <w:numId w:val="0"/>
              </w:numPr>
              <w:spacing w:before="0" w:after="0"/>
              <w:jc w:val="left"/>
              <w:rPr>
                <w:noProof/>
                <w:color w:val="006100"/>
                <w:sz w:val="22"/>
              </w:rPr>
            </w:pPr>
            <w:r>
              <w:rPr>
                <w:noProof/>
                <w:color w:val="006100"/>
                <w:sz w:val="22"/>
              </w:rPr>
              <w:t>3.</w:t>
            </w:r>
            <w:r>
              <w:rPr>
                <w:noProof/>
              </w:rPr>
              <w:t xml:space="preserve"> </w:t>
            </w:r>
            <w:r>
              <w:rPr>
                <w:noProof/>
                <w:color w:val="006100"/>
                <w:sz w:val="22"/>
              </w:rPr>
              <w:t>Цифровите услуги за работодателите бяха разширени с помощта на цифрово бюро на Department WSE, достъпно за всички работодатели.</w:t>
            </w:r>
          </w:p>
          <w:p w14:paraId="73286045" w14:textId="1482B7C5" w:rsidR="00235E11" w:rsidRDefault="00F837E4">
            <w:pPr>
              <w:pStyle w:val="P68B1DB1-Normal9"/>
              <w:spacing w:after="0"/>
              <w:rPr>
                <w:rFonts w:eastAsia="Times New Roman"/>
                <w:noProof/>
              </w:rPr>
            </w:pPr>
            <w:r>
              <w:rPr>
                <w:noProof/>
              </w:rPr>
              <w:t>4. Започва да функционира екосистемата от данни на Министерството на вътрешната сигурност за партньорите: 15 съответни набори от данни се предоставят на платформата за свободно достъпни данни за научни изследвания и други цели</w:t>
            </w:r>
          </w:p>
        </w:tc>
      </w:tr>
      <w:tr w:rsidR="00235E11" w14:paraId="1158F2A1" w14:textId="77777777">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208E79" w14:textId="77777777" w:rsidR="00235E11" w:rsidRDefault="00F837E4">
            <w:pPr>
              <w:pStyle w:val="P68B1DB1-Normal9"/>
              <w:spacing w:after="0"/>
              <w:jc w:val="center"/>
              <w:rPr>
                <w:rFonts w:eastAsia="Times New Roman"/>
                <w:noProof/>
              </w:rPr>
            </w:pPr>
            <w:r>
              <w:rPr>
                <w:noProof/>
              </w:rPr>
              <w:t>171</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6068E32" w14:textId="46908FFF" w:rsidR="00235E11" w:rsidRDefault="00F837E4">
            <w:pPr>
              <w:pStyle w:val="P68B1DB1-Normal9"/>
              <w:spacing w:after="0"/>
              <w:rPr>
                <w:rFonts w:eastAsia="Times New Roman"/>
                <w:noProof/>
              </w:rPr>
            </w:pPr>
            <w:r>
              <w:rPr>
                <w:noProof/>
              </w:rPr>
              <w:t>Цифрово обучение през целия живот (I-5.07)</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48A16FC" w14:textId="6E087916" w:rsidR="00235E11" w:rsidRDefault="00F837E4">
            <w:pPr>
              <w:pStyle w:val="P68B1DB1-Normal9"/>
              <w:spacing w:after="0"/>
              <w:jc w:val="center"/>
              <w:rPr>
                <w:rFonts w:eastAsia="Times New Roman"/>
                <w:noProof/>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70A0C771" w14:textId="77777777" w:rsidR="00235E11" w:rsidRDefault="00F837E4">
            <w:pPr>
              <w:pStyle w:val="P68B1DB1-Normal9"/>
              <w:spacing w:after="0"/>
              <w:rPr>
                <w:rFonts w:eastAsia="Times New Roman"/>
                <w:noProof/>
              </w:rPr>
            </w:pPr>
            <w:r>
              <w:rPr>
                <w:noProof/>
              </w:rPr>
              <w:t>Модернизиране на предоставянето на наставничество и обучение в областта на цифровите умения, включително основни цифрови умения във Валония, чрез цифрови инструменти, най-съвременна инфраструктура, компетентно наставничество и иновативни проекти.</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63102AAB" w14:textId="32F0F6E4" w:rsidR="00235E11" w:rsidRDefault="00F837E4">
            <w:pPr>
              <w:pStyle w:val="P68B1DB1-Normal10"/>
              <w:spacing w:after="0"/>
              <w:rPr>
                <w:noProof/>
              </w:rPr>
            </w:pPr>
            <w:r>
              <w:rPr>
                <w:noProof/>
              </w:rPr>
              <w:t>Доклад, потвърждаващ приключването на различните проекти</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E41BC42" w14:textId="45BBFF22"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AE01D86" w14:textId="0C7F8D2D"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2D966BC" w14:textId="751681EA"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94717F5" w14:textId="77777777" w:rsidR="00235E11" w:rsidRDefault="00F837E4">
            <w:pPr>
              <w:pStyle w:val="P68B1DB1-Normal9"/>
              <w:spacing w:after="0"/>
              <w:jc w:val="center"/>
              <w:rPr>
                <w:rFonts w:eastAsia="Times New Roman"/>
                <w:noProof/>
              </w:rPr>
            </w:pPr>
            <w:r>
              <w:rPr>
                <w:noProof/>
              </w:rPr>
              <w:t>Т2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76EEDCB" w14:textId="77777777" w:rsidR="00235E11" w:rsidRDefault="00F837E4">
            <w:pPr>
              <w:pStyle w:val="P68B1DB1-Normal9"/>
              <w:spacing w:after="0"/>
              <w:jc w:val="center"/>
              <w:rPr>
                <w:rFonts w:eastAsia="Times New Roman"/>
                <w:noProof/>
              </w:rPr>
            </w:pPr>
            <w:r>
              <w:rPr>
                <w:noProof/>
              </w:rPr>
              <w:t>2026</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65A54BC7" w14:textId="2D8CE9E6" w:rsidR="00235E11" w:rsidRDefault="00F837E4">
            <w:pPr>
              <w:pStyle w:val="P68B1DB1-Normal9"/>
              <w:rPr>
                <w:rFonts w:eastAsia="Calibri"/>
                <w:noProof/>
              </w:rPr>
            </w:pPr>
            <w:r>
              <w:rPr>
                <w:noProof/>
              </w:rPr>
              <w:t>Ще бъде предоставено и работещо ИКТ оборудване за 39 места за обучение по потапяне на валонския институт за алтернативно обучение за самостоятелно заетите и малките и средните предприятия (IFAPME) (22 центъра за обучение -17 местни обслужващи обекта). 9 обекта на публичните служби по заетостта на Валония (FOREM) се преобразуват и оборудват в цифрови заводи (4 реновирани и 5 построени), а 1 — като платформа за преустройство на STEM. Основните нужди от цифрово обучение се интегрират в текущите програми за обучение, както и в новоразработени програми за обучение в сектора на информационните технологии, въз основа на нуждите на пазара на труда, и на тази основа на преподавателския персонал и стажантите се предоставят 10 000 часа педагогическо обучение за цифровия преход. Изграждат се или адаптират 6 000 m² от инфраструктурите за обучение за придобиване на цифрови умения.</w:t>
            </w:r>
          </w:p>
        </w:tc>
      </w:tr>
      <w:tr w:rsidR="00235E11" w14:paraId="78D21664"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1C60BC18" w14:textId="77777777" w:rsidR="00235E11" w:rsidRDefault="00F837E4">
            <w:pPr>
              <w:pStyle w:val="P68B1DB1-Normal9"/>
              <w:spacing w:after="0"/>
              <w:jc w:val="center"/>
              <w:rPr>
                <w:rFonts w:eastAsia="Times New Roman"/>
                <w:noProof/>
              </w:rPr>
            </w:pPr>
            <w:r>
              <w:rPr>
                <w:noProof/>
              </w:rPr>
              <w:t>172</w:t>
            </w:r>
          </w:p>
        </w:tc>
        <w:tc>
          <w:tcPr>
            <w:tcW w:w="1560" w:type="dxa"/>
            <w:tcBorders>
              <w:top w:val="nil"/>
              <w:left w:val="nil"/>
              <w:bottom w:val="single" w:sz="4" w:space="0" w:color="auto"/>
              <w:right w:val="single" w:sz="4" w:space="0" w:color="auto"/>
            </w:tcBorders>
            <w:shd w:val="clear" w:color="auto" w:fill="C6EFCE"/>
            <w:noWrap/>
            <w:vAlign w:val="center"/>
          </w:tcPr>
          <w:p w14:paraId="461CA1A3" w14:textId="77777777" w:rsidR="00235E11" w:rsidRDefault="00F837E4">
            <w:pPr>
              <w:pStyle w:val="P68B1DB1-Normal9"/>
              <w:spacing w:after="0"/>
              <w:rPr>
                <w:rFonts w:eastAsia="Times New Roman"/>
                <w:noProof/>
              </w:rPr>
            </w:pPr>
            <w:r>
              <w:rPr>
                <w:noProof/>
              </w:rPr>
              <w:t>Сметка за обучение (R-5.03)</w:t>
            </w:r>
          </w:p>
        </w:tc>
        <w:tc>
          <w:tcPr>
            <w:tcW w:w="1134" w:type="dxa"/>
            <w:tcBorders>
              <w:top w:val="nil"/>
              <w:left w:val="nil"/>
              <w:bottom w:val="single" w:sz="4" w:space="0" w:color="auto"/>
              <w:right w:val="single" w:sz="4" w:space="0" w:color="auto"/>
            </w:tcBorders>
            <w:shd w:val="clear" w:color="auto" w:fill="C6EFCE"/>
            <w:noWrap/>
            <w:vAlign w:val="center"/>
          </w:tcPr>
          <w:p w14:paraId="5371B78A" w14:textId="0B41AA54" w:rsidR="00235E11" w:rsidRDefault="00F837E4">
            <w:pPr>
              <w:pStyle w:val="P68B1DB1-Normal9"/>
              <w:spacing w:after="0"/>
              <w:jc w:val="center"/>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4C9B145B" w14:textId="77777777" w:rsidR="00235E11" w:rsidRDefault="00F837E4">
            <w:pPr>
              <w:pStyle w:val="P68B1DB1-Normal9"/>
              <w:spacing w:after="0"/>
              <w:rPr>
                <w:rFonts w:eastAsia="Times New Roman"/>
                <w:noProof/>
              </w:rPr>
            </w:pPr>
            <w:r>
              <w:rPr>
                <w:noProof/>
              </w:rPr>
              <w:t>Федерална реформа за развиване на индивидуалното право на обучение на служителите.</w:t>
            </w:r>
          </w:p>
        </w:tc>
        <w:tc>
          <w:tcPr>
            <w:tcW w:w="1418" w:type="dxa"/>
            <w:tcBorders>
              <w:top w:val="nil"/>
              <w:left w:val="nil"/>
              <w:bottom w:val="single" w:sz="4" w:space="0" w:color="auto"/>
              <w:right w:val="single" w:sz="4" w:space="0" w:color="auto"/>
            </w:tcBorders>
            <w:shd w:val="clear" w:color="auto" w:fill="C6EFCE"/>
            <w:noWrap/>
            <w:vAlign w:val="center"/>
          </w:tcPr>
          <w:p w14:paraId="7468BE1F" w14:textId="77777777" w:rsidR="00235E11" w:rsidRDefault="00F837E4">
            <w:pPr>
              <w:pStyle w:val="P68B1DB1-Normal9"/>
              <w:spacing w:after="0"/>
              <w:rPr>
                <w:rFonts w:eastAsia="Times New Roman"/>
                <w:noProof/>
              </w:rPr>
            </w:pPr>
            <w:r>
              <w:rPr>
                <w:noProof/>
              </w:rPr>
              <w:t>Публикуване в Официален вестник</w:t>
            </w:r>
          </w:p>
        </w:tc>
        <w:tc>
          <w:tcPr>
            <w:tcW w:w="1134" w:type="dxa"/>
            <w:tcBorders>
              <w:top w:val="nil"/>
              <w:left w:val="nil"/>
              <w:bottom w:val="single" w:sz="4" w:space="0" w:color="auto"/>
              <w:right w:val="single" w:sz="4" w:space="0" w:color="auto"/>
            </w:tcBorders>
            <w:shd w:val="clear" w:color="auto" w:fill="C6EFCE"/>
            <w:noWrap/>
            <w:vAlign w:val="center"/>
          </w:tcPr>
          <w:p w14:paraId="7152AE02" w14:textId="6E3B03FD"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0BEA8195" w14:textId="43B22D13"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3E79F889" w14:textId="2B7063C8"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68407D94"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0D1E807E" w14:textId="77777777" w:rsidR="00235E11" w:rsidRDefault="00F837E4">
            <w:pPr>
              <w:pStyle w:val="P68B1DB1-Normal9"/>
              <w:spacing w:after="0"/>
              <w:jc w:val="center"/>
              <w:rPr>
                <w:rFonts w:eastAsia="Times New Roman"/>
                <w:noProof/>
              </w:rPr>
            </w:pPr>
            <w:r>
              <w:rPr>
                <w:noProof/>
              </w:rPr>
              <w:t>2021</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66342090" w14:textId="77777777" w:rsidR="00235E11" w:rsidRDefault="00F837E4">
            <w:pPr>
              <w:pStyle w:val="P68B1DB1-Normal9"/>
              <w:spacing w:after="0"/>
              <w:rPr>
                <w:noProof/>
              </w:rPr>
            </w:pPr>
            <w:r>
              <w:rPr>
                <w:noProof/>
              </w:rPr>
              <w:t>Въз основа на диалога между социалните партньори и федералното правителство, приемане на преразглеждането на закона от 5 март 2017 г. относно осъществима и управляема работа, с което се въвежда начин, който гарантира, че от 2024 г. всички работници имат право на средно 5 дни обучение годишно.</w:t>
            </w:r>
          </w:p>
        </w:tc>
      </w:tr>
      <w:tr w:rsidR="00235E11" w14:paraId="3D6EDFD9"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2EB1F19E" w14:textId="77777777" w:rsidR="00235E11" w:rsidRDefault="00F837E4">
            <w:pPr>
              <w:pStyle w:val="P68B1DB1-Normal9"/>
              <w:spacing w:after="0"/>
              <w:jc w:val="center"/>
              <w:rPr>
                <w:rFonts w:eastAsia="Times New Roman"/>
                <w:noProof/>
              </w:rPr>
            </w:pPr>
            <w:r>
              <w:rPr>
                <w:noProof/>
              </w:rPr>
              <w:t>173</w:t>
            </w:r>
          </w:p>
        </w:tc>
        <w:tc>
          <w:tcPr>
            <w:tcW w:w="1560" w:type="dxa"/>
            <w:tcBorders>
              <w:top w:val="nil"/>
              <w:left w:val="nil"/>
              <w:bottom w:val="single" w:sz="4" w:space="0" w:color="auto"/>
              <w:right w:val="single" w:sz="4" w:space="0" w:color="auto"/>
            </w:tcBorders>
            <w:shd w:val="clear" w:color="auto" w:fill="C6EFCE"/>
            <w:noWrap/>
            <w:vAlign w:val="center"/>
          </w:tcPr>
          <w:p w14:paraId="7B8EF477" w14:textId="77777777" w:rsidR="00235E11" w:rsidRDefault="00F837E4">
            <w:pPr>
              <w:pStyle w:val="P68B1DB1-Normal9"/>
              <w:spacing w:after="0"/>
              <w:rPr>
                <w:noProof/>
              </w:rPr>
            </w:pPr>
            <w:r>
              <w:rPr>
                <w:noProof/>
              </w:rPr>
              <w:t>Сметка за обучение (R-5.03)</w:t>
            </w:r>
          </w:p>
        </w:tc>
        <w:tc>
          <w:tcPr>
            <w:tcW w:w="1134" w:type="dxa"/>
            <w:tcBorders>
              <w:top w:val="nil"/>
              <w:left w:val="nil"/>
              <w:bottom w:val="single" w:sz="4" w:space="0" w:color="auto"/>
              <w:right w:val="single" w:sz="4" w:space="0" w:color="auto"/>
            </w:tcBorders>
            <w:shd w:val="clear" w:color="auto" w:fill="C6EFCE"/>
            <w:noWrap/>
            <w:vAlign w:val="center"/>
          </w:tcPr>
          <w:p w14:paraId="364570AB" w14:textId="74E0E64B" w:rsidR="00235E11" w:rsidRDefault="00F837E4">
            <w:pPr>
              <w:pStyle w:val="P68B1DB1-Normal9"/>
              <w:spacing w:after="0"/>
              <w:jc w:val="center"/>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21001847" w14:textId="77777777" w:rsidR="00235E11" w:rsidRDefault="00F837E4">
            <w:pPr>
              <w:pStyle w:val="P68B1DB1-Normal10"/>
              <w:spacing w:after="0"/>
              <w:rPr>
                <w:noProof/>
              </w:rPr>
            </w:pPr>
            <w:r>
              <w:rPr>
                <w:noProof/>
              </w:rPr>
              <w:t>Федерална реформа, създаваща стимули за дружествата да предоставят обучение</w:t>
            </w:r>
          </w:p>
        </w:tc>
        <w:tc>
          <w:tcPr>
            <w:tcW w:w="1418" w:type="dxa"/>
            <w:tcBorders>
              <w:top w:val="nil"/>
              <w:left w:val="nil"/>
              <w:bottom w:val="single" w:sz="4" w:space="0" w:color="auto"/>
              <w:right w:val="single" w:sz="4" w:space="0" w:color="auto"/>
            </w:tcBorders>
            <w:shd w:val="clear" w:color="auto" w:fill="C6EFCE"/>
            <w:noWrap/>
            <w:vAlign w:val="center"/>
          </w:tcPr>
          <w:p w14:paraId="1BB03290" w14:textId="77777777" w:rsidR="00235E11" w:rsidRDefault="00F837E4">
            <w:pPr>
              <w:pStyle w:val="P68B1DB1-Normal9"/>
              <w:spacing w:after="0"/>
              <w:rPr>
                <w:rFonts w:eastAsia="Times New Roman"/>
                <w:noProof/>
              </w:rPr>
            </w:pPr>
            <w:r>
              <w:rPr>
                <w:noProof/>
              </w:rPr>
              <w:t>Публикуване в Официален вестник</w:t>
            </w:r>
          </w:p>
        </w:tc>
        <w:tc>
          <w:tcPr>
            <w:tcW w:w="1134" w:type="dxa"/>
            <w:tcBorders>
              <w:top w:val="nil"/>
              <w:left w:val="nil"/>
              <w:bottom w:val="single" w:sz="4" w:space="0" w:color="auto"/>
              <w:right w:val="single" w:sz="4" w:space="0" w:color="auto"/>
            </w:tcBorders>
            <w:shd w:val="clear" w:color="auto" w:fill="C6EFCE"/>
            <w:noWrap/>
            <w:vAlign w:val="center"/>
          </w:tcPr>
          <w:p w14:paraId="51907ED3" w14:textId="55546C4F"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2F5E4D8E" w14:textId="2C92CC9B"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4FD1FF73" w14:textId="0F002155"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4641C7D4" w14:textId="77777777" w:rsidR="00235E11" w:rsidRDefault="00F837E4">
            <w:pPr>
              <w:pStyle w:val="P68B1DB1-Normal9"/>
              <w:spacing w:after="0"/>
              <w:jc w:val="center"/>
              <w:rPr>
                <w:rFonts w:eastAsia="Times New Roman"/>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649BDCD1" w14:textId="77777777" w:rsidR="00235E11" w:rsidRDefault="00F837E4">
            <w:pPr>
              <w:pStyle w:val="P68B1DB1-Normal9"/>
              <w:spacing w:after="0"/>
              <w:jc w:val="center"/>
              <w:rPr>
                <w:rFonts w:eastAsia="Times New Roman"/>
                <w:noProof/>
              </w:rPr>
            </w:pPr>
            <w:r>
              <w:rPr>
                <w:noProof/>
              </w:rPr>
              <w:t>2021</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4A731EBC" w14:textId="77777777" w:rsidR="00235E11" w:rsidRDefault="00F837E4">
            <w:pPr>
              <w:pStyle w:val="P68B1DB1-Normal9"/>
              <w:spacing w:after="0"/>
              <w:rPr>
                <w:noProof/>
              </w:rPr>
            </w:pPr>
            <w:r>
              <w:rPr>
                <w:noProof/>
              </w:rPr>
              <w:t>Приемане на Програмния закон от 20 декември 2020 г. от парламента, с който се установява частично освобождаване (11,75 %) от плащане на данък, удържан при източника, за работници, преминали обучение с продължителност най-малко 10 дни.</w:t>
            </w:r>
          </w:p>
        </w:tc>
      </w:tr>
      <w:tr w:rsidR="00235E11" w14:paraId="319D7432" w14:textId="77777777">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618E6198" w14:textId="77777777" w:rsidR="00235E11" w:rsidRDefault="00F837E4">
            <w:pPr>
              <w:pStyle w:val="P68B1DB1-Normal9"/>
              <w:spacing w:after="0"/>
              <w:jc w:val="center"/>
              <w:rPr>
                <w:rFonts w:eastAsia="Times New Roman"/>
                <w:noProof/>
              </w:rPr>
            </w:pPr>
            <w:r>
              <w:rPr>
                <w:noProof/>
              </w:rPr>
              <w:t>174</w:t>
            </w:r>
          </w:p>
        </w:tc>
        <w:tc>
          <w:tcPr>
            <w:tcW w:w="1560" w:type="dxa"/>
            <w:tcBorders>
              <w:top w:val="nil"/>
              <w:left w:val="nil"/>
              <w:bottom w:val="single" w:sz="4" w:space="0" w:color="auto"/>
              <w:right w:val="single" w:sz="4" w:space="0" w:color="auto"/>
            </w:tcBorders>
            <w:shd w:val="clear" w:color="auto" w:fill="C6EFCE"/>
            <w:noWrap/>
            <w:vAlign w:val="center"/>
          </w:tcPr>
          <w:p w14:paraId="2E42F549" w14:textId="77777777" w:rsidR="00235E11" w:rsidRDefault="00F837E4">
            <w:pPr>
              <w:pStyle w:val="P68B1DB1-Normal9"/>
              <w:spacing w:after="0"/>
              <w:rPr>
                <w:noProof/>
              </w:rPr>
            </w:pPr>
            <w:r>
              <w:rPr>
                <w:noProof/>
              </w:rPr>
              <w:t>Сметка за обучение (R-5.03)</w:t>
            </w:r>
          </w:p>
        </w:tc>
        <w:tc>
          <w:tcPr>
            <w:tcW w:w="1134" w:type="dxa"/>
            <w:tcBorders>
              <w:top w:val="nil"/>
              <w:left w:val="nil"/>
              <w:bottom w:val="single" w:sz="4" w:space="0" w:color="auto"/>
              <w:right w:val="single" w:sz="4" w:space="0" w:color="auto"/>
            </w:tcBorders>
            <w:shd w:val="clear" w:color="auto" w:fill="C6EFCE"/>
            <w:noWrap/>
            <w:vAlign w:val="center"/>
          </w:tcPr>
          <w:p w14:paraId="59C8CF07" w14:textId="11F5E7DC" w:rsidR="00235E11" w:rsidRDefault="00F837E4">
            <w:pPr>
              <w:pStyle w:val="P68B1DB1-Normal9"/>
              <w:spacing w:after="0"/>
              <w:jc w:val="center"/>
              <w:rPr>
                <w:rFonts w:eastAsia="Times New Roman"/>
                <w:noProof/>
              </w:rPr>
            </w:pPr>
            <w:r>
              <w:rPr>
                <w:noProof/>
              </w:rPr>
              <w:t>M</w:t>
            </w:r>
          </w:p>
        </w:tc>
        <w:tc>
          <w:tcPr>
            <w:tcW w:w="1559" w:type="dxa"/>
            <w:tcBorders>
              <w:top w:val="nil"/>
              <w:left w:val="nil"/>
              <w:bottom w:val="single" w:sz="4" w:space="0" w:color="auto"/>
              <w:right w:val="single" w:sz="4" w:space="0" w:color="auto"/>
            </w:tcBorders>
            <w:shd w:val="clear" w:color="auto" w:fill="C6EFCE"/>
            <w:noWrap/>
            <w:vAlign w:val="center"/>
          </w:tcPr>
          <w:p w14:paraId="04686E56" w14:textId="3181E492" w:rsidR="00235E11" w:rsidRDefault="00F837E4">
            <w:pPr>
              <w:pStyle w:val="P68B1DB1-Normal10"/>
              <w:spacing w:after="0"/>
              <w:rPr>
                <w:noProof/>
              </w:rPr>
            </w:pPr>
            <w:r>
              <w:rPr>
                <w:noProof/>
              </w:rPr>
              <w:t>Разпоредби в постановлението, указващи влизането в сила</w:t>
            </w:r>
          </w:p>
        </w:tc>
        <w:tc>
          <w:tcPr>
            <w:tcW w:w="1418" w:type="dxa"/>
            <w:tcBorders>
              <w:top w:val="nil"/>
              <w:left w:val="nil"/>
              <w:bottom w:val="single" w:sz="4" w:space="0" w:color="auto"/>
              <w:right w:val="single" w:sz="4" w:space="0" w:color="auto"/>
            </w:tcBorders>
            <w:shd w:val="clear" w:color="auto" w:fill="C6EFCE"/>
            <w:noWrap/>
            <w:vAlign w:val="center"/>
          </w:tcPr>
          <w:p w14:paraId="355D91E4"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61B29797" w14:textId="5F2A88A8"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1B6E6BCD" w14:textId="7DC98A24"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762A592F" w14:textId="37C5839C"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51AC4560"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58EE63E4" w14:textId="77777777" w:rsidR="00235E11" w:rsidRDefault="00F837E4">
            <w:pPr>
              <w:pStyle w:val="P68B1DB1-Normal9"/>
              <w:spacing w:after="0"/>
              <w:jc w:val="center"/>
              <w:rPr>
                <w:rFonts w:eastAsia="Times New Roman"/>
                <w:noProof/>
              </w:rPr>
            </w:pPr>
            <w:r>
              <w:rPr>
                <w:noProof/>
              </w:rPr>
              <w:t>2023</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8431C32" w14:textId="46437C85" w:rsidR="00235E11" w:rsidRDefault="00F837E4">
            <w:pPr>
              <w:pStyle w:val="P68B1DB1-Normal9"/>
              <w:spacing w:after="0"/>
              <w:rPr>
                <w:rFonts w:eastAsia="Times New Roman"/>
                <w:noProof/>
              </w:rPr>
            </w:pPr>
            <w:r>
              <w:rPr>
                <w:noProof/>
              </w:rPr>
              <w:t>Влизане в сила на постановлението, с което се установява задължението за регистриране на работниците в дългосрочна или структурна временна безработица в компетентната регионална служба.</w:t>
            </w:r>
          </w:p>
        </w:tc>
      </w:tr>
      <w:tr w:rsidR="00235E11" w14:paraId="1168B76F" w14:textId="77777777">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7F6754" w14:textId="77777777" w:rsidR="00235E11" w:rsidRDefault="00F837E4">
            <w:pPr>
              <w:pStyle w:val="P68B1DB1-Normal9"/>
              <w:spacing w:after="0"/>
              <w:jc w:val="center"/>
              <w:rPr>
                <w:noProof/>
              </w:rPr>
            </w:pPr>
            <w:r>
              <w:rPr>
                <w:noProof/>
              </w:rPr>
              <w:t>175</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32ABA7BB" w14:textId="77777777" w:rsidR="00235E11" w:rsidRDefault="00F837E4">
            <w:pPr>
              <w:pStyle w:val="P68B1DB1-Normal9"/>
              <w:spacing w:after="0"/>
              <w:rPr>
                <w:noProof/>
              </w:rPr>
            </w:pPr>
            <w:r>
              <w:rPr>
                <w:noProof/>
              </w:rPr>
              <w:t>Режим на натрупване и мобилност към сектори с недостиг (R-5.01)</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E4E7CD5" w14:textId="62AB6EF8" w:rsidR="00235E11" w:rsidRDefault="00F837E4">
            <w:pPr>
              <w:pStyle w:val="P68B1DB1-Normal9"/>
              <w:spacing w:after="0"/>
              <w:jc w:val="center"/>
              <w:rPr>
                <w:noProof/>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4180329" w14:textId="77777777" w:rsidR="00235E11" w:rsidRDefault="00F837E4">
            <w:pPr>
              <w:pStyle w:val="P68B1DB1-Normal9"/>
              <w:spacing w:after="0"/>
              <w:rPr>
                <w:noProof/>
              </w:rPr>
            </w:pPr>
            <w:r>
              <w:rPr>
                <w:noProof/>
              </w:rPr>
              <w:t>Федерална реформа на режима на кумулация</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483DFCDB" w14:textId="77777777" w:rsidR="00235E11" w:rsidRDefault="00F837E4">
            <w:pPr>
              <w:pStyle w:val="P68B1DB1-Normal9"/>
              <w:spacing w:after="0"/>
              <w:rPr>
                <w:noProof/>
              </w:rPr>
            </w:pPr>
            <w:r>
              <w:rPr>
                <w:noProof/>
              </w:rPr>
              <w:t>Решение на федералното правителство за определяне на начина на влизане в сила на реформата</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D1A49E9" w14:textId="77777777" w:rsidR="00235E11" w:rsidRDefault="00235E11">
            <w:pPr>
              <w:spacing w:after="0"/>
              <w:rPr>
                <w:rFonts w:ascii="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49215C8" w14:textId="77777777" w:rsidR="00235E11" w:rsidRDefault="00235E11">
            <w:pPr>
              <w:spacing w:after="0"/>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35A84F4" w14:textId="77777777" w:rsidR="00235E11" w:rsidRDefault="00235E11">
            <w:pPr>
              <w:spacing w:after="0"/>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2AB62AD" w14:textId="77777777" w:rsidR="00235E11" w:rsidRDefault="00F837E4">
            <w:pPr>
              <w:pStyle w:val="P68B1DB1-Normal9"/>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3F55F1C" w14:textId="77777777" w:rsidR="00235E11" w:rsidRDefault="00F837E4">
            <w:pPr>
              <w:pStyle w:val="P68B1DB1-Normal9"/>
              <w:spacing w:after="0"/>
              <w:jc w:val="center"/>
              <w:rPr>
                <w:noProof/>
              </w:rPr>
            </w:pPr>
            <w:r>
              <w:rPr>
                <w:noProof/>
              </w:rPr>
              <w:t>2023</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74EB454" w14:textId="18F7435F" w:rsidR="00235E11" w:rsidRDefault="00F837E4">
            <w:pPr>
              <w:pStyle w:val="P68B1DB1-Normal9"/>
              <w:spacing w:after="0"/>
              <w:rPr>
                <w:noProof/>
              </w:rPr>
            </w:pPr>
            <w:r>
              <w:rPr>
                <w:noProof/>
              </w:rPr>
              <w:t>След консултация със социалните партньори, решение на федералното правителство за разширяване на възможностите за временно или ограничено комбиниране на заплати и социални обезщетения и за гарантиране, в съответствие с данъчната реформа на данъчното облагане на труда, че участващите лица няма да бъдат наказвани от данъчна гледна точка.</w:t>
            </w:r>
          </w:p>
        </w:tc>
      </w:tr>
      <w:tr w:rsidR="00235E11" w14:paraId="24BF0AEA" w14:textId="77777777">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51EAA6" w14:textId="77777777" w:rsidR="00235E11" w:rsidRDefault="00F837E4">
            <w:pPr>
              <w:pStyle w:val="P68B1DB1-Normal9"/>
              <w:spacing w:after="0"/>
              <w:jc w:val="center"/>
              <w:rPr>
                <w:noProof/>
              </w:rPr>
            </w:pPr>
            <w:r>
              <w:rPr>
                <w:noProof/>
              </w:rPr>
              <w:t>176</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56A3CD87" w14:textId="77777777" w:rsidR="00235E11" w:rsidRDefault="00F837E4">
            <w:pPr>
              <w:pStyle w:val="P68B1DB1-Normal9"/>
              <w:spacing w:after="0"/>
              <w:rPr>
                <w:noProof/>
              </w:rPr>
            </w:pPr>
            <w:r>
              <w:rPr>
                <w:noProof/>
              </w:rPr>
              <w:t>Режим на натрупване и мобилност към сектори с недостиг (R-5.01)</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5108B2F" w14:textId="50234DFF" w:rsidR="00235E11" w:rsidRDefault="00F837E4">
            <w:pPr>
              <w:pStyle w:val="P68B1DB1-Normal9"/>
              <w:spacing w:after="0"/>
              <w:jc w:val="center"/>
              <w:rPr>
                <w:noProof/>
                <w:highlight w:val="cyan"/>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46B86D6E" w14:textId="77777777" w:rsidR="00235E11" w:rsidRDefault="00F837E4">
            <w:pPr>
              <w:pStyle w:val="P68B1DB1-Normal9"/>
              <w:spacing w:after="0"/>
              <w:rPr>
                <w:noProof/>
              </w:rPr>
            </w:pPr>
            <w:r>
              <w:rPr>
                <w:noProof/>
              </w:rPr>
              <w:t>Федерална реформа на мобилността в сектори с недостиг</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2C4AE942" w14:textId="77777777" w:rsidR="00235E11" w:rsidRDefault="00F837E4">
            <w:pPr>
              <w:pStyle w:val="P68B1DB1-Normal9"/>
              <w:spacing w:after="0"/>
              <w:rPr>
                <w:noProof/>
              </w:rPr>
            </w:pPr>
            <w:r>
              <w:rPr>
                <w:noProof/>
              </w:rPr>
              <w:t>Решение на федералното правителство за определяне на начина на влизане в сила на реформата</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0E349B7" w14:textId="77777777" w:rsidR="00235E11" w:rsidRDefault="00235E11">
            <w:pPr>
              <w:spacing w:after="0"/>
              <w:rPr>
                <w:rFonts w:ascii="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A8FC8EC" w14:textId="77777777" w:rsidR="00235E11" w:rsidRDefault="00235E11">
            <w:pPr>
              <w:spacing w:after="0"/>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91BDE9A" w14:textId="77777777" w:rsidR="00235E11" w:rsidRDefault="00235E11">
            <w:pPr>
              <w:spacing w:after="0"/>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D377DC1" w14:textId="77777777" w:rsidR="00235E11" w:rsidRDefault="00F837E4">
            <w:pPr>
              <w:pStyle w:val="P68B1DB1-Normal9"/>
              <w:spacing w:after="0"/>
              <w:jc w:val="center"/>
              <w:rPr>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4E03DB6" w14:textId="77777777" w:rsidR="00235E11" w:rsidRDefault="00F837E4">
            <w:pPr>
              <w:pStyle w:val="P68B1DB1-Normal9"/>
              <w:spacing w:after="0"/>
              <w:jc w:val="center"/>
              <w:rPr>
                <w:noProof/>
              </w:rPr>
            </w:pPr>
            <w:r>
              <w:rPr>
                <w:noProof/>
              </w:rPr>
              <w:t>2023</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39AC5ED6" w14:textId="7CEFDDD1" w:rsidR="00235E11" w:rsidRDefault="00F837E4">
            <w:pPr>
              <w:pStyle w:val="P68B1DB1-Normal9"/>
              <w:spacing w:after="0"/>
              <w:rPr>
                <w:noProof/>
              </w:rPr>
            </w:pPr>
            <w:r>
              <w:rPr>
                <w:noProof/>
              </w:rPr>
              <w:t>След консултация със социалните партньори, решение на федералното правителство да въведе допълнителна помощ за трайно безработните, които се завръщат на работа в друг регион или в сектор, в който има недостиг, за да се гарантира по-голяма мобилност на работниците от един сектор в друг.</w:t>
            </w:r>
          </w:p>
        </w:tc>
      </w:tr>
      <w:tr w:rsidR="00235E11" w14:paraId="49F1239A" w14:textId="77777777">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127E4F" w14:textId="77777777" w:rsidR="00235E11" w:rsidRDefault="00F837E4">
            <w:pPr>
              <w:pStyle w:val="P68B1DB1-Normal9"/>
              <w:spacing w:after="0"/>
              <w:jc w:val="center"/>
              <w:rPr>
                <w:noProof/>
              </w:rPr>
            </w:pPr>
            <w:r>
              <w:rPr>
                <w:noProof/>
              </w:rPr>
              <w:t>177</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0848B97" w14:textId="77777777" w:rsidR="00235E11" w:rsidRDefault="00F837E4">
            <w:pPr>
              <w:pStyle w:val="P68B1DB1-Normal9"/>
              <w:spacing w:after="0"/>
              <w:rPr>
                <w:noProof/>
              </w:rPr>
            </w:pPr>
            <w:r>
              <w:rPr>
                <w:noProof/>
              </w:rPr>
              <w:t>Реформа на подкрепата за търсещите работа във Валония (R-5.05)</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7EC1977" w14:textId="65A25041" w:rsidR="00235E11" w:rsidRDefault="00F837E4">
            <w:pPr>
              <w:pStyle w:val="P68B1DB1-Normal9"/>
              <w:spacing w:after="0"/>
              <w:jc w:val="center"/>
              <w:rPr>
                <w:noProof/>
              </w:rPr>
            </w:pPr>
            <w:r>
              <w:rPr>
                <w:noProof/>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799BC94" w14:textId="77777777" w:rsidR="00235E11" w:rsidRDefault="00F837E4">
            <w:pPr>
              <w:pStyle w:val="P68B1DB1-Normal9"/>
              <w:spacing w:after="0"/>
              <w:rPr>
                <w:noProof/>
              </w:rPr>
            </w:pPr>
            <w:r>
              <w:rPr>
                <w:noProof/>
              </w:rPr>
              <w:t>Реформа на подкрепата за търсещите работа във Валония</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4FE44525" w14:textId="77777777" w:rsidR="00235E11" w:rsidRDefault="00F837E4">
            <w:pPr>
              <w:pStyle w:val="P68B1DB1-Normal9"/>
              <w:spacing w:after="0"/>
              <w:rPr>
                <w:noProof/>
              </w:rPr>
            </w:pPr>
            <w:r>
              <w:rPr>
                <w:noProof/>
              </w:rPr>
              <w:t>Публикуване в Официален вестник</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33D6BF2" w14:textId="77777777" w:rsidR="00235E11" w:rsidRDefault="00235E11">
            <w:pPr>
              <w:spacing w:after="0"/>
              <w:rPr>
                <w:rFonts w:ascii="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662CBAC" w14:textId="77777777" w:rsidR="00235E11" w:rsidRDefault="00235E11">
            <w:pPr>
              <w:spacing w:after="0"/>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72C7E7E" w14:textId="77777777" w:rsidR="00235E11" w:rsidRDefault="00235E11">
            <w:pPr>
              <w:spacing w:after="0"/>
              <w:rPr>
                <w:rFonts w:ascii="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0FDA608" w14:textId="77777777" w:rsidR="00235E11" w:rsidRDefault="00F837E4">
            <w:pPr>
              <w:pStyle w:val="P68B1DB1-Normal9"/>
              <w:spacing w:after="0"/>
              <w:jc w:val="center"/>
              <w:rPr>
                <w:noProof/>
              </w:rPr>
            </w:pPr>
            <w:r>
              <w:rPr>
                <w:noProof/>
              </w:rPr>
              <w:t>Т3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DD736EF" w14:textId="77777777" w:rsidR="00235E11" w:rsidRDefault="00F837E4">
            <w:pPr>
              <w:pStyle w:val="P68B1DB1-Normal9"/>
              <w:spacing w:after="0"/>
              <w:jc w:val="center"/>
              <w:rPr>
                <w:noProof/>
              </w:rPr>
            </w:pPr>
            <w:r>
              <w:rPr>
                <w:noProof/>
              </w:rPr>
              <w:t>2021</w:t>
            </w:r>
          </w:p>
        </w:tc>
        <w:tc>
          <w:tcPr>
            <w:tcW w:w="492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6320E0" w14:textId="77777777" w:rsidR="00235E11" w:rsidRDefault="00F837E4">
            <w:pPr>
              <w:pStyle w:val="P68B1DB1-Normal9"/>
              <w:spacing w:after="0"/>
              <w:rPr>
                <w:noProof/>
              </w:rPr>
            </w:pPr>
            <w:r>
              <w:rPr>
                <w:noProof/>
              </w:rPr>
              <w:t>Приемане от парламента на Валония на декрета относно наставничеството и насочената към намирането на решения подкрепа за търсещите работа.</w:t>
            </w:r>
          </w:p>
        </w:tc>
      </w:tr>
    </w:tbl>
    <w:p w14:paraId="42EFB498" w14:textId="77777777" w:rsidR="00235E11" w:rsidRDefault="00235E11">
      <w:pPr>
        <w:ind w:left="709"/>
        <w:rPr>
          <w:rFonts w:ascii="Times New Roman" w:hAnsi="Times New Roman" w:cs="Times New Roman"/>
          <w:noProof/>
        </w:rPr>
        <w:sectPr w:rsidR="00235E11" w:rsidSect="007F56C3">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134" w:right="1134" w:bottom="1134" w:left="1134" w:header="567" w:footer="567" w:gutter="0"/>
          <w:cols w:space="720"/>
          <w:docGrid w:linePitch="360"/>
        </w:sectPr>
      </w:pPr>
    </w:p>
    <w:p w14:paraId="00F00968" w14:textId="77777777" w:rsidR="00235E11" w:rsidRDefault="00F837E4">
      <w:pPr>
        <w:pStyle w:val="ManualHeading1"/>
        <w:spacing w:before="120"/>
        <w:ind w:left="0" w:hanging="130"/>
        <w:rPr>
          <w:noProof/>
        </w:rPr>
      </w:pPr>
      <w:r>
        <w:rPr>
          <w:noProof/>
        </w:rPr>
        <w:t>О. КОМПОНЕНТ 5.2: Подкрепа за икономическата дейност</w:t>
      </w:r>
    </w:p>
    <w:p w14:paraId="13A59AA0" w14:textId="77777777" w:rsidR="00235E11" w:rsidRDefault="00F837E4">
      <w:pPr>
        <w:pStyle w:val="NormalLeft"/>
        <w:jc w:val="both"/>
        <w:rPr>
          <w:noProof/>
        </w:rPr>
      </w:pPr>
      <w:r>
        <w:rPr>
          <w:noProof/>
        </w:rPr>
        <w:t>Този компонент на белгийския план за възстановяване и устойчивост има за цел да допринесе за икономическото възстановяване и да улесни прехода към по-екологична и по-цифровизирана икономика чрез съсредоточаване на ресурсите върху иновациите и подкрепата за обещаващи сектори. Мерките, обединени в рамките на този раздел, имат още три конкретни цели:</w:t>
      </w:r>
    </w:p>
    <w:p w14:paraId="5329964F" w14:textId="77777777" w:rsidR="00235E11" w:rsidRDefault="00F837E4">
      <w:pPr>
        <w:pStyle w:val="P68B1DB1-ListParagraph18"/>
        <w:numPr>
          <w:ilvl w:val="0"/>
          <w:numId w:val="27"/>
        </w:numPr>
        <w:tabs>
          <w:tab w:val="left" w:pos="426"/>
        </w:tabs>
        <w:spacing w:before="120" w:after="120" w:line="240" w:lineRule="auto"/>
        <w:ind w:left="0" w:firstLine="0"/>
        <w:jc w:val="both"/>
        <w:rPr>
          <w:noProof/>
        </w:rPr>
      </w:pPr>
      <w:r>
        <w:rPr>
          <w:noProof/>
        </w:rPr>
        <w:t>подкрепа за развитието на дейности, които предлагат обещаващи възможности по отношение на добавянето на стойност и повишаването на стойността на територията;</w:t>
      </w:r>
    </w:p>
    <w:p w14:paraId="7D784427" w14:textId="77777777" w:rsidR="00235E11" w:rsidRDefault="00F837E4">
      <w:pPr>
        <w:pStyle w:val="P68B1DB1-ListParagraph18"/>
        <w:numPr>
          <w:ilvl w:val="0"/>
          <w:numId w:val="27"/>
        </w:numPr>
        <w:tabs>
          <w:tab w:val="left" w:pos="426"/>
        </w:tabs>
        <w:spacing w:before="120" w:after="120" w:line="240" w:lineRule="auto"/>
        <w:ind w:left="0" w:firstLine="0"/>
        <w:jc w:val="both"/>
        <w:rPr>
          <w:noProof/>
        </w:rPr>
      </w:pPr>
      <w:r>
        <w:rPr>
          <w:noProof/>
        </w:rPr>
        <w:t>постигане на напредък и подкрепа за научните изследвания и иновациите, за да се развие бъдещият икономически потенциал на страната и да се гарантират нейните високи постижения и конкурентоспособност;</w:t>
      </w:r>
    </w:p>
    <w:p w14:paraId="09DB8076" w14:textId="77777777" w:rsidR="00235E11" w:rsidRDefault="00F837E4">
      <w:pPr>
        <w:pStyle w:val="P68B1DB1-ListParagraph18"/>
        <w:numPr>
          <w:ilvl w:val="0"/>
          <w:numId w:val="27"/>
        </w:numPr>
        <w:tabs>
          <w:tab w:val="left" w:pos="426"/>
        </w:tabs>
        <w:spacing w:before="120" w:after="120" w:line="240" w:lineRule="auto"/>
        <w:ind w:left="0" w:firstLine="0"/>
        <w:jc w:val="both"/>
        <w:rPr>
          <w:noProof/>
        </w:rPr>
      </w:pPr>
      <w:r>
        <w:rPr>
          <w:noProof/>
        </w:rPr>
        <w:t>насърчаване на прилагането на по-ефективни производствени процеси, основани по-специално на нововъзникващи технологии.</w:t>
      </w:r>
    </w:p>
    <w:p w14:paraId="44DBDEBF" w14:textId="77777777" w:rsidR="00235E11" w:rsidRDefault="00F837E4">
      <w:pPr>
        <w:pStyle w:val="NormalLeft"/>
        <w:jc w:val="both"/>
        <w:rPr>
          <w:noProof/>
        </w:rPr>
      </w:pPr>
      <w:r>
        <w:rPr>
          <w:noProof/>
        </w:rPr>
        <w:t>В този компонент се обръща особено внимание на МСП, които съставляват по-голямата част от икономическата структура на Белгия и са особено засегнати от икономическата криза.</w:t>
      </w:r>
    </w:p>
    <w:p w14:paraId="41FD21D9" w14:textId="77777777" w:rsidR="00235E11" w:rsidRDefault="00F837E4">
      <w:pPr>
        <w:pStyle w:val="NormalLeft"/>
        <w:jc w:val="both"/>
        <w:rPr>
          <w:noProof/>
        </w:rPr>
      </w:pPr>
      <w:r>
        <w:rPr>
          <w:noProof/>
        </w:rPr>
        <w:t>Компонентът допринася за изпълнението на специфична за всяка държава препоръка 2019.3, тъй като в него се призовава за съсредоточаване върху научните изследвания и иновациите и прехода към нисковъглеродна и енергийна икономика, както и към специфична за държавата препоръка 2020.3, в която се призовава за подобряване на бизнес средата, ускоряване на публичните инвестиционни проекти и насърчаване на частните инвестиции с цел насърчаване на икономическото възстановяване.</w:t>
      </w:r>
    </w:p>
    <w:p w14:paraId="27086138"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07865D97" w14:textId="77777777" w:rsidR="00235E11" w:rsidRDefault="00F837E4">
      <w:pPr>
        <w:pStyle w:val="P68B1DB1-Normal1"/>
        <w:spacing w:before="120" w:after="120" w:line="240" w:lineRule="auto"/>
        <w:jc w:val="both"/>
        <w:rPr>
          <w:noProof/>
        </w:rPr>
      </w:pPr>
      <w:r>
        <w:rPr>
          <w:noProof/>
        </w:rPr>
        <w:t xml:space="preserve">O.1. </w:t>
      </w:r>
      <w:r>
        <w:rPr>
          <w:noProof/>
        </w:rPr>
        <w:tab/>
        <w:t>Описание на реформите и инвестициите за безвъзмездна финансова подкрепа</w:t>
      </w:r>
    </w:p>
    <w:p w14:paraId="48C11ED4" w14:textId="298D099A" w:rsidR="00235E11" w:rsidRDefault="00F837E4">
      <w:pPr>
        <w:pStyle w:val="P68B1DB1-Text111"/>
        <w:ind w:left="0"/>
        <w:rPr>
          <w:noProof/>
        </w:rPr>
      </w:pPr>
      <w:r>
        <w:rPr>
          <w:noProof/>
        </w:rPr>
        <w:t>Инвестиция I-5.08: „Нуклеарна медицина“ на федералната държава</w:t>
      </w:r>
    </w:p>
    <w:p w14:paraId="0BE27A52" w14:textId="7F438D1F" w:rsidR="00235E11" w:rsidRPr="0044517F" w:rsidRDefault="00F837E4">
      <w:pPr>
        <w:pStyle w:val="NormalLeft"/>
        <w:jc w:val="both"/>
        <w:rPr>
          <w:noProof/>
          <w:spacing w:val="-4"/>
        </w:rPr>
      </w:pPr>
      <w:r w:rsidRPr="0044517F">
        <w:rPr>
          <w:noProof/>
          <w:spacing w:val="-4"/>
        </w:rPr>
        <w:t>Тази инвестиция е насочена към две предизвикателства, свързани с осигуряването в бъдеще на достатъчна наличност на две от най-обещаващите радиоизотопи в ядрената медицина за лечение на рак — 177Lu и 225Ac. Първото действие е насочено към необходимостта от нова инфраструктура в SCK CEN (</w:t>
      </w:r>
      <w:r w:rsidRPr="0044517F">
        <w:rPr>
          <w:noProof/>
          <w:color w:val="202122"/>
          <w:spacing w:val="-4"/>
          <w:shd w:val="clear" w:color="auto" w:fill="FFFFFF"/>
        </w:rPr>
        <w:t>белгийския</w:t>
      </w:r>
      <w:r w:rsidR="0044517F" w:rsidRPr="0044517F">
        <w:rPr>
          <w:noProof/>
          <w:color w:val="202122"/>
          <w:spacing w:val="-4"/>
          <w:shd w:val="clear" w:color="auto" w:fill="FFFFFF"/>
          <w:lang w:val="en-US"/>
        </w:rPr>
        <w:t xml:space="preserve"> </w:t>
      </w:r>
      <w:r w:rsidRPr="0044517F">
        <w:rPr>
          <w:noProof/>
          <w:color w:val="202122"/>
          <w:spacing w:val="-4"/>
          <w:shd w:val="clear" w:color="auto" w:fill="FFFFFF"/>
        </w:rPr>
        <w:t>център за търсене на</w:t>
      </w:r>
      <w:r w:rsidR="0044517F" w:rsidRPr="0044517F">
        <w:rPr>
          <w:noProof/>
          <w:color w:val="202122"/>
          <w:spacing w:val="-4"/>
          <w:shd w:val="clear" w:color="auto" w:fill="FFFFFF"/>
          <w:lang w:val="en-US"/>
        </w:rPr>
        <w:t xml:space="preserve"> </w:t>
      </w:r>
      <w:r w:rsidRPr="0044517F">
        <w:rPr>
          <w:noProof/>
          <w:spacing w:val="-4"/>
          <w:shd w:val="clear" w:color="auto" w:fill="FFFFFF"/>
        </w:rPr>
        <w:t>ядрени материали)</w:t>
      </w:r>
      <w:r w:rsidRPr="0044517F">
        <w:rPr>
          <w:noProof/>
          <w:spacing w:val="-4"/>
        </w:rPr>
        <w:t>, която е необходима, за да се гарантира увеличаване на предлагането на 177Lu, като се вземат предвид прогнозираните бъдещи нужди, които се очаква да нараснат от 16 000 пациенти през 2020 г. на 138 000 пациенти през 2026 г. в ЕС. Основната цел на второто действие е да се проведе проучване с цел да се преодолее несъответствието между съществуващите технологии и установените нужди, за да се даде възможност за широкомащабно производство на радиоизотопи 225Ac.Изпълнението на инвестицията трябва да приключи в срок до 30 юни 2026 г.</w:t>
      </w:r>
    </w:p>
    <w:p w14:paraId="050CE2D8" w14:textId="7F41BB4F" w:rsidR="00235E11" w:rsidRDefault="00F837E4">
      <w:pPr>
        <w:pStyle w:val="P68B1DB1-Text111"/>
        <w:ind w:left="0"/>
        <w:rPr>
          <w:noProof/>
        </w:rPr>
      </w:pPr>
      <w:r>
        <w:rPr>
          <w:noProof/>
        </w:rPr>
        <w:t>Инвестиция I-5.08а: „Ядрената медицина — термостатичен подход“ на федералната държава</w:t>
      </w:r>
    </w:p>
    <w:p w14:paraId="755FA336" w14:textId="68C9B63D" w:rsidR="00235E11" w:rsidRDefault="00F837E4">
      <w:pPr>
        <w:pStyle w:val="paragraph"/>
        <w:spacing w:before="0" w:beforeAutospacing="0" w:after="0" w:afterAutospacing="0"/>
        <w:jc w:val="both"/>
        <w:textAlignment w:val="baseline"/>
        <w:rPr>
          <w:noProof/>
        </w:rPr>
      </w:pPr>
      <w:r>
        <w:rPr>
          <w:rStyle w:val="normaltextrun"/>
          <w:noProof/>
        </w:rPr>
        <w:t>Целта на тази инвестиция е да се подкрепи сигурността на доставките на медицински изотопи чрез разработване на иновативна целева технология за циклотрони (подпроект 1) и оптимизиране на производствения процес за целите на нискообогатения уран (LEU) (подпроект 2). Тази инвестиция се състои от два подпроекта в областта на научноизследователската и развойната дейност, които са насочени към: 1) разработване на иновативна целева технология за производство на циклотронови изотопи. В резултат на научноизследователските и развойни дейности е готов нов проект, който позволява да се изготвят прототипи на цели и те да бъдат облъчени за валидиране на процеса в нов проект; и 2) оптимизиране на производствения процес, базиран в LEU. В резултат на научноизследователските и развойни дейности възможностите за подобрение са оценени и/или изпитани и най-значимите се посочват в доклад. За всеки подпроект се изготвя доклад до средата на 2026 г. Изпълнението на инвестицията трябва да приключи до 30 юни 2026 г.</w:t>
      </w:r>
    </w:p>
    <w:p w14:paraId="74F8313C" w14:textId="1B3B314F" w:rsidR="00235E11" w:rsidRDefault="00F837E4">
      <w:pPr>
        <w:pStyle w:val="P68B1DB1-Text111"/>
        <w:ind w:left="0"/>
        <w:rPr>
          <w:noProof/>
        </w:rPr>
      </w:pPr>
      <w:r>
        <w:rPr>
          <w:noProof/>
        </w:rPr>
        <w:t>Инвестиция I-5.10: „</w:t>
      </w:r>
      <w:r>
        <w:rPr>
          <w:rFonts w:eastAsia="Times New Roman"/>
          <w:noProof/>
        </w:rPr>
        <w:t>R -D: Свеждане до минимум на отпадъците по време на демонтирането“ на федералната държава</w:t>
      </w:r>
    </w:p>
    <w:p w14:paraId="57C990BF" w14:textId="652A7196" w:rsidR="00235E11" w:rsidRPr="0044517F" w:rsidRDefault="00F837E4">
      <w:pPr>
        <w:pStyle w:val="NormalLeft"/>
        <w:jc w:val="both"/>
        <w:rPr>
          <w:noProof/>
          <w:spacing w:val="-4"/>
        </w:rPr>
      </w:pPr>
      <w:r w:rsidRPr="0044517F">
        <w:rPr>
          <w:noProof/>
          <w:spacing w:val="-4"/>
        </w:rPr>
        <w:t>Тази инвестиция има за цел да финансира необходимите инвестиции, които ще позволят разрастването на белгийския експертен опит в областта на радиологичното характеризиране и методите за обеззаразяване и тяхното прилагане по време на извеждането от експлоатация на белгийските атомни електроцентрали, които да бъдат осъществени в рамките на планираното постепенно прекратяване на производството на ядрена енергия в Белгия и възможното оползотворяване на други проекти за извеждане от експлоатация и възстановяване на площадки. Целта на проекта е да се сведе до минимум количеството на отпадъците, които ще бъдат генерирани по време на окончателното извеждане от експлоатация на белгийските атомни електроцентрали. Например, тя трябва да увеличи максимално повторната употреба и рециклирането на метали и бетон. Всички дейности се извършват в съоръжения на SCK CEN с висока степен на сигурност и са в съответствие с полученото екологично разрешително. И накрая, трябва да се осигурят решения от люлката до гроба, които не водят до вторични отпадъци, които не могат да бъдат управлявани. Проектът е насочен единствено към повторната употреба, рециклирането и окончателното погребване на неядрени отпадъци, докато погребването на радиоактивни отпадъци, издадени от операции по извеждане от експлоатация, е извън обхвата на проекта. Изпълнението на инвестицията трябва да приключи до 30 юни 2026 г.</w:t>
      </w:r>
    </w:p>
    <w:p w14:paraId="6AC2CFD1" w14:textId="48DF5647" w:rsidR="00235E11" w:rsidRDefault="00F837E4">
      <w:pPr>
        <w:pStyle w:val="P68B1DB1-Text111"/>
        <w:ind w:left="0"/>
        <w:rPr>
          <w:noProof/>
        </w:rPr>
      </w:pPr>
      <w:r>
        <w:rPr>
          <w:noProof/>
        </w:rPr>
        <w:t>Инвестиция I-5.11: „Укрепване на Р“ на Фламандския регион</w:t>
      </w:r>
    </w:p>
    <w:p w14:paraId="4EAB7C5C" w14:textId="76DB5FA8" w:rsidR="00235E11" w:rsidRDefault="00F837E4">
      <w:pPr>
        <w:pStyle w:val="NormalLeft"/>
        <w:jc w:val="both"/>
        <w:rPr>
          <w:noProof/>
        </w:rPr>
      </w:pPr>
      <w:r>
        <w:rPr>
          <w:noProof/>
        </w:rPr>
        <w:t>Тази инвестиция има за цел да стимулира иновациите на икономическите оператори на Фландрия чрез научноизследователска и развойна дейност, като се обръща специално внимание на три области: цифровизация, устойчивост и здраве. Предвидени са две различни оси. Първата ос е насочена към проекти в областта на Р I в области, в които Фландрия вече постига добри резултати, с акцент върху устойчиви, цифрови и свързани със здравето дейности. Втората ос е насочена към инструменти, насочени към подпомагане на предприятията в областта на НИРД. По тази ос проектите в областта на НИРД могат да се отнасят например до фармацевтичния сектор и до технологията за 3D печат. Предвидена е и подкрепа за участието в планираните ВПОИ в микро-електронен формат. По мярката се възлагат най-малко 200 проекта, обхващащи всички области на интервенция по мярката.</w:t>
      </w:r>
    </w:p>
    <w:p w14:paraId="4E3A0B93" w14:textId="6E32CC99" w:rsidR="00235E11" w:rsidRDefault="00F837E4">
      <w:pPr>
        <w:pStyle w:val="Text1"/>
        <w:ind w:left="0"/>
        <w:rPr>
          <w:noProof/>
        </w:rPr>
      </w:pPr>
      <w:r>
        <w:rPr>
          <w:noProof/>
        </w:rPr>
        <w:t xml:space="preserve">С оглед на съответствието на мярката с техническите насоки за прилагането на принципа за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следния списък от дейности: </w:t>
      </w:r>
      <w:r w:rsidR="0044517F">
        <w:rPr>
          <w:noProof/>
          <w:lang w:val="en-US"/>
        </w:rPr>
        <w:t>i</w:t>
      </w:r>
      <w:r>
        <w:rPr>
          <w:noProof/>
        </w:rPr>
        <w:t xml:space="preserve">) дейности, свързани с изкопаеми горива, включително използване надолу по веригата; </w:t>
      </w:r>
      <w:r w:rsidR="0044517F">
        <w:rPr>
          <w:noProof/>
          <w:lang w:val="en-US"/>
        </w:rPr>
        <w:t>ii</w:t>
      </w:r>
      <w:r>
        <w:rPr>
          <w:noProof/>
        </w:rPr>
        <w:t>) дейности в рамките на схемата на ЕС за търговия с емисии, с които се постигат прогнозни емисии на парникови газове, които не са по-ниски от съответните референтни показатели</w:t>
      </w:r>
      <w:r>
        <w:rPr>
          <w:rStyle w:val="FootnoteReference"/>
          <w:noProof/>
        </w:rPr>
        <w:footnoteReference w:id="13"/>
      </w:r>
      <w:r>
        <w:rPr>
          <w:noProof/>
        </w:rPr>
        <w:t xml:space="preserve">; </w:t>
      </w:r>
      <w:r w:rsidR="0044517F">
        <w:rPr>
          <w:noProof/>
          <w:lang w:val="en-US"/>
        </w:rPr>
        <w:t>iii</w:t>
      </w:r>
      <w:r>
        <w:rPr>
          <w:noProof/>
        </w:rPr>
        <w:t>) дейности, свързани с депа за отпадъци, инсинератори</w:t>
      </w:r>
      <w:r>
        <w:rPr>
          <w:rStyle w:val="FootnoteReference"/>
          <w:noProof/>
        </w:rPr>
        <w:footnoteReference w:id="14"/>
      </w:r>
      <w:r>
        <w:rPr>
          <w:noProof/>
        </w:rPr>
        <w:t xml:space="preserve"> и инсталации за механично-биологично третиране</w:t>
      </w:r>
      <w:r>
        <w:rPr>
          <w:rStyle w:val="FootnoteReference"/>
          <w:noProof/>
        </w:rPr>
        <w:footnoteReference w:id="15"/>
      </w:r>
      <w:r>
        <w:rPr>
          <w:noProof/>
        </w:rPr>
        <w:t>; и iv) дейности, при които дългосрочното обезвреждане на отпадъци може да причини вреда на околната среда. Освен това в заданието се изисква да могат да бъдат избирани само дейности, които са в съответствие със съответното законодателство на ЕС и национално законодателство в областта на околната среда. Изпълнението на инвестицията трябва да приключи до 31 август 2026 г.</w:t>
      </w:r>
    </w:p>
    <w:p w14:paraId="23DAF586" w14:textId="3AFDAC92" w:rsidR="00235E11" w:rsidRDefault="00F837E4">
      <w:pPr>
        <w:pStyle w:val="P68B1DB1-Text111"/>
        <w:ind w:left="0"/>
        <w:rPr>
          <w:noProof/>
        </w:rPr>
      </w:pPr>
      <w:r>
        <w:rPr>
          <w:noProof/>
        </w:rPr>
        <w:t>Инвестиция I-5.12: „Преместване на храните и разработване на логистични платформи“ на Валонския регион</w:t>
      </w:r>
    </w:p>
    <w:p w14:paraId="2209D778" w14:textId="77777777" w:rsidR="00235E11" w:rsidRDefault="00F837E4">
      <w:pPr>
        <w:pStyle w:val="NormalLeft"/>
        <w:jc w:val="both"/>
        <w:rPr>
          <w:noProof/>
        </w:rPr>
      </w:pPr>
      <w:r>
        <w:rPr>
          <w:noProof/>
        </w:rPr>
        <w:t>Целта на тази инвестиция е да се подкрепи развитието на нови селскостопански сектори въз основа на принципа на късите вериги на доставки и разработването на липсващи инструменти („връзки“) в рамките на съществуващата верига на доставки. Тя е разделена на две подмерки:</w:t>
      </w:r>
    </w:p>
    <w:p w14:paraId="6E9BDC80" w14:textId="18CC9293" w:rsidR="00235E11" w:rsidRDefault="00F837E4">
      <w:pPr>
        <w:pStyle w:val="P68B1DB1-ListParagraph18"/>
        <w:numPr>
          <w:ilvl w:val="0"/>
          <w:numId w:val="27"/>
        </w:numPr>
        <w:tabs>
          <w:tab w:val="left" w:pos="426"/>
        </w:tabs>
        <w:spacing w:before="120" w:after="120" w:line="240" w:lineRule="auto"/>
        <w:ind w:left="0" w:firstLine="0"/>
        <w:jc w:val="both"/>
        <w:rPr>
          <w:noProof/>
        </w:rPr>
      </w:pPr>
      <w:r>
        <w:rPr>
          <w:noProof/>
        </w:rPr>
        <w:t>създаването на 30 малки парчета инфраструктура за подпомагане на производството, съхранението, транспорта и дребномащабната преработка на продукти, произхождащи от четири хранителни вериги (плодове, зеленчуци, зърнени култури и растителни протеини). Тя включва също така четири проекта — по един за всяка хранителна верига — в подкрепа на разработването и производството на семена, посадъчен материал и техники, адаптирани към изменението на климата и отглеждането без фитосанитарни суровини;</w:t>
      </w:r>
    </w:p>
    <w:p w14:paraId="6C670665" w14:textId="191D9BBB" w:rsidR="00235E11" w:rsidRDefault="00F837E4">
      <w:pPr>
        <w:pStyle w:val="P68B1DB1-ListParagraph18"/>
        <w:numPr>
          <w:ilvl w:val="0"/>
          <w:numId w:val="27"/>
        </w:numPr>
        <w:tabs>
          <w:tab w:val="left" w:pos="426"/>
        </w:tabs>
        <w:spacing w:before="120" w:after="120" w:line="240" w:lineRule="auto"/>
        <w:ind w:left="0" w:firstLine="0"/>
        <w:jc w:val="both"/>
        <w:rPr>
          <w:noProof/>
        </w:rPr>
      </w:pPr>
      <w:r>
        <w:rPr>
          <w:noProof/>
        </w:rPr>
        <w:t>изграждане на два логистични центъра, посветени на дейностите на търговците на едро, преработката на храни на първични продукти и инкубатор на кооперации, включително инсталирането на 1700 слънчеви панела, 15 зарядни точки за електрически превозни средства и на система за съхранение на енергия с мощност 200 kW. Тя се допълва от изграждането на критична инфраструктура (най-малко пет парчета инфраструктура, от които една зала за съхранение, една мелница, една преработвателна единица за плодове/зеленчуци и една складова зала и пазар на BtoB), което ще допринесе за разгръщането на устойчивата агрохранителна верига в целия Валонски регион.</w:t>
      </w:r>
    </w:p>
    <w:p w14:paraId="45414FE8" w14:textId="309CA4AC" w:rsidR="00235E11" w:rsidRDefault="00F837E4">
      <w:pPr>
        <w:pStyle w:val="NormalLeft"/>
        <w:jc w:val="both"/>
        <w:rPr>
          <w:noProof/>
        </w:rPr>
      </w:pPr>
      <w:r>
        <w:rPr>
          <w:noProof/>
        </w:rPr>
        <w:t>С оглед на съответствието на мярката с техническите насоки за прилагането на принципа за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следния списък от дейности: I) дейности, свързани с изкопаеми горива, включително използване надолу по веригата; II) дейности, свързани с депа за отпадъци, инсинератори и инсталации за механично-биологично третиране</w:t>
      </w:r>
      <w:r>
        <w:rPr>
          <w:noProof/>
        </w:rPr>
        <w:footnoteReference w:id="16"/>
      </w:r>
      <w:r>
        <w:rPr>
          <w:noProof/>
        </w:rPr>
        <w:t>; и iii) дейности, при които дългосрочното обезвреждане на отпадъци може да причини вреда на околната среда. Освен това в заданието се изисква да могат да бъдат избирани само дейности, които са в съответствие със съответното законодателство на ЕС и национално законодателство в областта на околната среда. Изпълнението на инвестицията трябва да приключи до 30 юни 2026 г.</w:t>
      </w:r>
    </w:p>
    <w:p w14:paraId="75A35A09" w14:textId="77777777" w:rsidR="00235E11" w:rsidRDefault="00F837E4">
      <w:pPr>
        <w:pStyle w:val="P68B1DB1-Text111"/>
        <w:ind w:left="0"/>
        <w:rPr>
          <w:noProof/>
        </w:rPr>
      </w:pPr>
      <w:r>
        <w:rPr>
          <w:noProof/>
        </w:rPr>
        <w:t>Инвестиция I-5.13: „</w:t>
      </w:r>
      <w:r>
        <w:rPr>
          <w:rFonts w:eastAsia="Times New Roman"/>
          <w:noProof/>
        </w:rPr>
        <w:t>Цифровизация на Валонския туристически сектор“ на Валонския регион</w:t>
      </w:r>
    </w:p>
    <w:p w14:paraId="29CF5A47" w14:textId="3BFC3C84" w:rsidR="00235E11" w:rsidRDefault="00F837E4">
      <w:pPr>
        <w:pStyle w:val="NormalLeft"/>
        <w:jc w:val="both"/>
        <w:rPr>
          <w:noProof/>
        </w:rPr>
      </w:pPr>
      <w:r>
        <w:rPr>
          <w:noProof/>
        </w:rPr>
        <w:t>Целта на тази инвестиция е туристическата индустрия във Валонския регион да стане по-устойчива. Проектът ще се съсредоточи върху цифровизацията на сектора чрез изпълнение на действия за увеличаване на онлайн присъствието на туристически оператори (МСП, самостоятелно заети лица и сдружения с нестопанска цел) и тяхната независимост от платформи на трети страни. Изпълнението на инвестицията трябва да приключи до 31 декември 2025 г.</w:t>
      </w:r>
    </w:p>
    <w:p w14:paraId="12C73135" w14:textId="77777777" w:rsidR="00235E11" w:rsidRDefault="00F837E4">
      <w:pPr>
        <w:pStyle w:val="P68B1DB1-Normal13"/>
        <w:spacing w:before="120" w:after="120" w:line="240" w:lineRule="auto"/>
        <w:jc w:val="both"/>
        <w:rPr>
          <w:noProof/>
        </w:rPr>
      </w:pPr>
      <w:r>
        <w:rPr>
          <w:noProof/>
        </w:rPr>
        <w:t>Реформа R-5.06: „Оптимизиране на процедурите: По-бързи процедури за издаване на разрешения и обжалване“ на Фламандския регион</w:t>
      </w:r>
    </w:p>
    <w:p w14:paraId="62083CC5" w14:textId="72E9C058" w:rsidR="00235E11" w:rsidRDefault="00F837E4">
      <w:pPr>
        <w:pStyle w:val="NormalLeft"/>
        <w:jc w:val="both"/>
        <w:rPr>
          <w:noProof/>
        </w:rPr>
      </w:pPr>
      <w:r>
        <w:rPr>
          <w:noProof/>
        </w:rPr>
        <w:t>Тази реформа има за цел опростяване на процедурите за издаване на екологични разрешителни, включително чрез въвеждане на условия относно възможността за обжалване на решения. Той се състои от преразглеждане на съществуващия регламент с цел да се съкрати времето, необходимо за разглеждане на случая, и да се осигури по-голяма правна сигурност. В края на прегледа се публикува доклад, в който се прави преглед на новите и преразгледаните мерки. Изпълнението на реформата трябва да приключи до 31 декември 2022 г.</w:t>
      </w:r>
    </w:p>
    <w:p w14:paraId="71104E2B" w14:textId="77777777" w:rsidR="00235E11" w:rsidRDefault="00F837E4">
      <w:pPr>
        <w:pStyle w:val="P68B1DB1-Normal13"/>
        <w:spacing w:before="120" w:after="120" w:line="240" w:lineRule="auto"/>
        <w:jc w:val="both"/>
        <w:rPr>
          <w:noProof/>
        </w:rPr>
      </w:pPr>
      <w:r>
        <w:rPr>
          <w:noProof/>
        </w:rPr>
        <w:t>Реформа R-5.07: „Разширяване на иновационната база“ на Фламандския регион</w:t>
      </w:r>
    </w:p>
    <w:p w14:paraId="55CA56F2" w14:textId="72C9BE9E" w:rsidR="00235E11" w:rsidRDefault="00F837E4">
      <w:pPr>
        <w:pStyle w:val="NormalLeft"/>
        <w:jc w:val="both"/>
        <w:rPr>
          <w:noProof/>
        </w:rPr>
      </w:pPr>
      <w:r>
        <w:rPr>
          <w:noProof/>
        </w:rPr>
        <w:t>Тази реформа има за цел да гарантира, че съществуващите инструменти не ограничават достъпа на МСП до субсидии за иновации. Той се състои от преглед на съществуващите инструменти, насочени към стимулиране на иновациите, които са по-лесно достъпни и адаптирани към нуждите на МСП. В края на прегледа се публикува доклад, в който се прави преглед на новите и преразгледаните мерки. Изпълнението на реформата трябва да приключи до 31 декември 2022 г.</w:t>
      </w:r>
    </w:p>
    <w:p w14:paraId="4E767275" w14:textId="4D1D2C9B" w:rsidR="00235E11" w:rsidRDefault="00F837E4">
      <w:pPr>
        <w:pStyle w:val="P68B1DB1-Text111"/>
        <w:ind w:left="0"/>
        <w:rPr>
          <w:noProof/>
        </w:rPr>
      </w:pPr>
      <w:r>
        <w:rPr>
          <w:noProof/>
        </w:rPr>
        <w:t>Инвестиция I-5.18: „</w:t>
      </w:r>
      <w:r>
        <w:rPr>
          <w:rFonts w:eastAsia="Times New Roman"/>
          <w:noProof/>
        </w:rPr>
        <w:t>SMELD: Най-съвременни отпадъци от топенето на метал по време на D -D’на федералната държава</w:t>
      </w:r>
    </w:p>
    <w:p w14:paraId="6991BBCE" w14:textId="5773D1E0" w:rsidR="00235E11" w:rsidRDefault="00F837E4">
      <w:pPr>
        <w:spacing w:before="120" w:after="120" w:line="240" w:lineRule="auto"/>
        <w:jc w:val="both"/>
        <w:rPr>
          <w:rFonts w:ascii="Times New Roman" w:hAnsi="Times New Roman" w:cs="Times New Roman"/>
          <w:noProof/>
          <w:sz w:val="24"/>
        </w:rPr>
      </w:pPr>
      <w:r>
        <w:rPr>
          <w:rStyle w:val="normaltextrun"/>
          <w:rFonts w:ascii="Times New Roman" w:hAnsi="Times New Roman" w:cs="Times New Roman"/>
          <w:noProof/>
          <w:sz w:val="24"/>
        </w:rPr>
        <w:t>Тази инвестиция има за цел да допринесе за максимално увеличаване на рециклирането на метали в резултат на бъдещи операции по извеждане от експлоатация на ядрени съоръжения. Тя се състои от фундаментална НИРД за подобряване на знанията за процеса на топене на метал и следва да бъде последвана от промишлена НИРД за цялостно проучване на практическите приложения. Инвестицията има за цел също така да се разшири капацитетът за обработка на метали, рециклирани от операции по извеждане от експлоатация на ядрени съоръжения. В този контекст инвестицията се състои в изграждане на топилна пещ, използваема в нерадиоактивен режим. Предвижда се тази инвестиция да бъде последвана от последващи стъпки, водещи до работа на топилната пещ с радиоактивен материал, което се предвижда да стане едва през 2027 г. Изпълнението на инвестицията ще приключи до 30 юни 2026 г.</w:t>
      </w:r>
    </w:p>
    <w:p w14:paraId="16DEC713" w14:textId="77777777" w:rsidR="00235E11" w:rsidRDefault="00235E11">
      <w:pPr>
        <w:rPr>
          <w:rFonts w:ascii="Times New Roman" w:hAnsi="Times New Roman" w:cs="Times New Roman"/>
          <w:noProof/>
          <w:sz w:val="24"/>
        </w:rPr>
      </w:pPr>
    </w:p>
    <w:p w14:paraId="7B87D354" w14:textId="77777777" w:rsidR="00235E11" w:rsidRDefault="00F837E4">
      <w:pPr>
        <w:pStyle w:val="P68B1DB1-Text16"/>
        <w:ind w:left="0"/>
        <w:rPr>
          <w:noProof/>
        </w:rPr>
      </w:pPr>
      <w:r>
        <w:rPr>
          <w:noProof/>
        </w:rPr>
        <w:t xml:space="preserve">O.2. </w:t>
      </w:r>
      <w:r>
        <w:rPr>
          <w:noProof/>
        </w:rPr>
        <w:tab/>
        <w:t>Ключови етапи, цели, показатели и график за мониторинг и изпълнение на безвъзмездната финансова подкрепа</w:t>
      </w:r>
    </w:p>
    <w:p w14:paraId="24C33CE5" w14:textId="77777777" w:rsidR="00235E11" w:rsidRDefault="00235E11">
      <w:pPr>
        <w:pStyle w:val="Text1"/>
        <w:rPr>
          <w:noProof/>
        </w:rPr>
        <w:sectPr w:rsidR="00235E11" w:rsidSect="007F56C3">
          <w:headerReference w:type="even" r:id="rId210"/>
          <w:headerReference w:type="default" r:id="rId211"/>
          <w:footerReference w:type="even" r:id="rId212"/>
          <w:footerReference w:type="default" r:id="rId213"/>
          <w:headerReference w:type="first" r:id="rId214"/>
          <w:footerReference w:type="first" r:id="rId215"/>
          <w:pgSz w:w="11907" w:h="16839"/>
          <w:pgMar w:top="1134" w:right="1134" w:bottom="1134" w:left="1134" w:header="567" w:footer="567" w:gutter="0"/>
          <w:cols w:space="720"/>
          <w:docGrid w:linePitch="360"/>
        </w:sectPr>
      </w:pPr>
    </w:p>
    <w:tbl>
      <w:tblPr>
        <w:tblW w:w="15898" w:type="dxa"/>
        <w:tblInd w:w="-572" w:type="dxa"/>
        <w:tblLayout w:type="fixed"/>
        <w:tblLook w:val="04A0" w:firstRow="1" w:lastRow="0" w:firstColumn="1" w:lastColumn="0" w:noHBand="0" w:noVBand="1"/>
      </w:tblPr>
      <w:tblGrid>
        <w:gridCol w:w="681"/>
        <w:gridCol w:w="1349"/>
        <w:gridCol w:w="1082"/>
        <w:gridCol w:w="1850"/>
        <w:gridCol w:w="1701"/>
        <w:gridCol w:w="1134"/>
        <w:gridCol w:w="708"/>
        <w:gridCol w:w="709"/>
        <w:gridCol w:w="761"/>
        <w:gridCol w:w="682"/>
        <w:gridCol w:w="5241"/>
      </w:tblGrid>
      <w:tr w:rsidR="00235E11" w14:paraId="6FFA1D56" w14:textId="77777777">
        <w:trPr>
          <w:trHeight w:val="927"/>
          <w:tblHeader/>
        </w:trPr>
        <w:tc>
          <w:tcPr>
            <w:tcW w:w="6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03EEEF" w14:textId="3CB0E3CE" w:rsidR="00235E11" w:rsidRDefault="00F837E4">
            <w:pPr>
              <w:pStyle w:val="P68B1DB1-Normal15"/>
              <w:spacing w:after="0"/>
              <w:jc w:val="center"/>
              <w:rPr>
                <w:noProof/>
              </w:rPr>
            </w:pPr>
            <w:r>
              <w:rPr>
                <w:noProof/>
              </w:rPr>
              <w:t>Следващи Забележка:</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F24D8C" w14:textId="77777777" w:rsidR="00235E11" w:rsidRDefault="00F837E4">
            <w:pPr>
              <w:pStyle w:val="P68B1DB1-Normal15"/>
              <w:spacing w:after="0"/>
              <w:jc w:val="center"/>
              <w:rPr>
                <w:noProof/>
              </w:rPr>
            </w:pPr>
            <w:r>
              <w:rPr>
                <w:noProof/>
              </w:rPr>
              <w:t>Свързана мярка (реформа или инвестиции)</w:t>
            </w:r>
          </w:p>
        </w:tc>
        <w:tc>
          <w:tcPr>
            <w:tcW w:w="10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95BE1C" w14:textId="77777777" w:rsidR="00235E11" w:rsidRDefault="00F837E4">
            <w:pPr>
              <w:pStyle w:val="P68B1DB1-Normal15"/>
              <w:spacing w:after="0"/>
              <w:jc w:val="center"/>
              <w:rPr>
                <w:noProof/>
              </w:rPr>
            </w:pPr>
            <w:r>
              <w:rPr>
                <w:noProof/>
              </w:rPr>
              <w:t>Ключов етап/Цел</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AB3899" w14:textId="77777777" w:rsidR="00235E11" w:rsidRDefault="00F837E4">
            <w:pPr>
              <w:pStyle w:val="P68B1DB1-Normal15"/>
              <w:spacing w:after="0"/>
              <w:jc w:val="center"/>
              <w:rPr>
                <w:noProof/>
              </w:rPr>
            </w:pPr>
            <w:r>
              <w:rPr>
                <w:noProof/>
              </w:rPr>
              <w:t>Име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A72C4F"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55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25BADA9"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43" w:type="dxa"/>
            <w:gridSpan w:val="2"/>
            <w:tcBorders>
              <w:top w:val="single" w:sz="4" w:space="0" w:color="auto"/>
              <w:left w:val="nil"/>
              <w:bottom w:val="single" w:sz="4" w:space="0" w:color="auto"/>
              <w:right w:val="single" w:sz="4" w:space="0" w:color="auto"/>
            </w:tcBorders>
            <w:shd w:val="clear" w:color="auto" w:fill="BDD7EE"/>
            <w:vAlign w:val="center"/>
            <w:hideMark/>
          </w:tcPr>
          <w:p w14:paraId="222219DE" w14:textId="77777777" w:rsidR="00235E11" w:rsidRDefault="00F837E4">
            <w:pPr>
              <w:pStyle w:val="P68B1DB1-Normal15"/>
              <w:spacing w:after="0"/>
              <w:jc w:val="center"/>
              <w:rPr>
                <w:noProof/>
              </w:rPr>
            </w:pPr>
            <w:r>
              <w:rPr>
                <w:noProof/>
              </w:rPr>
              <w:t xml:space="preserve">Примерен график за приключване </w:t>
            </w:r>
          </w:p>
        </w:tc>
        <w:tc>
          <w:tcPr>
            <w:tcW w:w="52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471B97" w14:textId="77777777" w:rsidR="00235E11" w:rsidRDefault="00F837E4">
            <w:pPr>
              <w:pStyle w:val="P68B1DB1-Normal15"/>
              <w:spacing w:after="0"/>
              <w:jc w:val="center"/>
              <w:rPr>
                <w:noProof/>
              </w:rPr>
            </w:pPr>
            <w:r>
              <w:rPr>
                <w:noProof/>
              </w:rPr>
              <w:t>Описание на всеки ключов етап и цел</w:t>
            </w:r>
          </w:p>
        </w:tc>
      </w:tr>
      <w:tr w:rsidR="00235E11" w14:paraId="20470D8F" w14:textId="77777777">
        <w:trPr>
          <w:trHeight w:val="1013"/>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9444FE5" w14:textId="77777777" w:rsidR="00235E11" w:rsidRDefault="00235E11">
            <w:pPr>
              <w:spacing w:after="0"/>
              <w:rPr>
                <w:rFonts w:ascii="Times New Roman" w:eastAsia="Times New Roman" w:hAnsi="Times New Roman" w:cs="Times New Roman"/>
                <w:b/>
                <w:noProof/>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7CB9F481" w14:textId="77777777" w:rsidR="00235E11" w:rsidRDefault="00235E11">
            <w:pPr>
              <w:spacing w:after="0"/>
              <w:rPr>
                <w:rFonts w:ascii="Times New Roman" w:eastAsia="Times New Roman" w:hAnsi="Times New Roman" w:cs="Times New Roman"/>
                <w:b/>
                <w:noProof/>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14:paraId="04E603C9" w14:textId="77777777" w:rsidR="00235E11" w:rsidRDefault="00235E11">
            <w:pPr>
              <w:spacing w:after="0"/>
              <w:rPr>
                <w:rFonts w:ascii="Times New Roman" w:eastAsia="Times New Roman" w:hAnsi="Times New Roman" w:cs="Times New Roman"/>
                <w:b/>
                <w:noProof/>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14:paraId="072BE082" w14:textId="77777777" w:rsidR="00235E11" w:rsidRDefault="00235E11">
            <w:pPr>
              <w:spacing w:after="0"/>
              <w:rPr>
                <w:rFonts w:ascii="Times New Roman" w:eastAsia="Times New Roman" w:hAnsi="Times New Roman" w:cs="Times New Roman"/>
                <w:b/>
                <w:noProof/>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508E54" w14:textId="77777777" w:rsidR="00235E11" w:rsidRDefault="00235E11">
            <w:pPr>
              <w:spacing w:after="0"/>
              <w:rPr>
                <w:rFonts w:ascii="Times New Roman" w:eastAsia="Times New Roman" w:hAnsi="Times New Roman" w:cs="Times New Roman"/>
                <w:b/>
                <w:noProof/>
              </w:rPr>
            </w:pPr>
          </w:p>
        </w:tc>
        <w:tc>
          <w:tcPr>
            <w:tcW w:w="1134" w:type="dxa"/>
            <w:tcBorders>
              <w:top w:val="nil"/>
              <w:left w:val="single" w:sz="4" w:space="0" w:color="auto"/>
              <w:bottom w:val="single" w:sz="4" w:space="0" w:color="auto"/>
              <w:right w:val="single" w:sz="4" w:space="0" w:color="auto"/>
            </w:tcBorders>
            <w:shd w:val="clear" w:color="auto" w:fill="BDD7EE"/>
            <w:vAlign w:val="center"/>
            <w:hideMark/>
          </w:tcPr>
          <w:p w14:paraId="627101B5" w14:textId="77777777" w:rsidR="00235E11" w:rsidRDefault="00F837E4">
            <w:pPr>
              <w:pStyle w:val="P68B1DB1-Normal15"/>
              <w:spacing w:after="0"/>
              <w:jc w:val="center"/>
              <w:rPr>
                <w:noProof/>
              </w:rPr>
            </w:pPr>
            <w:r>
              <w:rPr>
                <w:noProof/>
              </w:rPr>
              <w:t>Единица мярка</w:t>
            </w:r>
          </w:p>
        </w:tc>
        <w:tc>
          <w:tcPr>
            <w:tcW w:w="708" w:type="dxa"/>
            <w:tcBorders>
              <w:top w:val="nil"/>
              <w:left w:val="nil"/>
              <w:bottom w:val="single" w:sz="4" w:space="0" w:color="auto"/>
              <w:right w:val="single" w:sz="4" w:space="0" w:color="auto"/>
            </w:tcBorders>
            <w:shd w:val="clear" w:color="auto" w:fill="BDD7EE"/>
            <w:vAlign w:val="center"/>
            <w:hideMark/>
          </w:tcPr>
          <w:p w14:paraId="245B6AC0" w14:textId="77777777" w:rsidR="00235E11" w:rsidRDefault="00F837E4">
            <w:pPr>
              <w:pStyle w:val="P68B1DB1-Normal15"/>
              <w:spacing w:after="0"/>
              <w:jc w:val="center"/>
              <w:rPr>
                <w:noProof/>
              </w:rPr>
            </w:pPr>
            <w:r>
              <w:rPr>
                <w:noProof/>
              </w:rPr>
              <w:t xml:space="preserve">Базова линия </w:t>
            </w:r>
          </w:p>
        </w:tc>
        <w:tc>
          <w:tcPr>
            <w:tcW w:w="709" w:type="dxa"/>
            <w:tcBorders>
              <w:top w:val="nil"/>
              <w:left w:val="nil"/>
              <w:bottom w:val="single" w:sz="4" w:space="0" w:color="auto"/>
              <w:right w:val="single" w:sz="4" w:space="0" w:color="auto"/>
            </w:tcBorders>
            <w:shd w:val="clear" w:color="auto" w:fill="BDD7EE"/>
            <w:vAlign w:val="center"/>
            <w:hideMark/>
          </w:tcPr>
          <w:p w14:paraId="621B141A" w14:textId="77777777" w:rsidR="00235E11" w:rsidRDefault="00F837E4">
            <w:pPr>
              <w:pStyle w:val="P68B1DB1-Normal15"/>
              <w:spacing w:after="0"/>
              <w:jc w:val="center"/>
              <w:rPr>
                <w:noProof/>
              </w:rPr>
            </w:pPr>
            <w:r>
              <w:rPr>
                <w:noProof/>
              </w:rPr>
              <w:t xml:space="preserve">Цел </w:t>
            </w:r>
          </w:p>
        </w:tc>
        <w:tc>
          <w:tcPr>
            <w:tcW w:w="761" w:type="dxa"/>
            <w:tcBorders>
              <w:top w:val="nil"/>
              <w:left w:val="nil"/>
              <w:bottom w:val="single" w:sz="4" w:space="0" w:color="auto"/>
              <w:right w:val="single" w:sz="4" w:space="0" w:color="auto"/>
            </w:tcBorders>
            <w:shd w:val="clear" w:color="auto" w:fill="BDD7EE"/>
            <w:vAlign w:val="center"/>
            <w:hideMark/>
          </w:tcPr>
          <w:p w14:paraId="43DF06CE" w14:textId="77777777" w:rsidR="00235E11" w:rsidRDefault="00F837E4">
            <w:pPr>
              <w:pStyle w:val="P68B1DB1-Normal15"/>
              <w:spacing w:after="0"/>
              <w:jc w:val="center"/>
              <w:rPr>
                <w:noProof/>
              </w:rPr>
            </w:pPr>
            <w:r>
              <w:rPr>
                <w:noProof/>
              </w:rPr>
              <w:t>Тримесечие</w:t>
            </w:r>
          </w:p>
        </w:tc>
        <w:tc>
          <w:tcPr>
            <w:tcW w:w="682" w:type="dxa"/>
            <w:tcBorders>
              <w:top w:val="nil"/>
              <w:left w:val="nil"/>
              <w:bottom w:val="single" w:sz="4" w:space="0" w:color="auto"/>
              <w:right w:val="single" w:sz="4" w:space="0" w:color="auto"/>
            </w:tcBorders>
            <w:shd w:val="clear" w:color="auto" w:fill="BDD7EE"/>
            <w:vAlign w:val="center"/>
            <w:hideMark/>
          </w:tcPr>
          <w:p w14:paraId="5E14F31D" w14:textId="77777777" w:rsidR="00235E11" w:rsidRDefault="00F837E4">
            <w:pPr>
              <w:pStyle w:val="P68B1DB1-Normal15"/>
              <w:spacing w:after="0"/>
              <w:jc w:val="center"/>
              <w:rPr>
                <w:noProof/>
              </w:rPr>
            </w:pPr>
            <w:r>
              <w:rPr>
                <w:noProof/>
              </w:rPr>
              <w:t>Година</w:t>
            </w:r>
          </w:p>
        </w:tc>
        <w:tc>
          <w:tcPr>
            <w:tcW w:w="5241" w:type="dxa"/>
            <w:vMerge/>
            <w:tcBorders>
              <w:top w:val="single" w:sz="4" w:space="0" w:color="auto"/>
              <w:bottom w:val="single" w:sz="4" w:space="0" w:color="auto"/>
              <w:right w:val="single" w:sz="4" w:space="0" w:color="auto"/>
            </w:tcBorders>
            <w:vAlign w:val="center"/>
            <w:hideMark/>
          </w:tcPr>
          <w:p w14:paraId="64BF770D" w14:textId="77777777" w:rsidR="00235E11" w:rsidRDefault="00235E11">
            <w:pPr>
              <w:spacing w:after="0"/>
              <w:rPr>
                <w:rFonts w:ascii="Times New Roman" w:eastAsia="Times New Roman" w:hAnsi="Times New Roman" w:cs="Times New Roman"/>
                <w:b/>
                <w:noProof/>
              </w:rPr>
            </w:pPr>
          </w:p>
        </w:tc>
      </w:tr>
      <w:tr w:rsidR="00235E11" w14:paraId="19636527"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043822" w14:textId="77777777" w:rsidR="00235E11" w:rsidRDefault="00F837E4">
            <w:pPr>
              <w:pStyle w:val="P68B1DB1-Normal10"/>
              <w:spacing w:after="0"/>
              <w:jc w:val="center"/>
              <w:rPr>
                <w:noProof/>
              </w:rPr>
            </w:pPr>
            <w:r>
              <w:rPr>
                <w:noProof/>
              </w:rPr>
              <w:t>179</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7DEA36B5" w14:textId="77777777" w:rsidR="00235E11" w:rsidRDefault="00F837E4">
            <w:pPr>
              <w:pStyle w:val="P68B1DB1-Normal10"/>
              <w:spacing w:after="0"/>
              <w:rPr>
                <w:noProof/>
              </w:rPr>
            </w:pPr>
            <w:r>
              <w:rPr>
                <w:noProof/>
              </w:rPr>
              <w:t>Нуклеарна медицина (I-5.08)</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1D41AD1A" w14:textId="3A889CE2" w:rsidR="00235E11" w:rsidRDefault="00F837E4">
            <w:pPr>
              <w:pStyle w:val="P68B1DB1-Normal10"/>
              <w:spacing w:after="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7B9A6EEC" w14:textId="77777777" w:rsidR="00235E11" w:rsidRDefault="00F837E4">
            <w:pPr>
              <w:pStyle w:val="P68B1DB1-Normal10"/>
              <w:spacing w:after="0"/>
              <w:rPr>
                <w:noProof/>
              </w:rPr>
            </w:pPr>
            <w:r>
              <w:rPr>
                <w:noProof/>
              </w:rPr>
              <w:t>Изграждане и въвеждане в експлоатация на радиоизотопно съоръжение (FANC и FAGG)</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E9E4194" w14:textId="77777777" w:rsidR="00235E11" w:rsidRDefault="00F837E4">
            <w:pPr>
              <w:pStyle w:val="P68B1DB1-Normal10"/>
              <w:spacing w:after="0"/>
              <w:rPr>
                <w:noProof/>
              </w:rPr>
            </w:pPr>
            <w:r>
              <w:rPr>
                <w:noProof/>
              </w:rPr>
              <w:t>Изградено и функциониращо съоръжение.</w:t>
            </w:r>
          </w:p>
        </w:tc>
        <w:tc>
          <w:tcPr>
            <w:tcW w:w="1134" w:type="dxa"/>
            <w:tcBorders>
              <w:top w:val="nil"/>
              <w:left w:val="nil"/>
              <w:bottom w:val="single" w:sz="4" w:space="0" w:color="auto"/>
              <w:right w:val="single" w:sz="4" w:space="0" w:color="auto"/>
            </w:tcBorders>
            <w:shd w:val="clear" w:color="auto" w:fill="C6EFCE"/>
            <w:noWrap/>
            <w:vAlign w:val="center"/>
          </w:tcPr>
          <w:p w14:paraId="4846AFB2"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nil"/>
              <w:left w:val="nil"/>
              <w:bottom w:val="single" w:sz="4" w:space="0" w:color="auto"/>
              <w:right w:val="single" w:sz="4" w:space="0" w:color="auto"/>
            </w:tcBorders>
            <w:shd w:val="clear" w:color="auto" w:fill="C6EFCE"/>
            <w:noWrap/>
            <w:vAlign w:val="center"/>
          </w:tcPr>
          <w:p w14:paraId="5ACF0CEA"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542F5143" w14:textId="77777777" w:rsidR="00235E11" w:rsidRDefault="00235E11">
            <w:pPr>
              <w:spacing w:after="0"/>
              <w:jc w:val="center"/>
              <w:rPr>
                <w:rFonts w:ascii="Times New Roman" w:eastAsia="Times New Roman" w:hAnsi="Times New Roman" w:cs="Times New Roman"/>
                <w:noProof/>
                <w:color w:val="006100"/>
              </w:rPr>
            </w:pPr>
          </w:p>
        </w:tc>
        <w:tc>
          <w:tcPr>
            <w:tcW w:w="761" w:type="dxa"/>
            <w:tcBorders>
              <w:top w:val="nil"/>
              <w:left w:val="nil"/>
              <w:bottom w:val="single" w:sz="4" w:space="0" w:color="auto"/>
              <w:right w:val="single" w:sz="4" w:space="0" w:color="auto"/>
            </w:tcBorders>
            <w:shd w:val="clear" w:color="auto" w:fill="C6EFCE"/>
            <w:noWrap/>
            <w:vAlign w:val="center"/>
          </w:tcPr>
          <w:p w14:paraId="364D5287" w14:textId="77777777" w:rsidR="00235E11" w:rsidRDefault="00F837E4">
            <w:pPr>
              <w:pStyle w:val="P68B1DB1-Normal10"/>
              <w:spacing w:after="0"/>
              <w:jc w:val="center"/>
              <w:rPr>
                <w:noProof/>
              </w:rPr>
            </w:pPr>
            <w:r>
              <w:rPr>
                <w:noProof/>
              </w:rPr>
              <w:t>Т2 Г.</w:t>
            </w:r>
          </w:p>
        </w:tc>
        <w:tc>
          <w:tcPr>
            <w:tcW w:w="682" w:type="dxa"/>
            <w:tcBorders>
              <w:top w:val="nil"/>
              <w:left w:val="nil"/>
              <w:bottom w:val="single" w:sz="4" w:space="0" w:color="auto"/>
              <w:right w:val="single" w:sz="4" w:space="0" w:color="auto"/>
            </w:tcBorders>
            <w:shd w:val="clear" w:color="auto" w:fill="C6EFCE"/>
            <w:noWrap/>
            <w:vAlign w:val="center"/>
          </w:tcPr>
          <w:p w14:paraId="4F63E10E" w14:textId="639B74FB" w:rsidR="00235E11" w:rsidRDefault="00F837E4">
            <w:pPr>
              <w:pStyle w:val="P68B1DB1-Normal10"/>
              <w:spacing w:after="0"/>
              <w:jc w:val="center"/>
              <w:rPr>
                <w:noProof/>
              </w:rPr>
            </w:pPr>
            <w:r>
              <w:rPr>
                <w:noProof/>
              </w:rPr>
              <w:t>2026</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45BDB206" w14:textId="41C64740" w:rsidR="00235E11" w:rsidRDefault="00F837E4">
            <w:pPr>
              <w:pStyle w:val="P68B1DB1-Normal10"/>
              <w:spacing w:after="0"/>
              <w:rPr>
                <w:noProof/>
              </w:rPr>
            </w:pPr>
            <w:r>
              <w:rPr>
                <w:noProof/>
              </w:rPr>
              <w:t>Съоръжението за радиоизотопи 177Lu е изградено и функционира, след като е получило всички необходими лицензи от Agence fédérale de Contrôle nucléaire (FANC) и Федералната агенция по лекарствата и здравните продукти (FAGG) и в съответствие с цялото приложимо законодателство на федерално и фламандско равнище, свързано с Директива 2011/92.</w:t>
            </w:r>
          </w:p>
        </w:tc>
      </w:tr>
      <w:tr w:rsidR="00235E11" w14:paraId="6F2ED2D5"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2C3BE6" w14:textId="77777777" w:rsidR="00235E11" w:rsidRDefault="00F837E4">
            <w:pPr>
              <w:pStyle w:val="P68B1DB1-Normal10"/>
              <w:spacing w:after="0"/>
              <w:jc w:val="center"/>
              <w:rPr>
                <w:noProof/>
              </w:rPr>
            </w:pPr>
            <w:r>
              <w:rPr>
                <w:noProof/>
              </w:rPr>
              <w:t>180</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5D0298E8" w14:textId="77777777" w:rsidR="00235E11" w:rsidRDefault="00F837E4">
            <w:pPr>
              <w:pStyle w:val="P68B1DB1-Normal10"/>
              <w:spacing w:after="0"/>
              <w:rPr>
                <w:noProof/>
              </w:rPr>
            </w:pPr>
            <w:r>
              <w:rPr>
                <w:noProof/>
              </w:rPr>
              <w:t>Нуклеарна медицина (I-5.08)</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47B0D885" w14:textId="58627095" w:rsidR="00235E11" w:rsidRDefault="00F837E4">
            <w:pPr>
              <w:pStyle w:val="P68B1DB1-Normal10"/>
              <w:spacing w:after="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666F30CB" w14:textId="77777777" w:rsidR="00235E11" w:rsidRDefault="00F837E4">
            <w:pPr>
              <w:pStyle w:val="P68B1DB1-Normal10"/>
              <w:spacing w:after="0"/>
              <w:rPr>
                <w:noProof/>
              </w:rPr>
            </w:pPr>
            <w:r>
              <w:rPr>
                <w:noProof/>
              </w:rPr>
              <w:t>Финализиран технологичен пакет</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2AFCAB7" w14:textId="77777777" w:rsidR="00235E11" w:rsidRDefault="00F837E4">
            <w:pPr>
              <w:pStyle w:val="P68B1DB1-Normal10"/>
              <w:spacing w:after="0"/>
              <w:rPr>
                <w:noProof/>
              </w:rPr>
            </w:pPr>
            <w:r>
              <w:rPr>
                <w:noProof/>
              </w:rPr>
              <w:t>Доклад за осъществимостта, описващ технологичния пакет, необходим на инвеститорите за широкомащабно производство на 225Ac от 226Ra</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D00A8B2"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5D5482D0"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E2B50B7" w14:textId="77777777" w:rsidR="00235E11" w:rsidRDefault="00235E11">
            <w:pPr>
              <w:spacing w:after="0"/>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2EC42638" w14:textId="77777777" w:rsidR="00235E11" w:rsidRDefault="00F837E4">
            <w:pPr>
              <w:pStyle w:val="P68B1DB1-Normal10"/>
              <w:spacing w:after="0"/>
              <w:jc w:val="center"/>
              <w:rPr>
                <w:noProof/>
              </w:rPr>
            </w:pPr>
            <w:r>
              <w:rPr>
                <w:noProof/>
              </w:rPr>
              <w:t>Т4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35FAEC7D" w14:textId="77777777" w:rsidR="00235E11" w:rsidRDefault="00F837E4">
            <w:pPr>
              <w:pStyle w:val="P68B1DB1-Normal10"/>
              <w:spacing w:after="0"/>
              <w:jc w:val="center"/>
              <w:rPr>
                <w:noProof/>
              </w:rPr>
            </w:pPr>
            <w:r>
              <w:rPr>
                <w:noProof/>
              </w:rPr>
              <w:t>2024</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764F4F73" w14:textId="77777777" w:rsidR="00235E11" w:rsidRDefault="00F837E4">
            <w:pPr>
              <w:pStyle w:val="P68B1DB1-Normal10"/>
              <w:spacing w:after="0"/>
              <w:rPr>
                <w:noProof/>
              </w:rPr>
            </w:pPr>
            <w:r>
              <w:rPr>
                <w:noProof/>
              </w:rPr>
              <w:t xml:space="preserve">Публикуван е доклад за осъществимостта, описващ технологичния пакет, необходим на инвеститорите, за да пристъпят към широкомащабно производство на 225Ac от 226Ra. </w:t>
            </w:r>
          </w:p>
          <w:p w14:paraId="5BA7D906" w14:textId="77777777" w:rsidR="00235E11" w:rsidRDefault="00F837E4">
            <w:pPr>
              <w:pStyle w:val="P68B1DB1-Normal10"/>
              <w:spacing w:after="0"/>
              <w:rPr>
                <w:noProof/>
              </w:rPr>
            </w:pPr>
            <w:r>
              <w:rPr>
                <w:noProof/>
              </w:rPr>
              <w:t>Докладът включва следните елементи:</w:t>
            </w:r>
          </w:p>
          <w:p w14:paraId="513DAAE6" w14:textId="77777777" w:rsidR="00235E11" w:rsidRDefault="00F837E4">
            <w:pPr>
              <w:pStyle w:val="P68B1DB1-Normal10"/>
              <w:spacing w:after="0"/>
              <w:rPr>
                <w:noProof/>
              </w:rPr>
            </w:pPr>
            <w:r>
              <w:rPr>
                <w:noProof/>
              </w:rPr>
              <w:t>1) функционираща инсталация за гореща камера в SCK CEN за работа с 226Ra източници</w:t>
            </w:r>
          </w:p>
          <w:p w14:paraId="45D20CBA" w14:textId="18098619" w:rsidR="00235E11" w:rsidRDefault="00F837E4">
            <w:pPr>
              <w:pStyle w:val="P68B1DB1-Normal10"/>
              <w:spacing w:after="0"/>
              <w:rPr>
                <w:noProof/>
              </w:rPr>
            </w:pPr>
            <w:r>
              <w:rPr>
                <w:noProof/>
              </w:rPr>
              <w:t>2) Проектиране на електрически в гама-преобразувател, който да бъде изграден за широкомащабно производство</w:t>
            </w:r>
          </w:p>
          <w:p w14:paraId="263F06E0" w14:textId="77777777" w:rsidR="00235E11" w:rsidRDefault="00F837E4">
            <w:pPr>
              <w:pStyle w:val="P68B1DB1-Normal10"/>
              <w:spacing w:after="0"/>
              <w:rPr>
                <w:noProof/>
              </w:rPr>
            </w:pPr>
            <w:r>
              <w:rPr>
                <w:noProof/>
              </w:rPr>
              <w:t>3) проектиране на целта и модула за облъчване, който да бъде изграден за широкомащабно производство</w:t>
            </w:r>
          </w:p>
          <w:p w14:paraId="5AF787E7" w14:textId="77777777" w:rsidR="00235E11" w:rsidRDefault="00F837E4">
            <w:pPr>
              <w:pStyle w:val="P68B1DB1-Normal10"/>
              <w:spacing w:after="0"/>
              <w:rPr>
                <w:noProof/>
              </w:rPr>
            </w:pPr>
            <w:r>
              <w:rPr>
                <w:noProof/>
              </w:rPr>
              <w:t>4) напълно разширен метод за радиохимично разделяне и 226Ra процес на рециклиране — готов за широкомащабно прилагане</w:t>
            </w:r>
          </w:p>
          <w:p w14:paraId="6525A286" w14:textId="77777777" w:rsidR="00235E11" w:rsidRDefault="00F837E4">
            <w:pPr>
              <w:pStyle w:val="P68B1DB1-Normal10"/>
              <w:spacing w:after="0"/>
              <w:rPr>
                <w:noProof/>
              </w:rPr>
            </w:pPr>
            <w:r>
              <w:rPr>
                <w:noProof/>
              </w:rPr>
              <w:t xml:space="preserve">5) концептуален проект на производственото съоръжение 225Ac </w:t>
            </w:r>
          </w:p>
          <w:p w14:paraId="6FD8E750" w14:textId="406A1C23" w:rsidR="00235E11" w:rsidRDefault="00F837E4">
            <w:pPr>
              <w:pStyle w:val="P68B1DB1-Normal10"/>
              <w:spacing w:after="0"/>
              <w:rPr>
                <w:noProof/>
              </w:rPr>
            </w:pPr>
            <w:r>
              <w:rPr>
                <w:noProof/>
              </w:rPr>
              <w:t>6) пътна карта за лицензиране на сградата за работа с радиоактивност (FANC) и лицензиране на ДПП (FAGG).</w:t>
            </w:r>
          </w:p>
        </w:tc>
      </w:tr>
      <w:tr w:rsidR="00235E11" w14:paraId="1032D78A"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90181C" w14:textId="77777777" w:rsidR="00235E11" w:rsidRDefault="00F837E4">
            <w:pPr>
              <w:pStyle w:val="P68B1DB1-Normal10"/>
              <w:spacing w:after="0"/>
              <w:jc w:val="center"/>
              <w:rPr>
                <w:noProof/>
              </w:rPr>
            </w:pPr>
            <w:r>
              <w:rPr>
                <w:noProof/>
              </w:rPr>
              <w:t>184</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09F9B2B5" w14:textId="77777777" w:rsidR="00235E11" w:rsidRDefault="00F837E4">
            <w:pPr>
              <w:pStyle w:val="P68B1DB1-Normal10"/>
              <w:spacing w:after="0"/>
              <w:rPr>
                <w:noProof/>
              </w:rPr>
            </w:pPr>
            <w:r>
              <w:rPr>
                <w:noProof/>
              </w:rPr>
              <w:t>Р-Г: Свеждане до минимум на отпадъците по време на демонтаж (I-5.10)</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4B4976A3" w14:textId="44E1F640" w:rsidR="00235E11" w:rsidRDefault="00F837E4">
            <w:pPr>
              <w:pStyle w:val="P68B1DB1-Normal10"/>
              <w:spacing w:after="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5C591D7C" w14:textId="77777777" w:rsidR="00235E11" w:rsidRDefault="00F837E4">
            <w:pPr>
              <w:pStyle w:val="P68B1DB1-Normal10"/>
              <w:spacing w:after="0"/>
              <w:rPr>
                <w:noProof/>
              </w:rPr>
            </w:pPr>
            <w:r>
              <w:rPr>
                <w:noProof/>
              </w:rPr>
              <w:t xml:space="preserve">Възлагане на обществена поръчка за изграждане на съоръжение за обработка на материали </w:t>
            </w:r>
          </w:p>
          <w:p w14:paraId="61CD08D1" w14:textId="77777777" w:rsidR="00235E11" w:rsidRDefault="00F837E4">
            <w:pPr>
              <w:pStyle w:val="P68B1DB1-Normal10"/>
              <w:spacing w:after="0"/>
              <w:rPr>
                <w:noProof/>
              </w:rPr>
            </w:pPr>
            <w:r>
              <w:rPr>
                <w:noProof/>
              </w:rPr>
              <w:t>(Mat)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1D833EA" w14:textId="77777777" w:rsidR="00235E11" w:rsidRDefault="00F837E4">
            <w:pPr>
              <w:pStyle w:val="P68B1DB1-Normal10"/>
              <w:spacing w:after="0"/>
              <w:rPr>
                <w:noProof/>
              </w:rPr>
            </w:pPr>
            <w:r>
              <w:rPr>
                <w:noProof/>
              </w:rPr>
              <w:t>Писмено уведомление за възлагане на обществена поръчка за изграждане на съоръжение за обработка на материали (MaT)</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E4C4065"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3E4F38DC"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045256B" w14:textId="77777777" w:rsidR="00235E11" w:rsidRDefault="00235E11">
            <w:pPr>
              <w:spacing w:after="0"/>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77B93702" w14:textId="77777777" w:rsidR="00235E11" w:rsidRDefault="00F837E4">
            <w:pPr>
              <w:pStyle w:val="P68B1DB1-Normal10"/>
              <w:spacing w:after="0"/>
              <w:jc w:val="center"/>
              <w:rPr>
                <w:noProof/>
              </w:rPr>
            </w:pPr>
            <w:r>
              <w:rPr>
                <w:noProof/>
              </w:rPr>
              <w:t>Т4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17805053" w14:textId="77777777" w:rsidR="00235E11" w:rsidRDefault="00F837E4">
            <w:pPr>
              <w:pStyle w:val="P68B1DB1-Normal10"/>
              <w:spacing w:after="0"/>
              <w:jc w:val="center"/>
              <w:rPr>
                <w:noProof/>
              </w:rPr>
            </w:pPr>
            <w:r>
              <w:rPr>
                <w:noProof/>
              </w:rPr>
              <w:t>2023</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3096471C" w14:textId="77777777" w:rsidR="00235E11" w:rsidRDefault="00F837E4">
            <w:pPr>
              <w:spacing w:after="0"/>
              <w:rPr>
                <w:rFonts w:ascii="Times New Roman" w:eastAsia="Times New Roman" w:hAnsi="Times New Roman" w:cs="Times New Roman"/>
                <w:noProof/>
                <w:color w:val="006100"/>
              </w:rPr>
            </w:pPr>
            <w:r>
              <w:rPr>
                <w:rFonts w:ascii="Times New Roman" w:eastAsia="Times New Roman" w:hAnsi="Times New Roman" w:cs="Times New Roman"/>
                <w:noProof/>
                <w:color w:val="006100"/>
              </w:rPr>
              <w:t>Уведомление за възлагането на поръчката от федералния министър на икономиката и труда за изграждането на съоръжение за обработка на материали (MaT), което е необходимо за провеждане на студени изпитвания и демонстрации на технологиите, които ще бъдат разработени</w:t>
            </w:r>
            <w:r>
              <w:rPr>
                <w:rFonts w:ascii="Times New Roman" w:hAnsi="Times New Roman" w:cs="Times New Roman"/>
                <w:noProof/>
              </w:rPr>
              <w:t xml:space="preserve"> </w:t>
            </w:r>
            <w:r>
              <w:rPr>
                <w:rFonts w:ascii="Times New Roman" w:eastAsia="Times New Roman" w:hAnsi="Times New Roman" w:cs="Times New Roman"/>
                <w:noProof/>
                <w:color w:val="006100"/>
              </w:rPr>
              <w:t>за повторна употреба, рециклиране и окончателно погребване на неядрени отпадъци от дейностите по извеждане от експлоатация на атомни електроцентрали; получават се необходимите разрешения за строеж и лицензът от Agence fédérale de Contrôle nucléaire (FANC). Сградата трябва да е в съответствие с цялото приложимо законодателство на федерално и фламандско равнище, свързано с Директива 2011/92.</w:t>
            </w:r>
          </w:p>
        </w:tc>
      </w:tr>
      <w:tr w:rsidR="00235E11" w14:paraId="1860B16B"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837EDC" w14:textId="77777777" w:rsidR="00235E11" w:rsidRDefault="00F837E4">
            <w:pPr>
              <w:pStyle w:val="P68B1DB1-Normal10"/>
              <w:spacing w:after="0"/>
              <w:jc w:val="center"/>
              <w:rPr>
                <w:noProof/>
              </w:rPr>
            </w:pPr>
            <w:r>
              <w:rPr>
                <w:noProof/>
              </w:rPr>
              <w:t>185</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14A67A78" w14:textId="77777777" w:rsidR="00235E11" w:rsidRDefault="00F837E4">
            <w:pPr>
              <w:pStyle w:val="P68B1DB1-Normal10"/>
              <w:spacing w:after="0"/>
              <w:rPr>
                <w:noProof/>
              </w:rPr>
            </w:pPr>
            <w:r>
              <w:rPr>
                <w:noProof/>
              </w:rPr>
              <w:t>Р-Г: Свеждане до минимум на отпадъците по време на демонтаж (I-5.10)</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51B4F814" w14:textId="68942519" w:rsidR="00235E11" w:rsidRDefault="00F837E4">
            <w:pPr>
              <w:pStyle w:val="P68B1DB1-Normal10"/>
              <w:spacing w:after="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269DF0BB" w14:textId="77777777" w:rsidR="00235E11" w:rsidRDefault="00F837E4">
            <w:pPr>
              <w:pStyle w:val="P68B1DB1-Normal10"/>
              <w:spacing w:after="0"/>
              <w:rPr>
                <w:noProof/>
              </w:rPr>
            </w:pPr>
            <w:r>
              <w:rPr>
                <w:noProof/>
              </w:rPr>
              <w:t>Изградено и пуснато в експлоатация съоръжение за третиране на материали (MaT); приключване на настолното проучване</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4290B21" w14:textId="77777777" w:rsidR="00235E11" w:rsidRDefault="00F837E4">
            <w:pPr>
              <w:pStyle w:val="P68B1DB1-Normal10"/>
              <w:spacing w:after="0"/>
              <w:rPr>
                <w:noProof/>
              </w:rPr>
            </w:pPr>
            <w:r>
              <w:rPr>
                <w:noProof/>
              </w:rPr>
              <w:t>Работещо съоръжение за обработка на материали (MaT)</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59CB8A0"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863781D"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B03CDE5" w14:textId="77777777" w:rsidR="00235E11" w:rsidRDefault="00235E11">
            <w:pPr>
              <w:spacing w:after="0"/>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6BFEB077" w14:textId="77777777" w:rsidR="00235E11" w:rsidRDefault="00F837E4">
            <w:pPr>
              <w:pStyle w:val="P68B1DB1-Normal10"/>
              <w:spacing w:after="0"/>
              <w:jc w:val="center"/>
              <w:rPr>
                <w:noProof/>
              </w:rPr>
            </w:pPr>
            <w:r>
              <w:rPr>
                <w:noProof/>
              </w:rPr>
              <w:t>Т2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24C4C31D" w14:textId="77777777" w:rsidR="00235E11" w:rsidRDefault="00F837E4">
            <w:pPr>
              <w:pStyle w:val="P68B1DB1-Normal10"/>
              <w:spacing w:after="0"/>
              <w:jc w:val="center"/>
              <w:rPr>
                <w:noProof/>
              </w:rPr>
            </w:pPr>
            <w:r>
              <w:rPr>
                <w:noProof/>
              </w:rPr>
              <w:t>2026</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2B7DE902" w14:textId="77777777" w:rsidR="00235E11" w:rsidRDefault="00F837E4">
            <w:pPr>
              <w:spacing w:after="0"/>
              <w:rPr>
                <w:rFonts w:ascii="Times New Roman" w:eastAsia="Times New Roman" w:hAnsi="Times New Roman" w:cs="Times New Roman"/>
                <w:noProof/>
                <w:color w:val="006100"/>
              </w:rPr>
            </w:pPr>
            <w:r>
              <w:rPr>
                <w:rFonts w:ascii="Times New Roman" w:eastAsia="Times New Roman" w:hAnsi="Times New Roman" w:cs="Times New Roman"/>
                <w:noProof/>
                <w:color w:val="006100"/>
              </w:rPr>
              <w:t>Съоръжението за обработка на материали (MaT), което е необходимо за провеждане на студени изпитвания и демонстрации на технологиите, които предстои да бъдат разработени, за</w:t>
            </w:r>
            <w:r>
              <w:rPr>
                <w:rFonts w:ascii="Times New Roman" w:hAnsi="Times New Roman" w:cs="Times New Roman"/>
                <w:noProof/>
              </w:rPr>
              <w:t xml:space="preserve"> </w:t>
            </w:r>
            <w:r>
              <w:rPr>
                <w:rFonts w:ascii="Times New Roman" w:eastAsia="Times New Roman" w:hAnsi="Times New Roman" w:cs="Times New Roman"/>
                <w:noProof/>
                <w:color w:val="006100"/>
              </w:rPr>
              <w:t>повторна употреба, рециклиране и окончателно погребване на неядрени отпадъци от операциите по извеждане от експлоатация на атомни електроцентрали, се изгражда, оборудва и експлоатира след приключване на процеса на подбор на необходимите инфраструктури и оборудване. В рамките на проекта трябва да бъде завършен (настолен) казус за пълното извеждане от експлоатация (от люлката до гроба) на конкретен компонент (например парогенератор) на белгийските атомни електроцентрали.</w:t>
            </w:r>
          </w:p>
        </w:tc>
      </w:tr>
      <w:tr w:rsidR="00235E11" w14:paraId="683DE24D"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83187B" w14:textId="77777777" w:rsidR="00235E11" w:rsidRDefault="00F837E4">
            <w:pPr>
              <w:pStyle w:val="P68B1DB1-Normal10"/>
              <w:spacing w:after="0"/>
              <w:jc w:val="center"/>
              <w:rPr>
                <w:noProof/>
              </w:rPr>
            </w:pPr>
            <w:r>
              <w:rPr>
                <w:noProof/>
              </w:rPr>
              <w:t>186</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504F12E1" w14:textId="77777777" w:rsidR="00235E11" w:rsidRDefault="00F837E4">
            <w:pPr>
              <w:pStyle w:val="P68B1DB1-Normal10"/>
              <w:spacing w:after="0"/>
              <w:rPr>
                <w:noProof/>
              </w:rPr>
            </w:pPr>
            <w:r>
              <w:rPr>
                <w:noProof/>
              </w:rPr>
              <w:t>Укрепване на НИРД (I-5.11)</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049426AC" w14:textId="5E9818B0" w:rsidR="00235E11" w:rsidRDefault="00F837E4">
            <w:pPr>
              <w:pStyle w:val="P68B1DB1-Normal10"/>
              <w:spacing w:after="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429C3B4C" w14:textId="77777777" w:rsidR="00235E11" w:rsidRDefault="00F837E4">
            <w:pPr>
              <w:pStyle w:val="P68B1DB1-Normal10"/>
              <w:spacing w:after="0"/>
              <w:rPr>
                <w:noProof/>
              </w:rPr>
            </w:pPr>
            <w:r>
              <w:rPr>
                <w:noProof/>
              </w:rPr>
              <w:t>Възлагане на обществени поръчки за научноизследователски и инфраструктурни проекти</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E9BAFE4" w14:textId="77777777" w:rsidR="00235E11" w:rsidRDefault="00F837E4">
            <w:pPr>
              <w:pStyle w:val="P68B1DB1-Normal10"/>
              <w:spacing w:after="0"/>
              <w:rPr>
                <w:noProof/>
              </w:rPr>
            </w:pPr>
            <w:r>
              <w:rPr>
                <w:noProof/>
              </w:rPr>
              <w:t xml:space="preserve">Уведомяване за проектите, за които са отпуснати безвъзмездни средства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5B7C380"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5D3E123"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C70DB2D" w14:textId="77777777" w:rsidR="00235E11" w:rsidRDefault="00235E11">
            <w:pPr>
              <w:spacing w:after="0"/>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6095108F" w14:textId="77777777" w:rsidR="00235E11" w:rsidRDefault="00F837E4">
            <w:pPr>
              <w:pStyle w:val="P68B1DB1-Normal10"/>
              <w:spacing w:after="0"/>
              <w:jc w:val="center"/>
              <w:rPr>
                <w:noProof/>
              </w:rPr>
            </w:pPr>
            <w:r>
              <w:rPr>
                <w:noProof/>
              </w:rPr>
              <w:t>Т4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51A9152A" w14:textId="77777777" w:rsidR="00235E11" w:rsidRDefault="00F837E4">
            <w:pPr>
              <w:pStyle w:val="P68B1DB1-Normal10"/>
              <w:spacing w:after="0"/>
              <w:jc w:val="center"/>
              <w:rPr>
                <w:noProof/>
              </w:rPr>
            </w:pPr>
            <w:r>
              <w:rPr>
                <w:noProof/>
              </w:rPr>
              <w:t>2022</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5E9DD694" w14:textId="1D2549C2" w:rsidR="00235E11" w:rsidRDefault="00F837E4">
            <w:pPr>
              <w:pStyle w:val="P68B1DB1-Normal10"/>
              <w:spacing w:after="0"/>
              <w:rPr>
                <w:noProof/>
              </w:rPr>
            </w:pPr>
            <w:r>
              <w:rPr>
                <w:noProof/>
              </w:rPr>
              <w:t>Уведомление от VLAIO и „Departement Economie, Wetenschap en Innovatie „(EWI) за възлагането на 200 проекта на успелите кандидати след поканата за представяне на предложения, със задание, включващо критерии за допустимост, които гарантират, че избраните проекти отговарят на техническите насоки за „ненанасяне на значителни вреди“ (2021/C58/01) чрез използването на списък за отстраняване и изискването за спазване на съответното законодателство на ЕС и национално законодателство в областта на околната среда. За проекти, отпуснати чрез схеми за отпускане на безвъзмездни средства, които не работят по покани за представяне на проекти, спазването на техническите насоки за „ненанасяне на значителни вреди“ (2021/C58/01) също се прилага чрез критерий за допустимост, основан на същия списък за изключване и на изискването за спазване на съответното законодателство на ЕС и национално законодателство в областта на околната среда.</w:t>
            </w:r>
          </w:p>
        </w:tc>
      </w:tr>
      <w:tr w:rsidR="00235E11" w14:paraId="2B735020"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1F8B73" w14:textId="77777777" w:rsidR="00235E11" w:rsidRDefault="00F837E4">
            <w:pPr>
              <w:pStyle w:val="P68B1DB1-Normal10"/>
              <w:spacing w:after="0"/>
              <w:jc w:val="center"/>
              <w:rPr>
                <w:noProof/>
              </w:rPr>
            </w:pPr>
            <w:r>
              <w:rPr>
                <w:noProof/>
              </w:rPr>
              <w:t>187</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3A358EB3" w14:textId="77777777" w:rsidR="00235E11" w:rsidRDefault="00F837E4">
            <w:pPr>
              <w:pStyle w:val="P68B1DB1-Normal10"/>
              <w:spacing w:after="0"/>
              <w:rPr>
                <w:noProof/>
              </w:rPr>
            </w:pPr>
            <w:r>
              <w:rPr>
                <w:noProof/>
              </w:rPr>
              <w:t>Укрепване на НИРД (I-5.11)</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33B02D4A" w14:textId="263031A5" w:rsidR="00235E11" w:rsidRDefault="00F837E4">
            <w:pPr>
              <w:pStyle w:val="P68B1DB1-Normal10"/>
              <w:spacing w:after="0"/>
              <w:rPr>
                <w:noProof/>
              </w:rPr>
            </w:pPr>
            <w:r>
              <w:rPr>
                <w:noProof/>
              </w:rPr>
              <w:t>T</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08C63592" w14:textId="77777777" w:rsidR="00235E11" w:rsidRDefault="00F837E4">
            <w:pPr>
              <w:pStyle w:val="P68B1DB1-Normal10"/>
              <w:spacing w:after="0"/>
              <w:rPr>
                <w:noProof/>
              </w:rPr>
            </w:pPr>
            <w:r>
              <w:rPr>
                <w:noProof/>
              </w:rPr>
              <w:t>Приключване на възложените проекти в областта на НИРД и инфраструктурните проекти</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701D2AB"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BFBBF8A" w14:textId="77777777" w:rsidR="00235E11" w:rsidRDefault="00F837E4">
            <w:pPr>
              <w:pStyle w:val="P68B1DB1-Normal10"/>
              <w:spacing w:after="0"/>
              <w:jc w:val="center"/>
              <w:rPr>
                <w:noProof/>
              </w:rPr>
            </w:pPr>
            <w:r>
              <w:rPr>
                <w:noProof/>
              </w:rPr>
              <w:t>Проекти</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3EFEDAB"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C5BC372" w14:textId="3A8B4722" w:rsidR="00235E11" w:rsidRDefault="00F837E4">
            <w:pPr>
              <w:pStyle w:val="P68B1DB1-Normal10"/>
              <w:spacing w:after="0"/>
              <w:jc w:val="center"/>
              <w:rPr>
                <w:noProof/>
              </w:rPr>
            </w:pPr>
            <w:r>
              <w:rPr>
                <w:noProof/>
              </w:rPr>
              <w:t>200</w:t>
            </w: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0765A1C4" w14:textId="77777777" w:rsidR="00235E11" w:rsidRDefault="00F837E4">
            <w:pPr>
              <w:pStyle w:val="P68B1DB1-Normal10"/>
              <w:spacing w:after="0"/>
              <w:jc w:val="center"/>
              <w:rPr>
                <w:noProof/>
              </w:rPr>
            </w:pPr>
            <w:r>
              <w:rPr>
                <w:noProof/>
              </w:rPr>
              <w:t>Т2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60FB9C44" w14:textId="77777777" w:rsidR="00235E11" w:rsidRDefault="00F837E4">
            <w:pPr>
              <w:pStyle w:val="P68B1DB1-Normal10"/>
              <w:spacing w:after="0"/>
              <w:jc w:val="center"/>
              <w:rPr>
                <w:noProof/>
              </w:rPr>
            </w:pPr>
            <w:r>
              <w:rPr>
                <w:noProof/>
              </w:rPr>
              <w:t>2026</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2FA6C228" w14:textId="2CB0ED45" w:rsidR="00235E11" w:rsidRDefault="00F837E4">
            <w:pPr>
              <w:pStyle w:val="P68B1DB1-Normal9"/>
              <w:spacing w:after="0"/>
              <w:rPr>
                <w:rFonts w:eastAsia="Times New Roman"/>
                <w:noProof/>
              </w:rPr>
            </w:pPr>
            <w:r>
              <w:rPr>
                <w:noProof/>
              </w:rPr>
              <w:t>Приключени са 200 проекта след поканата за представяне на предложения и подбора чрез схеми за отпускане на безвъзмездни средства, като са изпълнени 220 500 000 EUR.</w:t>
            </w:r>
          </w:p>
        </w:tc>
      </w:tr>
      <w:tr w:rsidR="00235E11" w14:paraId="679411A3"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D59C11" w14:textId="77777777" w:rsidR="00235E11" w:rsidRDefault="00F837E4">
            <w:pPr>
              <w:pStyle w:val="P68B1DB1-Normal10"/>
              <w:spacing w:after="0"/>
              <w:jc w:val="center"/>
              <w:rPr>
                <w:noProof/>
              </w:rPr>
            </w:pPr>
            <w:r>
              <w:rPr>
                <w:noProof/>
              </w:rPr>
              <w:t>188</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7AD0F3BE" w14:textId="77777777" w:rsidR="00235E11" w:rsidRDefault="00F837E4">
            <w:pPr>
              <w:pStyle w:val="P68B1DB1-Normal10"/>
              <w:spacing w:after="0"/>
              <w:rPr>
                <w:noProof/>
              </w:rPr>
            </w:pPr>
            <w:r>
              <w:rPr>
                <w:noProof/>
              </w:rPr>
              <w:t>Преместване на храни и разработване на логистични платформи (I-5.12)</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3D23A960" w14:textId="0D433906" w:rsidR="00235E11" w:rsidRDefault="00F837E4">
            <w:pPr>
              <w:pStyle w:val="P68B1DB1-Normal10"/>
              <w:spacing w:after="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1C25A144" w14:textId="3E6FE5C8" w:rsidR="00235E11" w:rsidRDefault="00F837E4">
            <w:pPr>
              <w:pStyle w:val="P68B1DB1-Normal10"/>
              <w:spacing w:after="0"/>
              <w:rPr>
                <w:noProof/>
              </w:rPr>
            </w:pPr>
            <w:r>
              <w:rPr>
                <w:noProof/>
              </w:rPr>
              <w:t>Възлагане на обществени поръчки за строителство от 2-те междуобщински дружества (SPI, IGRETEC) за изграждане на инфраструктура в хранителния сектор</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AA87BED" w14:textId="5C5C5806" w:rsidR="00235E11" w:rsidRDefault="00F837E4">
            <w:pPr>
              <w:pStyle w:val="P68B1DB1-Normal10"/>
              <w:spacing w:after="0"/>
              <w:rPr>
                <w:noProof/>
              </w:rPr>
            </w:pPr>
            <w:r>
              <w:rPr>
                <w:noProof/>
              </w:rPr>
              <w:t>Писмено уведомление за възлагане на обществени поръчки за строителство за изграждане на инфраструктура в хранителния сектор</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CA72536"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134B7AF6"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1B8E9E3" w14:textId="77777777" w:rsidR="00235E11" w:rsidRDefault="00235E11">
            <w:pPr>
              <w:spacing w:after="0"/>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747B0230" w14:textId="54D434AA" w:rsidR="00235E11" w:rsidRDefault="00F837E4">
            <w:pPr>
              <w:pStyle w:val="P68B1DB1-Normal10"/>
              <w:spacing w:after="0"/>
              <w:jc w:val="center"/>
              <w:rPr>
                <w:noProof/>
              </w:rPr>
            </w:pPr>
            <w:r>
              <w:rPr>
                <w:noProof/>
              </w:rPr>
              <w:t>Т1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2E0FDCE1" w14:textId="6BF55232" w:rsidR="00235E11" w:rsidRDefault="00F837E4">
            <w:pPr>
              <w:pStyle w:val="P68B1DB1-Normal10"/>
              <w:spacing w:after="0"/>
              <w:jc w:val="center"/>
              <w:rPr>
                <w:noProof/>
              </w:rPr>
            </w:pPr>
            <w:r>
              <w:rPr>
                <w:noProof/>
              </w:rPr>
              <w:t>2024</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687EE7EB" w14:textId="76F1BD2C" w:rsidR="00235E11" w:rsidRDefault="00F837E4">
            <w:pPr>
              <w:pStyle w:val="P68B1DB1-Normal10"/>
              <w:spacing w:after="0"/>
              <w:rPr>
                <w:noProof/>
              </w:rPr>
            </w:pPr>
            <w:r>
              <w:rPr>
                <w:noProof/>
              </w:rPr>
              <w:t>Възлагане на обществени поръчки за строителство за изграждането на 2 логистични центъра от 2-те междуобщински органа (SPI, IGRETEC) със спецификации, включващи критерии за допустимост, които гарантират, че избраните проекти отговарят на техническите насоки за ненанасяне на значителни вреди (2021/C58/01) чрез използването на списък за отстраняване и изискването за спазване на съответното европейско и национално законодателство в областта на околната среда.</w:t>
            </w:r>
          </w:p>
        </w:tc>
      </w:tr>
      <w:tr w:rsidR="00235E11" w14:paraId="0F3E06F8"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75904E" w14:textId="77777777" w:rsidR="00235E11" w:rsidRDefault="00F837E4">
            <w:pPr>
              <w:pStyle w:val="P68B1DB1-Normal10"/>
              <w:spacing w:after="0"/>
              <w:jc w:val="center"/>
              <w:rPr>
                <w:noProof/>
              </w:rPr>
            </w:pPr>
            <w:r>
              <w:rPr>
                <w:noProof/>
              </w:rPr>
              <w:t>189</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572DBE00" w14:textId="77777777" w:rsidR="00235E11" w:rsidRDefault="00F837E4">
            <w:pPr>
              <w:pStyle w:val="P68B1DB1-Normal10"/>
              <w:spacing w:after="0"/>
              <w:rPr>
                <w:noProof/>
              </w:rPr>
            </w:pPr>
            <w:r>
              <w:rPr>
                <w:noProof/>
              </w:rPr>
              <w:t>Преместване на храни и разработване на логистични платформи (I-5.12)</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10DEF2A6" w14:textId="2A87C734" w:rsidR="00235E11" w:rsidRDefault="00F837E4">
            <w:pPr>
              <w:pStyle w:val="P68B1DB1-Normal10"/>
              <w:spacing w:after="0"/>
              <w:rPr>
                <w:noProof/>
              </w:rPr>
            </w:pPr>
            <w:r>
              <w:rPr>
                <w:noProof/>
              </w:rPr>
              <w:t>T</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540F8C51" w14:textId="59471DFA" w:rsidR="00235E11" w:rsidRDefault="00F837E4">
            <w:pPr>
              <w:pStyle w:val="P68B1DB1-Normal10"/>
              <w:spacing w:after="0"/>
              <w:rPr>
                <w:noProof/>
              </w:rPr>
            </w:pPr>
            <w:r>
              <w:rPr>
                <w:noProof/>
              </w:rPr>
              <w:t>Подкрепа за 30 проекта за преместване на хранителни продукти, 4 нововъзникващи сектора и 5 инфраструктурни единици</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386DA3C" w14:textId="77777777" w:rsidR="00235E11" w:rsidRDefault="00F837E4">
            <w:pPr>
              <w:pStyle w:val="P68B1DB1-Normal10"/>
              <w:spacing w:after="0"/>
              <w:rPr>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76F35B2" w14:textId="77777777" w:rsidR="00235E11" w:rsidRDefault="00F837E4">
            <w:pPr>
              <w:pStyle w:val="P68B1DB1-Normal10"/>
              <w:spacing w:after="0"/>
              <w:jc w:val="center"/>
              <w:rPr>
                <w:noProof/>
              </w:rPr>
            </w:pPr>
            <w:r>
              <w:rPr>
                <w:noProof/>
              </w:rPr>
              <w:t>Проекти</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206BB7EC"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F7B8C6F" w14:textId="1855D5D7" w:rsidR="00235E11" w:rsidRDefault="00F837E4">
            <w:pPr>
              <w:pStyle w:val="P68B1DB1-Normal10"/>
              <w:spacing w:after="0"/>
              <w:jc w:val="center"/>
              <w:rPr>
                <w:noProof/>
              </w:rPr>
            </w:pPr>
            <w:r>
              <w:rPr>
                <w:noProof/>
              </w:rPr>
              <w:t>39</w:t>
            </w: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21C764E7" w14:textId="77777777" w:rsidR="00235E11" w:rsidRDefault="00F837E4">
            <w:pPr>
              <w:pStyle w:val="P68B1DB1-Normal10"/>
              <w:spacing w:after="0"/>
              <w:jc w:val="center"/>
              <w:rPr>
                <w:noProof/>
              </w:rPr>
            </w:pPr>
            <w:r>
              <w:rPr>
                <w:noProof/>
              </w:rPr>
              <w:t>Т4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7976BEF1" w14:textId="2FF960AA" w:rsidR="00235E11" w:rsidRDefault="00F837E4">
            <w:pPr>
              <w:pStyle w:val="P68B1DB1-Normal10"/>
              <w:spacing w:after="0"/>
              <w:jc w:val="center"/>
              <w:rPr>
                <w:noProof/>
              </w:rPr>
            </w:pPr>
            <w:r>
              <w:rPr>
                <w:noProof/>
              </w:rPr>
              <w:t>2022</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5B881943" w14:textId="07E9BAD3" w:rsidR="00235E11" w:rsidRDefault="00F837E4">
            <w:pPr>
              <w:pStyle w:val="P68B1DB1-Normal10"/>
              <w:spacing w:after="0"/>
              <w:rPr>
                <w:noProof/>
              </w:rPr>
            </w:pPr>
            <w:r>
              <w:rPr>
                <w:noProof/>
              </w:rPr>
              <w:t>Отпускане на субсидии за 30 маломащабни инфраструктури, 4 по-големи структурни проекта (по един за всеки сектор: плодове, зеленчуци, зърнени култури, растителни протеини) и най-малко 5 единици инфраструктура.</w:t>
            </w:r>
          </w:p>
        </w:tc>
      </w:tr>
      <w:tr w:rsidR="00235E11" w14:paraId="7E275199"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9E1396" w14:textId="77777777" w:rsidR="00235E11" w:rsidRDefault="00F837E4">
            <w:pPr>
              <w:pStyle w:val="P68B1DB1-Normal10"/>
              <w:spacing w:after="0"/>
              <w:jc w:val="center"/>
              <w:rPr>
                <w:noProof/>
              </w:rPr>
            </w:pPr>
            <w:r>
              <w:rPr>
                <w:noProof/>
              </w:rPr>
              <w:t>190</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206243E0" w14:textId="77777777" w:rsidR="00235E11" w:rsidRDefault="00F837E4">
            <w:pPr>
              <w:pStyle w:val="P68B1DB1-Normal10"/>
              <w:spacing w:after="0"/>
              <w:rPr>
                <w:noProof/>
              </w:rPr>
            </w:pPr>
            <w:r>
              <w:rPr>
                <w:noProof/>
              </w:rPr>
              <w:t>Преместване на храни и разработване на логистични платформи (I-5.12)</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74D2AECE" w14:textId="49B3ACEF" w:rsidR="00235E11" w:rsidRDefault="00F837E4">
            <w:pPr>
              <w:pStyle w:val="P68B1DB1-Normal10"/>
              <w:spacing w:after="0"/>
              <w:rPr>
                <w:noProof/>
              </w:rPr>
            </w:pPr>
            <w:r>
              <w:rPr>
                <w:noProof/>
              </w:rPr>
              <w:t>T</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117D8374" w14:textId="32F3429D" w:rsidR="00235E11" w:rsidRDefault="00F837E4">
            <w:pPr>
              <w:pStyle w:val="P68B1DB1-Normal10"/>
              <w:spacing w:after="0"/>
              <w:rPr>
                <w:noProof/>
              </w:rPr>
            </w:pPr>
            <w:r>
              <w:rPr>
                <w:noProof/>
              </w:rPr>
              <w:t>Завършено изграждане на два логистични центъра</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728BA08"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07583ED" w14:textId="77777777" w:rsidR="00235E11" w:rsidRDefault="00F837E4">
            <w:pPr>
              <w:pStyle w:val="P68B1DB1-Normal10"/>
              <w:spacing w:after="0"/>
              <w:jc w:val="center"/>
              <w:rPr>
                <w:noProof/>
              </w:rPr>
            </w:pPr>
            <w:r>
              <w:rPr>
                <w:noProof/>
              </w:rPr>
              <w:t>Центрове</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0752C55C"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0D6A1EFC" w14:textId="394F3DCE" w:rsidR="00235E11" w:rsidRDefault="00F837E4">
            <w:pPr>
              <w:pStyle w:val="P68B1DB1-Normal10"/>
              <w:spacing w:after="0"/>
              <w:jc w:val="center"/>
              <w:rPr>
                <w:noProof/>
              </w:rPr>
            </w:pPr>
            <w:r>
              <w:rPr>
                <w:noProof/>
              </w:rPr>
              <w:t>2</w:t>
            </w: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3DAC9388" w14:textId="2C396C0E" w:rsidR="00235E11" w:rsidRDefault="00F837E4">
            <w:pPr>
              <w:pStyle w:val="P68B1DB1-Normal10"/>
              <w:spacing w:after="0"/>
              <w:jc w:val="center"/>
              <w:rPr>
                <w:noProof/>
              </w:rPr>
            </w:pPr>
            <w:r>
              <w:rPr>
                <w:noProof/>
              </w:rPr>
              <w:t>Т2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20A49F53" w14:textId="31F3190C" w:rsidR="00235E11" w:rsidRDefault="00F837E4">
            <w:pPr>
              <w:pStyle w:val="P68B1DB1-Normal10"/>
              <w:spacing w:after="0"/>
              <w:jc w:val="center"/>
              <w:rPr>
                <w:noProof/>
              </w:rPr>
            </w:pPr>
            <w:r>
              <w:rPr>
                <w:noProof/>
              </w:rPr>
              <w:t>2025</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6681019A" w14:textId="5AAF734D" w:rsidR="00235E11" w:rsidRDefault="00F837E4">
            <w:pPr>
              <w:pStyle w:val="P68B1DB1-Normal9"/>
              <w:spacing w:after="0"/>
              <w:rPr>
                <w:rFonts w:eastAsia="Times New Roman"/>
                <w:noProof/>
              </w:rPr>
            </w:pPr>
            <w:r>
              <w:rPr>
                <w:noProof/>
              </w:rPr>
              <w:t>Изграждане и оборудване на два логистични центъра, предназначени за дейности на търговци на едро, преработка на първични продукти и инкубатор на кооперации, с обща площ от 5 500 m². Оборудването на двата логистични центъра включва инсталирането на 1700 слънчеви панела, 15 зарядни точки за електрически превозни средства и на система за акумулиране на енергия с мощност 200 kW.</w:t>
            </w:r>
          </w:p>
        </w:tc>
      </w:tr>
      <w:tr w:rsidR="00235E11" w14:paraId="338F0B93"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7266EC" w14:textId="77777777" w:rsidR="00235E11" w:rsidRDefault="00F837E4">
            <w:pPr>
              <w:pStyle w:val="P68B1DB1-Normal10"/>
              <w:spacing w:after="0"/>
              <w:jc w:val="center"/>
              <w:rPr>
                <w:noProof/>
              </w:rPr>
            </w:pPr>
            <w:r>
              <w:rPr>
                <w:noProof/>
              </w:rPr>
              <w:t>191</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50E34DD1" w14:textId="77777777" w:rsidR="00235E11" w:rsidRDefault="00F837E4">
            <w:pPr>
              <w:pStyle w:val="P68B1DB1-Normal10"/>
              <w:spacing w:after="0"/>
              <w:rPr>
                <w:noProof/>
              </w:rPr>
            </w:pPr>
            <w:r>
              <w:rPr>
                <w:noProof/>
              </w:rPr>
              <w:t>Преместване на храни и разработване на логистични платформи (I-5.12)</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3B2D1BD9" w14:textId="18C1AA85" w:rsidR="00235E11" w:rsidRDefault="00F837E4">
            <w:pPr>
              <w:pStyle w:val="P68B1DB1-Normal10"/>
              <w:spacing w:after="0"/>
              <w:rPr>
                <w:noProof/>
              </w:rPr>
            </w:pPr>
            <w:r>
              <w:rPr>
                <w:noProof/>
              </w:rPr>
              <w:t>T</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4C923444" w14:textId="3C695171" w:rsidR="00235E11" w:rsidRDefault="00F837E4">
            <w:pPr>
              <w:pStyle w:val="P68B1DB1-Normal10"/>
              <w:spacing w:after="0"/>
              <w:rPr>
                <w:noProof/>
              </w:rPr>
            </w:pPr>
            <w:r>
              <w:rPr>
                <w:noProof/>
              </w:rPr>
              <w:t xml:space="preserve">Завършено е изграждането на най-малко 5 единици инфраструктура, 30 маломащабна инфраструктура и 4 по-големи структурни проекта </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FEBE5C7"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7DACB4D" w14:textId="77777777" w:rsidR="00235E11" w:rsidRDefault="00F837E4">
            <w:pPr>
              <w:pStyle w:val="P68B1DB1-Normal10"/>
              <w:spacing w:after="0"/>
              <w:jc w:val="center"/>
              <w:rPr>
                <w:noProof/>
              </w:rPr>
            </w:pPr>
            <w:r>
              <w:rPr>
                <w:noProof/>
              </w:rPr>
              <w:t>Инфраструктурата</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5FB611CD" w14:textId="77777777"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6D5D497" w14:textId="2F6621BC" w:rsidR="00235E11" w:rsidRDefault="00F837E4">
            <w:pPr>
              <w:pStyle w:val="P68B1DB1-Normal10"/>
              <w:spacing w:after="0"/>
              <w:jc w:val="center"/>
              <w:rPr>
                <w:noProof/>
              </w:rPr>
            </w:pPr>
            <w:r>
              <w:rPr>
                <w:noProof/>
              </w:rPr>
              <w:t>39</w:t>
            </w: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04B34BA3" w14:textId="7C290049" w:rsidR="00235E11" w:rsidRDefault="00F837E4">
            <w:pPr>
              <w:pStyle w:val="P68B1DB1-Normal10"/>
              <w:spacing w:after="0"/>
              <w:jc w:val="center"/>
              <w:rPr>
                <w:noProof/>
              </w:rPr>
            </w:pPr>
            <w:r>
              <w:rPr>
                <w:noProof/>
              </w:rPr>
              <w:t>Т2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6D6971BF" w14:textId="4BFCEC4D" w:rsidR="00235E11" w:rsidRDefault="00F837E4">
            <w:pPr>
              <w:pStyle w:val="P68B1DB1-Normal10"/>
              <w:spacing w:after="0"/>
              <w:jc w:val="center"/>
              <w:rPr>
                <w:noProof/>
              </w:rPr>
            </w:pPr>
            <w:r>
              <w:rPr>
                <w:noProof/>
              </w:rPr>
              <w:t>2026</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013D9BCF" w14:textId="17D501CA" w:rsidR="00235E11" w:rsidRDefault="00F837E4">
            <w:pPr>
              <w:pStyle w:val="P68B1DB1-Normal9"/>
              <w:spacing w:after="0"/>
              <w:rPr>
                <w:rFonts w:eastAsia="Times New Roman"/>
                <w:noProof/>
              </w:rPr>
            </w:pPr>
            <w:r>
              <w:rPr>
                <w:noProof/>
              </w:rPr>
              <w:t>Завършена е изграждането на най-малко 5 броя инфраструктура (от които зала за съхранение, мелница, съоръжение за преобразуване на плодове/зеленчуци и складово помещение BtoB и пазар), 30 маломащабна инфраструктура и 4 по-големи структурни проекта и е изпълнен бюджет от 40 500 000 EUR.</w:t>
            </w:r>
          </w:p>
        </w:tc>
      </w:tr>
      <w:tr w:rsidR="00235E11" w14:paraId="59FB93BA"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BBC2CD" w14:textId="77777777" w:rsidR="00235E11" w:rsidRDefault="00F837E4">
            <w:pPr>
              <w:pStyle w:val="P68B1DB1-Normal10"/>
              <w:spacing w:after="0"/>
              <w:jc w:val="center"/>
              <w:rPr>
                <w:noProof/>
              </w:rPr>
            </w:pPr>
            <w:r>
              <w:rPr>
                <w:noProof/>
              </w:rPr>
              <w:t>192</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6B2CDA85" w14:textId="77777777" w:rsidR="00235E11" w:rsidRDefault="00F837E4">
            <w:pPr>
              <w:pStyle w:val="P68B1DB1-Normal10"/>
              <w:spacing w:after="0"/>
              <w:rPr>
                <w:noProof/>
              </w:rPr>
            </w:pPr>
            <w:r>
              <w:rPr>
                <w:noProof/>
              </w:rPr>
              <w:t>Цифровизация на сектора на туризма във Валония (I-5.13)</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32C810AC" w14:textId="31A0C1AA" w:rsidR="00235E11" w:rsidRDefault="00F837E4">
            <w:pPr>
              <w:pStyle w:val="P68B1DB1-Normal10"/>
              <w:spacing w:after="0"/>
              <w:rPr>
                <w:noProof/>
              </w:rPr>
            </w:pPr>
            <w:r>
              <w:rPr>
                <w:noProof/>
              </w:rPr>
              <w:t>T</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40346B61" w14:textId="77777777" w:rsidR="00235E11" w:rsidRDefault="00F837E4">
            <w:pPr>
              <w:pStyle w:val="P68B1DB1-Normal10"/>
              <w:spacing w:after="0"/>
              <w:rPr>
                <w:noProof/>
              </w:rPr>
            </w:pPr>
            <w:r>
              <w:rPr>
                <w:noProof/>
              </w:rPr>
              <w:t>Брой на активните ползватели на „outil regional de commercialisation“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6083A5C"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4B3B841" w14:textId="77777777" w:rsidR="00235E11" w:rsidRDefault="00F837E4">
            <w:pPr>
              <w:pStyle w:val="P68B1DB1-Normal10"/>
              <w:spacing w:after="0"/>
              <w:jc w:val="center"/>
              <w:rPr>
                <w:noProof/>
              </w:rPr>
            </w:pPr>
            <w:r>
              <w:rPr>
                <w:noProof/>
              </w:rPr>
              <w:t>Активни потребители</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ABDE141" w14:textId="61B26D76" w:rsidR="00235E11" w:rsidRDefault="00F837E4">
            <w:pPr>
              <w:pStyle w:val="P68B1DB1-Normal10"/>
              <w:spacing w:after="0"/>
              <w:jc w:val="center"/>
              <w:rPr>
                <w:noProof/>
              </w:rPr>
            </w:pPr>
            <w:r>
              <w:rPr>
                <w:noProof/>
              </w:rPr>
              <w:t>0</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C87B9F1" w14:textId="4005AE2B" w:rsidR="00235E11" w:rsidRDefault="00F837E4">
            <w:pPr>
              <w:pStyle w:val="P68B1DB1-Normal10"/>
              <w:spacing w:after="0"/>
              <w:jc w:val="center"/>
              <w:rPr>
                <w:noProof/>
              </w:rPr>
            </w:pPr>
            <w:r>
              <w:rPr>
                <w:noProof/>
              </w:rPr>
              <w:t>685</w:t>
            </w: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6DF50CB1" w14:textId="77777777" w:rsidR="00235E11" w:rsidRDefault="00F837E4">
            <w:pPr>
              <w:pStyle w:val="P68B1DB1-Normal10"/>
              <w:spacing w:after="0"/>
              <w:jc w:val="center"/>
              <w:rPr>
                <w:noProof/>
              </w:rPr>
            </w:pPr>
            <w:r>
              <w:rPr>
                <w:noProof/>
              </w:rPr>
              <w:t>Т4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6CF4E0B4" w14:textId="77777777" w:rsidR="00235E11" w:rsidRDefault="00F837E4">
            <w:pPr>
              <w:pStyle w:val="P68B1DB1-Normal10"/>
              <w:spacing w:after="0"/>
              <w:jc w:val="center"/>
              <w:rPr>
                <w:noProof/>
              </w:rPr>
            </w:pPr>
            <w:r>
              <w:rPr>
                <w:noProof/>
              </w:rPr>
              <w:t>2025</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095D43B8" w14:textId="34F778C5" w:rsidR="00235E11" w:rsidRDefault="00F837E4">
            <w:pPr>
              <w:pStyle w:val="P68B1DB1-Normal10"/>
              <w:spacing w:after="0"/>
              <w:rPr>
                <w:noProof/>
              </w:rPr>
            </w:pPr>
            <w:r>
              <w:rPr>
                <w:noProof/>
              </w:rPr>
              <w:t>685 туристически оператори са активни потребители на „outil régional de commercialisation“. Активният потребител се определя като потребител или туристически оператор, който използва „Outil regional de commercialisation“ (ORC) директно като онлайн инструмент за резервация или инструмент за касова регистрация или чийто онлайн инструмент за резервация е пряко свързан с ORC.</w:t>
            </w:r>
          </w:p>
        </w:tc>
      </w:tr>
      <w:tr w:rsidR="00235E11" w14:paraId="29A7F234"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5F3504" w14:textId="77777777" w:rsidR="00235E11" w:rsidRDefault="00F837E4">
            <w:pPr>
              <w:pStyle w:val="P68B1DB1-Normal10"/>
              <w:spacing w:after="0"/>
              <w:jc w:val="center"/>
              <w:rPr>
                <w:noProof/>
              </w:rPr>
            </w:pPr>
            <w:r>
              <w:rPr>
                <w:noProof/>
              </w:rPr>
              <w:t>193</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1681AA41" w14:textId="77777777" w:rsidR="00235E11" w:rsidRDefault="00F837E4">
            <w:pPr>
              <w:pStyle w:val="P68B1DB1-Normal10"/>
              <w:spacing w:after="0"/>
              <w:rPr>
                <w:noProof/>
              </w:rPr>
            </w:pPr>
            <w:r>
              <w:rPr>
                <w:noProof/>
              </w:rPr>
              <w:t>Реформа — Процедури за издаване на разрешителни и обжалване (R-5.06)</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076D4440" w14:textId="12486BDB" w:rsidR="00235E11" w:rsidRDefault="00F837E4">
            <w:pPr>
              <w:pStyle w:val="P68B1DB1-Normal10"/>
              <w:spacing w:after="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05E00D6A" w14:textId="77777777" w:rsidR="00235E11" w:rsidRDefault="00F837E4">
            <w:pPr>
              <w:pStyle w:val="P68B1DB1-Normal10"/>
              <w:spacing w:after="0"/>
              <w:rPr>
                <w:noProof/>
              </w:rPr>
            </w:pPr>
            <w:r>
              <w:rPr>
                <w:noProof/>
              </w:rPr>
              <w:t>Реформа на екологичното разрешително и процедурите за обжалване</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F6F5DE4" w14:textId="77777777" w:rsidR="00235E11" w:rsidRDefault="00F837E4">
            <w:pPr>
              <w:pStyle w:val="P68B1DB1-Normal10"/>
              <w:spacing w:after="0"/>
              <w:rPr>
                <w:noProof/>
              </w:rPr>
            </w:pPr>
            <w:r>
              <w:rPr>
                <w:noProof/>
              </w:rPr>
              <w:t>Публикуване на доклад и правителствени решения.</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E71F17B"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2449ED0D"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4317DED1" w14:textId="77777777" w:rsidR="00235E11" w:rsidRDefault="00235E11">
            <w:pPr>
              <w:spacing w:after="0"/>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05CBE2A1" w14:textId="77777777" w:rsidR="00235E11" w:rsidRDefault="00F837E4">
            <w:pPr>
              <w:pStyle w:val="P68B1DB1-Normal10"/>
              <w:spacing w:after="0"/>
              <w:jc w:val="center"/>
              <w:rPr>
                <w:noProof/>
              </w:rPr>
            </w:pPr>
            <w:r>
              <w:rPr>
                <w:noProof/>
              </w:rPr>
              <w:t>Т4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79C1E0C6" w14:textId="77777777" w:rsidR="00235E11" w:rsidRDefault="00F837E4">
            <w:pPr>
              <w:pStyle w:val="P68B1DB1-Normal10"/>
              <w:spacing w:after="0"/>
              <w:jc w:val="center"/>
              <w:rPr>
                <w:noProof/>
              </w:rPr>
            </w:pPr>
            <w:r>
              <w:rPr>
                <w:noProof/>
              </w:rPr>
              <w:t>2022</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1DD9052B" w14:textId="77777777" w:rsidR="00235E11" w:rsidRDefault="00F837E4">
            <w:pPr>
              <w:pStyle w:val="P68B1DB1-Normal10"/>
              <w:spacing w:after="0"/>
              <w:rPr>
                <w:noProof/>
              </w:rPr>
            </w:pPr>
            <w:r>
              <w:rPr>
                <w:noProof/>
              </w:rPr>
              <w:t>Публикуване на доклад, одобрен от Кабинета на фламандския министър на правосъдието и правоприлагането, околната среда, енергетиката и туризма, в който се прави преглед на новите и преразгледани мерки за опростяване на административните процедури, свързани с процедурите за издаване на екологични разрешителни и решенията на правителството.</w:t>
            </w:r>
          </w:p>
        </w:tc>
      </w:tr>
      <w:tr w:rsidR="00235E11" w14:paraId="1E912D3E"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03757B" w14:textId="77777777" w:rsidR="00235E11" w:rsidRDefault="00F837E4">
            <w:pPr>
              <w:pStyle w:val="P68B1DB1-Normal10"/>
              <w:spacing w:after="0"/>
              <w:jc w:val="center"/>
              <w:rPr>
                <w:noProof/>
              </w:rPr>
            </w:pPr>
            <w:r>
              <w:rPr>
                <w:noProof/>
              </w:rPr>
              <w:t>194</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3EBEB930" w14:textId="77777777" w:rsidR="00235E11" w:rsidRDefault="00F837E4">
            <w:pPr>
              <w:pStyle w:val="P68B1DB1-Normal10"/>
              <w:spacing w:after="0"/>
              <w:rPr>
                <w:noProof/>
              </w:rPr>
            </w:pPr>
            <w:r>
              <w:rPr>
                <w:noProof/>
              </w:rPr>
              <w:t>Реформа — Разширяване на базата за иновации (R-5.07)</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35D3478C" w14:textId="35467745" w:rsidR="00235E11" w:rsidRDefault="00F837E4">
            <w:pPr>
              <w:pStyle w:val="P68B1DB1-Normal10"/>
              <w:spacing w:after="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056C88ED" w14:textId="77777777" w:rsidR="00235E11" w:rsidRDefault="00F837E4">
            <w:pPr>
              <w:pStyle w:val="P68B1DB1-Normal10"/>
              <w:spacing w:after="0"/>
              <w:rPr>
                <w:noProof/>
              </w:rPr>
            </w:pPr>
            <w:r>
              <w:rPr>
                <w:noProof/>
              </w:rPr>
              <w:t>Реформа на регламента за подкрепа на иновациите</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FCD8F04" w14:textId="77777777" w:rsidR="00235E11" w:rsidRDefault="00F837E4">
            <w:pPr>
              <w:pStyle w:val="P68B1DB1-Normal10"/>
              <w:spacing w:after="0"/>
              <w:rPr>
                <w:noProof/>
              </w:rPr>
            </w:pPr>
            <w:r>
              <w:rPr>
                <w:noProof/>
              </w:rPr>
              <w:t>Публикуване на доклад и свързани с него правителствени решения</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BF458A7" w14:textId="77777777" w:rsidR="00235E11" w:rsidRDefault="00235E11">
            <w:pPr>
              <w:spacing w:after="0"/>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7F9F474" w14:textId="77777777" w:rsidR="00235E11" w:rsidRDefault="00235E11">
            <w:pPr>
              <w:spacing w:after="0"/>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B23F4A8" w14:textId="77777777" w:rsidR="00235E11" w:rsidRDefault="00235E11">
            <w:pPr>
              <w:spacing w:after="0"/>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2D6DCE2A" w14:textId="77777777" w:rsidR="00235E11" w:rsidRDefault="00F837E4">
            <w:pPr>
              <w:pStyle w:val="P68B1DB1-Normal10"/>
              <w:spacing w:after="0"/>
              <w:jc w:val="center"/>
              <w:rPr>
                <w:noProof/>
              </w:rPr>
            </w:pPr>
            <w:r>
              <w:rPr>
                <w:noProof/>
              </w:rPr>
              <w:t>Т4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688AE1EB" w14:textId="77777777" w:rsidR="00235E11" w:rsidRDefault="00F837E4">
            <w:pPr>
              <w:pStyle w:val="P68B1DB1-Normal10"/>
              <w:spacing w:after="0"/>
              <w:jc w:val="center"/>
              <w:rPr>
                <w:noProof/>
              </w:rPr>
            </w:pPr>
            <w:r>
              <w:rPr>
                <w:noProof/>
              </w:rPr>
              <w:t>2022</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3309EB35" w14:textId="77777777" w:rsidR="00235E11" w:rsidRDefault="00F837E4">
            <w:pPr>
              <w:pStyle w:val="P68B1DB1-Normal10"/>
              <w:spacing w:after="0"/>
              <w:rPr>
                <w:noProof/>
              </w:rPr>
            </w:pPr>
            <w:r>
              <w:rPr>
                <w:noProof/>
              </w:rPr>
              <w:t>Публикуване на доклад, одобрен от фламандския министър на икономиката, иновациите, труда, социалната икономика и селското стопанство, в който се прави преглед на новите и преразгледаните мерки за подобряване на достъпа на МСП до мерки за подкрепа на иновациите и свързаните с тях правителствени решения.</w:t>
            </w:r>
          </w:p>
        </w:tc>
      </w:tr>
      <w:tr w:rsidR="00235E11" w14:paraId="69BA7E36"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8166F6" w14:textId="14E0EC8B" w:rsidR="00235E11" w:rsidRDefault="00F837E4">
            <w:pPr>
              <w:pStyle w:val="P68B1DB1-Normal10"/>
              <w:jc w:val="center"/>
              <w:rPr>
                <w:noProof/>
              </w:rPr>
            </w:pPr>
            <w:r>
              <w:rPr>
                <w:noProof/>
              </w:rPr>
              <w:t>247</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7957B11F" w14:textId="77777777" w:rsidR="00235E11" w:rsidRDefault="00F837E4">
            <w:pPr>
              <w:pStyle w:val="P68B1DB1-Normal10"/>
              <w:rPr>
                <w:noProof/>
              </w:rPr>
            </w:pPr>
            <w:r>
              <w:rPr>
                <w:noProof/>
              </w:rPr>
              <w:t>Нуклеарна медицина — термостатичен подход (I-5.08а)</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3432F696" w14:textId="77046BFB" w:rsidR="00235E11" w:rsidRDefault="00F837E4">
            <w:pPr>
              <w:pStyle w:val="P68B1DB1-Normal1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222AA9F1" w14:textId="77777777" w:rsidR="00235E11" w:rsidRDefault="00F837E4">
            <w:pPr>
              <w:pStyle w:val="P68B1DB1-Normal10"/>
              <w:rPr>
                <w:noProof/>
              </w:rPr>
            </w:pPr>
            <w:r>
              <w:rPr>
                <w:noProof/>
              </w:rPr>
              <w:t>Приключване на разработването на Р Г</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9C64709" w14:textId="77777777" w:rsidR="00235E11" w:rsidRDefault="00F837E4">
            <w:pPr>
              <w:pStyle w:val="P68B1DB1-Normal10"/>
              <w:rPr>
                <w:noProof/>
              </w:rPr>
            </w:pPr>
            <w:r>
              <w:rPr>
                <w:noProof/>
              </w:rPr>
              <w:t xml:space="preserve">Приключени са два проекта в областта на научноизследователската и развойната дейност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69FFEDC" w14:textId="77777777" w:rsidR="00235E11" w:rsidRDefault="00235E11">
            <w:pPr>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6301088C" w14:textId="77777777" w:rsidR="00235E11" w:rsidRDefault="00235E11">
            <w:pPr>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9B1DFC4" w14:textId="77777777" w:rsidR="00235E11" w:rsidRDefault="00235E11">
            <w:pPr>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77E2342C" w14:textId="77777777" w:rsidR="00235E11" w:rsidRDefault="00F837E4">
            <w:pPr>
              <w:pStyle w:val="P68B1DB1-Normal10"/>
              <w:jc w:val="center"/>
              <w:rPr>
                <w:noProof/>
              </w:rPr>
            </w:pPr>
            <w:r>
              <w:rPr>
                <w:noProof/>
              </w:rPr>
              <w:t>Т2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3BF8713F" w14:textId="77777777" w:rsidR="00235E11" w:rsidRDefault="00F837E4">
            <w:pPr>
              <w:pStyle w:val="P68B1DB1-Normal10"/>
              <w:jc w:val="center"/>
              <w:rPr>
                <w:noProof/>
              </w:rPr>
            </w:pPr>
            <w:r>
              <w:rPr>
                <w:noProof/>
              </w:rPr>
              <w:t>2026</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451D6211" w14:textId="13DF5535" w:rsidR="00235E11" w:rsidRDefault="00F837E4">
            <w:pPr>
              <w:pStyle w:val="P68B1DB1-Normal10"/>
              <w:rPr>
                <w:noProof/>
              </w:rPr>
            </w:pPr>
            <w:r>
              <w:rPr>
                <w:noProof/>
              </w:rPr>
              <w:t>По отношение на подпроекта „Иновативна целева технология за производство на циклотронови изотопи“ се приключва НИРД. Новият дизайн е готов и позволява да се направят прототипни цели и те да бъдат облъчени за валидиране на процеса в нов проект.</w:t>
            </w:r>
          </w:p>
          <w:p w14:paraId="1347FA66" w14:textId="4372816C" w:rsidR="00235E11" w:rsidRDefault="00F837E4">
            <w:pPr>
              <w:pStyle w:val="P68B1DB1-Normal10"/>
              <w:rPr>
                <w:noProof/>
              </w:rPr>
            </w:pPr>
            <w:r>
              <w:rPr>
                <w:noProof/>
              </w:rPr>
              <w:t>За подпроекта „Оптимизиране на производствения процес, базиран на LEU“, се приключва дейността в областта на НИРД. Възможностите за подобрение са оценени и/или изпитани и се изброяват най-подходящите.</w:t>
            </w:r>
          </w:p>
          <w:p w14:paraId="4B5DD4D3" w14:textId="6C59E33A" w:rsidR="00235E11" w:rsidRDefault="00F837E4">
            <w:pPr>
              <w:pStyle w:val="P68B1DB1-Normal9"/>
              <w:rPr>
                <w:rFonts w:eastAsia="Times New Roman"/>
                <w:noProof/>
              </w:rPr>
            </w:pPr>
            <w:r>
              <w:rPr>
                <w:noProof/>
              </w:rPr>
              <w:t>Научноизследователските и развойни дейности за двата подпроекта са приключени и са изпълнени 5 967 000 EUR.</w:t>
            </w:r>
          </w:p>
        </w:tc>
      </w:tr>
      <w:tr w:rsidR="00235E11" w14:paraId="36928AE2"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88DC79" w14:textId="4F6F262D" w:rsidR="00235E11" w:rsidRDefault="00F837E4">
            <w:pPr>
              <w:pStyle w:val="P68B1DB1-Normal10"/>
              <w:jc w:val="center"/>
              <w:rPr>
                <w:noProof/>
              </w:rPr>
            </w:pPr>
            <w:r>
              <w:rPr>
                <w:noProof/>
              </w:rPr>
              <w:t>248</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477ED54A" w14:textId="77AFF986" w:rsidR="00235E11" w:rsidRDefault="00F837E4">
            <w:pPr>
              <w:pStyle w:val="P68B1DB1-Normal10"/>
              <w:rPr>
                <w:noProof/>
              </w:rPr>
            </w:pPr>
            <w:r>
              <w:rPr>
                <w:noProof/>
              </w:rPr>
              <w:t>SMELD — Fed (I-5.18)</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67C94EB9" w14:textId="51FD8ABD" w:rsidR="00235E11" w:rsidRDefault="00F837E4">
            <w:pPr>
              <w:pStyle w:val="P68B1DB1-Normal1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30DDFD0E" w14:textId="6B709C49" w:rsidR="00235E11" w:rsidRDefault="00F837E4">
            <w:pPr>
              <w:pStyle w:val="P68B1DB1-Normal10"/>
              <w:rPr>
                <w:noProof/>
              </w:rPr>
            </w:pPr>
            <w:r>
              <w:rPr>
                <w:noProof/>
              </w:rPr>
              <w:t>Подготвително проучване на изискванията за монтиране на топилната пещ</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4F41C080" w14:textId="77777777" w:rsidR="00235E11" w:rsidRDefault="00F837E4">
            <w:pPr>
              <w:pStyle w:val="P68B1DB1-Normal10"/>
              <w:rPr>
                <w:noProof/>
              </w:rPr>
            </w:pPr>
            <w:r>
              <w:rPr>
                <w:noProof/>
              </w:rPr>
              <w:t>Публикуване на подготвителното проучване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882D41B" w14:textId="77777777" w:rsidR="00235E11" w:rsidRDefault="00235E11">
            <w:pPr>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3E0FCEF9" w14:textId="77777777" w:rsidR="00235E11" w:rsidRDefault="00235E11">
            <w:pPr>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F840503" w14:textId="77777777" w:rsidR="00235E11" w:rsidRDefault="00235E11">
            <w:pPr>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06C14D23" w14:textId="77777777" w:rsidR="00235E11" w:rsidRDefault="00F837E4">
            <w:pPr>
              <w:pStyle w:val="P68B1DB1-Normal10"/>
              <w:jc w:val="center"/>
              <w:rPr>
                <w:noProof/>
              </w:rPr>
            </w:pPr>
            <w:r>
              <w:rPr>
                <w:noProof/>
              </w:rPr>
              <w:t>Т2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40B8F3BC" w14:textId="77777777" w:rsidR="00235E11" w:rsidRDefault="00F837E4">
            <w:pPr>
              <w:pStyle w:val="P68B1DB1-Normal10"/>
              <w:jc w:val="center"/>
              <w:rPr>
                <w:noProof/>
              </w:rPr>
            </w:pPr>
            <w:r>
              <w:rPr>
                <w:noProof/>
              </w:rPr>
              <w:t>2024</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126B39BC" w14:textId="76185ACB" w:rsidR="00235E11" w:rsidRDefault="00F837E4">
            <w:pPr>
              <w:pStyle w:val="P68B1DB1-Normal10"/>
              <w:rPr>
                <w:noProof/>
              </w:rPr>
            </w:pPr>
            <w:r>
              <w:rPr>
                <w:noProof/>
              </w:rPr>
              <w:t>Подготвителното проучване относно изискванията за изграждане на топилната пещ приключва и се публикува доклад.</w:t>
            </w:r>
          </w:p>
        </w:tc>
      </w:tr>
      <w:tr w:rsidR="00235E11" w14:paraId="2A0A26EF" w14:textId="77777777">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E6D2AD" w14:textId="1F6024C5" w:rsidR="00235E11" w:rsidRDefault="00F837E4">
            <w:pPr>
              <w:pStyle w:val="P68B1DB1-Normal10"/>
              <w:jc w:val="center"/>
              <w:rPr>
                <w:noProof/>
              </w:rPr>
            </w:pPr>
            <w:r>
              <w:rPr>
                <w:noProof/>
              </w:rPr>
              <w:t>249</w:t>
            </w:r>
          </w:p>
        </w:tc>
        <w:tc>
          <w:tcPr>
            <w:tcW w:w="1349" w:type="dxa"/>
            <w:tcBorders>
              <w:top w:val="single" w:sz="4" w:space="0" w:color="auto"/>
              <w:left w:val="nil"/>
              <w:bottom w:val="single" w:sz="4" w:space="0" w:color="auto"/>
              <w:right w:val="single" w:sz="4" w:space="0" w:color="auto"/>
            </w:tcBorders>
            <w:shd w:val="clear" w:color="auto" w:fill="C6EFCE"/>
            <w:noWrap/>
            <w:vAlign w:val="center"/>
          </w:tcPr>
          <w:p w14:paraId="682CF0C4" w14:textId="4A98F418" w:rsidR="00235E11" w:rsidRDefault="00F837E4">
            <w:pPr>
              <w:pStyle w:val="P68B1DB1-Normal10"/>
              <w:rPr>
                <w:noProof/>
              </w:rPr>
            </w:pPr>
            <w:r>
              <w:rPr>
                <w:noProof/>
              </w:rPr>
              <w:t>SMELD- Fed (I-5.18)</w:t>
            </w:r>
          </w:p>
        </w:tc>
        <w:tc>
          <w:tcPr>
            <w:tcW w:w="1082" w:type="dxa"/>
            <w:tcBorders>
              <w:top w:val="single" w:sz="4" w:space="0" w:color="auto"/>
              <w:left w:val="nil"/>
              <w:bottom w:val="single" w:sz="4" w:space="0" w:color="auto"/>
              <w:right w:val="single" w:sz="4" w:space="0" w:color="auto"/>
            </w:tcBorders>
            <w:shd w:val="clear" w:color="auto" w:fill="C6EFCE"/>
            <w:noWrap/>
            <w:vAlign w:val="center"/>
          </w:tcPr>
          <w:p w14:paraId="1F1D78B4" w14:textId="55A101AA" w:rsidR="00235E11" w:rsidRDefault="00F837E4">
            <w:pPr>
              <w:pStyle w:val="P68B1DB1-Normal10"/>
              <w:rPr>
                <w:noProof/>
              </w:rPr>
            </w:pPr>
            <w:r>
              <w:rPr>
                <w:noProof/>
              </w:rPr>
              <w:t>M</w:t>
            </w:r>
          </w:p>
        </w:tc>
        <w:tc>
          <w:tcPr>
            <w:tcW w:w="1850" w:type="dxa"/>
            <w:tcBorders>
              <w:top w:val="single" w:sz="4" w:space="0" w:color="auto"/>
              <w:left w:val="nil"/>
              <w:bottom w:val="single" w:sz="4" w:space="0" w:color="auto"/>
              <w:right w:val="single" w:sz="4" w:space="0" w:color="auto"/>
            </w:tcBorders>
            <w:shd w:val="clear" w:color="auto" w:fill="C6EFCE"/>
            <w:noWrap/>
            <w:vAlign w:val="center"/>
          </w:tcPr>
          <w:p w14:paraId="48AC61A3" w14:textId="77777777" w:rsidR="00235E11" w:rsidRDefault="00F837E4">
            <w:pPr>
              <w:pStyle w:val="P68B1DB1-Normal10"/>
              <w:rPr>
                <w:noProof/>
              </w:rPr>
            </w:pPr>
            <w:r>
              <w:rPr>
                <w:noProof/>
              </w:rPr>
              <w:t xml:space="preserve">Изгражда се топилна пещ в промишлен мащаб </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82A98A9" w14:textId="77777777" w:rsidR="00235E11" w:rsidRDefault="00F837E4">
            <w:pPr>
              <w:pStyle w:val="P68B1DB1-Normal10"/>
              <w:rPr>
                <w:noProof/>
              </w:rPr>
            </w:pPr>
            <w:r>
              <w:rPr>
                <w:noProof/>
              </w:rPr>
              <w:t xml:space="preserve">Топилна пещ в промишлен мащаб, работеща в нерадиоактивен режим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52F5B32" w14:textId="77777777" w:rsidR="00235E11" w:rsidRDefault="00235E11">
            <w:pPr>
              <w:jc w:val="center"/>
              <w:rPr>
                <w:rFonts w:ascii="Times New Roman" w:eastAsia="Times New Roman" w:hAnsi="Times New Roman" w:cs="Times New Roman"/>
                <w:noProof/>
                <w:color w:val="006100"/>
              </w:rPr>
            </w:pP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74CA51CC" w14:textId="77777777" w:rsidR="00235E11" w:rsidRDefault="00235E11">
            <w:pPr>
              <w:jc w:val="center"/>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0B0E7A3" w14:textId="77777777" w:rsidR="00235E11" w:rsidRDefault="00235E11">
            <w:pPr>
              <w:jc w:val="center"/>
              <w:rPr>
                <w:rFonts w:ascii="Times New Roman" w:eastAsia="Times New Roman" w:hAnsi="Times New Roman" w:cs="Times New Roman"/>
                <w:noProof/>
                <w:color w:val="006100"/>
              </w:rPr>
            </w:pPr>
          </w:p>
        </w:tc>
        <w:tc>
          <w:tcPr>
            <w:tcW w:w="761" w:type="dxa"/>
            <w:tcBorders>
              <w:top w:val="single" w:sz="4" w:space="0" w:color="auto"/>
              <w:left w:val="nil"/>
              <w:bottom w:val="single" w:sz="4" w:space="0" w:color="auto"/>
              <w:right w:val="single" w:sz="4" w:space="0" w:color="auto"/>
            </w:tcBorders>
            <w:shd w:val="clear" w:color="auto" w:fill="C6EFCE"/>
            <w:noWrap/>
            <w:vAlign w:val="center"/>
          </w:tcPr>
          <w:p w14:paraId="6DB31AAC" w14:textId="77777777" w:rsidR="00235E11" w:rsidRDefault="00F837E4">
            <w:pPr>
              <w:pStyle w:val="P68B1DB1-Normal10"/>
              <w:jc w:val="center"/>
              <w:rPr>
                <w:noProof/>
              </w:rPr>
            </w:pPr>
            <w:r>
              <w:rPr>
                <w:noProof/>
              </w:rPr>
              <w:t>Т2 Г.</w:t>
            </w:r>
          </w:p>
        </w:tc>
        <w:tc>
          <w:tcPr>
            <w:tcW w:w="682" w:type="dxa"/>
            <w:tcBorders>
              <w:top w:val="single" w:sz="4" w:space="0" w:color="auto"/>
              <w:left w:val="nil"/>
              <w:bottom w:val="single" w:sz="4" w:space="0" w:color="auto"/>
              <w:right w:val="single" w:sz="4" w:space="0" w:color="auto"/>
            </w:tcBorders>
            <w:shd w:val="clear" w:color="auto" w:fill="C6EFCE"/>
            <w:noWrap/>
            <w:vAlign w:val="center"/>
          </w:tcPr>
          <w:p w14:paraId="0B133D1C" w14:textId="77777777" w:rsidR="00235E11" w:rsidRDefault="00F837E4">
            <w:pPr>
              <w:pStyle w:val="P68B1DB1-Normal10"/>
              <w:jc w:val="center"/>
              <w:rPr>
                <w:noProof/>
              </w:rPr>
            </w:pPr>
            <w:r>
              <w:rPr>
                <w:noProof/>
              </w:rPr>
              <w:t>2026</w:t>
            </w:r>
          </w:p>
        </w:tc>
        <w:tc>
          <w:tcPr>
            <w:tcW w:w="5241" w:type="dxa"/>
            <w:tcBorders>
              <w:top w:val="single" w:sz="4" w:space="0" w:color="auto"/>
              <w:left w:val="nil"/>
              <w:bottom w:val="single" w:sz="4" w:space="0" w:color="auto"/>
              <w:right w:val="single" w:sz="4" w:space="0" w:color="auto"/>
            </w:tcBorders>
            <w:shd w:val="clear" w:color="auto" w:fill="C6EFCE"/>
            <w:noWrap/>
            <w:vAlign w:val="center"/>
          </w:tcPr>
          <w:p w14:paraId="5E56265A" w14:textId="11EB102C" w:rsidR="00235E11" w:rsidRDefault="00F837E4">
            <w:pPr>
              <w:pStyle w:val="P68B1DB1-Normal10"/>
              <w:rPr>
                <w:noProof/>
              </w:rPr>
            </w:pPr>
            <w:r>
              <w:rPr>
                <w:noProof/>
              </w:rPr>
              <w:t>Топилната пещ в промишлен мащаб е изградена и напълно работеща в нерадиоактивен режим.</w:t>
            </w:r>
          </w:p>
        </w:tc>
      </w:tr>
    </w:tbl>
    <w:p w14:paraId="6284694D" w14:textId="77777777" w:rsidR="00235E11" w:rsidRDefault="00235E11">
      <w:pPr>
        <w:pStyle w:val="Text1"/>
        <w:ind w:left="709"/>
        <w:rPr>
          <w:noProof/>
        </w:rPr>
      </w:pPr>
    </w:p>
    <w:p w14:paraId="0CC89DF2" w14:textId="77777777" w:rsidR="00235E11" w:rsidRDefault="00235E11">
      <w:pPr>
        <w:pStyle w:val="ManualHeading1"/>
        <w:spacing w:before="120"/>
        <w:ind w:left="0" w:hanging="130"/>
        <w:rPr>
          <w:noProof/>
        </w:rPr>
        <w:sectPr w:rsidR="00235E11" w:rsidSect="007F56C3">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1134" w:right="1134" w:bottom="1134" w:left="1134" w:header="567" w:footer="567" w:gutter="0"/>
          <w:cols w:space="720"/>
          <w:docGrid w:linePitch="360"/>
        </w:sectPr>
      </w:pPr>
    </w:p>
    <w:p w14:paraId="076000C5" w14:textId="140876F7" w:rsidR="00235E11" w:rsidRDefault="00D30B23">
      <w:pPr>
        <w:pStyle w:val="ManualHeading1"/>
        <w:spacing w:before="120"/>
        <w:ind w:left="0" w:hanging="130"/>
        <w:rPr>
          <w:noProof/>
        </w:rPr>
      </w:pPr>
      <w:r>
        <w:rPr>
          <w:noProof/>
          <w:lang w:val="bg-BG"/>
        </w:rPr>
        <w:t>П</w:t>
      </w:r>
      <w:r w:rsidR="00F837E4">
        <w:rPr>
          <w:noProof/>
        </w:rPr>
        <w:t>. 5.3: Кръгова икономика</w:t>
      </w:r>
    </w:p>
    <w:p w14:paraId="090A2D5B" w14:textId="77777777" w:rsidR="00235E11" w:rsidRDefault="00F837E4">
      <w:pPr>
        <w:pStyle w:val="NormalLeft"/>
        <w:jc w:val="both"/>
        <w:rPr>
          <w:noProof/>
        </w:rPr>
      </w:pPr>
      <w:r>
        <w:rPr>
          <w:noProof/>
        </w:rPr>
        <w:t>Мерките по този компонент на белгийския план за възстановяване и устойчивост като цяло имат за цел да допринесат за развитието на кръгова и нисковъглеродна икономика. По-специално те се стремят да развият рециклиране, повторна употреба и промишлена симбиоза. В допълнение към насърчаването на определени практики целта е да се подкрепят иновациите в областта на преработката на отпадъци и ресурси и да се развие обучението в някои области на кръговата икономика.</w:t>
      </w:r>
    </w:p>
    <w:p w14:paraId="667AC0D7" w14:textId="77777777" w:rsidR="00235E11" w:rsidRDefault="00F837E4">
      <w:pPr>
        <w:pStyle w:val="NormalLeft"/>
        <w:jc w:val="both"/>
        <w:rPr>
          <w:noProof/>
        </w:rPr>
      </w:pPr>
      <w:r>
        <w:rPr>
          <w:noProof/>
        </w:rPr>
        <w:t xml:space="preserve">Компонентът допринася за изпълнението на специфична за държавата препоръка 2019.3, в която Белгия се призовава да насочи свързаната с инвестициите икономическа политика, </w:t>
      </w:r>
      <w:r>
        <w:rPr>
          <w:i/>
          <w:noProof/>
        </w:rPr>
        <w:t>наред с другото</w:t>
      </w:r>
      <w:r>
        <w:rPr>
          <w:noProof/>
        </w:rPr>
        <w:t>, към нисковъглеродния и енергийния преход и научните изследвания и иновациите, както и към специфична за държавата препоръка 2020.3, с която Белгия се приканва да съсредоточи инвестициите си върху екологичния и цифровия преход, по-специално върху чистото и ефективно производство, кръговата икономика и научните изследвания и иновациите.</w:t>
      </w:r>
    </w:p>
    <w:p w14:paraId="0E44EE92"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05811130" w14:textId="63CE445E" w:rsidR="00235E11" w:rsidRDefault="00D30B23">
      <w:pPr>
        <w:pStyle w:val="P68B1DB1-Normal1"/>
        <w:spacing w:before="120" w:after="120" w:line="240" w:lineRule="auto"/>
        <w:jc w:val="both"/>
        <w:rPr>
          <w:noProof/>
        </w:rPr>
      </w:pPr>
      <w:r>
        <w:rPr>
          <w:noProof/>
          <w:lang w:val="bg-BG"/>
        </w:rPr>
        <w:t>П</w:t>
      </w:r>
      <w:r w:rsidR="00F837E4">
        <w:rPr>
          <w:noProof/>
        </w:rPr>
        <w:t xml:space="preserve">.1. </w:t>
      </w:r>
      <w:r w:rsidR="00F837E4">
        <w:rPr>
          <w:noProof/>
        </w:rPr>
        <w:tab/>
        <w:t>Описание на реформите и инвестициите за безвъзмездна финансова подкрепа</w:t>
      </w:r>
    </w:p>
    <w:p w14:paraId="437D101D" w14:textId="12AFA121" w:rsidR="00235E11" w:rsidRDefault="00F837E4">
      <w:pPr>
        <w:pStyle w:val="P68B1DB1-Normal13"/>
        <w:spacing w:before="120" w:after="120" w:line="240" w:lineRule="auto"/>
        <w:jc w:val="both"/>
        <w:rPr>
          <w:noProof/>
        </w:rPr>
      </w:pPr>
      <w:r>
        <w:rPr>
          <w:noProof/>
        </w:rPr>
        <w:t>Реформа R-5.08: „Брюкселска регионална стратегия за икономически преход“ на регион Брюксел-столица</w:t>
      </w:r>
    </w:p>
    <w:p w14:paraId="2FE012C9" w14:textId="77777777" w:rsidR="00235E11" w:rsidRDefault="00F837E4">
      <w:pPr>
        <w:pStyle w:val="NormalLeft"/>
        <w:jc w:val="both"/>
        <w:rPr>
          <w:noProof/>
        </w:rPr>
      </w:pPr>
      <w:r>
        <w:rPr>
          <w:noProof/>
        </w:rPr>
        <w:t>Целта на тази реформа е да се разработи регионална стратегия за икономически преход чрез мобилизиране на всички инструменти на регионалната икономическа политика, постигане на по-добра координация и сътрудничество между публичните участници, както и активно участие на частния сектор. Нейните оперативни цели трябва да се основават на резултатите от работата на 10 работни групи.</w:t>
      </w:r>
    </w:p>
    <w:p w14:paraId="423D723A" w14:textId="77777777" w:rsidR="00235E11" w:rsidRDefault="00F837E4">
      <w:pPr>
        <w:pStyle w:val="NormalLeft"/>
        <w:jc w:val="both"/>
        <w:rPr>
          <w:noProof/>
        </w:rPr>
      </w:pPr>
      <w:r>
        <w:rPr>
          <w:noProof/>
        </w:rPr>
        <w:t>Регионалната стратегия за икономическия преход определя цели за 2030 г. и план за действие за период от пет години. То се приема с решение на правителството на регион Брюксел-столица до 31 март 2022 г.</w:t>
      </w:r>
    </w:p>
    <w:p w14:paraId="4A53E04E" w14:textId="76C5320C" w:rsidR="00235E11" w:rsidRDefault="00F837E4">
      <w:pPr>
        <w:pStyle w:val="P68B1DB1-Normal13"/>
        <w:spacing w:before="120" w:after="120" w:line="240" w:lineRule="auto"/>
        <w:jc w:val="both"/>
        <w:rPr>
          <w:noProof/>
        </w:rPr>
      </w:pPr>
      <w:r>
        <w:rPr>
          <w:noProof/>
        </w:rPr>
        <w:t>Реформа R-5.09: „Ръководен циркуляр Фландрия“ на Фламандския регион</w:t>
      </w:r>
    </w:p>
    <w:p w14:paraId="7EC31CE1" w14:textId="5E8C8144" w:rsidR="00235E11" w:rsidRDefault="00F837E4">
      <w:pPr>
        <w:pStyle w:val="NormalLeft"/>
        <w:jc w:val="both"/>
        <w:rPr>
          <w:noProof/>
        </w:rPr>
      </w:pPr>
      <w:r>
        <w:rPr>
          <w:noProof/>
        </w:rPr>
        <w:t>Кръговата Фландрия е централната платформа във Фландрия, насочена към улесняване на прехода към кръгова икономика в сътрудничество с промишлените партньори, институциите на знанието, публичните администрации, банките и гражданското общество. Тази реформа значително подобрява и разширява управлението на тази платформа. В тази рамка публично-частните партньорства се съсредоточават върху комбинация от тематични работни програми, като например кръгово строителство, химия/пластмаси, други продуктови вериги в производствената промишленост, биоикономиката и хранителната верига, както и редица стратегически лостове (финансиране, иновации, кръгови доставки, научни изследвания, осведоменост). Текстовете на пътната карта и работните програми се очакват до 31 декември 2021 г.</w:t>
      </w:r>
    </w:p>
    <w:p w14:paraId="1E37E464" w14:textId="061DE602" w:rsidR="00235E11" w:rsidRDefault="00F837E4">
      <w:pPr>
        <w:pStyle w:val="P68B1DB1-Normal13"/>
        <w:spacing w:before="120" w:after="120" w:line="240" w:lineRule="auto"/>
        <w:jc w:val="both"/>
        <w:rPr>
          <w:noProof/>
        </w:rPr>
      </w:pPr>
      <w:r>
        <w:rPr>
          <w:noProof/>
        </w:rPr>
        <w:t>Инвестиция I-5.14: „Център за рециклиране“ на Фламандския регион</w:t>
      </w:r>
    </w:p>
    <w:p w14:paraId="6141A585" w14:textId="77777777" w:rsidR="00235E11" w:rsidRDefault="00F837E4">
      <w:pPr>
        <w:pStyle w:val="NormalLeft"/>
        <w:jc w:val="both"/>
        <w:rPr>
          <w:noProof/>
        </w:rPr>
      </w:pPr>
      <w:r>
        <w:rPr>
          <w:noProof/>
        </w:rPr>
        <w:t>Мярката за център за рециклиране на Фландрия има за цел да реализира най-малко шест важни инвестиции в нови съоръжения за рециклиране. Акцентът е поставен върху липсващите звена в редица вериги за създаване на стойност, за да се даде възможност за местно кръгово производство, като например рециклирането на пелени, матраци и текстилни изделия. Инвестиции се търсят и в секторите на пластмасите и химическата промишленост.</w:t>
      </w:r>
    </w:p>
    <w:p w14:paraId="2E77CD50" w14:textId="77777777" w:rsidR="00235E11" w:rsidRDefault="00F837E4">
      <w:pPr>
        <w:pStyle w:val="NormalLeft"/>
        <w:jc w:val="both"/>
        <w:rPr>
          <w:noProof/>
        </w:rPr>
      </w:pPr>
      <w:r>
        <w:rPr>
          <w:noProof/>
        </w:rPr>
        <w:t>С оглед на съответствието на мярката с техническите насоки за прилагането на принципа за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следния списък от дейности: I) дейности, свързани с изкопаеми горива, включително използване надолу по веригата; II) дейности, свързани с депа за отпадъци, инсинератори</w:t>
      </w:r>
      <w:r>
        <w:rPr>
          <w:noProof/>
        </w:rPr>
        <w:footnoteReference w:id="17"/>
      </w:r>
      <w:r>
        <w:rPr>
          <w:noProof/>
        </w:rPr>
        <w:t xml:space="preserve"> и инсталации за механично-биологично третиране</w:t>
      </w:r>
      <w:r>
        <w:rPr>
          <w:noProof/>
        </w:rPr>
        <w:footnoteReference w:id="18"/>
      </w:r>
      <w:r>
        <w:rPr>
          <w:noProof/>
        </w:rPr>
        <w:t>; и iii) дейности, при които дългосрочното обезвреждане на отпадъци може да причини вреда на околната среда. Освен това в заданието се изисква да могат да бъдат избирани само дейности, които са в съответствие със съответното законодателство на ЕС и национално законодателство в областта на околната среда.</w:t>
      </w:r>
    </w:p>
    <w:p w14:paraId="450C426A" w14:textId="77777777" w:rsidR="00235E11" w:rsidRDefault="00F837E4">
      <w:pPr>
        <w:pStyle w:val="NormalLeft"/>
        <w:jc w:val="both"/>
        <w:rPr>
          <w:noProof/>
        </w:rPr>
      </w:pPr>
      <w:r>
        <w:rPr>
          <w:noProof/>
        </w:rPr>
        <w:t>Мярката стартира през четвъртото тримесечие на 2020 г. Възлагането на поръчки трябва да приключи до 31 декември 2022 г. Проектите трябва да приключат до 30 юни 2026 г.</w:t>
      </w:r>
    </w:p>
    <w:p w14:paraId="025CB9DF" w14:textId="440D80B7" w:rsidR="00235E11" w:rsidRDefault="00F837E4">
      <w:pPr>
        <w:pStyle w:val="P68B1DB1-Normal13"/>
        <w:spacing w:before="120" w:after="120" w:line="240" w:lineRule="auto"/>
        <w:jc w:val="both"/>
        <w:rPr>
          <w:noProof/>
        </w:rPr>
      </w:pPr>
      <w:r>
        <w:rPr>
          <w:noProof/>
        </w:rPr>
        <w:t>Инвестиция I-5.15: „Белгия изгражда обратен циркуляр“ на федералната държава</w:t>
      </w:r>
    </w:p>
    <w:p w14:paraId="3A535FED" w14:textId="77777777" w:rsidR="00235E11" w:rsidRDefault="00F837E4">
      <w:pPr>
        <w:pStyle w:val="NormalLeft"/>
        <w:jc w:val="both"/>
        <w:rPr>
          <w:noProof/>
        </w:rPr>
      </w:pPr>
      <w:r>
        <w:rPr>
          <w:noProof/>
        </w:rPr>
        <w:t>Тази инвестиция има за цел да ускори прехода към кръгова икономика в Белгия. Целта е в три направления:</w:t>
      </w:r>
    </w:p>
    <w:p w14:paraId="2B93DE9E" w14:textId="77777777" w:rsidR="00235E11" w:rsidRDefault="00F837E4">
      <w:pPr>
        <w:pStyle w:val="P68B1DB1-ListParagraph18"/>
        <w:numPr>
          <w:ilvl w:val="0"/>
          <w:numId w:val="25"/>
        </w:numPr>
        <w:tabs>
          <w:tab w:val="left" w:pos="567"/>
        </w:tabs>
        <w:spacing w:before="120" w:after="120" w:line="240" w:lineRule="auto"/>
        <w:ind w:left="0" w:firstLine="0"/>
        <w:jc w:val="both"/>
        <w:rPr>
          <w:noProof/>
        </w:rPr>
      </w:pPr>
      <w:r>
        <w:rPr>
          <w:noProof/>
        </w:rPr>
        <w:t>Избягване на разпокъсаността на пазара или политиката и насърчаване на интегриран подход чрез създаването на кръгова коалиция със специален акцент върху федералните компетентности в областта на кръговата икономика и взаимодействието на федералните компетентности с местните и регионалните компетентности, като например проектирането с оглед на недостига, повторната употреба, ремонта и рециклирането, химическата безопасност, проверката и сертифицирането на рециклирано съдържание;</w:t>
      </w:r>
    </w:p>
    <w:p w14:paraId="62D023DF" w14:textId="77777777" w:rsidR="00235E11" w:rsidRPr="00D30B23" w:rsidRDefault="00F837E4">
      <w:pPr>
        <w:pStyle w:val="P68B1DB1-ListParagraph18"/>
        <w:numPr>
          <w:ilvl w:val="0"/>
          <w:numId w:val="25"/>
        </w:numPr>
        <w:tabs>
          <w:tab w:val="left" w:pos="567"/>
        </w:tabs>
        <w:spacing w:before="120" w:after="120" w:line="240" w:lineRule="auto"/>
        <w:ind w:left="0" w:firstLine="0"/>
        <w:jc w:val="both"/>
        <w:rPr>
          <w:noProof/>
          <w:spacing w:val="-8"/>
        </w:rPr>
      </w:pPr>
      <w:r w:rsidRPr="00D30B23">
        <w:rPr>
          <w:noProof/>
          <w:spacing w:val="-8"/>
        </w:rPr>
        <w:t>Финансиране на общо 10 проекта за кръгова икономика в промишлеността и научноизследователските центрове с цел ускоряване на прехода и разрастване на практика, насочени по-специално към проекти за замяна на опасни химикали и проекти в областта на екопроектирането;</w:t>
      </w:r>
    </w:p>
    <w:p w14:paraId="65FCFEFF" w14:textId="77777777" w:rsidR="00235E11" w:rsidRDefault="00F837E4">
      <w:pPr>
        <w:pStyle w:val="P68B1DB1-ListParagraph18"/>
        <w:numPr>
          <w:ilvl w:val="0"/>
          <w:numId w:val="25"/>
        </w:numPr>
        <w:tabs>
          <w:tab w:val="left" w:pos="567"/>
        </w:tabs>
        <w:spacing w:before="120" w:after="120" w:line="240" w:lineRule="auto"/>
        <w:ind w:left="0" w:firstLine="0"/>
        <w:jc w:val="both"/>
        <w:rPr>
          <w:noProof/>
        </w:rPr>
      </w:pPr>
      <w:r>
        <w:rPr>
          <w:noProof/>
        </w:rPr>
        <w:t>Повишаване на осведомеността и информиране на МСП чрез целенасочени кампании, уебсайт и създаване на инструмент за самооценка за МСП.</w:t>
      </w:r>
    </w:p>
    <w:p w14:paraId="70999C71" w14:textId="7132E8FC" w:rsidR="00235E11" w:rsidRDefault="00F837E4">
      <w:pPr>
        <w:pStyle w:val="Text1"/>
        <w:ind w:left="0"/>
        <w:rPr>
          <w:noProof/>
        </w:rPr>
      </w:pPr>
      <w:r>
        <w:rPr>
          <w:noProof/>
        </w:rPr>
        <w:t>За да се гарантира, че мярката е в съответствие с техническите насоки за „ненанасяне на значителни вреди“ (2021/C58/01), критериите за допустимост, съдържащи се в заданието за предстояща покана за кръгови проекти, изключват следния списък с дейности: I) дейности, свързани с изкопаеми горива, включително използване надолу по веригата; II) дейности в рамките на схемата на ЕС за търговия с емисии, с които се постигат прогнозни емисии на парникови газове, които не са по-ниски от съответните референтни показатели</w:t>
      </w:r>
      <w:r>
        <w:rPr>
          <w:rStyle w:val="FootnoteReference"/>
          <w:noProof/>
        </w:rPr>
        <w:footnoteReference w:id="19"/>
      </w:r>
      <w:r>
        <w:rPr>
          <w:noProof/>
        </w:rPr>
        <w:t>; III) дейности, свързани с депа за отпадъци, инсинератори</w:t>
      </w:r>
      <w:r>
        <w:rPr>
          <w:rStyle w:val="FootnoteReference"/>
          <w:noProof/>
        </w:rPr>
        <w:footnoteReference w:id="20"/>
      </w:r>
      <w:r>
        <w:rPr>
          <w:noProof/>
        </w:rPr>
        <w:t xml:space="preserve"> и инсталации за механично-биологично третиране</w:t>
      </w:r>
      <w:r>
        <w:rPr>
          <w:rStyle w:val="FootnoteReference"/>
          <w:noProof/>
        </w:rPr>
        <w:footnoteReference w:id="21"/>
      </w:r>
      <w:r>
        <w:rPr>
          <w:noProof/>
        </w:rPr>
        <w:t>; и iv) дейности, при които дългосрочното обезвреждане на отпадъци може да причини вреда на околната среда. Освен това в заданието се изисква да могат да бъдат избирани само дейности, които са в съответствие със съответното законодателство на ЕС и национално законодателство в областта на околната среда. Кръговата коалиция се създава до 31 декември 2021 г., а проектите приключват до 30 юни 2026 г.</w:t>
      </w:r>
    </w:p>
    <w:p w14:paraId="50139F60" w14:textId="550FC9D7" w:rsidR="00235E11" w:rsidRDefault="00F837E4">
      <w:pPr>
        <w:pStyle w:val="P68B1DB1-Normal13"/>
        <w:spacing w:before="120" w:after="120" w:line="240" w:lineRule="auto"/>
        <w:jc w:val="both"/>
        <w:rPr>
          <w:noProof/>
        </w:rPr>
      </w:pPr>
      <w:r>
        <w:rPr>
          <w:noProof/>
        </w:rPr>
        <w:t>Инвестиция I-5.16: „Внедряване на кръговата икономика“ във Валонския регион</w:t>
      </w:r>
    </w:p>
    <w:p w14:paraId="7A7DEFA2" w14:textId="1F4C97A7" w:rsidR="00235E11" w:rsidRDefault="00F837E4">
      <w:pPr>
        <w:pStyle w:val="NormalLeft"/>
        <w:jc w:val="both"/>
        <w:rPr>
          <w:noProof/>
        </w:rPr>
      </w:pPr>
      <w:r>
        <w:rPr>
          <w:noProof/>
        </w:rPr>
        <w:t>С цел разгръщане на кръговата икономика на Валония инвестициите се осъществяват чрез покана за представяне на предложения за научноизследователска и развойна дейност чрез създаването на партньорства за иновации в две приоритетни вериги за създаване на стойност, а именно метали и строителни материали. Проектите са съсредоточени върху кръговостта (повторна употреба, увеличаване на мащаба и рециклиране) на метали, батерии и минерали.</w:t>
      </w:r>
    </w:p>
    <w:p w14:paraId="512F39CB" w14:textId="06672CF8" w:rsidR="00235E11" w:rsidRDefault="00F837E4">
      <w:pPr>
        <w:pStyle w:val="NormalLeft"/>
        <w:jc w:val="both"/>
        <w:rPr>
          <w:noProof/>
        </w:rPr>
      </w:pPr>
      <w:r>
        <w:rPr>
          <w:noProof/>
        </w:rPr>
        <w:t>С оглед на съответствието на мярката с техническите насоки за прилагането на принципа за „ненанасяне на значителни вреди“ (2021/C58/01), критериите за допустимост в техническите спецификации на предстоящите покани за представяне на проекти ще изключат следния списък от дейности: I) дейности, свързани с изкопаеми горива, включително използване надолу по веригата; II) дейности в рамките на схемата на ЕС за търговия с емисии, с които се постигат прогнозни емисии на парникови газове, които не са по-ниски от съответните референтни показатели</w:t>
      </w:r>
      <w:r>
        <w:rPr>
          <w:noProof/>
        </w:rPr>
        <w:footnoteReference w:id="22"/>
      </w:r>
      <w:r>
        <w:rPr>
          <w:noProof/>
        </w:rPr>
        <w:t>; и iii) дейности, при които дългосрочното обезвреждане на отпадъци може да причини вреда на околната среда. Освен това в заданието се изисква да могат да бъдат избирани само дейности, които са в съответствие със съответното законодателство на ЕС и национално законодателство в областта на околната среда. Мярката беше стартирана през четвъртото тримесечие на 1 2021 г. и ще приключи до 30 юни 2026 г.</w:t>
      </w:r>
    </w:p>
    <w:p w14:paraId="36134011" w14:textId="2EA07F6C" w:rsidR="00235E11" w:rsidRDefault="00D30B23">
      <w:pPr>
        <w:pStyle w:val="P68B1DB1-Text16"/>
        <w:ind w:left="0"/>
        <w:rPr>
          <w:noProof/>
        </w:rPr>
      </w:pPr>
      <w:r>
        <w:rPr>
          <w:noProof/>
          <w:lang w:val="bg-BG"/>
        </w:rPr>
        <w:t>П</w:t>
      </w:r>
      <w:r w:rsidR="00F837E4">
        <w:rPr>
          <w:noProof/>
        </w:rPr>
        <w:t xml:space="preserve">.2. </w:t>
      </w:r>
      <w:r w:rsidR="00F837E4">
        <w:rPr>
          <w:noProof/>
        </w:rPr>
        <w:tab/>
        <w:t>Ключови етапи, цели, показатели и график за мониторинг и изпълнение на безвъзмездната финансова подкрепа</w:t>
      </w:r>
    </w:p>
    <w:p w14:paraId="1B8D8B1E" w14:textId="77777777" w:rsidR="00235E11" w:rsidRDefault="00235E11">
      <w:pPr>
        <w:pStyle w:val="Text1"/>
        <w:rPr>
          <w:noProof/>
        </w:rPr>
      </w:pPr>
    </w:p>
    <w:p w14:paraId="201EC78E" w14:textId="77777777" w:rsidR="00235E11" w:rsidRDefault="00235E11">
      <w:pPr>
        <w:pStyle w:val="Text1"/>
        <w:ind w:left="709"/>
        <w:rPr>
          <w:noProof/>
        </w:rPr>
        <w:sectPr w:rsidR="00235E11" w:rsidSect="007F56C3">
          <w:headerReference w:type="even" r:id="rId222"/>
          <w:headerReference w:type="default" r:id="rId223"/>
          <w:footerReference w:type="even" r:id="rId224"/>
          <w:footerReference w:type="default" r:id="rId225"/>
          <w:headerReference w:type="first" r:id="rId226"/>
          <w:footerReference w:type="first" r:id="rId227"/>
          <w:pgSz w:w="11907" w:h="16839"/>
          <w:pgMar w:top="1134" w:right="1134" w:bottom="1134" w:left="1134" w:header="567" w:footer="567" w:gutter="0"/>
          <w:cols w:space="720"/>
          <w:docGrid w:linePitch="360"/>
        </w:sectPr>
      </w:pPr>
    </w:p>
    <w:tbl>
      <w:tblPr>
        <w:tblW w:w="16055" w:type="dxa"/>
        <w:tblInd w:w="-714" w:type="dxa"/>
        <w:tblLayout w:type="fixed"/>
        <w:tblLook w:val="04A0" w:firstRow="1" w:lastRow="0" w:firstColumn="1" w:lastColumn="0" w:noHBand="0" w:noVBand="1"/>
      </w:tblPr>
      <w:tblGrid>
        <w:gridCol w:w="793"/>
        <w:gridCol w:w="1346"/>
        <w:gridCol w:w="1122"/>
        <w:gridCol w:w="1417"/>
        <w:gridCol w:w="1985"/>
        <w:gridCol w:w="1134"/>
        <w:gridCol w:w="992"/>
        <w:gridCol w:w="992"/>
        <w:gridCol w:w="709"/>
        <w:gridCol w:w="709"/>
        <w:gridCol w:w="4790"/>
        <w:gridCol w:w="66"/>
      </w:tblGrid>
      <w:tr w:rsidR="00235E11" w14:paraId="1A5134A5" w14:textId="77777777">
        <w:trPr>
          <w:trHeight w:val="927"/>
          <w:tblHeader/>
        </w:trPr>
        <w:tc>
          <w:tcPr>
            <w:tcW w:w="7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7DA5B44" w14:textId="3AF7C420" w:rsidR="00235E11" w:rsidRDefault="00F837E4">
            <w:pPr>
              <w:pStyle w:val="P68B1DB1-Normal7"/>
              <w:spacing w:after="0"/>
              <w:jc w:val="center"/>
              <w:rPr>
                <w:noProof/>
              </w:rPr>
            </w:pPr>
            <w:r>
              <w:rPr>
                <w:noProof/>
              </w:rPr>
              <w:t>Следващи Забележка:</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EC20E2" w14:textId="77777777" w:rsidR="00235E11" w:rsidRDefault="00F837E4">
            <w:pPr>
              <w:pStyle w:val="P68B1DB1-Normal7"/>
              <w:spacing w:after="0"/>
              <w:jc w:val="center"/>
              <w:rPr>
                <w:noProof/>
              </w:rPr>
            </w:pPr>
            <w:r>
              <w:rPr>
                <w:noProof/>
              </w:rPr>
              <w:t>Свързана мярка (реформа или инвестиции)</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3B66E7E" w14:textId="77777777" w:rsidR="00235E11" w:rsidRDefault="00F837E4">
            <w:pPr>
              <w:pStyle w:val="P68B1DB1-Normal7"/>
              <w:spacing w:after="0"/>
              <w:jc w:val="center"/>
              <w:rPr>
                <w:noProof/>
              </w:rPr>
            </w:pPr>
            <w:r>
              <w:rPr>
                <w:noProof/>
              </w:rPr>
              <w:t>Ключов етап/Цел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8B9C34C" w14:textId="77777777" w:rsidR="00235E11" w:rsidRDefault="00F837E4">
            <w:pPr>
              <w:pStyle w:val="P68B1DB1-Normal7"/>
              <w:spacing w:after="0"/>
              <w:jc w:val="center"/>
              <w:rPr>
                <w:noProof/>
              </w:rPr>
            </w:pPr>
            <w:r>
              <w:rPr>
                <w:noProof/>
              </w:rPr>
              <w:t>Име</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9860743"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3118"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5D16836"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8" w:type="dxa"/>
            <w:gridSpan w:val="2"/>
            <w:tcBorders>
              <w:top w:val="single" w:sz="4" w:space="0" w:color="auto"/>
              <w:left w:val="nil"/>
              <w:bottom w:val="single" w:sz="4" w:space="0" w:color="auto"/>
              <w:right w:val="single" w:sz="4" w:space="0" w:color="auto"/>
            </w:tcBorders>
            <w:shd w:val="clear" w:color="auto" w:fill="BDD7EE"/>
            <w:vAlign w:val="center"/>
            <w:hideMark/>
          </w:tcPr>
          <w:p w14:paraId="3D97B569" w14:textId="77777777" w:rsidR="00235E11" w:rsidRDefault="00F837E4">
            <w:pPr>
              <w:pStyle w:val="P68B1DB1-Normal7"/>
              <w:spacing w:after="0"/>
              <w:jc w:val="center"/>
              <w:rPr>
                <w:noProof/>
              </w:rPr>
            </w:pPr>
            <w:r>
              <w:rPr>
                <w:noProof/>
              </w:rPr>
              <w:t xml:space="preserve">Примерен график за приключване </w:t>
            </w:r>
          </w:p>
        </w:tc>
        <w:tc>
          <w:tcPr>
            <w:tcW w:w="4856"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17562A" w14:textId="77777777" w:rsidR="00235E11" w:rsidRDefault="00F837E4">
            <w:pPr>
              <w:pStyle w:val="P68B1DB1-Normal7"/>
              <w:spacing w:after="0"/>
              <w:jc w:val="center"/>
              <w:rPr>
                <w:noProof/>
              </w:rPr>
            </w:pPr>
            <w:r>
              <w:rPr>
                <w:noProof/>
              </w:rPr>
              <w:t>Описание на всеки ключов етап и цел</w:t>
            </w:r>
          </w:p>
        </w:tc>
      </w:tr>
      <w:tr w:rsidR="00235E11" w14:paraId="6126B44C" w14:textId="77777777">
        <w:trPr>
          <w:trHeight w:val="1013"/>
        </w:trPr>
        <w:tc>
          <w:tcPr>
            <w:tcW w:w="793" w:type="dxa"/>
            <w:vMerge/>
            <w:tcBorders>
              <w:top w:val="single" w:sz="4" w:space="0" w:color="auto"/>
              <w:left w:val="single" w:sz="4" w:space="0" w:color="auto"/>
              <w:bottom w:val="single" w:sz="4" w:space="0" w:color="auto"/>
              <w:right w:val="single" w:sz="4" w:space="0" w:color="auto"/>
            </w:tcBorders>
            <w:vAlign w:val="center"/>
            <w:hideMark/>
          </w:tcPr>
          <w:p w14:paraId="385D57F0" w14:textId="77777777" w:rsidR="00235E11" w:rsidRDefault="00235E11">
            <w:pPr>
              <w:spacing w:after="0"/>
              <w:rPr>
                <w:rFonts w:ascii="Times New Roman" w:eastAsia="Times New Roman" w:hAnsi="Times New Roman" w:cs="Times New Roman"/>
                <w:b/>
                <w:noProof/>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700369F2" w14:textId="77777777" w:rsidR="00235E11" w:rsidRDefault="00235E11">
            <w:pPr>
              <w:spacing w:after="0"/>
              <w:rPr>
                <w:rFonts w:ascii="Times New Roman" w:eastAsia="Times New Roman" w:hAnsi="Times New Roman" w:cs="Times New Roman"/>
                <w:b/>
                <w:noProof/>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4E0455C9" w14:textId="77777777" w:rsidR="00235E11" w:rsidRDefault="00235E11">
            <w:pPr>
              <w:spacing w:after="0"/>
              <w:rPr>
                <w:rFonts w:ascii="Times New Roman" w:eastAsia="Times New Roman" w:hAnsi="Times New Roman" w:cs="Times New Roman"/>
                <w:b/>
                <w:noProo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5BD704" w14:textId="77777777" w:rsidR="00235E11" w:rsidRDefault="00235E11">
            <w:pPr>
              <w:spacing w:after="0"/>
              <w:rPr>
                <w:rFonts w:ascii="Times New Roman" w:eastAsia="Times New Roman" w:hAnsi="Times New Roman" w:cs="Times New Roman"/>
                <w:b/>
                <w:noProof/>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9546382" w14:textId="77777777" w:rsidR="00235E11" w:rsidRDefault="00235E11">
            <w:pPr>
              <w:spacing w:after="0"/>
              <w:rPr>
                <w:rFonts w:ascii="Times New Roman" w:eastAsia="Times New Roman" w:hAnsi="Times New Roman" w:cs="Times New Roman"/>
                <w:b/>
                <w:noProof/>
              </w:rPr>
            </w:pPr>
          </w:p>
        </w:tc>
        <w:tc>
          <w:tcPr>
            <w:tcW w:w="1134" w:type="dxa"/>
            <w:tcBorders>
              <w:top w:val="nil"/>
              <w:left w:val="single" w:sz="4" w:space="0" w:color="auto"/>
              <w:bottom w:val="single" w:sz="4" w:space="0" w:color="auto"/>
              <w:right w:val="single" w:sz="4" w:space="0" w:color="auto"/>
            </w:tcBorders>
            <w:shd w:val="clear" w:color="auto" w:fill="BDD7EE"/>
            <w:vAlign w:val="center"/>
            <w:hideMark/>
          </w:tcPr>
          <w:p w14:paraId="757A4EC3" w14:textId="77777777" w:rsidR="00235E11" w:rsidRDefault="00F837E4">
            <w:pPr>
              <w:pStyle w:val="P68B1DB1-Normal7"/>
              <w:spacing w:after="0"/>
              <w:jc w:val="center"/>
              <w:rPr>
                <w:noProof/>
              </w:rPr>
            </w:pPr>
            <w:r>
              <w:rPr>
                <w:noProof/>
              </w:rPr>
              <w:t>Единица мярка</w:t>
            </w:r>
          </w:p>
        </w:tc>
        <w:tc>
          <w:tcPr>
            <w:tcW w:w="992" w:type="dxa"/>
            <w:tcBorders>
              <w:top w:val="nil"/>
              <w:left w:val="nil"/>
              <w:bottom w:val="single" w:sz="4" w:space="0" w:color="auto"/>
              <w:right w:val="single" w:sz="4" w:space="0" w:color="auto"/>
            </w:tcBorders>
            <w:shd w:val="clear" w:color="auto" w:fill="BDD7EE"/>
            <w:vAlign w:val="center"/>
            <w:hideMark/>
          </w:tcPr>
          <w:p w14:paraId="702C7530" w14:textId="77777777" w:rsidR="00235E11" w:rsidRDefault="00F837E4">
            <w:pPr>
              <w:pStyle w:val="P68B1DB1-Normal7"/>
              <w:spacing w:after="0"/>
              <w:jc w:val="center"/>
              <w:rPr>
                <w:noProof/>
              </w:rPr>
            </w:pPr>
            <w:r>
              <w:rPr>
                <w:noProof/>
              </w:rPr>
              <w:t xml:space="preserve">Базова линия </w:t>
            </w:r>
          </w:p>
        </w:tc>
        <w:tc>
          <w:tcPr>
            <w:tcW w:w="992" w:type="dxa"/>
            <w:tcBorders>
              <w:top w:val="nil"/>
              <w:left w:val="nil"/>
              <w:bottom w:val="single" w:sz="4" w:space="0" w:color="auto"/>
              <w:right w:val="single" w:sz="4" w:space="0" w:color="auto"/>
            </w:tcBorders>
            <w:shd w:val="clear" w:color="auto" w:fill="BDD7EE"/>
            <w:vAlign w:val="center"/>
            <w:hideMark/>
          </w:tcPr>
          <w:p w14:paraId="7498B76F" w14:textId="77777777" w:rsidR="00235E11" w:rsidRDefault="00F837E4">
            <w:pPr>
              <w:pStyle w:val="P68B1DB1-Normal7"/>
              <w:spacing w:after="0"/>
              <w:jc w:val="center"/>
              <w:rPr>
                <w:noProof/>
              </w:rPr>
            </w:pPr>
            <w:r>
              <w:rPr>
                <w:noProof/>
              </w:rPr>
              <w:t xml:space="preserve">Цел </w:t>
            </w:r>
          </w:p>
        </w:tc>
        <w:tc>
          <w:tcPr>
            <w:tcW w:w="709" w:type="dxa"/>
            <w:tcBorders>
              <w:top w:val="nil"/>
              <w:left w:val="nil"/>
              <w:bottom w:val="single" w:sz="4" w:space="0" w:color="auto"/>
              <w:right w:val="single" w:sz="4" w:space="0" w:color="auto"/>
            </w:tcBorders>
            <w:shd w:val="clear" w:color="auto" w:fill="BDD7EE"/>
            <w:vAlign w:val="center"/>
            <w:hideMark/>
          </w:tcPr>
          <w:p w14:paraId="21C2070D" w14:textId="77777777" w:rsidR="00235E11" w:rsidRDefault="00F837E4">
            <w:pPr>
              <w:pStyle w:val="P68B1DB1-Normal7"/>
              <w:spacing w:after="0"/>
              <w:jc w:val="center"/>
              <w:rPr>
                <w:noProof/>
              </w:rPr>
            </w:pPr>
            <w:r>
              <w:rPr>
                <w:noProof/>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2B953C97" w14:textId="77777777" w:rsidR="00235E11" w:rsidRDefault="00F837E4">
            <w:pPr>
              <w:pStyle w:val="P68B1DB1-Normal7"/>
              <w:spacing w:after="0"/>
              <w:jc w:val="center"/>
              <w:rPr>
                <w:noProof/>
              </w:rPr>
            </w:pPr>
            <w:r>
              <w:rPr>
                <w:noProof/>
              </w:rPr>
              <w:t>Година</w:t>
            </w:r>
          </w:p>
        </w:tc>
        <w:tc>
          <w:tcPr>
            <w:tcW w:w="4856" w:type="dxa"/>
            <w:gridSpan w:val="2"/>
            <w:vMerge/>
            <w:tcBorders>
              <w:top w:val="single" w:sz="4" w:space="0" w:color="auto"/>
              <w:bottom w:val="single" w:sz="4" w:space="0" w:color="auto"/>
              <w:right w:val="single" w:sz="4" w:space="0" w:color="auto"/>
            </w:tcBorders>
            <w:vAlign w:val="center"/>
            <w:hideMark/>
          </w:tcPr>
          <w:p w14:paraId="17422F8B" w14:textId="77777777" w:rsidR="00235E11" w:rsidRDefault="00235E11">
            <w:pPr>
              <w:spacing w:after="0"/>
              <w:rPr>
                <w:rFonts w:ascii="Times New Roman" w:eastAsia="Times New Roman" w:hAnsi="Times New Roman" w:cs="Times New Roman"/>
                <w:b/>
                <w:noProof/>
              </w:rPr>
            </w:pPr>
          </w:p>
        </w:tc>
      </w:tr>
      <w:tr w:rsidR="00235E11" w14:paraId="5066FB37" w14:textId="77777777">
        <w:trPr>
          <w:trHeight w:val="2596"/>
        </w:trPr>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4DFA86B" w14:textId="77777777" w:rsidR="00235E11" w:rsidRDefault="00F837E4">
            <w:pPr>
              <w:pStyle w:val="P68B1DB1-Normal10"/>
              <w:spacing w:after="0"/>
              <w:jc w:val="center"/>
              <w:rPr>
                <w:noProof/>
              </w:rPr>
            </w:pPr>
            <w:r>
              <w:rPr>
                <w:noProof/>
              </w:rPr>
              <w:t>195</w:t>
            </w:r>
          </w:p>
        </w:tc>
        <w:tc>
          <w:tcPr>
            <w:tcW w:w="1346" w:type="dxa"/>
            <w:tcBorders>
              <w:top w:val="single" w:sz="4" w:space="0" w:color="auto"/>
              <w:left w:val="nil"/>
              <w:bottom w:val="single" w:sz="4" w:space="0" w:color="auto"/>
              <w:right w:val="single" w:sz="4" w:space="0" w:color="auto"/>
            </w:tcBorders>
            <w:shd w:val="clear" w:color="auto" w:fill="C6EFCE"/>
            <w:noWrap/>
            <w:vAlign w:val="center"/>
            <w:hideMark/>
          </w:tcPr>
          <w:p w14:paraId="334CDE6C" w14:textId="77777777" w:rsidR="00235E11" w:rsidRDefault="00F837E4">
            <w:pPr>
              <w:pStyle w:val="P68B1DB1-Normal10"/>
              <w:spacing w:after="0"/>
              <w:rPr>
                <w:noProof/>
              </w:rPr>
            </w:pPr>
            <w:r>
              <w:rPr>
                <w:noProof/>
              </w:rPr>
              <w:t>Брюкселска регионална стратегия за икономически преход (R-5.08)</w:t>
            </w:r>
          </w:p>
        </w:tc>
        <w:tc>
          <w:tcPr>
            <w:tcW w:w="1122" w:type="dxa"/>
            <w:tcBorders>
              <w:top w:val="single" w:sz="4" w:space="0" w:color="auto"/>
              <w:left w:val="nil"/>
              <w:bottom w:val="single" w:sz="4" w:space="0" w:color="auto"/>
              <w:right w:val="single" w:sz="4" w:space="0" w:color="auto"/>
            </w:tcBorders>
            <w:shd w:val="clear" w:color="auto" w:fill="C6EFCE"/>
            <w:noWrap/>
            <w:vAlign w:val="center"/>
            <w:hideMark/>
          </w:tcPr>
          <w:p w14:paraId="26FDAF00" w14:textId="64F8237B" w:rsidR="00235E11" w:rsidRDefault="00F837E4">
            <w:pPr>
              <w:pStyle w:val="P68B1DB1-Normal10"/>
              <w:spacing w:after="0"/>
              <w:rPr>
                <w:noProof/>
              </w:rPr>
            </w:pPr>
            <w:r>
              <w:rPr>
                <w:noProof/>
              </w:rPr>
              <w:t>M</w:t>
            </w:r>
          </w:p>
        </w:tc>
        <w:tc>
          <w:tcPr>
            <w:tcW w:w="1417" w:type="dxa"/>
            <w:tcBorders>
              <w:top w:val="single" w:sz="4" w:space="0" w:color="auto"/>
              <w:left w:val="nil"/>
              <w:bottom w:val="single" w:sz="4" w:space="0" w:color="auto"/>
              <w:right w:val="single" w:sz="4" w:space="0" w:color="auto"/>
            </w:tcBorders>
            <w:shd w:val="clear" w:color="auto" w:fill="C6EFCE"/>
            <w:noWrap/>
            <w:vAlign w:val="center"/>
            <w:hideMark/>
          </w:tcPr>
          <w:p w14:paraId="6D2F5DB3" w14:textId="77777777" w:rsidR="00235E11" w:rsidRDefault="00F837E4">
            <w:pPr>
              <w:pStyle w:val="P68B1DB1-Normal10"/>
              <w:spacing w:after="0"/>
              <w:rPr>
                <w:noProof/>
              </w:rPr>
            </w:pPr>
            <w:r>
              <w:rPr>
                <w:noProof/>
              </w:rPr>
              <w:t>Приемане на регионалната стратегия за икономически преход</w:t>
            </w:r>
          </w:p>
        </w:tc>
        <w:tc>
          <w:tcPr>
            <w:tcW w:w="1985" w:type="dxa"/>
            <w:tcBorders>
              <w:top w:val="single" w:sz="4" w:space="0" w:color="auto"/>
              <w:left w:val="nil"/>
              <w:bottom w:val="single" w:sz="4" w:space="0" w:color="auto"/>
              <w:right w:val="single" w:sz="4" w:space="0" w:color="auto"/>
            </w:tcBorders>
            <w:shd w:val="clear" w:color="auto" w:fill="C6EFCE"/>
            <w:noWrap/>
            <w:vAlign w:val="center"/>
            <w:hideMark/>
          </w:tcPr>
          <w:p w14:paraId="4D2A9FE7" w14:textId="77777777" w:rsidR="00235E11" w:rsidRDefault="00F837E4">
            <w:pPr>
              <w:pStyle w:val="P68B1DB1-Normal10"/>
              <w:spacing w:after="0"/>
              <w:rPr>
                <w:noProof/>
              </w:rPr>
            </w:pPr>
            <w:r>
              <w:rPr>
                <w:noProof/>
              </w:rPr>
              <w:t>Решение на правителството на регион Брюксел-столица, в което се посочва приемането на стратегията</w:t>
            </w:r>
          </w:p>
        </w:tc>
        <w:tc>
          <w:tcPr>
            <w:tcW w:w="1134" w:type="dxa"/>
            <w:tcBorders>
              <w:top w:val="nil"/>
              <w:left w:val="nil"/>
              <w:bottom w:val="single" w:sz="4" w:space="0" w:color="auto"/>
              <w:right w:val="single" w:sz="4" w:space="0" w:color="auto"/>
            </w:tcBorders>
            <w:shd w:val="clear" w:color="auto" w:fill="C6EFCE"/>
            <w:noWrap/>
            <w:vAlign w:val="center"/>
            <w:hideMark/>
          </w:tcPr>
          <w:p w14:paraId="77452EC4"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34200AD7" w14:textId="77777777" w:rsidR="00235E11" w:rsidRDefault="00235E11">
            <w:pPr>
              <w:spacing w:after="0"/>
              <w:jc w:val="right"/>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4C4CBAD6"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hideMark/>
          </w:tcPr>
          <w:p w14:paraId="36A890B0" w14:textId="77777777" w:rsidR="00235E11" w:rsidRDefault="00F837E4">
            <w:pPr>
              <w:pStyle w:val="P68B1DB1-Normal10"/>
              <w:spacing w:after="0"/>
              <w:jc w:val="center"/>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hideMark/>
          </w:tcPr>
          <w:p w14:paraId="7BC38DD2" w14:textId="77777777" w:rsidR="00235E11" w:rsidRDefault="00F837E4">
            <w:pPr>
              <w:pStyle w:val="P68B1DB1-Normal10"/>
              <w:spacing w:after="0"/>
              <w:jc w:val="center"/>
              <w:rPr>
                <w:noProof/>
              </w:rPr>
            </w:pPr>
            <w:r>
              <w:rPr>
                <w:noProof/>
              </w:rPr>
              <w:t>2022</w:t>
            </w:r>
          </w:p>
        </w:tc>
        <w:tc>
          <w:tcPr>
            <w:tcW w:w="4856" w:type="dxa"/>
            <w:gridSpan w:val="2"/>
            <w:tcBorders>
              <w:top w:val="single" w:sz="4" w:space="0" w:color="auto"/>
              <w:left w:val="nil"/>
              <w:bottom w:val="single" w:sz="4" w:space="0" w:color="auto"/>
              <w:right w:val="single" w:sz="4" w:space="0" w:color="auto"/>
            </w:tcBorders>
            <w:shd w:val="clear" w:color="auto" w:fill="C6EFCE"/>
            <w:noWrap/>
            <w:vAlign w:val="center"/>
            <w:hideMark/>
          </w:tcPr>
          <w:p w14:paraId="1824A1FC" w14:textId="77777777" w:rsidR="00235E11" w:rsidRDefault="00F837E4">
            <w:pPr>
              <w:pStyle w:val="P68B1DB1-Normal10"/>
              <w:spacing w:after="0"/>
              <w:rPr>
                <w:noProof/>
              </w:rPr>
            </w:pPr>
            <w:r>
              <w:rPr>
                <w:noProof/>
              </w:rPr>
              <w:t>Стратегия за икономически преход на регион Брюксел, приета от правителството на регион Брюксел-столица (</w:t>
            </w:r>
            <w:r>
              <w:rPr>
                <w:i/>
                <w:noProof/>
              </w:rPr>
              <w:t>Décision du Gouvernement de la Région de Bruxelles-Capitale</w:t>
            </w:r>
            <w:r>
              <w:rPr>
                <w:noProof/>
              </w:rPr>
              <w:t>), в която се определят целите за 2030 г., въз основа на координация между публичните участници и активното участие на частния сектор, включително петгодишен план за действие, обхващащ приоритетните области на действие, който въвежда съгласуван пакет от публични стимули за иновации и благоприятства предприемачеството за екологичния преход.</w:t>
            </w:r>
          </w:p>
        </w:tc>
      </w:tr>
      <w:tr w:rsidR="00235E11" w14:paraId="1E722C95" w14:textId="77777777">
        <w:trPr>
          <w:trHeight w:val="1941"/>
        </w:trPr>
        <w:tc>
          <w:tcPr>
            <w:tcW w:w="793" w:type="dxa"/>
            <w:tcBorders>
              <w:top w:val="nil"/>
              <w:left w:val="single" w:sz="4" w:space="0" w:color="auto"/>
              <w:bottom w:val="single" w:sz="4" w:space="0" w:color="auto"/>
              <w:right w:val="single" w:sz="4" w:space="0" w:color="auto"/>
            </w:tcBorders>
            <w:shd w:val="clear" w:color="auto" w:fill="C6EFCE"/>
            <w:noWrap/>
            <w:vAlign w:val="center"/>
            <w:hideMark/>
          </w:tcPr>
          <w:p w14:paraId="19C04F70" w14:textId="77777777" w:rsidR="00235E11" w:rsidRDefault="00F837E4">
            <w:pPr>
              <w:pStyle w:val="P68B1DB1-Normal10"/>
              <w:spacing w:after="0"/>
              <w:jc w:val="center"/>
              <w:rPr>
                <w:noProof/>
              </w:rPr>
            </w:pPr>
            <w:r>
              <w:rPr>
                <w:noProof/>
              </w:rPr>
              <w:t>196</w:t>
            </w:r>
          </w:p>
        </w:tc>
        <w:tc>
          <w:tcPr>
            <w:tcW w:w="1346" w:type="dxa"/>
            <w:tcBorders>
              <w:top w:val="nil"/>
              <w:left w:val="nil"/>
              <w:bottom w:val="single" w:sz="4" w:space="0" w:color="auto"/>
              <w:right w:val="single" w:sz="4" w:space="0" w:color="auto"/>
            </w:tcBorders>
            <w:shd w:val="clear" w:color="auto" w:fill="C6EFCE"/>
            <w:noWrap/>
            <w:vAlign w:val="center"/>
            <w:hideMark/>
          </w:tcPr>
          <w:p w14:paraId="01B44918" w14:textId="77777777" w:rsidR="00235E11" w:rsidRDefault="00F837E4">
            <w:pPr>
              <w:pStyle w:val="P68B1DB1-Normal10"/>
              <w:spacing w:after="0"/>
              <w:rPr>
                <w:noProof/>
              </w:rPr>
            </w:pPr>
            <w:r>
              <w:rPr>
                <w:noProof/>
              </w:rPr>
              <w:t>Управление на кръговата Фландрия (R-5.09)</w:t>
            </w:r>
          </w:p>
        </w:tc>
        <w:tc>
          <w:tcPr>
            <w:tcW w:w="1122" w:type="dxa"/>
            <w:tcBorders>
              <w:top w:val="nil"/>
              <w:left w:val="nil"/>
              <w:bottom w:val="single" w:sz="4" w:space="0" w:color="auto"/>
              <w:right w:val="single" w:sz="4" w:space="0" w:color="auto"/>
            </w:tcBorders>
            <w:shd w:val="clear" w:color="auto" w:fill="C6EFCE"/>
            <w:noWrap/>
            <w:vAlign w:val="center"/>
            <w:hideMark/>
          </w:tcPr>
          <w:p w14:paraId="7C64C32E" w14:textId="1E7619AD" w:rsidR="00235E11" w:rsidRDefault="00F837E4">
            <w:pPr>
              <w:pStyle w:val="P68B1DB1-Normal10"/>
              <w:spacing w:after="0"/>
              <w:rPr>
                <w:noProof/>
              </w:rPr>
            </w:pPr>
            <w:r>
              <w:rPr>
                <w:noProof/>
              </w:rPr>
              <w:t>M</w:t>
            </w:r>
          </w:p>
        </w:tc>
        <w:tc>
          <w:tcPr>
            <w:tcW w:w="1417" w:type="dxa"/>
            <w:tcBorders>
              <w:top w:val="nil"/>
              <w:left w:val="nil"/>
              <w:bottom w:val="single" w:sz="4" w:space="0" w:color="auto"/>
              <w:right w:val="single" w:sz="4" w:space="0" w:color="auto"/>
            </w:tcBorders>
            <w:shd w:val="clear" w:color="auto" w:fill="C6EFCE"/>
            <w:noWrap/>
            <w:vAlign w:val="center"/>
            <w:hideMark/>
          </w:tcPr>
          <w:p w14:paraId="40A0B506" w14:textId="77777777" w:rsidR="00235E11" w:rsidRDefault="00F837E4">
            <w:pPr>
              <w:pStyle w:val="P68B1DB1-Normal10"/>
              <w:spacing w:after="0"/>
              <w:rPr>
                <w:noProof/>
              </w:rPr>
            </w:pPr>
            <w:r>
              <w:rPr>
                <w:noProof/>
              </w:rPr>
              <w:t>Стартиране на ръководната група на Кръгова Фландрия</w:t>
            </w:r>
          </w:p>
        </w:tc>
        <w:tc>
          <w:tcPr>
            <w:tcW w:w="1985" w:type="dxa"/>
            <w:tcBorders>
              <w:top w:val="nil"/>
              <w:left w:val="nil"/>
              <w:bottom w:val="single" w:sz="4" w:space="0" w:color="auto"/>
              <w:right w:val="single" w:sz="4" w:space="0" w:color="auto"/>
            </w:tcBorders>
            <w:shd w:val="clear" w:color="auto" w:fill="C6EFCE"/>
            <w:noWrap/>
            <w:vAlign w:val="center"/>
            <w:hideMark/>
          </w:tcPr>
          <w:p w14:paraId="704D7494" w14:textId="77777777" w:rsidR="00235E11" w:rsidRDefault="00F837E4">
            <w:pPr>
              <w:pStyle w:val="P68B1DB1-Normal10"/>
              <w:spacing w:after="0"/>
              <w:rPr>
                <w:noProof/>
              </w:rPr>
            </w:pPr>
            <w:r>
              <w:rPr>
                <w:noProof/>
              </w:rPr>
              <w:t xml:space="preserve">Определяне на ръководна група за управлението на кръговата Фландрия и приемане на пътна карта и работни програми </w:t>
            </w:r>
          </w:p>
        </w:tc>
        <w:tc>
          <w:tcPr>
            <w:tcW w:w="1134" w:type="dxa"/>
            <w:tcBorders>
              <w:top w:val="nil"/>
              <w:left w:val="nil"/>
              <w:bottom w:val="single" w:sz="4" w:space="0" w:color="auto"/>
              <w:right w:val="single" w:sz="4" w:space="0" w:color="auto"/>
            </w:tcBorders>
            <w:shd w:val="clear" w:color="auto" w:fill="C6EFCE"/>
            <w:noWrap/>
            <w:vAlign w:val="center"/>
            <w:hideMark/>
          </w:tcPr>
          <w:p w14:paraId="667E43F4"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hideMark/>
          </w:tcPr>
          <w:p w14:paraId="1501E0F4" w14:textId="77777777" w:rsidR="00235E11" w:rsidRDefault="00235E11">
            <w:pPr>
              <w:spacing w:after="0"/>
              <w:jc w:val="right"/>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041FA70B" w14:textId="77777777"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hideMark/>
          </w:tcPr>
          <w:p w14:paraId="4D57FF87" w14:textId="77777777"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43F2B02A" w14:textId="77777777" w:rsidR="00235E11" w:rsidRDefault="00F837E4">
            <w:pPr>
              <w:pStyle w:val="P68B1DB1-Normal10"/>
              <w:spacing w:after="0"/>
              <w:jc w:val="center"/>
              <w:rPr>
                <w:strike/>
                <w:noProof/>
              </w:rPr>
            </w:pPr>
            <w:r>
              <w:rPr>
                <w:noProof/>
              </w:rPr>
              <w:t>2021</w:t>
            </w:r>
          </w:p>
        </w:tc>
        <w:tc>
          <w:tcPr>
            <w:tcW w:w="4856" w:type="dxa"/>
            <w:gridSpan w:val="2"/>
            <w:tcBorders>
              <w:top w:val="nil"/>
              <w:left w:val="nil"/>
              <w:bottom w:val="single" w:sz="4" w:space="0" w:color="auto"/>
              <w:right w:val="single" w:sz="4" w:space="0" w:color="auto"/>
            </w:tcBorders>
            <w:shd w:val="clear" w:color="auto" w:fill="C6EFCE"/>
            <w:noWrap/>
            <w:vAlign w:val="center"/>
            <w:hideMark/>
          </w:tcPr>
          <w:p w14:paraId="505D1818" w14:textId="77777777" w:rsidR="00235E11" w:rsidRDefault="00F837E4">
            <w:pPr>
              <w:pStyle w:val="P68B1DB1-Normal10"/>
              <w:spacing w:after="0"/>
              <w:rPr>
                <w:noProof/>
              </w:rPr>
            </w:pPr>
            <w:r>
              <w:rPr>
                <w:noProof/>
              </w:rPr>
              <w:t>Определяне на ръководна група за управлението на кръговата Фландрия и пътна карта и работни програми за насочване на проекти в областта на кръговата икономика и разработване на стратегически лостове</w:t>
            </w:r>
          </w:p>
        </w:tc>
      </w:tr>
      <w:tr w:rsidR="00235E11" w14:paraId="418FD12D" w14:textId="77777777">
        <w:trPr>
          <w:trHeight w:val="309"/>
        </w:trPr>
        <w:tc>
          <w:tcPr>
            <w:tcW w:w="793" w:type="dxa"/>
            <w:tcBorders>
              <w:top w:val="nil"/>
              <w:left w:val="single" w:sz="4" w:space="0" w:color="auto"/>
              <w:bottom w:val="single" w:sz="4" w:space="0" w:color="auto"/>
              <w:right w:val="single" w:sz="4" w:space="0" w:color="auto"/>
            </w:tcBorders>
            <w:shd w:val="clear" w:color="auto" w:fill="C6EFCE"/>
            <w:noWrap/>
            <w:vAlign w:val="center"/>
            <w:hideMark/>
          </w:tcPr>
          <w:p w14:paraId="1D251E22" w14:textId="77777777" w:rsidR="00235E11" w:rsidRDefault="00F837E4">
            <w:pPr>
              <w:pStyle w:val="P68B1DB1-Normal10"/>
              <w:spacing w:after="0"/>
              <w:jc w:val="center"/>
              <w:rPr>
                <w:noProof/>
              </w:rPr>
            </w:pPr>
            <w:r>
              <w:rPr>
                <w:noProof/>
              </w:rPr>
              <w:t>197</w:t>
            </w:r>
          </w:p>
        </w:tc>
        <w:tc>
          <w:tcPr>
            <w:tcW w:w="1346" w:type="dxa"/>
            <w:tcBorders>
              <w:top w:val="nil"/>
              <w:left w:val="nil"/>
              <w:bottom w:val="single" w:sz="4" w:space="0" w:color="auto"/>
              <w:right w:val="single" w:sz="4" w:space="0" w:color="auto"/>
            </w:tcBorders>
            <w:shd w:val="clear" w:color="auto" w:fill="C6EFCE"/>
            <w:noWrap/>
            <w:vAlign w:val="center"/>
            <w:hideMark/>
          </w:tcPr>
          <w:p w14:paraId="3401B533" w14:textId="77777777" w:rsidR="00235E11" w:rsidRDefault="00F837E4">
            <w:pPr>
              <w:pStyle w:val="P68B1DB1-Normal10"/>
              <w:spacing w:after="0"/>
              <w:rPr>
                <w:noProof/>
              </w:rPr>
            </w:pPr>
            <w:r>
              <w:rPr>
                <w:noProof/>
              </w:rPr>
              <w:t>Център за рециклиране (I-5.14)</w:t>
            </w:r>
          </w:p>
        </w:tc>
        <w:tc>
          <w:tcPr>
            <w:tcW w:w="1122" w:type="dxa"/>
            <w:tcBorders>
              <w:top w:val="nil"/>
              <w:left w:val="nil"/>
              <w:bottom w:val="single" w:sz="4" w:space="0" w:color="auto"/>
              <w:right w:val="single" w:sz="4" w:space="0" w:color="auto"/>
            </w:tcBorders>
            <w:shd w:val="clear" w:color="auto" w:fill="C6EFCE"/>
            <w:noWrap/>
            <w:vAlign w:val="center"/>
            <w:hideMark/>
          </w:tcPr>
          <w:p w14:paraId="40913DDE" w14:textId="47244797" w:rsidR="00235E11" w:rsidRDefault="00F837E4">
            <w:pPr>
              <w:pStyle w:val="P68B1DB1-Normal10"/>
              <w:spacing w:after="0"/>
              <w:rPr>
                <w:noProof/>
              </w:rPr>
            </w:pPr>
            <w:r>
              <w:rPr>
                <w:noProof/>
              </w:rPr>
              <w:t>T</w:t>
            </w:r>
          </w:p>
        </w:tc>
        <w:tc>
          <w:tcPr>
            <w:tcW w:w="1417" w:type="dxa"/>
            <w:tcBorders>
              <w:top w:val="nil"/>
              <w:left w:val="nil"/>
              <w:bottom w:val="single" w:sz="4" w:space="0" w:color="auto"/>
              <w:right w:val="single" w:sz="4" w:space="0" w:color="auto"/>
            </w:tcBorders>
            <w:shd w:val="clear" w:color="auto" w:fill="C6EFCE"/>
            <w:noWrap/>
            <w:vAlign w:val="center"/>
            <w:hideMark/>
          </w:tcPr>
          <w:p w14:paraId="1EFF4D69" w14:textId="77777777" w:rsidR="00235E11" w:rsidRDefault="00F837E4">
            <w:pPr>
              <w:pStyle w:val="P68B1DB1-Normal10"/>
              <w:spacing w:after="0"/>
              <w:rPr>
                <w:noProof/>
              </w:rPr>
            </w:pPr>
            <w:r>
              <w:rPr>
                <w:noProof/>
              </w:rPr>
              <w:t>Възлагане на шест обществени поръчки за съоръжения за рециклиране</w:t>
            </w:r>
          </w:p>
        </w:tc>
        <w:tc>
          <w:tcPr>
            <w:tcW w:w="1985" w:type="dxa"/>
            <w:tcBorders>
              <w:top w:val="nil"/>
              <w:left w:val="nil"/>
              <w:bottom w:val="single" w:sz="4" w:space="0" w:color="auto"/>
              <w:right w:val="single" w:sz="4" w:space="0" w:color="auto"/>
            </w:tcBorders>
            <w:shd w:val="clear" w:color="auto" w:fill="C6EFCE"/>
            <w:noWrap/>
            <w:vAlign w:val="center"/>
            <w:hideMark/>
          </w:tcPr>
          <w:p w14:paraId="43496DDE"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hideMark/>
          </w:tcPr>
          <w:p w14:paraId="7308A461" w14:textId="77777777" w:rsidR="00235E11" w:rsidRDefault="00F837E4">
            <w:pPr>
              <w:pStyle w:val="P68B1DB1-Normal10"/>
              <w:spacing w:after="0"/>
              <w:rPr>
                <w:noProof/>
              </w:rPr>
            </w:pPr>
            <w:r>
              <w:rPr>
                <w:noProof/>
              </w:rPr>
              <w:t>Съоръжения</w:t>
            </w:r>
          </w:p>
        </w:tc>
        <w:tc>
          <w:tcPr>
            <w:tcW w:w="992" w:type="dxa"/>
            <w:tcBorders>
              <w:top w:val="nil"/>
              <w:left w:val="nil"/>
              <w:bottom w:val="single" w:sz="4" w:space="0" w:color="auto"/>
              <w:right w:val="single" w:sz="4" w:space="0" w:color="auto"/>
            </w:tcBorders>
            <w:shd w:val="clear" w:color="auto" w:fill="C6EFCE"/>
            <w:noWrap/>
            <w:vAlign w:val="center"/>
            <w:hideMark/>
          </w:tcPr>
          <w:p w14:paraId="2D970910" w14:textId="3D9CC043" w:rsidR="00235E11" w:rsidRDefault="00F837E4">
            <w:pPr>
              <w:pStyle w:val="P68B1DB1-Normal10"/>
              <w:spacing w:after="0"/>
              <w:jc w:val="right"/>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hideMark/>
          </w:tcPr>
          <w:p w14:paraId="16436CFA" w14:textId="4188AE4B" w:rsidR="00235E11" w:rsidRDefault="00F837E4">
            <w:pPr>
              <w:pStyle w:val="P68B1DB1-Normal10"/>
              <w:spacing w:after="0"/>
              <w:jc w:val="right"/>
              <w:rPr>
                <w:noProof/>
              </w:rPr>
            </w:pPr>
            <w:r>
              <w:rPr>
                <w:noProof/>
              </w:rPr>
              <w:t>6</w:t>
            </w:r>
          </w:p>
        </w:tc>
        <w:tc>
          <w:tcPr>
            <w:tcW w:w="709" w:type="dxa"/>
            <w:tcBorders>
              <w:top w:val="nil"/>
              <w:left w:val="nil"/>
              <w:bottom w:val="single" w:sz="4" w:space="0" w:color="auto"/>
              <w:right w:val="single" w:sz="4" w:space="0" w:color="auto"/>
            </w:tcBorders>
            <w:shd w:val="clear" w:color="auto" w:fill="C6EFCE"/>
            <w:noWrap/>
            <w:vAlign w:val="center"/>
            <w:hideMark/>
          </w:tcPr>
          <w:p w14:paraId="33B87535" w14:textId="339358ED" w:rsidR="00235E11" w:rsidRDefault="00F837E4">
            <w:pPr>
              <w:pStyle w:val="P68B1DB1-Normal10"/>
              <w:spacing w:after="0"/>
              <w:jc w:val="center"/>
              <w:rPr>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hideMark/>
          </w:tcPr>
          <w:p w14:paraId="4675498C" w14:textId="77777777" w:rsidR="00235E11" w:rsidRDefault="00F837E4">
            <w:pPr>
              <w:pStyle w:val="P68B1DB1-Normal10"/>
              <w:spacing w:after="0"/>
              <w:jc w:val="center"/>
              <w:rPr>
                <w:noProof/>
              </w:rPr>
            </w:pPr>
            <w:r>
              <w:rPr>
                <w:noProof/>
              </w:rPr>
              <w:t>2022</w:t>
            </w:r>
          </w:p>
        </w:tc>
        <w:tc>
          <w:tcPr>
            <w:tcW w:w="4856" w:type="dxa"/>
            <w:gridSpan w:val="2"/>
            <w:tcBorders>
              <w:top w:val="nil"/>
              <w:left w:val="nil"/>
              <w:bottom w:val="single" w:sz="4" w:space="0" w:color="auto"/>
              <w:right w:val="single" w:sz="4" w:space="0" w:color="auto"/>
            </w:tcBorders>
            <w:shd w:val="clear" w:color="auto" w:fill="C6EFCE"/>
            <w:noWrap/>
            <w:vAlign w:val="center"/>
            <w:hideMark/>
          </w:tcPr>
          <w:p w14:paraId="1C934ACA" w14:textId="77777777" w:rsidR="00235E11" w:rsidRDefault="00F837E4">
            <w:pPr>
              <w:pStyle w:val="P68B1DB1-Normal10"/>
              <w:spacing w:after="0"/>
              <w:rPr>
                <w:noProof/>
              </w:rPr>
            </w:pPr>
            <w:r>
              <w:rPr>
                <w:noProof/>
              </w:rPr>
              <w:t>За подпомагане са избрани шест инвестиционни проекта за съоръжения за рециклиране. Жури прави оценка на проектите, като окончателният подбор се потвърждава от фламандския министър на околната среда.</w:t>
            </w:r>
          </w:p>
          <w:p w14:paraId="59A8F36F" w14:textId="5B1FBDC7" w:rsidR="00235E11" w:rsidRDefault="00F837E4">
            <w:pPr>
              <w:pStyle w:val="P68B1DB1-Normal10"/>
              <w:spacing w:after="0"/>
              <w:rPr>
                <w:noProof/>
              </w:rPr>
            </w:pPr>
            <w:r>
              <w:rPr>
                <w:noProof/>
              </w:rPr>
              <w:t>Възлагане на договорите на проектите, избрани в рамките на състезателната покана за представяне на предложения, със задание, включително критерии за допустимост, които гарантират, че избраните проекти отговарят на техническите насоки за „ненанасяне на значителни вреди“ (2021/C58/01) чрез използването на списък за отстраняване и изискването за спазване на съответното законодателство на ЕС и национално законодателство в областта на околната среда.</w:t>
            </w:r>
          </w:p>
        </w:tc>
      </w:tr>
      <w:tr w:rsidR="00235E11" w14:paraId="2D85031D" w14:textId="77777777">
        <w:trPr>
          <w:trHeight w:val="1180"/>
        </w:trPr>
        <w:tc>
          <w:tcPr>
            <w:tcW w:w="793" w:type="dxa"/>
            <w:tcBorders>
              <w:top w:val="nil"/>
              <w:left w:val="single" w:sz="4" w:space="0" w:color="auto"/>
              <w:bottom w:val="single" w:sz="4" w:space="0" w:color="auto"/>
              <w:right w:val="single" w:sz="4" w:space="0" w:color="auto"/>
            </w:tcBorders>
            <w:shd w:val="clear" w:color="auto" w:fill="C6EFCE"/>
            <w:noWrap/>
            <w:vAlign w:val="center"/>
            <w:hideMark/>
          </w:tcPr>
          <w:p w14:paraId="45587BBF" w14:textId="77777777" w:rsidR="00235E11" w:rsidRDefault="00F837E4">
            <w:pPr>
              <w:pStyle w:val="P68B1DB1-Normal10"/>
              <w:spacing w:after="0"/>
              <w:jc w:val="center"/>
              <w:rPr>
                <w:noProof/>
              </w:rPr>
            </w:pPr>
            <w:r>
              <w:rPr>
                <w:noProof/>
              </w:rPr>
              <w:t>198</w:t>
            </w:r>
          </w:p>
        </w:tc>
        <w:tc>
          <w:tcPr>
            <w:tcW w:w="1346" w:type="dxa"/>
            <w:tcBorders>
              <w:top w:val="nil"/>
              <w:left w:val="nil"/>
              <w:bottom w:val="single" w:sz="4" w:space="0" w:color="auto"/>
              <w:right w:val="single" w:sz="4" w:space="0" w:color="auto"/>
            </w:tcBorders>
            <w:shd w:val="clear" w:color="auto" w:fill="C6EFCE"/>
            <w:noWrap/>
            <w:vAlign w:val="center"/>
            <w:hideMark/>
          </w:tcPr>
          <w:p w14:paraId="6E902467" w14:textId="77777777" w:rsidR="00235E11" w:rsidRDefault="00F837E4">
            <w:pPr>
              <w:pStyle w:val="P68B1DB1-Normal10"/>
              <w:spacing w:after="0"/>
              <w:rPr>
                <w:noProof/>
              </w:rPr>
            </w:pPr>
            <w:r>
              <w:rPr>
                <w:noProof/>
              </w:rPr>
              <w:t>Център за рециклиране (I-5.14)</w:t>
            </w:r>
          </w:p>
        </w:tc>
        <w:tc>
          <w:tcPr>
            <w:tcW w:w="1122" w:type="dxa"/>
            <w:tcBorders>
              <w:top w:val="nil"/>
              <w:left w:val="nil"/>
              <w:bottom w:val="single" w:sz="4" w:space="0" w:color="auto"/>
              <w:right w:val="single" w:sz="4" w:space="0" w:color="auto"/>
            </w:tcBorders>
            <w:shd w:val="clear" w:color="auto" w:fill="C6EFCE"/>
            <w:noWrap/>
            <w:vAlign w:val="center"/>
            <w:hideMark/>
          </w:tcPr>
          <w:p w14:paraId="2AD17157" w14:textId="01F0190F" w:rsidR="00235E11" w:rsidRDefault="00F837E4">
            <w:pPr>
              <w:pStyle w:val="P68B1DB1-Normal10"/>
              <w:spacing w:after="0"/>
              <w:rPr>
                <w:noProof/>
              </w:rPr>
            </w:pPr>
            <w:r>
              <w:rPr>
                <w:noProof/>
              </w:rPr>
              <w:t>T</w:t>
            </w:r>
          </w:p>
        </w:tc>
        <w:tc>
          <w:tcPr>
            <w:tcW w:w="1417" w:type="dxa"/>
            <w:tcBorders>
              <w:top w:val="nil"/>
              <w:left w:val="nil"/>
              <w:bottom w:val="single" w:sz="4" w:space="0" w:color="auto"/>
              <w:right w:val="single" w:sz="4" w:space="0" w:color="auto"/>
            </w:tcBorders>
            <w:shd w:val="clear" w:color="auto" w:fill="C6EFCE"/>
            <w:noWrap/>
            <w:vAlign w:val="center"/>
            <w:hideMark/>
          </w:tcPr>
          <w:p w14:paraId="3FF5DC10" w14:textId="77777777" w:rsidR="00235E11" w:rsidRDefault="00F837E4">
            <w:pPr>
              <w:pStyle w:val="P68B1DB1-Normal10"/>
              <w:spacing w:after="0"/>
              <w:rPr>
                <w:noProof/>
              </w:rPr>
            </w:pPr>
            <w:r>
              <w:rPr>
                <w:noProof/>
              </w:rPr>
              <w:t>Приключване на работите в шест съоръжения за рециклиране</w:t>
            </w:r>
          </w:p>
        </w:tc>
        <w:tc>
          <w:tcPr>
            <w:tcW w:w="1985" w:type="dxa"/>
            <w:tcBorders>
              <w:top w:val="nil"/>
              <w:left w:val="nil"/>
              <w:bottom w:val="single" w:sz="4" w:space="0" w:color="auto"/>
              <w:right w:val="single" w:sz="4" w:space="0" w:color="auto"/>
            </w:tcBorders>
            <w:shd w:val="clear" w:color="auto" w:fill="C6EFCE"/>
            <w:noWrap/>
            <w:vAlign w:val="center"/>
            <w:hideMark/>
          </w:tcPr>
          <w:p w14:paraId="56083A43" w14:textId="7A972EE6"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hideMark/>
          </w:tcPr>
          <w:p w14:paraId="14AFFE20" w14:textId="77777777" w:rsidR="00235E11" w:rsidRDefault="00F837E4">
            <w:pPr>
              <w:pStyle w:val="P68B1DB1-Normal10"/>
              <w:spacing w:after="0"/>
              <w:rPr>
                <w:noProof/>
              </w:rPr>
            </w:pPr>
            <w:r>
              <w:rPr>
                <w:noProof/>
              </w:rPr>
              <w:t>Съоръжения</w:t>
            </w:r>
          </w:p>
        </w:tc>
        <w:tc>
          <w:tcPr>
            <w:tcW w:w="992" w:type="dxa"/>
            <w:tcBorders>
              <w:top w:val="nil"/>
              <w:left w:val="nil"/>
              <w:bottom w:val="single" w:sz="4" w:space="0" w:color="auto"/>
              <w:right w:val="single" w:sz="4" w:space="0" w:color="auto"/>
            </w:tcBorders>
            <w:shd w:val="clear" w:color="auto" w:fill="C6EFCE"/>
            <w:noWrap/>
            <w:vAlign w:val="center"/>
            <w:hideMark/>
          </w:tcPr>
          <w:p w14:paraId="3EB4C6AD" w14:textId="3308FB23" w:rsidR="00235E11" w:rsidRDefault="00F837E4">
            <w:pPr>
              <w:pStyle w:val="P68B1DB1-Normal10"/>
              <w:spacing w:after="0"/>
              <w:jc w:val="right"/>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hideMark/>
          </w:tcPr>
          <w:p w14:paraId="3836A567" w14:textId="77777777" w:rsidR="00235E11" w:rsidRDefault="00F837E4">
            <w:pPr>
              <w:pStyle w:val="P68B1DB1-Normal10"/>
              <w:spacing w:after="0"/>
              <w:jc w:val="right"/>
              <w:rPr>
                <w:noProof/>
              </w:rPr>
            </w:pPr>
            <w:r>
              <w:rPr>
                <w:noProof/>
              </w:rPr>
              <w:t>6</w:t>
            </w:r>
          </w:p>
        </w:tc>
        <w:tc>
          <w:tcPr>
            <w:tcW w:w="709" w:type="dxa"/>
            <w:tcBorders>
              <w:top w:val="nil"/>
              <w:left w:val="nil"/>
              <w:bottom w:val="single" w:sz="4" w:space="0" w:color="auto"/>
              <w:right w:val="single" w:sz="4" w:space="0" w:color="auto"/>
            </w:tcBorders>
            <w:shd w:val="clear" w:color="auto" w:fill="C6EFCE"/>
            <w:noWrap/>
            <w:vAlign w:val="center"/>
            <w:hideMark/>
          </w:tcPr>
          <w:p w14:paraId="23742FFE"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hideMark/>
          </w:tcPr>
          <w:p w14:paraId="3B61F95E" w14:textId="77777777" w:rsidR="00235E11" w:rsidRDefault="00F837E4">
            <w:pPr>
              <w:pStyle w:val="P68B1DB1-Normal10"/>
              <w:spacing w:after="0"/>
              <w:jc w:val="center"/>
              <w:rPr>
                <w:noProof/>
              </w:rPr>
            </w:pPr>
            <w:r>
              <w:rPr>
                <w:noProof/>
              </w:rPr>
              <w:t>2026</w:t>
            </w:r>
          </w:p>
        </w:tc>
        <w:tc>
          <w:tcPr>
            <w:tcW w:w="4856" w:type="dxa"/>
            <w:gridSpan w:val="2"/>
            <w:tcBorders>
              <w:top w:val="nil"/>
              <w:left w:val="nil"/>
              <w:bottom w:val="single" w:sz="4" w:space="0" w:color="auto"/>
              <w:right w:val="single" w:sz="4" w:space="0" w:color="auto"/>
            </w:tcBorders>
            <w:shd w:val="clear" w:color="auto" w:fill="C6EFCE"/>
            <w:noWrap/>
            <w:vAlign w:val="center"/>
            <w:hideMark/>
          </w:tcPr>
          <w:p w14:paraId="38A859AD" w14:textId="77777777" w:rsidR="00235E11" w:rsidRDefault="00F837E4">
            <w:pPr>
              <w:pStyle w:val="P68B1DB1-Normal10"/>
              <w:spacing w:after="0"/>
              <w:rPr>
                <w:noProof/>
              </w:rPr>
            </w:pPr>
            <w:r>
              <w:rPr>
                <w:noProof/>
              </w:rPr>
              <w:t>Шест съоръжения за рециклиране са изградени, адаптирани или разширени с цел подобряване на процесите на рециклиране.</w:t>
            </w:r>
          </w:p>
        </w:tc>
      </w:tr>
      <w:tr w:rsidR="00235E11" w14:paraId="4D9E14DC" w14:textId="77777777">
        <w:trPr>
          <w:trHeight w:val="309"/>
        </w:trPr>
        <w:tc>
          <w:tcPr>
            <w:tcW w:w="793" w:type="dxa"/>
            <w:tcBorders>
              <w:top w:val="nil"/>
              <w:left w:val="single" w:sz="4" w:space="0" w:color="auto"/>
              <w:bottom w:val="single" w:sz="4" w:space="0" w:color="auto"/>
              <w:right w:val="single" w:sz="4" w:space="0" w:color="auto"/>
            </w:tcBorders>
            <w:shd w:val="clear" w:color="auto" w:fill="C6EFCE"/>
            <w:noWrap/>
            <w:vAlign w:val="center"/>
          </w:tcPr>
          <w:p w14:paraId="62D52B07" w14:textId="77777777" w:rsidR="00235E11" w:rsidRDefault="00F837E4">
            <w:pPr>
              <w:pStyle w:val="P68B1DB1-Normal10"/>
              <w:spacing w:after="0"/>
              <w:jc w:val="center"/>
              <w:rPr>
                <w:noProof/>
              </w:rPr>
            </w:pPr>
            <w:r>
              <w:rPr>
                <w:noProof/>
              </w:rPr>
              <w:t>199</w:t>
            </w:r>
          </w:p>
        </w:tc>
        <w:tc>
          <w:tcPr>
            <w:tcW w:w="1346" w:type="dxa"/>
            <w:tcBorders>
              <w:top w:val="nil"/>
              <w:left w:val="nil"/>
              <w:bottom w:val="single" w:sz="4" w:space="0" w:color="auto"/>
              <w:right w:val="single" w:sz="4" w:space="0" w:color="auto"/>
            </w:tcBorders>
            <w:shd w:val="clear" w:color="auto" w:fill="C6EFCE"/>
            <w:noWrap/>
            <w:vAlign w:val="center"/>
          </w:tcPr>
          <w:p w14:paraId="26E08DED" w14:textId="77777777" w:rsidR="00235E11" w:rsidRDefault="00F837E4">
            <w:pPr>
              <w:pStyle w:val="P68B1DB1-Normal10"/>
              <w:spacing w:after="0"/>
              <w:rPr>
                <w:noProof/>
              </w:rPr>
            </w:pPr>
            <w:r>
              <w:rPr>
                <w:noProof/>
              </w:rPr>
              <w:t>Белгия изгражда контракулярно циркулярно писмо (I-5.15)</w:t>
            </w:r>
          </w:p>
        </w:tc>
        <w:tc>
          <w:tcPr>
            <w:tcW w:w="1122" w:type="dxa"/>
            <w:tcBorders>
              <w:top w:val="nil"/>
              <w:left w:val="nil"/>
              <w:bottom w:val="single" w:sz="4" w:space="0" w:color="auto"/>
              <w:right w:val="single" w:sz="4" w:space="0" w:color="auto"/>
            </w:tcBorders>
            <w:shd w:val="clear" w:color="auto" w:fill="C6EFCE"/>
            <w:noWrap/>
            <w:vAlign w:val="center"/>
          </w:tcPr>
          <w:p w14:paraId="0FB18389" w14:textId="6C2F5CCC" w:rsidR="00235E11" w:rsidRDefault="00F837E4">
            <w:pPr>
              <w:pStyle w:val="P68B1DB1-Normal10"/>
              <w:spacing w:after="0"/>
              <w:rPr>
                <w:noProof/>
              </w:rPr>
            </w:pPr>
            <w:r>
              <w:rPr>
                <w:noProof/>
              </w:rPr>
              <w:t>M</w:t>
            </w:r>
          </w:p>
        </w:tc>
        <w:tc>
          <w:tcPr>
            <w:tcW w:w="1417" w:type="dxa"/>
            <w:tcBorders>
              <w:top w:val="nil"/>
              <w:left w:val="nil"/>
              <w:bottom w:val="single" w:sz="4" w:space="0" w:color="auto"/>
              <w:right w:val="single" w:sz="4" w:space="0" w:color="auto"/>
            </w:tcBorders>
            <w:shd w:val="clear" w:color="auto" w:fill="C6EFCE"/>
            <w:noWrap/>
            <w:vAlign w:val="center"/>
          </w:tcPr>
          <w:p w14:paraId="280FC85B" w14:textId="77777777" w:rsidR="00235E11" w:rsidRDefault="00F837E4">
            <w:pPr>
              <w:pStyle w:val="P68B1DB1-Normal10"/>
              <w:spacing w:after="0"/>
              <w:rPr>
                <w:noProof/>
              </w:rPr>
            </w:pPr>
            <w:r>
              <w:rPr>
                <w:noProof/>
              </w:rPr>
              <w:t>Възлагане на обществени поръчки за кръгови проекти</w:t>
            </w:r>
          </w:p>
        </w:tc>
        <w:tc>
          <w:tcPr>
            <w:tcW w:w="1985" w:type="dxa"/>
            <w:tcBorders>
              <w:top w:val="nil"/>
              <w:left w:val="nil"/>
              <w:bottom w:val="single" w:sz="4" w:space="0" w:color="auto"/>
              <w:right w:val="single" w:sz="4" w:space="0" w:color="auto"/>
            </w:tcBorders>
            <w:shd w:val="clear" w:color="auto" w:fill="C6EFCE"/>
            <w:noWrap/>
            <w:vAlign w:val="center"/>
          </w:tcPr>
          <w:p w14:paraId="00861DA2" w14:textId="77777777" w:rsidR="00235E11" w:rsidRDefault="00F837E4">
            <w:pPr>
              <w:pStyle w:val="P68B1DB1-Normal10"/>
              <w:spacing w:after="0"/>
              <w:rPr>
                <w:noProof/>
              </w:rPr>
            </w:pPr>
            <w:r>
              <w:rPr>
                <w:noProof/>
              </w:rPr>
              <w:t>Уведомяване на успелите кандидати за възлагане на обществени поръчки</w:t>
            </w:r>
          </w:p>
        </w:tc>
        <w:tc>
          <w:tcPr>
            <w:tcW w:w="1134" w:type="dxa"/>
            <w:tcBorders>
              <w:top w:val="nil"/>
              <w:left w:val="nil"/>
              <w:bottom w:val="single" w:sz="4" w:space="0" w:color="auto"/>
              <w:right w:val="single" w:sz="4" w:space="0" w:color="auto"/>
            </w:tcBorders>
            <w:shd w:val="clear" w:color="auto" w:fill="C6EFCE"/>
            <w:noWrap/>
            <w:vAlign w:val="center"/>
          </w:tcPr>
          <w:p w14:paraId="342B89C6"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05513412" w14:textId="77777777" w:rsidR="00235E11" w:rsidRDefault="00235E11">
            <w:pPr>
              <w:spacing w:after="0"/>
              <w:rPr>
                <w:rFonts w:ascii="Times New Roman" w:eastAsia="Times New Roman" w:hAnsi="Times New Roman" w:cs="Times New Roman"/>
                <w:strike/>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17474BEE" w14:textId="77777777" w:rsidR="00235E11" w:rsidRDefault="00235E11">
            <w:pPr>
              <w:spacing w:after="0"/>
              <w:rPr>
                <w:rFonts w:ascii="Times New Roman" w:eastAsia="Times New Roman" w:hAnsi="Times New Roman" w:cs="Times New Roman"/>
                <w:strike/>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253899D4" w14:textId="77777777" w:rsidR="00235E11" w:rsidRDefault="00F837E4">
            <w:pPr>
              <w:pStyle w:val="P68B1DB1-Normal10"/>
              <w:spacing w:after="0"/>
              <w:jc w:val="center"/>
              <w:rPr>
                <w:noProof/>
              </w:rPr>
            </w:pPr>
            <w:r>
              <w:rPr>
                <w:noProof/>
              </w:rPr>
              <w:t>Т1 Г.</w:t>
            </w:r>
          </w:p>
        </w:tc>
        <w:tc>
          <w:tcPr>
            <w:tcW w:w="709" w:type="dxa"/>
            <w:tcBorders>
              <w:top w:val="nil"/>
              <w:left w:val="nil"/>
              <w:bottom w:val="single" w:sz="4" w:space="0" w:color="auto"/>
              <w:right w:val="single" w:sz="4" w:space="0" w:color="auto"/>
            </w:tcBorders>
            <w:shd w:val="clear" w:color="auto" w:fill="C6EFCE"/>
            <w:noWrap/>
            <w:vAlign w:val="center"/>
          </w:tcPr>
          <w:p w14:paraId="07722A3B" w14:textId="77777777" w:rsidR="00235E11" w:rsidRDefault="00F837E4">
            <w:pPr>
              <w:pStyle w:val="P68B1DB1-Normal10"/>
              <w:spacing w:after="0"/>
              <w:jc w:val="center"/>
              <w:rPr>
                <w:noProof/>
              </w:rPr>
            </w:pPr>
            <w:r>
              <w:rPr>
                <w:noProof/>
              </w:rPr>
              <w:t>2024</w:t>
            </w:r>
          </w:p>
        </w:tc>
        <w:tc>
          <w:tcPr>
            <w:tcW w:w="4856" w:type="dxa"/>
            <w:gridSpan w:val="2"/>
            <w:tcBorders>
              <w:top w:val="nil"/>
              <w:left w:val="nil"/>
              <w:bottom w:val="single" w:sz="4" w:space="0" w:color="auto"/>
              <w:right w:val="single" w:sz="4" w:space="0" w:color="auto"/>
            </w:tcBorders>
            <w:shd w:val="clear" w:color="auto" w:fill="C6EFCE"/>
            <w:noWrap/>
            <w:vAlign w:val="center"/>
          </w:tcPr>
          <w:p w14:paraId="41CACAD9" w14:textId="77777777" w:rsidR="00235E11" w:rsidRDefault="00F837E4">
            <w:pPr>
              <w:pStyle w:val="P68B1DB1-Normal10"/>
              <w:spacing w:after="0"/>
              <w:rPr>
                <w:noProof/>
              </w:rPr>
            </w:pPr>
            <w:r>
              <w:rPr>
                <w:noProof/>
              </w:rPr>
              <w:t>Оперативният секретариат е сключил договор и има функции за насърчаване на сътрудничеството в областта на действията в областта на кръговата икономика и подбора на успешни кандидати след покана за представяне на предложения за десет проекта, свързани с кръговата икономика. Кандидатите са частни дружества, които се нуждаят от финансиране за изпълнението на научноизследователски или оперативен проект в областта на екопроектирането или замяната на химикали. Кандидатът се счита за успешен, когато инвестиционният му проект е официално избран за финансиране от коалицията.</w:t>
            </w:r>
          </w:p>
          <w:p w14:paraId="1BD4CBE0" w14:textId="77777777" w:rsidR="00235E11" w:rsidRDefault="00F837E4">
            <w:pPr>
              <w:pStyle w:val="P68B1DB1-Normal10"/>
              <w:spacing w:after="0"/>
              <w:rPr>
                <w:noProof/>
              </w:rPr>
            </w:pPr>
            <w:r>
              <w:rPr>
                <w:noProof/>
              </w:rPr>
              <w:t>Уведомяване за възлагането на обществени поръчки за проектите, избрани в рамките на състезателната покана за представяне на предложения, със задание, включително критерии за допустимост, които гарантират, че избраните проекти отговарят на техническите насоки за „ненанасяне на значителни вреди“ (2021/C58/01) чрез използването на списък за отстраняване и изискването за спазване на съответното законодателство на ЕС и национално законодателство в областта на околната среда.</w:t>
            </w:r>
          </w:p>
        </w:tc>
      </w:tr>
      <w:tr w:rsidR="00235E11" w14:paraId="1CDCC614" w14:textId="77777777">
        <w:trPr>
          <w:gridAfter w:val="1"/>
          <w:wAfter w:w="66" w:type="dxa"/>
          <w:trHeight w:val="309"/>
        </w:trPr>
        <w:tc>
          <w:tcPr>
            <w:tcW w:w="793" w:type="dxa"/>
            <w:tcBorders>
              <w:top w:val="nil"/>
              <w:left w:val="single" w:sz="4" w:space="0" w:color="auto"/>
              <w:bottom w:val="single" w:sz="4" w:space="0" w:color="auto"/>
              <w:right w:val="single" w:sz="4" w:space="0" w:color="auto"/>
            </w:tcBorders>
            <w:shd w:val="clear" w:color="auto" w:fill="C6EFCE"/>
            <w:noWrap/>
            <w:vAlign w:val="center"/>
          </w:tcPr>
          <w:p w14:paraId="44931683" w14:textId="77777777" w:rsidR="00235E11" w:rsidRDefault="00F837E4">
            <w:pPr>
              <w:pStyle w:val="P68B1DB1-Normal10"/>
              <w:spacing w:after="0"/>
              <w:jc w:val="center"/>
              <w:rPr>
                <w:noProof/>
              </w:rPr>
            </w:pPr>
            <w:r>
              <w:rPr>
                <w:noProof/>
              </w:rPr>
              <w:t>200</w:t>
            </w:r>
          </w:p>
        </w:tc>
        <w:tc>
          <w:tcPr>
            <w:tcW w:w="1346" w:type="dxa"/>
            <w:tcBorders>
              <w:top w:val="nil"/>
              <w:left w:val="nil"/>
              <w:bottom w:val="single" w:sz="4" w:space="0" w:color="auto"/>
              <w:right w:val="single" w:sz="4" w:space="0" w:color="auto"/>
            </w:tcBorders>
            <w:shd w:val="clear" w:color="auto" w:fill="C6EFCE"/>
            <w:noWrap/>
            <w:vAlign w:val="center"/>
          </w:tcPr>
          <w:p w14:paraId="59D36A38" w14:textId="77777777" w:rsidR="00235E11" w:rsidRDefault="00F837E4">
            <w:pPr>
              <w:pStyle w:val="P68B1DB1-Normal10"/>
              <w:spacing w:after="0"/>
              <w:rPr>
                <w:noProof/>
              </w:rPr>
            </w:pPr>
            <w:r>
              <w:rPr>
                <w:noProof/>
              </w:rPr>
              <w:t>Белгия изгражда контракулярно циркулярно писмо (I-5.15)</w:t>
            </w:r>
          </w:p>
        </w:tc>
        <w:tc>
          <w:tcPr>
            <w:tcW w:w="1122" w:type="dxa"/>
            <w:tcBorders>
              <w:top w:val="nil"/>
              <w:left w:val="nil"/>
              <w:bottom w:val="single" w:sz="4" w:space="0" w:color="auto"/>
              <w:right w:val="single" w:sz="4" w:space="0" w:color="auto"/>
            </w:tcBorders>
            <w:shd w:val="clear" w:color="auto" w:fill="C6EFCE"/>
            <w:noWrap/>
            <w:vAlign w:val="center"/>
          </w:tcPr>
          <w:p w14:paraId="1E9EBCE3" w14:textId="0796EFF0" w:rsidR="00235E11" w:rsidRDefault="00F837E4">
            <w:pPr>
              <w:pStyle w:val="P68B1DB1-Normal10"/>
              <w:spacing w:after="0"/>
              <w:rPr>
                <w:noProof/>
              </w:rPr>
            </w:pPr>
            <w:r>
              <w:rPr>
                <w:noProof/>
              </w:rPr>
              <w:t>M</w:t>
            </w:r>
          </w:p>
        </w:tc>
        <w:tc>
          <w:tcPr>
            <w:tcW w:w="1417" w:type="dxa"/>
            <w:tcBorders>
              <w:top w:val="nil"/>
              <w:left w:val="nil"/>
              <w:bottom w:val="single" w:sz="4" w:space="0" w:color="auto"/>
              <w:right w:val="single" w:sz="4" w:space="0" w:color="auto"/>
            </w:tcBorders>
            <w:shd w:val="clear" w:color="auto" w:fill="C6EFCE"/>
            <w:noWrap/>
            <w:vAlign w:val="center"/>
          </w:tcPr>
          <w:p w14:paraId="4AC12270" w14:textId="77777777" w:rsidR="00235E11" w:rsidRDefault="00F837E4">
            <w:pPr>
              <w:pStyle w:val="P68B1DB1-Normal10"/>
              <w:spacing w:after="0"/>
              <w:rPr>
                <w:noProof/>
              </w:rPr>
            </w:pPr>
            <w:r>
              <w:rPr>
                <w:noProof/>
              </w:rPr>
              <w:t>Приключване на дейностите за повишаване на осведомеността и информиране на МСП и на проекти, свързани с кръговата икономика</w:t>
            </w:r>
          </w:p>
        </w:tc>
        <w:tc>
          <w:tcPr>
            <w:tcW w:w="1985" w:type="dxa"/>
            <w:tcBorders>
              <w:top w:val="nil"/>
              <w:left w:val="nil"/>
              <w:bottom w:val="single" w:sz="4" w:space="0" w:color="auto"/>
              <w:right w:val="single" w:sz="4" w:space="0" w:color="auto"/>
            </w:tcBorders>
            <w:shd w:val="clear" w:color="auto" w:fill="C6EFCE"/>
            <w:noWrap/>
            <w:vAlign w:val="center"/>
          </w:tcPr>
          <w:p w14:paraId="6E52F196" w14:textId="77777777" w:rsidR="00235E11" w:rsidRDefault="00F837E4">
            <w:pPr>
              <w:pStyle w:val="P68B1DB1-Normal10"/>
              <w:spacing w:after="0"/>
              <w:rPr>
                <w:noProof/>
              </w:rPr>
            </w:pPr>
            <w:r>
              <w:rPr>
                <w:noProof/>
              </w:rPr>
              <w:t>Доклади за установяване на въздействието на кампаниите, доклади за приключването на кръгови проекти</w:t>
            </w:r>
          </w:p>
        </w:tc>
        <w:tc>
          <w:tcPr>
            <w:tcW w:w="1134" w:type="dxa"/>
            <w:tcBorders>
              <w:top w:val="nil"/>
              <w:left w:val="nil"/>
              <w:bottom w:val="single" w:sz="4" w:space="0" w:color="auto"/>
              <w:right w:val="single" w:sz="4" w:space="0" w:color="auto"/>
            </w:tcBorders>
            <w:shd w:val="clear" w:color="auto" w:fill="C6EFCE"/>
            <w:noWrap/>
            <w:vAlign w:val="center"/>
          </w:tcPr>
          <w:p w14:paraId="7F0AEB98"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vAlign w:val="center"/>
          </w:tcPr>
          <w:p w14:paraId="60FD19D5"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68D4E4B5" w14:textId="77777777" w:rsidR="00235E11" w:rsidRDefault="00235E11">
            <w:pPr>
              <w:spacing w:after="0"/>
              <w:rPr>
                <w:rFonts w:ascii="Times New Roman" w:eastAsia="Times New Roman" w:hAnsi="Times New Roman" w:cs="Times New Roman"/>
                <w:strike/>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4A56D5E9" w14:textId="77777777" w:rsidR="00235E11" w:rsidRDefault="00F837E4">
            <w:pPr>
              <w:pStyle w:val="P68B1DB1-Normal10"/>
              <w:spacing w:after="0"/>
              <w:rPr>
                <w:strike/>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0059238A" w14:textId="77777777" w:rsidR="00235E11" w:rsidRDefault="00F837E4">
            <w:pPr>
              <w:pStyle w:val="P68B1DB1-Normal10"/>
              <w:spacing w:after="0"/>
              <w:jc w:val="center"/>
              <w:rPr>
                <w:noProof/>
              </w:rPr>
            </w:pPr>
            <w:r>
              <w:rPr>
                <w:noProof/>
              </w:rPr>
              <w:t>2026</w:t>
            </w:r>
          </w:p>
        </w:tc>
        <w:tc>
          <w:tcPr>
            <w:tcW w:w="4790" w:type="dxa"/>
            <w:tcBorders>
              <w:top w:val="nil"/>
              <w:left w:val="nil"/>
              <w:bottom w:val="single" w:sz="4" w:space="0" w:color="auto"/>
              <w:right w:val="single" w:sz="4" w:space="0" w:color="auto"/>
            </w:tcBorders>
            <w:shd w:val="clear" w:color="auto" w:fill="C6EFCE"/>
            <w:noWrap/>
            <w:vAlign w:val="center"/>
          </w:tcPr>
          <w:p w14:paraId="76B51B14" w14:textId="2196749E" w:rsidR="00235E11" w:rsidRDefault="00F837E4">
            <w:pPr>
              <w:pStyle w:val="P68B1DB1-Normal10"/>
              <w:spacing w:after="0"/>
              <w:rPr>
                <w:noProof/>
              </w:rPr>
            </w:pPr>
            <w:r>
              <w:rPr>
                <w:noProof/>
              </w:rPr>
              <w:t>Приключени са най-малко три действия за повишаване на осведомеността и информиране на МСП (годишни кампании за повишаване на осведомеността (за период от три години), един уебсайт и един инструмент за самооценка) относно аспектите на кръговата икономика и са завършени най-малко девет проекта, свързани с кръговата икономика.</w:t>
            </w:r>
          </w:p>
        </w:tc>
      </w:tr>
      <w:tr w:rsidR="00235E11" w14:paraId="2E3B71CF" w14:textId="77777777">
        <w:trPr>
          <w:trHeight w:val="309"/>
        </w:trPr>
        <w:tc>
          <w:tcPr>
            <w:tcW w:w="793" w:type="dxa"/>
            <w:tcBorders>
              <w:top w:val="nil"/>
              <w:left w:val="single" w:sz="4" w:space="0" w:color="auto"/>
              <w:bottom w:val="single" w:sz="4" w:space="0" w:color="auto"/>
              <w:right w:val="single" w:sz="4" w:space="0" w:color="auto"/>
            </w:tcBorders>
            <w:shd w:val="clear" w:color="auto" w:fill="C6EFCE"/>
            <w:noWrap/>
            <w:vAlign w:val="center"/>
          </w:tcPr>
          <w:p w14:paraId="5CA7C036" w14:textId="77777777" w:rsidR="00235E11" w:rsidRDefault="00F837E4">
            <w:pPr>
              <w:pStyle w:val="P68B1DB1-Normal10"/>
              <w:spacing w:after="0"/>
              <w:jc w:val="center"/>
              <w:rPr>
                <w:noProof/>
              </w:rPr>
            </w:pPr>
            <w:r>
              <w:rPr>
                <w:noProof/>
              </w:rPr>
              <w:t>201</w:t>
            </w:r>
          </w:p>
        </w:tc>
        <w:tc>
          <w:tcPr>
            <w:tcW w:w="1346" w:type="dxa"/>
            <w:tcBorders>
              <w:top w:val="nil"/>
              <w:left w:val="nil"/>
              <w:bottom w:val="single" w:sz="4" w:space="0" w:color="auto"/>
              <w:right w:val="single" w:sz="4" w:space="0" w:color="auto"/>
            </w:tcBorders>
            <w:shd w:val="clear" w:color="auto" w:fill="C6EFCE"/>
            <w:noWrap/>
            <w:vAlign w:val="center"/>
          </w:tcPr>
          <w:p w14:paraId="2A85B461" w14:textId="77777777" w:rsidR="00235E11" w:rsidRDefault="00F837E4">
            <w:pPr>
              <w:pStyle w:val="P68B1DB1-Normal10"/>
              <w:spacing w:after="0"/>
              <w:rPr>
                <w:noProof/>
              </w:rPr>
            </w:pPr>
            <w:r>
              <w:rPr>
                <w:noProof/>
              </w:rPr>
              <w:t>Внедряване на кръговата икономика във Валония (I-5.16)</w:t>
            </w:r>
          </w:p>
        </w:tc>
        <w:tc>
          <w:tcPr>
            <w:tcW w:w="1122" w:type="dxa"/>
            <w:tcBorders>
              <w:top w:val="nil"/>
              <w:left w:val="nil"/>
              <w:bottom w:val="single" w:sz="4" w:space="0" w:color="auto"/>
              <w:right w:val="single" w:sz="4" w:space="0" w:color="auto"/>
            </w:tcBorders>
            <w:shd w:val="clear" w:color="auto" w:fill="C6EFCE"/>
            <w:noWrap/>
            <w:vAlign w:val="center"/>
          </w:tcPr>
          <w:p w14:paraId="6665C221" w14:textId="568FE56C" w:rsidR="00235E11" w:rsidRDefault="00F837E4">
            <w:pPr>
              <w:pStyle w:val="P68B1DB1-Normal10"/>
              <w:spacing w:after="0"/>
              <w:rPr>
                <w:noProof/>
              </w:rPr>
            </w:pPr>
            <w:r>
              <w:rPr>
                <w:noProof/>
              </w:rPr>
              <w:t>M</w:t>
            </w:r>
          </w:p>
        </w:tc>
        <w:tc>
          <w:tcPr>
            <w:tcW w:w="1417" w:type="dxa"/>
            <w:tcBorders>
              <w:top w:val="nil"/>
              <w:left w:val="nil"/>
              <w:bottom w:val="single" w:sz="4" w:space="0" w:color="auto"/>
              <w:right w:val="single" w:sz="4" w:space="0" w:color="auto"/>
            </w:tcBorders>
            <w:shd w:val="clear" w:color="auto" w:fill="C6EFCE"/>
            <w:noWrap/>
            <w:vAlign w:val="center"/>
          </w:tcPr>
          <w:p w14:paraId="68D56479" w14:textId="77777777" w:rsidR="00235E11" w:rsidRDefault="00F837E4">
            <w:pPr>
              <w:pStyle w:val="P68B1DB1-Normal10"/>
              <w:spacing w:after="0"/>
              <w:rPr>
                <w:strike/>
                <w:noProof/>
              </w:rPr>
            </w:pPr>
            <w:r>
              <w:rPr>
                <w:noProof/>
              </w:rPr>
              <w:t>Възлагане на обществени поръчки за проекти за насърчаване на кръговата икономика във Валония</w:t>
            </w:r>
          </w:p>
        </w:tc>
        <w:tc>
          <w:tcPr>
            <w:tcW w:w="1985" w:type="dxa"/>
            <w:tcBorders>
              <w:top w:val="nil"/>
              <w:left w:val="nil"/>
              <w:bottom w:val="single" w:sz="4" w:space="0" w:color="auto"/>
              <w:right w:val="single" w:sz="4" w:space="0" w:color="auto"/>
            </w:tcBorders>
            <w:shd w:val="clear" w:color="auto" w:fill="C6EFCE"/>
            <w:noWrap/>
            <w:vAlign w:val="center"/>
          </w:tcPr>
          <w:p w14:paraId="5D7C52CB" w14:textId="77777777" w:rsidR="00235E11" w:rsidRDefault="00F837E4">
            <w:pPr>
              <w:pStyle w:val="P68B1DB1-Normal10"/>
              <w:spacing w:after="0"/>
              <w:rPr>
                <w:noProof/>
              </w:rPr>
            </w:pPr>
            <w:r>
              <w:rPr>
                <w:noProof/>
              </w:rPr>
              <w:t>Уведомяване на успелите кандидати за възлагане на обществени поръчки</w:t>
            </w:r>
          </w:p>
        </w:tc>
        <w:tc>
          <w:tcPr>
            <w:tcW w:w="1134" w:type="dxa"/>
            <w:tcBorders>
              <w:top w:val="nil"/>
              <w:left w:val="nil"/>
              <w:bottom w:val="single" w:sz="4" w:space="0" w:color="auto"/>
              <w:right w:val="single" w:sz="4" w:space="0" w:color="auto"/>
            </w:tcBorders>
            <w:shd w:val="clear" w:color="auto" w:fill="C6EFCE"/>
            <w:noWrap/>
            <w:vAlign w:val="center"/>
          </w:tcPr>
          <w:p w14:paraId="0581119D"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438D5BAC" w14:textId="77777777"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2102B2B3" w14:textId="77777777" w:rsidR="00235E11" w:rsidRDefault="00235E11">
            <w:pPr>
              <w:spacing w:after="0"/>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7F8E2F00"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0CAE1920" w14:textId="77777777" w:rsidR="00235E11" w:rsidRDefault="00F837E4">
            <w:pPr>
              <w:pStyle w:val="P68B1DB1-Normal10"/>
              <w:spacing w:after="0"/>
              <w:jc w:val="center"/>
              <w:rPr>
                <w:noProof/>
              </w:rPr>
            </w:pPr>
            <w:r>
              <w:rPr>
                <w:noProof/>
              </w:rPr>
              <w:t>2022</w:t>
            </w:r>
          </w:p>
        </w:tc>
        <w:tc>
          <w:tcPr>
            <w:tcW w:w="4856" w:type="dxa"/>
            <w:gridSpan w:val="2"/>
            <w:tcBorders>
              <w:top w:val="nil"/>
              <w:left w:val="nil"/>
              <w:bottom w:val="single" w:sz="4" w:space="0" w:color="auto"/>
              <w:right w:val="single" w:sz="4" w:space="0" w:color="auto"/>
            </w:tcBorders>
            <w:shd w:val="clear" w:color="auto" w:fill="C6EFCE"/>
            <w:noWrap/>
            <w:vAlign w:val="center"/>
          </w:tcPr>
          <w:p w14:paraId="0E069980" w14:textId="67050C3C" w:rsidR="00235E11" w:rsidRDefault="00F837E4">
            <w:pPr>
              <w:pStyle w:val="P68B1DB1-Normal10"/>
              <w:spacing w:after="0"/>
              <w:rPr>
                <w:noProof/>
              </w:rPr>
            </w:pPr>
            <w:r>
              <w:rPr>
                <w:noProof/>
              </w:rPr>
              <w:t>Подбор на успешни кандидати след поканата за представяне на предложения за проекти за рециклиране и повторна употреба на метали, батерии и минерали. Поканата за представяне на предложения има задание, включително критерии за допустимост, които гарантират, че избраните проекти отговарят на техническите насоки за ненанасяне на значителни вреди (2021/C58/01) чрез използването на списък за отстраняване и изискването за спазване на съответното законодателство на ЕС и национално законодателство в областта на околната среда.</w:t>
            </w:r>
          </w:p>
        </w:tc>
      </w:tr>
      <w:tr w:rsidR="00235E11" w14:paraId="46D4A0CE" w14:textId="77777777">
        <w:trPr>
          <w:trHeight w:val="309"/>
        </w:trPr>
        <w:tc>
          <w:tcPr>
            <w:tcW w:w="793" w:type="dxa"/>
            <w:tcBorders>
              <w:top w:val="nil"/>
              <w:left w:val="single" w:sz="4" w:space="0" w:color="auto"/>
              <w:bottom w:val="single" w:sz="4" w:space="0" w:color="auto"/>
              <w:right w:val="single" w:sz="4" w:space="0" w:color="auto"/>
            </w:tcBorders>
            <w:shd w:val="clear" w:color="auto" w:fill="C6EFCE"/>
            <w:noWrap/>
            <w:vAlign w:val="center"/>
          </w:tcPr>
          <w:p w14:paraId="3989CF6B" w14:textId="77777777" w:rsidR="00235E11" w:rsidRDefault="00F837E4">
            <w:pPr>
              <w:pStyle w:val="P68B1DB1-Normal10"/>
              <w:spacing w:after="0"/>
              <w:jc w:val="center"/>
              <w:rPr>
                <w:noProof/>
              </w:rPr>
            </w:pPr>
            <w:r>
              <w:rPr>
                <w:noProof/>
              </w:rPr>
              <w:t>202</w:t>
            </w:r>
          </w:p>
        </w:tc>
        <w:tc>
          <w:tcPr>
            <w:tcW w:w="1346" w:type="dxa"/>
            <w:tcBorders>
              <w:top w:val="nil"/>
              <w:left w:val="nil"/>
              <w:bottom w:val="single" w:sz="4" w:space="0" w:color="auto"/>
              <w:right w:val="single" w:sz="4" w:space="0" w:color="auto"/>
            </w:tcBorders>
            <w:shd w:val="clear" w:color="auto" w:fill="C6EFCE"/>
            <w:noWrap/>
            <w:vAlign w:val="center"/>
          </w:tcPr>
          <w:p w14:paraId="76E6FEB4" w14:textId="77777777" w:rsidR="00235E11" w:rsidRDefault="00F837E4">
            <w:pPr>
              <w:pStyle w:val="P68B1DB1-Normal10"/>
              <w:spacing w:after="0"/>
              <w:rPr>
                <w:noProof/>
              </w:rPr>
            </w:pPr>
            <w:r>
              <w:rPr>
                <w:noProof/>
              </w:rPr>
              <w:t>Внедряване на кръговата икономика във Валония (I-5.16)</w:t>
            </w:r>
          </w:p>
        </w:tc>
        <w:tc>
          <w:tcPr>
            <w:tcW w:w="1122" w:type="dxa"/>
            <w:tcBorders>
              <w:top w:val="nil"/>
              <w:left w:val="nil"/>
              <w:bottom w:val="single" w:sz="4" w:space="0" w:color="auto"/>
              <w:right w:val="single" w:sz="4" w:space="0" w:color="auto"/>
            </w:tcBorders>
            <w:shd w:val="clear" w:color="auto" w:fill="C6EFCE"/>
            <w:noWrap/>
            <w:vAlign w:val="center"/>
          </w:tcPr>
          <w:p w14:paraId="16C6407F" w14:textId="44B2FCBB" w:rsidR="00235E11" w:rsidRDefault="00F837E4">
            <w:pPr>
              <w:pStyle w:val="P68B1DB1-Normal10"/>
              <w:spacing w:after="0"/>
              <w:rPr>
                <w:noProof/>
              </w:rPr>
            </w:pPr>
            <w:r>
              <w:rPr>
                <w:noProof/>
              </w:rPr>
              <w:t>T</w:t>
            </w:r>
          </w:p>
        </w:tc>
        <w:tc>
          <w:tcPr>
            <w:tcW w:w="1417" w:type="dxa"/>
            <w:tcBorders>
              <w:top w:val="nil"/>
              <w:left w:val="nil"/>
              <w:bottom w:val="single" w:sz="4" w:space="0" w:color="auto"/>
              <w:right w:val="single" w:sz="4" w:space="0" w:color="auto"/>
            </w:tcBorders>
            <w:shd w:val="clear" w:color="auto" w:fill="C6EFCE"/>
            <w:noWrap/>
            <w:vAlign w:val="center"/>
          </w:tcPr>
          <w:p w14:paraId="4EA4FA6A" w14:textId="77777777" w:rsidR="00235E11" w:rsidRDefault="00F837E4">
            <w:pPr>
              <w:pStyle w:val="P68B1DB1-Normal10"/>
              <w:spacing w:after="0"/>
              <w:rPr>
                <w:noProof/>
              </w:rPr>
            </w:pPr>
            <w:r>
              <w:rPr>
                <w:noProof/>
              </w:rPr>
              <w:t>Приключване на проекти за насърчаване на кръговата икономика във Валония</w:t>
            </w:r>
          </w:p>
        </w:tc>
        <w:tc>
          <w:tcPr>
            <w:tcW w:w="1985" w:type="dxa"/>
            <w:tcBorders>
              <w:top w:val="nil"/>
              <w:left w:val="nil"/>
              <w:bottom w:val="single" w:sz="4" w:space="0" w:color="auto"/>
              <w:right w:val="single" w:sz="4" w:space="0" w:color="auto"/>
            </w:tcBorders>
            <w:shd w:val="clear" w:color="auto" w:fill="C6EFCE"/>
            <w:noWrap/>
            <w:vAlign w:val="center"/>
          </w:tcPr>
          <w:p w14:paraId="2A2789C7" w14:textId="77777777" w:rsidR="00235E11" w:rsidRDefault="00235E11">
            <w:pPr>
              <w:spacing w:after="0"/>
              <w:rPr>
                <w:rFonts w:ascii="Times New Roman" w:eastAsia="Times New Roman" w:hAnsi="Times New Roman" w:cs="Times New Roman"/>
                <w:noProof/>
                <w:color w:val="006100"/>
              </w:rPr>
            </w:pPr>
          </w:p>
        </w:tc>
        <w:tc>
          <w:tcPr>
            <w:tcW w:w="1134" w:type="dxa"/>
            <w:tcBorders>
              <w:top w:val="nil"/>
              <w:left w:val="nil"/>
              <w:bottom w:val="single" w:sz="4" w:space="0" w:color="auto"/>
              <w:right w:val="single" w:sz="4" w:space="0" w:color="auto"/>
            </w:tcBorders>
            <w:shd w:val="clear" w:color="auto" w:fill="C6EFCE"/>
            <w:noWrap/>
            <w:vAlign w:val="center"/>
          </w:tcPr>
          <w:p w14:paraId="49DD65E4" w14:textId="77777777" w:rsidR="00235E11" w:rsidRDefault="00F837E4">
            <w:pPr>
              <w:pStyle w:val="P68B1DB1-Normal10"/>
              <w:spacing w:after="0"/>
              <w:rPr>
                <w:noProof/>
              </w:rPr>
            </w:pPr>
            <w:r>
              <w:rPr>
                <w:noProof/>
              </w:rPr>
              <w:t>Проекти</w:t>
            </w:r>
          </w:p>
        </w:tc>
        <w:tc>
          <w:tcPr>
            <w:tcW w:w="992" w:type="dxa"/>
            <w:tcBorders>
              <w:top w:val="nil"/>
              <w:left w:val="nil"/>
              <w:bottom w:val="single" w:sz="4" w:space="0" w:color="auto"/>
              <w:right w:val="single" w:sz="4" w:space="0" w:color="auto"/>
            </w:tcBorders>
            <w:shd w:val="clear" w:color="auto" w:fill="C6EFCE"/>
            <w:noWrap/>
            <w:vAlign w:val="center"/>
          </w:tcPr>
          <w:p w14:paraId="4D9ACA6C" w14:textId="77777777" w:rsidR="00235E11" w:rsidRDefault="00F837E4">
            <w:pPr>
              <w:pStyle w:val="P68B1DB1-Normal10"/>
              <w:spacing w:after="0"/>
              <w:jc w:val="right"/>
              <w:rPr>
                <w:noProof/>
              </w:rPr>
            </w:pPr>
            <w:r>
              <w:rPr>
                <w:noProof/>
              </w:rPr>
              <w:t>0</w:t>
            </w:r>
          </w:p>
        </w:tc>
        <w:tc>
          <w:tcPr>
            <w:tcW w:w="992" w:type="dxa"/>
            <w:tcBorders>
              <w:top w:val="nil"/>
              <w:left w:val="nil"/>
              <w:bottom w:val="single" w:sz="4" w:space="0" w:color="auto"/>
              <w:right w:val="single" w:sz="4" w:space="0" w:color="auto"/>
            </w:tcBorders>
            <w:shd w:val="clear" w:color="auto" w:fill="C6EFCE"/>
            <w:noWrap/>
            <w:vAlign w:val="center"/>
          </w:tcPr>
          <w:p w14:paraId="303202DA" w14:textId="47B3449B" w:rsidR="00235E11" w:rsidRDefault="00F837E4">
            <w:pPr>
              <w:pStyle w:val="P68B1DB1-Normal10"/>
              <w:spacing w:after="0"/>
              <w:jc w:val="right"/>
              <w:rPr>
                <w:noProof/>
              </w:rPr>
            </w:pPr>
            <w:r>
              <w:rPr>
                <w:noProof/>
              </w:rPr>
              <w:t>11</w:t>
            </w:r>
          </w:p>
        </w:tc>
        <w:tc>
          <w:tcPr>
            <w:tcW w:w="709" w:type="dxa"/>
            <w:tcBorders>
              <w:top w:val="nil"/>
              <w:left w:val="nil"/>
              <w:bottom w:val="single" w:sz="4" w:space="0" w:color="auto"/>
              <w:right w:val="single" w:sz="4" w:space="0" w:color="auto"/>
            </w:tcBorders>
            <w:shd w:val="clear" w:color="auto" w:fill="C6EFCE"/>
            <w:noWrap/>
            <w:vAlign w:val="center"/>
          </w:tcPr>
          <w:p w14:paraId="09A4281C" w14:textId="77777777" w:rsidR="00235E11" w:rsidRDefault="00F837E4">
            <w:pPr>
              <w:pStyle w:val="P68B1DB1-Normal10"/>
              <w:spacing w:after="0"/>
              <w:jc w:val="center"/>
              <w:rPr>
                <w:noProof/>
              </w:rPr>
            </w:pPr>
            <w:r>
              <w:rPr>
                <w:noProof/>
              </w:rPr>
              <w:t>Т2 Г.</w:t>
            </w:r>
          </w:p>
        </w:tc>
        <w:tc>
          <w:tcPr>
            <w:tcW w:w="709" w:type="dxa"/>
            <w:tcBorders>
              <w:top w:val="nil"/>
              <w:left w:val="nil"/>
              <w:bottom w:val="single" w:sz="4" w:space="0" w:color="auto"/>
              <w:right w:val="single" w:sz="4" w:space="0" w:color="auto"/>
            </w:tcBorders>
            <w:shd w:val="clear" w:color="auto" w:fill="C6EFCE"/>
            <w:noWrap/>
            <w:vAlign w:val="center"/>
          </w:tcPr>
          <w:p w14:paraId="79A37583" w14:textId="77777777" w:rsidR="00235E11" w:rsidRDefault="00F837E4">
            <w:pPr>
              <w:pStyle w:val="P68B1DB1-Normal10"/>
              <w:spacing w:after="0"/>
              <w:jc w:val="center"/>
              <w:rPr>
                <w:noProof/>
              </w:rPr>
            </w:pPr>
            <w:r>
              <w:rPr>
                <w:noProof/>
              </w:rPr>
              <w:t>2026</w:t>
            </w:r>
          </w:p>
        </w:tc>
        <w:tc>
          <w:tcPr>
            <w:tcW w:w="4856" w:type="dxa"/>
            <w:gridSpan w:val="2"/>
            <w:tcBorders>
              <w:top w:val="nil"/>
              <w:left w:val="nil"/>
              <w:bottom w:val="single" w:sz="4" w:space="0" w:color="auto"/>
              <w:right w:val="single" w:sz="4" w:space="0" w:color="auto"/>
            </w:tcBorders>
            <w:shd w:val="clear" w:color="auto" w:fill="C6EFCE"/>
            <w:noWrap/>
            <w:vAlign w:val="center"/>
          </w:tcPr>
          <w:p w14:paraId="0EE01D67" w14:textId="1414C43A" w:rsidR="00235E11" w:rsidRDefault="00F837E4">
            <w:pPr>
              <w:pStyle w:val="P68B1DB1-Normal10"/>
              <w:spacing w:after="0"/>
              <w:rPr>
                <w:noProof/>
              </w:rPr>
            </w:pPr>
            <w:r>
              <w:rPr>
                <w:noProof/>
              </w:rPr>
              <w:t>Завършени са най-малко 11 проекта за рециклиране и повторна употреба на метали, батерии и минерали.</w:t>
            </w:r>
          </w:p>
        </w:tc>
      </w:tr>
    </w:tbl>
    <w:p w14:paraId="66383088" w14:textId="77777777" w:rsidR="00235E11" w:rsidRDefault="00235E11">
      <w:pPr>
        <w:pStyle w:val="Text1"/>
        <w:rPr>
          <w:noProof/>
        </w:rPr>
      </w:pPr>
    </w:p>
    <w:p w14:paraId="14AACED7" w14:textId="77777777" w:rsidR="00235E11" w:rsidRDefault="00235E11">
      <w:pPr>
        <w:pStyle w:val="Text1"/>
        <w:ind w:left="709"/>
        <w:rPr>
          <w:noProof/>
        </w:rPr>
        <w:sectPr w:rsidR="00235E11" w:rsidSect="007F56C3">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134" w:right="1134" w:bottom="1134" w:left="1134" w:header="567" w:footer="567" w:gutter="0"/>
          <w:cols w:space="720"/>
          <w:docGrid w:linePitch="360"/>
        </w:sectPr>
      </w:pPr>
    </w:p>
    <w:p w14:paraId="51838070" w14:textId="77777777" w:rsidR="00235E11" w:rsidRDefault="00F837E4">
      <w:pPr>
        <w:pStyle w:val="ManualHeading1"/>
        <w:spacing w:before="120"/>
        <w:ind w:left="0" w:hanging="130"/>
        <w:rPr>
          <w:noProof/>
        </w:rPr>
      </w:pPr>
      <w:r>
        <w:rPr>
          <w:noProof/>
        </w:rPr>
        <w:t>Р. КОМПОНЕНТ 6.1: Прегледи на разходите</w:t>
      </w:r>
    </w:p>
    <w:p w14:paraId="3CE32659" w14:textId="77777777" w:rsidR="00235E11" w:rsidRDefault="00F837E4">
      <w:pPr>
        <w:pStyle w:val="Text1"/>
        <w:ind w:left="0"/>
        <w:rPr>
          <w:noProof/>
        </w:rPr>
      </w:pPr>
      <w:r>
        <w:rPr>
          <w:noProof/>
        </w:rPr>
        <w:t>Този компонент на белгийския план за възстановяване и устойчивост се състои от мерки, насочени към извършването на прегледи на разходите на различни равнища на управление. Общата цел е да се подобрят качеството и съставът на публичните разходи.</w:t>
      </w:r>
    </w:p>
    <w:p w14:paraId="7143001E" w14:textId="77777777" w:rsidR="00235E11" w:rsidRDefault="00F837E4">
      <w:pPr>
        <w:pStyle w:val="Text1"/>
        <w:ind w:left="0"/>
        <w:rPr>
          <w:noProof/>
        </w:rPr>
      </w:pPr>
      <w:r>
        <w:rPr>
          <w:noProof/>
        </w:rPr>
        <w:t>Компонентът допринася за изпълнението на специфична за всяка държава препоръка 2019.1 за подобряване на състава и ефикасността на публичните разходи.</w:t>
      </w:r>
    </w:p>
    <w:p w14:paraId="32686C4B" w14:textId="77777777" w:rsidR="00235E11" w:rsidRDefault="00F837E4">
      <w:pPr>
        <w:pStyle w:val="P68B1DB1-Normal1"/>
        <w:spacing w:before="120" w:after="120" w:line="240" w:lineRule="auto"/>
        <w:jc w:val="both"/>
        <w:rPr>
          <w:noProof/>
        </w:rPr>
      </w:pPr>
      <w:r>
        <w:rPr>
          <w:noProof/>
        </w:rPr>
        <w:t xml:space="preserve">ВЪПРОС 1 </w:t>
      </w:r>
      <w:r>
        <w:rPr>
          <w:noProof/>
        </w:rPr>
        <w:tab/>
        <w:t>Описание на реформите и инвестициите за безвъзмездна финансова подкрепа</w:t>
      </w:r>
    </w:p>
    <w:p w14:paraId="6B0F5A93" w14:textId="59BF2362" w:rsidR="00235E11" w:rsidRDefault="00F837E4">
      <w:pPr>
        <w:pStyle w:val="P68B1DB1-Text12"/>
        <w:ind w:left="0"/>
        <w:rPr>
          <w:noProof/>
          <w:color w:val="000000"/>
        </w:rPr>
      </w:pPr>
      <w:r>
        <w:rPr>
          <w:noProof/>
        </w:rPr>
        <w:t>Реформа R-6: „Прегледи на разходите“</w:t>
      </w:r>
    </w:p>
    <w:p w14:paraId="4712B7BB" w14:textId="77777777" w:rsidR="00235E11" w:rsidRDefault="00F837E4">
      <w:pPr>
        <w:pStyle w:val="P68B1DB1-Text13"/>
        <w:ind w:left="0"/>
        <w:rPr>
          <w:noProof/>
          <w:color w:val="000000"/>
        </w:rPr>
      </w:pPr>
      <w:r>
        <w:rPr>
          <w:noProof/>
        </w:rPr>
        <w:t>Целта на реформата е да се въведат прегледи на разходите на различните равнища на управление. Изпълнението на реформите трябва да приключи до 31 декември 2024 г. Тази мярка включва следните пет подмерки:</w:t>
      </w:r>
    </w:p>
    <w:p w14:paraId="341F645D" w14:textId="77777777" w:rsidR="00235E11" w:rsidRDefault="00F837E4">
      <w:pPr>
        <w:pStyle w:val="P68B1DB1-Text13"/>
        <w:numPr>
          <w:ilvl w:val="0"/>
          <w:numId w:val="38"/>
        </w:numPr>
        <w:tabs>
          <w:tab w:val="left" w:pos="567"/>
        </w:tabs>
        <w:ind w:left="0" w:firstLine="0"/>
        <w:contextualSpacing/>
        <w:rPr>
          <w:noProof/>
        </w:rPr>
      </w:pPr>
      <w:r>
        <w:rPr>
          <w:noProof/>
        </w:rPr>
        <w:t>Реформа R-6.01 „Преглед на разходите“ на федералната държава</w:t>
      </w:r>
    </w:p>
    <w:p w14:paraId="335A1F0D" w14:textId="77777777" w:rsidR="00235E11" w:rsidRDefault="00F837E4">
      <w:pPr>
        <w:pStyle w:val="P68B1DB1-Text13"/>
        <w:numPr>
          <w:ilvl w:val="0"/>
          <w:numId w:val="38"/>
        </w:numPr>
        <w:tabs>
          <w:tab w:val="left" w:pos="567"/>
        </w:tabs>
        <w:ind w:left="0" w:firstLine="0"/>
        <w:contextualSpacing/>
        <w:rPr>
          <w:noProof/>
        </w:rPr>
      </w:pPr>
      <w:r>
        <w:rPr>
          <w:noProof/>
        </w:rPr>
        <w:t>Реформа R-6.02 „Преглед на разходите — фламандско общо преразглеждане и норма за разходите“ на Фландрия</w:t>
      </w:r>
    </w:p>
    <w:p w14:paraId="2365F257" w14:textId="6F1407CC" w:rsidR="00235E11" w:rsidRDefault="00F837E4">
      <w:pPr>
        <w:pStyle w:val="P68B1DB1-Text13"/>
        <w:numPr>
          <w:ilvl w:val="0"/>
          <w:numId w:val="38"/>
        </w:numPr>
        <w:tabs>
          <w:tab w:val="left" w:pos="567"/>
        </w:tabs>
        <w:ind w:left="0" w:firstLine="0"/>
        <w:contextualSpacing/>
        <w:rPr>
          <w:noProof/>
        </w:rPr>
      </w:pPr>
      <w:r>
        <w:rPr>
          <w:noProof/>
        </w:rPr>
        <w:t>Реформа R-6.03 „Прегледи на разходите — основан на нулеви разходи бюджет“ на Валонския регион</w:t>
      </w:r>
    </w:p>
    <w:p w14:paraId="190ECB6D" w14:textId="77777777" w:rsidR="00235E11" w:rsidRDefault="00F837E4">
      <w:pPr>
        <w:pStyle w:val="P68B1DB1-Text13"/>
        <w:numPr>
          <w:ilvl w:val="0"/>
          <w:numId w:val="38"/>
        </w:numPr>
        <w:tabs>
          <w:tab w:val="left" w:pos="567"/>
        </w:tabs>
        <w:ind w:left="0" w:firstLine="0"/>
        <w:contextualSpacing/>
        <w:rPr>
          <w:noProof/>
        </w:rPr>
      </w:pPr>
      <w:r>
        <w:rPr>
          <w:noProof/>
        </w:rPr>
        <w:t>Реформа R-6.04 „Преглед на разходите“ на регион Брюксел-столица</w:t>
      </w:r>
    </w:p>
    <w:p w14:paraId="679EC393" w14:textId="77777777" w:rsidR="00235E11" w:rsidRDefault="00F837E4">
      <w:pPr>
        <w:pStyle w:val="P68B1DB1-Text13"/>
        <w:numPr>
          <w:ilvl w:val="0"/>
          <w:numId w:val="38"/>
        </w:numPr>
        <w:tabs>
          <w:tab w:val="left" w:pos="567"/>
        </w:tabs>
        <w:ind w:left="0" w:firstLine="0"/>
        <w:contextualSpacing/>
        <w:rPr>
          <w:noProof/>
        </w:rPr>
      </w:pPr>
      <w:r>
        <w:rPr>
          <w:noProof/>
        </w:rPr>
        <w:t>Реформа R-6.05 „Преглед на разходите“ на Френската общност</w:t>
      </w:r>
    </w:p>
    <w:p w14:paraId="50C1DA55" w14:textId="77777777" w:rsidR="00235E11" w:rsidRDefault="00235E11">
      <w:pPr>
        <w:pStyle w:val="Text1"/>
        <w:ind w:left="0"/>
        <w:rPr>
          <w:noProof/>
          <w:color w:val="000000"/>
        </w:rPr>
      </w:pPr>
    </w:p>
    <w:p w14:paraId="37E1D95A" w14:textId="14BD3E1F" w:rsidR="00235E11" w:rsidRDefault="00F837E4">
      <w:pPr>
        <w:pStyle w:val="P68B1DB1-Text12"/>
        <w:ind w:left="0"/>
        <w:rPr>
          <w:noProof/>
        </w:rPr>
      </w:pPr>
      <w:r>
        <w:rPr>
          <w:noProof/>
        </w:rPr>
        <w:t>Реформа R-6.01: „Преглед на разходите“ на федералната държава</w:t>
      </w:r>
    </w:p>
    <w:p w14:paraId="6E5C2FCE" w14:textId="77777777" w:rsidR="00235E11" w:rsidRDefault="00F837E4">
      <w:pPr>
        <w:pStyle w:val="P68B1DB1-Text13"/>
        <w:ind w:left="0"/>
        <w:rPr>
          <w:noProof/>
        </w:rPr>
      </w:pPr>
      <w:r>
        <w:rPr>
          <w:noProof/>
        </w:rPr>
        <w:t>Целта на мярката за реформа е да се извършват структурни прегледи на разходите на федерално равнище и в сектора на социалната сигурност. Като част от Програмата на Комисията за подкрепа на структурните реформи ОИСР подкрепи изготвянето на прегледи на разходите. През 2019 г. и 2020 г. тя предостави техническа помощ и препоръки за ефективно изпълнение на прегледите на разходите в бюджетния процес в Белгия. В съответствие с препоръките на ОИСР федералното правителство реши да започне пилотни учения в началото на 2021 г. в три основни области: данъчни разходи, първични разходи, сектор „Социално осигуряване“. За тази цел бяха създадени работни групи, които трябва да представят своя доклад с оглед на изготвянето на бюджета за 2022 г. Към този момент правителството избира нов набор от теми, които да бъдат представени за следващата година. След пилотния проект се извършва оценка на процеса (управителен комитет, мандат, състав на работните групи), за да се прецени дали планираната структура и график са оптимални или могат да бъдат подобрени. До приключването на пилотните проекти правителството решава през 2022 г. как прегледите на разходите ще се превърнат в повтарящ се процес и неразделна част от бюджетната процедура.</w:t>
      </w:r>
    </w:p>
    <w:p w14:paraId="61A2D111" w14:textId="3B04E4BB" w:rsidR="00235E11" w:rsidRDefault="00F837E4">
      <w:pPr>
        <w:pStyle w:val="P68B1DB1-Text12"/>
        <w:ind w:left="0"/>
        <w:rPr>
          <w:noProof/>
        </w:rPr>
      </w:pPr>
      <w:r>
        <w:rPr>
          <w:noProof/>
        </w:rPr>
        <w:t>Реформа R-6.02: „Преглед на разходите — фламандско общо преразглеждане и норма за разходите“ на Фландрия</w:t>
      </w:r>
    </w:p>
    <w:p w14:paraId="3E3B7449" w14:textId="03B8EB0C" w:rsidR="00235E11" w:rsidRDefault="00F837E4">
      <w:pPr>
        <w:pStyle w:val="Text1"/>
        <w:ind w:left="0"/>
        <w:rPr>
          <w:noProof/>
          <w:color w:val="000000" w:themeColor="text1"/>
        </w:rPr>
      </w:pPr>
      <w:r>
        <w:rPr>
          <w:noProof/>
        </w:rPr>
        <w:t>С мярката за</w:t>
      </w:r>
      <w:r w:rsidR="00373F25">
        <w:rPr>
          <w:noProof/>
          <w:lang w:val="bg-BG"/>
        </w:rPr>
        <w:t xml:space="preserve"> </w:t>
      </w:r>
      <w:r>
        <w:rPr>
          <w:noProof/>
          <w:color w:val="000000" w:themeColor="text1"/>
        </w:rPr>
        <w:t xml:space="preserve">реформа се планира да се даде нов приоритет на разходите на регионалното правителство на Фландрия и да се ограничи, когато е възможно: от една страна, чрез разработването на норма за разходите и, от друга страна, чрез т.нар. „Vlaamse Brede Herovering (VBH)“, която има за цел да стабилизира структурно прегледите на разходите във фламандския бюджетен процес през следващите години. Нормата за разходите, която трябва да бъде приета през 2022 г., определя максималния темп на нарастване на държавните разходи, като се вземат предвид тенденцията в растежа на приходите и поставените бюджетни цели. Целта на програмата VBH е до средата на 2021 г. </w:t>
      </w:r>
      <w:r w:rsidR="00373F25">
        <w:rPr>
          <w:noProof/>
          <w:color w:val="000000" w:themeColor="text1"/>
          <w:lang w:val="bg-BG"/>
        </w:rPr>
        <w:t>д</w:t>
      </w:r>
      <w:r>
        <w:rPr>
          <w:noProof/>
          <w:color w:val="000000" w:themeColor="text1"/>
        </w:rPr>
        <w:t>а</w:t>
      </w:r>
      <w:r w:rsidR="00373F25">
        <w:rPr>
          <w:noProof/>
          <w:color w:val="000000" w:themeColor="text1"/>
          <w:lang w:val="bg-BG"/>
        </w:rPr>
        <w:t xml:space="preserve"> </w:t>
      </w:r>
      <w:r>
        <w:rPr>
          <w:noProof/>
          <w:color w:val="000000" w:themeColor="text1"/>
        </w:rPr>
        <w:t>се извърши оценка на десет области на политиката, която да послужи като основа за определяне на обхвата на прегледите на разходите. Мярката има за цел да подпомогне прегледите на разходите в единадесет области на политиката от септември 2021 г. до октомври 2025 г.</w:t>
      </w:r>
    </w:p>
    <w:p w14:paraId="09E8D8B5" w14:textId="45C7BFFC" w:rsidR="00235E11" w:rsidRDefault="00F837E4">
      <w:pPr>
        <w:pStyle w:val="P68B1DB1-Text12"/>
        <w:ind w:left="0"/>
        <w:rPr>
          <w:noProof/>
        </w:rPr>
      </w:pPr>
      <w:r>
        <w:rPr>
          <w:noProof/>
        </w:rPr>
        <w:t>Реформа R-6.03: „Преглед на разходите — основан на нулеви емисии бюджет“ на Валонския регион</w:t>
      </w:r>
    </w:p>
    <w:p w14:paraId="44CE5678" w14:textId="681DDF0F" w:rsidR="00235E11" w:rsidRDefault="00F837E4">
      <w:pPr>
        <w:pStyle w:val="Text1"/>
        <w:ind w:left="0"/>
        <w:rPr>
          <w:noProof/>
          <w:color w:val="000000" w:themeColor="text1"/>
        </w:rPr>
      </w:pPr>
      <w:r>
        <w:rPr>
          <w:noProof/>
        </w:rPr>
        <w:t>Мярката</w:t>
      </w:r>
      <w:r w:rsidR="00373F25">
        <w:rPr>
          <w:noProof/>
          <w:lang w:val="bg-BG"/>
        </w:rPr>
        <w:t xml:space="preserve"> </w:t>
      </w:r>
      <w:r>
        <w:rPr>
          <w:noProof/>
          <w:color w:val="000000"/>
        </w:rPr>
        <w:t xml:space="preserve">за реформа се състои от бюджетиране с нулева ставка и прегледи на разходите, обхващащи всички разходи и приходи, структурирани около седем области на политиката и обхващащи всички отдели на администрацията на Валония, както и 170 отдела на публичната администрация. Подходът на бюджетиране на нулева основа, </w:t>
      </w:r>
      <w:r>
        <w:rPr>
          <w:noProof/>
        </w:rPr>
        <w:t>който изисква пълна обосновка на разходите на годишна основа,</w:t>
      </w:r>
      <w:r>
        <w:rPr>
          <w:noProof/>
          <w:color w:val="000000"/>
        </w:rPr>
        <w:t xml:space="preserve"> се съсредоточава върху оперативните и инвестиционните разходи, докато прегледите на разходите се отнасят до интервенционните разходи, включващи прехвърляне на публични ресурси към предприятия, домакинства и местни органи. Учението ще се проведе в поредица от четири вълни от октомври 2020 г. до юни 2022 г. с подкрепата на външни консултанти. След приключване на процедурата правителството на Валония решава как прегледите на разходите да бъдат включени постоянно в бюджетния процес. </w:t>
      </w:r>
    </w:p>
    <w:p w14:paraId="3AD814B5" w14:textId="65989A52" w:rsidR="00235E11" w:rsidRDefault="00F837E4">
      <w:pPr>
        <w:pStyle w:val="P68B1DB1-Text12"/>
        <w:ind w:left="0"/>
        <w:rPr>
          <w:noProof/>
        </w:rPr>
      </w:pPr>
      <w:r>
        <w:rPr>
          <w:noProof/>
        </w:rPr>
        <w:t>Реформа R-6.04: „Преглед на разходите“ на регион Брюксел-столица</w:t>
      </w:r>
    </w:p>
    <w:p w14:paraId="0E9F38CD" w14:textId="5D032906" w:rsidR="00235E11" w:rsidRDefault="00F837E4">
      <w:pPr>
        <w:pStyle w:val="Text1"/>
        <w:ind w:left="0"/>
        <w:rPr>
          <w:noProof/>
          <w:color w:val="000000" w:themeColor="text1"/>
        </w:rPr>
      </w:pPr>
      <w:r>
        <w:rPr>
          <w:noProof/>
        </w:rPr>
        <w:t>Мярката</w:t>
      </w:r>
      <w:r w:rsidR="00373F25">
        <w:rPr>
          <w:noProof/>
          <w:lang w:val="bg-BG"/>
        </w:rPr>
        <w:t xml:space="preserve"> </w:t>
      </w:r>
      <w:r>
        <w:rPr>
          <w:noProof/>
          <w:color w:val="000000"/>
        </w:rPr>
        <w:t xml:space="preserve">за реформа се състои в провеждането и приключването на два пилотни прегледа на разходите и последващото интегриране на прегледите на разходите в бюджетния процес на регион Брюксел. С подкрепата на Програмата за подкрепа на структурните реформи (ППСР) регион Брюксел стартира два пилотни проекта за преглед на разходите </w:t>
      </w:r>
      <w:r>
        <w:rPr>
          <w:noProof/>
        </w:rPr>
        <w:t>в областта на мобилността и социалното жилищно настаняване</w:t>
      </w:r>
      <w:r>
        <w:rPr>
          <w:noProof/>
          <w:color w:val="000000"/>
        </w:rPr>
        <w:t>. Тяхната основна цел е да се укрепи капацитетът в рамките на администрацията (по-специално Брюкселската администрация за финанси и бюджет и Брюкселския институт за статистика и анализ) и да се извлекат поуки, за да се затвърди инструментът по структурен начин. Също благодарение на ППСР правителството на Брюксел се възползва от цялостен анализ на пропуските в своята система за управление на публичните финанси благодарение на оценката на</w:t>
      </w:r>
      <w:r>
        <w:rPr>
          <w:i/>
          <w:noProof/>
          <w:color w:val="000000"/>
        </w:rPr>
        <w:t xml:space="preserve"> </w:t>
      </w:r>
      <w:r>
        <w:rPr>
          <w:rStyle w:val="Emphasis"/>
          <w:noProof/>
        </w:rPr>
        <w:t xml:space="preserve">публичните разходи и финансовата отчетност </w:t>
      </w:r>
      <w:r>
        <w:rPr>
          <w:rStyle w:val="acopre"/>
          <w:noProof/>
        </w:rPr>
        <w:t>(PEFA), която трябваше да приключи през юли 2021 г. Въз основа на опита от пилотните прегледи и резултатите от анализа на PEFA правителството на Брюксел решава как да интегрира прегледите на разходите по структурен начин в бюджетния процес.</w:t>
      </w:r>
    </w:p>
    <w:p w14:paraId="0D52CA2C" w14:textId="2A653BB1" w:rsidR="00235E11" w:rsidRDefault="00F837E4">
      <w:pPr>
        <w:pStyle w:val="P68B1DB1-Text12"/>
        <w:ind w:left="0"/>
        <w:rPr>
          <w:noProof/>
        </w:rPr>
      </w:pPr>
      <w:r>
        <w:rPr>
          <w:noProof/>
        </w:rPr>
        <w:t>Реформа R-6.05: „Преглед на разходите“ на френската общност</w:t>
      </w:r>
    </w:p>
    <w:p w14:paraId="3C22A837" w14:textId="77777777" w:rsidR="00235E11" w:rsidRDefault="00F837E4">
      <w:pPr>
        <w:pStyle w:val="P68B1DB1-Text13"/>
        <w:ind w:left="0"/>
        <w:rPr>
          <w:noProof/>
          <w:u w:val="single"/>
        </w:rPr>
      </w:pPr>
      <w:r>
        <w:rPr>
          <w:noProof/>
        </w:rPr>
        <w:t>Мярката за реформа се състои в провеждането на пилотни прегледи на разходите и последващото интегриране на прегледите на разходите в бюджетния процес на френскоезичната общност. Първата вълна от пилотни прегледи беше избрана за изготвянето на бюджета за 2022 г. Следва втора вълна, която ще приключи до средата на 2022 г. В рамките на Инструмента на ЕС за техническа подкрепа правителството на френскоезичната общност се ползва от техническа помощ, за да включи прегледите на разходите в бюджетния си цикъл, което ще позволи на правителството да реши през второто тримесечие на 2 2023 г. как да включи прегледите на разходите в бюджетния цикъл.</w:t>
      </w:r>
    </w:p>
    <w:p w14:paraId="189C2298" w14:textId="77777777" w:rsidR="00235E11" w:rsidRDefault="00235E11">
      <w:pPr>
        <w:spacing w:before="120" w:after="120" w:line="240" w:lineRule="auto"/>
        <w:jc w:val="both"/>
        <w:rPr>
          <w:rFonts w:ascii="Times New Roman" w:hAnsi="Times New Roman" w:cs="Times New Roman"/>
          <w:noProof/>
          <w:sz w:val="24"/>
        </w:rPr>
      </w:pPr>
    </w:p>
    <w:p w14:paraId="38E7E82D" w14:textId="77777777" w:rsidR="00235E11" w:rsidRDefault="00F837E4">
      <w:pPr>
        <w:pStyle w:val="P68B1DB1-Text16"/>
        <w:ind w:left="0"/>
        <w:rPr>
          <w:noProof/>
        </w:rPr>
      </w:pPr>
      <w:r>
        <w:rPr>
          <w:noProof/>
        </w:rPr>
        <w:t xml:space="preserve">ВЪПРОС 2 </w:t>
      </w:r>
      <w:r>
        <w:rPr>
          <w:noProof/>
        </w:rPr>
        <w:tab/>
        <w:t>Ключови етапи, цели, показатели и график за мониторинг и изпълнение на безвъзмездната финансова подкрепа</w:t>
      </w:r>
    </w:p>
    <w:p w14:paraId="33C2E0B6" w14:textId="77777777" w:rsidR="00235E11" w:rsidRDefault="00235E11">
      <w:pPr>
        <w:pStyle w:val="Text1"/>
        <w:rPr>
          <w:noProof/>
        </w:rPr>
      </w:pPr>
    </w:p>
    <w:p w14:paraId="56338234" w14:textId="77777777" w:rsidR="00235E11" w:rsidRDefault="00235E11">
      <w:pPr>
        <w:pStyle w:val="Text1"/>
        <w:ind w:left="709"/>
        <w:rPr>
          <w:noProof/>
        </w:rPr>
        <w:sectPr w:rsidR="00235E11" w:rsidSect="007F56C3">
          <w:headerReference w:type="even" r:id="rId234"/>
          <w:headerReference w:type="default" r:id="rId235"/>
          <w:footerReference w:type="even" r:id="rId236"/>
          <w:footerReference w:type="default" r:id="rId237"/>
          <w:headerReference w:type="first" r:id="rId238"/>
          <w:footerReference w:type="first" r:id="rId239"/>
          <w:pgSz w:w="11907" w:h="16839"/>
          <w:pgMar w:top="1134" w:right="1134" w:bottom="1134" w:left="1134" w:header="567" w:footer="567" w:gutter="0"/>
          <w:cols w:space="720"/>
          <w:docGrid w:linePitch="360"/>
        </w:sectPr>
      </w:pPr>
    </w:p>
    <w:tbl>
      <w:tblPr>
        <w:tblW w:w="16013" w:type="dxa"/>
        <w:tblInd w:w="-601" w:type="dxa"/>
        <w:tblLayout w:type="fixed"/>
        <w:tblLook w:val="04A0" w:firstRow="1" w:lastRow="0" w:firstColumn="1" w:lastColumn="0" w:noHBand="0" w:noVBand="1"/>
      </w:tblPr>
      <w:tblGrid>
        <w:gridCol w:w="704"/>
        <w:gridCol w:w="1452"/>
        <w:gridCol w:w="1275"/>
        <w:gridCol w:w="1276"/>
        <w:gridCol w:w="1418"/>
        <w:gridCol w:w="992"/>
        <w:gridCol w:w="992"/>
        <w:gridCol w:w="992"/>
        <w:gridCol w:w="709"/>
        <w:gridCol w:w="709"/>
        <w:gridCol w:w="5494"/>
      </w:tblGrid>
      <w:tr w:rsidR="00235E11" w14:paraId="11463D92" w14:textId="77777777">
        <w:trPr>
          <w:trHeight w:val="939"/>
          <w:tblHeader/>
        </w:trPr>
        <w:tc>
          <w:tcPr>
            <w:tcW w:w="7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116E7CD" w14:textId="6D20B04B" w:rsidR="00235E11" w:rsidRDefault="00F837E4">
            <w:pPr>
              <w:pStyle w:val="P68B1DB1-Normal7"/>
              <w:spacing w:after="0"/>
              <w:jc w:val="center"/>
              <w:rPr>
                <w:noProof/>
              </w:rPr>
            </w:pPr>
            <w:r>
              <w:rPr>
                <w:noProof/>
              </w:rPr>
              <w:t>Следващи Забележка:</w:t>
            </w:r>
          </w:p>
        </w:tc>
        <w:tc>
          <w:tcPr>
            <w:tcW w:w="145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6C74DF5" w14:textId="77777777" w:rsidR="00235E11" w:rsidRDefault="00F837E4">
            <w:pPr>
              <w:pStyle w:val="P68B1DB1-Normal7"/>
              <w:spacing w:after="0"/>
              <w:jc w:val="center"/>
              <w:rPr>
                <w:noProof/>
              </w:rPr>
            </w:pPr>
            <w:r>
              <w:rPr>
                <w:noProof/>
              </w:rPr>
              <w:t>Свързана мярка (реформа или инвестиции)</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7068979" w14:textId="77777777" w:rsidR="00235E11" w:rsidRDefault="00F837E4">
            <w:pPr>
              <w:pStyle w:val="P68B1DB1-Normal7"/>
              <w:spacing w:after="0"/>
              <w:jc w:val="center"/>
              <w:rPr>
                <w:noProof/>
              </w:rPr>
            </w:pPr>
            <w:r>
              <w:rPr>
                <w:noProof/>
              </w:rPr>
              <w:t>Ключов етап/Цел</w:t>
            </w:r>
          </w:p>
        </w:tc>
        <w:tc>
          <w:tcPr>
            <w:tcW w:w="127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0D495C9" w14:textId="77777777" w:rsidR="00235E11" w:rsidRDefault="00F837E4">
            <w:pPr>
              <w:pStyle w:val="P68B1DB1-Normal7"/>
              <w:spacing w:after="0"/>
              <w:jc w:val="center"/>
              <w:rPr>
                <w:noProof/>
              </w:rPr>
            </w:pPr>
            <w:r>
              <w:rPr>
                <w:noProof/>
              </w:rPr>
              <w:t>Име</w:t>
            </w:r>
          </w:p>
        </w:tc>
        <w:tc>
          <w:tcPr>
            <w:tcW w:w="141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6832E04"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976" w:type="dxa"/>
            <w:gridSpan w:val="3"/>
            <w:tcBorders>
              <w:top w:val="single" w:sz="4" w:space="0" w:color="auto"/>
              <w:left w:val="nil"/>
              <w:bottom w:val="single" w:sz="4" w:space="0" w:color="auto"/>
              <w:right w:val="single" w:sz="4" w:space="0" w:color="auto"/>
            </w:tcBorders>
            <w:shd w:val="clear" w:color="auto" w:fill="BDD7EE"/>
            <w:vAlign w:val="center"/>
            <w:hideMark/>
          </w:tcPr>
          <w:p w14:paraId="11891BCF"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8" w:type="dxa"/>
            <w:gridSpan w:val="2"/>
            <w:tcBorders>
              <w:top w:val="single" w:sz="4" w:space="0" w:color="auto"/>
              <w:left w:val="nil"/>
              <w:bottom w:val="single" w:sz="4" w:space="0" w:color="auto"/>
              <w:right w:val="single" w:sz="4" w:space="0" w:color="auto"/>
            </w:tcBorders>
            <w:shd w:val="clear" w:color="auto" w:fill="BDD7EE"/>
            <w:vAlign w:val="center"/>
            <w:hideMark/>
          </w:tcPr>
          <w:p w14:paraId="53FC8B32" w14:textId="77777777" w:rsidR="00235E11" w:rsidRDefault="00F837E4">
            <w:pPr>
              <w:pStyle w:val="P68B1DB1-Normal7"/>
              <w:spacing w:after="0"/>
              <w:jc w:val="center"/>
              <w:rPr>
                <w:noProof/>
              </w:rPr>
            </w:pPr>
            <w:r>
              <w:rPr>
                <w:noProof/>
              </w:rPr>
              <w:t xml:space="preserve">Примерен график за приключване </w:t>
            </w:r>
          </w:p>
        </w:tc>
        <w:tc>
          <w:tcPr>
            <w:tcW w:w="54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74E372" w14:textId="77777777" w:rsidR="00235E11" w:rsidRDefault="00F837E4">
            <w:pPr>
              <w:pStyle w:val="P68B1DB1-Normal7"/>
              <w:spacing w:after="0"/>
              <w:jc w:val="center"/>
              <w:rPr>
                <w:noProof/>
              </w:rPr>
            </w:pPr>
            <w:r>
              <w:rPr>
                <w:noProof/>
              </w:rPr>
              <w:t>Описание на всеки ключов етап и цел</w:t>
            </w:r>
          </w:p>
        </w:tc>
      </w:tr>
      <w:tr w:rsidR="00235E11" w14:paraId="2ECEC7A9" w14:textId="77777777">
        <w:trPr>
          <w:trHeight w:val="102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EB4C382" w14:textId="77777777" w:rsidR="00235E11" w:rsidRDefault="00235E11">
            <w:pPr>
              <w:spacing w:after="0"/>
              <w:rPr>
                <w:rFonts w:ascii="Times New Roman" w:eastAsia="Times New Roman" w:hAnsi="Times New Roman" w:cs="Times New Roman"/>
                <w:b/>
                <w:noProof/>
              </w:rPr>
            </w:pPr>
          </w:p>
        </w:tc>
        <w:tc>
          <w:tcPr>
            <w:tcW w:w="1452" w:type="dxa"/>
            <w:vMerge/>
            <w:tcBorders>
              <w:top w:val="single" w:sz="4" w:space="0" w:color="auto"/>
              <w:left w:val="single" w:sz="4" w:space="0" w:color="auto"/>
              <w:bottom w:val="single" w:sz="4" w:space="0" w:color="000000"/>
              <w:right w:val="single" w:sz="4" w:space="0" w:color="auto"/>
            </w:tcBorders>
            <w:vAlign w:val="center"/>
            <w:hideMark/>
          </w:tcPr>
          <w:p w14:paraId="07BD3848" w14:textId="77777777" w:rsidR="00235E11" w:rsidRDefault="00235E11">
            <w:pPr>
              <w:spacing w:after="0"/>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124E4C6" w14:textId="77777777" w:rsidR="00235E11" w:rsidRDefault="00235E11">
            <w:pPr>
              <w:spacing w:after="0"/>
              <w:rPr>
                <w:rFonts w:ascii="Times New Roman" w:eastAsia="Times New Roman" w:hAnsi="Times New Roman" w:cs="Times New Roman"/>
                <w:b/>
                <w:noProof/>
              </w:rPr>
            </w:pPr>
          </w:p>
        </w:tc>
        <w:tc>
          <w:tcPr>
            <w:tcW w:w="1276" w:type="dxa"/>
            <w:vMerge/>
            <w:tcBorders>
              <w:top w:val="single" w:sz="4" w:space="0" w:color="auto"/>
              <w:left w:val="nil"/>
              <w:bottom w:val="single" w:sz="4" w:space="0" w:color="000000"/>
              <w:right w:val="single" w:sz="4" w:space="0" w:color="auto"/>
            </w:tcBorders>
            <w:vAlign w:val="center"/>
            <w:hideMark/>
          </w:tcPr>
          <w:p w14:paraId="7F691F65" w14:textId="77777777" w:rsidR="00235E11" w:rsidRDefault="00235E11">
            <w:pPr>
              <w:spacing w:after="0"/>
              <w:rPr>
                <w:rFonts w:ascii="Times New Roman" w:eastAsia="Times New Roman" w:hAnsi="Times New Roman" w:cs="Times New Roman"/>
                <w:b/>
                <w:noProof/>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EE670FB" w14:textId="77777777" w:rsidR="00235E11" w:rsidRDefault="00235E11">
            <w:pPr>
              <w:spacing w:after="0"/>
              <w:rPr>
                <w:rFonts w:ascii="Times New Roman" w:eastAsia="Times New Roman" w:hAnsi="Times New Roman" w:cs="Times New Roman"/>
                <w:b/>
                <w:noProof/>
              </w:rPr>
            </w:pPr>
          </w:p>
        </w:tc>
        <w:tc>
          <w:tcPr>
            <w:tcW w:w="992" w:type="dxa"/>
            <w:tcBorders>
              <w:top w:val="nil"/>
              <w:left w:val="nil"/>
              <w:bottom w:val="single" w:sz="4" w:space="0" w:color="auto"/>
              <w:right w:val="single" w:sz="4" w:space="0" w:color="auto"/>
            </w:tcBorders>
            <w:shd w:val="clear" w:color="auto" w:fill="BDD7EE"/>
            <w:vAlign w:val="center"/>
            <w:hideMark/>
          </w:tcPr>
          <w:p w14:paraId="69894C56" w14:textId="77777777" w:rsidR="00235E11" w:rsidRDefault="00F837E4">
            <w:pPr>
              <w:pStyle w:val="P68B1DB1-Normal7"/>
              <w:spacing w:after="0"/>
              <w:jc w:val="center"/>
              <w:rPr>
                <w:noProof/>
              </w:rPr>
            </w:pPr>
            <w:r>
              <w:rPr>
                <w:noProof/>
              </w:rPr>
              <w:t>Единица мярка</w:t>
            </w:r>
          </w:p>
        </w:tc>
        <w:tc>
          <w:tcPr>
            <w:tcW w:w="992" w:type="dxa"/>
            <w:tcBorders>
              <w:top w:val="nil"/>
              <w:left w:val="nil"/>
              <w:bottom w:val="single" w:sz="4" w:space="0" w:color="auto"/>
              <w:right w:val="single" w:sz="4" w:space="0" w:color="auto"/>
            </w:tcBorders>
            <w:shd w:val="clear" w:color="auto" w:fill="BDD7EE"/>
            <w:vAlign w:val="center"/>
            <w:hideMark/>
          </w:tcPr>
          <w:p w14:paraId="53426285" w14:textId="77777777" w:rsidR="00235E11" w:rsidRDefault="00F837E4">
            <w:pPr>
              <w:pStyle w:val="P68B1DB1-Normal7"/>
              <w:spacing w:after="0"/>
              <w:jc w:val="center"/>
              <w:rPr>
                <w:noProof/>
              </w:rPr>
            </w:pPr>
            <w:r>
              <w:rPr>
                <w:noProof/>
              </w:rPr>
              <w:t xml:space="preserve">Базова линия </w:t>
            </w:r>
          </w:p>
        </w:tc>
        <w:tc>
          <w:tcPr>
            <w:tcW w:w="992" w:type="dxa"/>
            <w:tcBorders>
              <w:top w:val="nil"/>
              <w:left w:val="nil"/>
              <w:bottom w:val="single" w:sz="4" w:space="0" w:color="auto"/>
              <w:right w:val="single" w:sz="4" w:space="0" w:color="auto"/>
            </w:tcBorders>
            <w:shd w:val="clear" w:color="auto" w:fill="BDD7EE"/>
            <w:vAlign w:val="center"/>
            <w:hideMark/>
          </w:tcPr>
          <w:p w14:paraId="34CA7C02" w14:textId="77777777" w:rsidR="00235E11" w:rsidRDefault="00F837E4">
            <w:pPr>
              <w:pStyle w:val="P68B1DB1-Normal7"/>
              <w:spacing w:after="0"/>
              <w:jc w:val="center"/>
              <w:rPr>
                <w:noProof/>
              </w:rPr>
            </w:pPr>
            <w:r>
              <w:rPr>
                <w:noProof/>
              </w:rPr>
              <w:t xml:space="preserve">Цел </w:t>
            </w:r>
          </w:p>
        </w:tc>
        <w:tc>
          <w:tcPr>
            <w:tcW w:w="709" w:type="dxa"/>
            <w:tcBorders>
              <w:top w:val="nil"/>
              <w:left w:val="nil"/>
              <w:bottom w:val="single" w:sz="4" w:space="0" w:color="auto"/>
              <w:right w:val="single" w:sz="4" w:space="0" w:color="auto"/>
            </w:tcBorders>
            <w:shd w:val="clear" w:color="auto" w:fill="BDD7EE"/>
            <w:vAlign w:val="center"/>
            <w:hideMark/>
          </w:tcPr>
          <w:p w14:paraId="57041D96" w14:textId="77777777" w:rsidR="00235E11" w:rsidRDefault="00F837E4">
            <w:pPr>
              <w:pStyle w:val="P68B1DB1-Normal7"/>
              <w:spacing w:after="0"/>
              <w:jc w:val="center"/>
              <w:rPr>
                <w:noProof/>
              </w:rPr>
            </w:pPr>
            <w:r>
              <w:rPr>
                <w:noProof/>
              </w:rPr>
              <w:t>Тримесечие</w:t>
            </w:r>
          </w:p>
        </w:tc>
        <w:tc>
          <w:tcPr>
            <w:tcW w:w="709" w:type="dxa"/>
            <w:tcBorders>
              <w:top w:val="nil"/>
              <w:left w:val="nil"/>
              <w:bottom w:val="single" w:sz="4" w:space="0" w:color="auto"/>
              <w:right w:val="single" w:sz="4" w:space="0" w:color="auto"/>
            </w:tcBorders>
            <w:shd w:val="clear" w:color="auto" w:fill="BDD7EE"/>
            <w:vAlign w:val="center"/>
            <w:hideMark/>
          </w:tcPr>
          <w:p w14:paraId="53EFDA8F" w14:textId="77777777" w:rsidR="00235E11" w:rsidRDefault="00F837E4">
            <w:pPr>
              <w:pStyle w:val="P68B1DB1-Normal7"/>
              <w:spacing w:after="0"/>
              <w:jc w:val="center"/>
              <w:rPr>
                <w:noProof/>
              </w:rPr>
            </w:pPr>
            <w:r>
              <w:rPr>
                <w:noProof/>
              </w:rPr>
              <w:t>Година</w:t>
            </w:r>
          </w:p>
        </w:tc>
        <w:tc>
          <w:tcPr>
            <w:tcW w:w="5494" w:type="dxa"/>
            <w:vMerge/>
            <w:tcBorders>
              <w:top w:val="single" w:sz="4" w:space="0" w:color="auto"/>
              <w:left w:val="single" w:sz="4" w:space="0" w:color="auto"/>
              <w:bottom w:val="single" w:sz="4" w:space="0" w:color="auto"/>
              <w:right w:val="single" w:sz="4" w:space="0" w:color="auto"/>
            </w:tcBorders>
            <w:vAlign w:val="center"/>
            <w:hideMark/>
          </w:tcPr>
          <w:p w14:paraId="33A07C56" w14:textId="77777777" w:rsidR="00235E11" w:rsidRDefault="00235E11">
            <w:pPr>
              <w:spacing w:after="0"/>
              <w:rPr>
                <w:rFonts w:ascii="Times New Roman" w:eastAsia="Times New Roman" w:hAnsi="Times New Roman" w:cs="Times New Roman"/>
                <w:b/>
                <w:noProof/>
              </w:rPr>
            </w:pPr>
          </w:p>
        </w:tc>
      </w:tr>
      <w:tr w:rsidR="00235E11" w14:paraId="318C4163" w14:textId="77777777">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CE5EC2" w14:textId="77777777" w:rsidR="00235E11" w:rsidRDefault="00F837E4">
            <w:pPr>
              <w:pStyle w:val="P68B1DB1-Normal10"/>
              <w:spacing w:after="0"/>
              <w:jc w:val="center"/>
              <w:rPr>
                <w:noProof/>
              </w:rPr>
            </w:pPr>
            <w:r>
              <w:rPr>
                <w:noProof/>
              </w:rPr>
              <w:t>205</w:t>
            </w:r>
          </w:p>
        </w:tc>
        <w:tc>
          <w:tcPr>
            <w:tcW w:w="1452" w:type="dxa"/>
            <w:tcBorders>
              <w:top w:val="single" w:sz="4" w:space="0" w:color="auto"/>
              <w:left w:val="nil"/>
              <w:bottom w:val="single" w:sz="4" w:space="0" w:color="auto"/>
              <w:right w:val="single" w:sz="4" w:space="0" w:color="auto"/>
            </w:tcBorders>
            <w:shd w:val="clear" w:color="auto" w:fill="C6EFCE"/>
            <w:noWrap/>
            <w:vAlign w:val="center"/>
          </w:tcPr>
          <w:p w14:paraId="01161372" w14:textId="77777777" w:rsidR="00235E11" w:rsidRDefault="00F837E4">
            <w:pPr>
              <w:pStyle w:val="P68B1DB1-Normal9"/>
              <w:spacing w:after="0"/>
              <w:rPr>
                <w:noProof/>
              </w:rPr>
            </w:pPr>
            <w:r>
              <w:rPr>
                <w:noProof/>
              </w:rPr>
              <w:t>Прегледи на разходите (R-6)</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14:paraId="46F49D28" w14:textId="3F48B47B" w:rsidR="00235E11" w:rsidRDefault="00F837E4">
            <w:pPr>
              <w:pStyle w:val="P68B1DB1-Normal9"/>
              <w:spacing w:after="0"/>
              <w:jc w:val="center"/>
              <w:rPr>
                <w:rFonts w:eastAsia="Times New Roman"/>
                <w:noProof/>
              </w:rPr>
            </w:pPr>
            <w:r>
              <w:rPr>
                <w:noProof/>
              </w:rPr>
              <w:t>M</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313DEFD5" w14:textId="77777777" w:rsidR="00235E11" w:rsidRDefault="00F837E4">
            <w:pPr>
              <w:pStyle w:val="P68B1DB1-Normal9"/>
              <w:spacing w:after="0"/>
              <w:rPr>
                <w:rFonts w:eastAsia="Times New Roman"/>
                <w:noProof/>
              </w:rPr>
            </w:pPr>
            <w:r>
              <w:rPr>
                <w:noProof/>
              </w:rPr>
              <w:t>Пилотен преглед на разходите или интегриране в бюджетния процес (1)</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30269DB0" w14:textId="77777777" w:rsidR="00235E11" w:rsidRDefault="00F837E4">
            <w:pPr>
              <w:pStyle w:val="P68B1DB1-Normal9"/>
              <w:spacing w:after="0"/>
              <w:rPr>
                <w:rFonts w:eastAsia="Times New Roman"/>
                <w:noProof/>
              </w:rPr>
            </w:pPr>
            <w:r>
              <w:rPr>
                <w:noProof/>
              </w:rPr>
              <w:t>Завършени пилотни проекти и свързани с тях доклади</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47C4493" w14:textId="6340AC72"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E5F9ADD" w14:textId="4324827B" w:rsidR="00235E11" w:rsidRDefault="00235E11">
            <w:pPr>
              <w:spacing w:after="0"/>
              <w:jc w:val="center"/>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4C4D37E" w14:textId="6AAE8631" w:rsidR="00235E11" w:rsidRDefault="00235E11">
            <w:pPr>
              <w:spacing w:after="0"/>
              <w:jc w:val="right"/>
              <w:rPr>
                <w:rFonts w:ascii="Times New Roman" w:eastAsia="Times New Roman" w:hAnsi="Times New Roman" w:cs="Times New Roman"/>
                <w:noProof/>
                <w:color w:val="006100"/>
              </w:rPr>
            </w:pP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DF2865B" w14:textId="77777777" w:rsidR="00235E11" w:rsidRDefault="00F837E4">
            <w:pPr>
              <w:pStyle w:val="P68B1DB1-Normal9"/>
              <w:spacing w:after="0"/>
              <w:jc w:val="center"/>
              <w:rPr>
                <w:rFonts w:eastAsia="Times New Roman"/>
                <w:noProof/>
              </w:rPr>
            </w:pPr>
            <w:r>
              <w:rPr>
                <w:noProof/>
              </w:rPr>
              <w:t>Т4 Г.</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C191505" w14:textId="77777777" w:rsidR="00235E11" w:rsidRDefault="00F837E4">
            <w:pPr>
              <w:pStyle w:val="P68B1DB1-Normal9"/>
              <w:spacing w:after="0"/>
              <w:jc w:val="center"/>
              <w:rPr>
                <w:rFonts w:eastAsia="Times New Roman"/>
                <w:noProof/>
              </w:rPr>
            </w:pPr>
            <w:r>
              <w:rPr>
                <w:noProof/>
              </w:rPr>
              <w:t>2021</w:t>
            </w:r>
          </w:p>
        </w:tc>
        <w:tc>
          <w:tcPr>
            <w:tcW w:w="549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4830FE" w14:textId="77777777" w:rsidR="00235E11" w:rsidRDefault="00F837E4">
            <w:pPr>
              <w:pStyle w:val="P68B1DB1-Normal9"/>
              <w:spacing w:after="0"/>
              <w:rPr>
                <w:rFonts w:eastAsia="Times New Roman"/>
                <w:noProof/>
              </w:rPr>
            </w:pPr>
            <w:r>
              <w:rPr>
                <w:noProof/>
              </w:rPr>
              <w:t>За федералните органи, органите на Валонския регион и регион Брюксел-столица: Пилотно приключване и изготвяне на доклад за преглед на разходите. За органите на Фламандския регион: Преглед на разходите — интегриране в бюджетния процес (1): Правителствени решения, определящи начина, по който прегледите на разходите (или подобен подход) се интегрират в бюджетния процес. Решенията определят стратегията за преглед на разходите и график за бъдещите прегледи, като евентуално включват количествени цели. В съответствие с насоките на Еврогрупата да гарантира, наред с други елементи, ясен обхват и структура на прегледите, както и прозрачен мониторинг, докладване и оценка.</w:t>
            </w:r>
          </w:p>
        </w:tc>
      </w:tr>
      <w:tr w:rsidR="00235E11" w14:paraId="28ABA4C6" w14:textId="77777777">
        <w:trPr>
          <w:trHeight w:val="313"/>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6CB546E2" w14:textId="77777777" w:rsidR="00235E11" w:rsidRDefault="00F837E4">
            <w:pPr>
              <w:pStyle w:val="P68B1DB1-Normal9"/>
              <w:spacing w:after="0"/>
              <w:jc w:val="center"/>
              <w:rPr>
                <w:rFonts w:eastAsia="Times New Roman"/>
                <w:noProof/>
              </w:rPr>
            </w:pPr>
            <w:r>
              <w:rPr>
                <w:noProof/>
              </w:rPr>
              <w:t>206</w:t>
            </w:r>
          </w:p>
        </w:tc>
        <w:tc>
          <w:tcPr>
            <w:tcW w:w="1452" w:type="dxa"/>
            <w:tcBorders>
              <w:top w:val="nil"/>
              <w:left w:val="nil"/>
              <w:bottom w:val="single" w:sz="4" w:space="0" w:color="auto"/>
              <w:right w:val="single" w:sz="4" w:space="0" w:color="auto"/>
            </w:tcBorders>
            <w:shd w:val="clear" w:color="auto" w:fill="C6EFCE"/>
            <w:noWrap/>
            <w:vAlign w:val="center"/>
          </w:tcPr>
          <w:p w14:paraId="016D36BB" w14:textId="77777777" w:rsidR="00235E11" w:rsidRDefault="00F837E4">
            <w:pPr>
              <w:pStyle w:val="P68B1DB1-Normal9"/>
              <w:spacing w:after="0"/>
              <w:rPr>
                <w:rFonts w:eastAsia="Times New Roman"/>
                <w:noProof/>
              </w:rPr>
            </w:pPr>
            <w:r>
              <w:rPr>
                <w:noProof/>
              </w:rPr>
              <w:t>Прегледи на разходите (R-6)</w:t>
            </w:r>
          </w:p>
        </w:tc>
        <w:tc>
          <w:tcPr>
            <w:tcW w:w="1275" w:type="dxa"/>
            <w:tcBorders>
              <w:top w:val="nil"/>
              <w:left w:val="nil"/>
              <w:bottom w:val="single" w:sz="4" w:space="0" w:color="auto"/>
              <w:right w:val="single" w:sz="4" w:space="0" w:color="auto"/>
            </w:tcBorders>
            <w:shd w:val="clear" w:color="auto" w:fill="C6EFCE"/>
            <w:noWrap/>
            <w:vAlign w:val="center"/>
          </w:tcPr>
          <w:p w14:paraId="55D94354" w14:textId="445EFA04" w:rsidR="00235E11" w:rsidRDefault="00F837E4">
            <w:pPr>
              <w:pStyle w:val="P68B1DB1-Normal9"/>
              <w:spacing w:after="0"/>
              <w:jc w:val="center"/>
              <w:rPr>
                <w:rFonts w:eastAsia="Times New Roman"/>
                <w:noProof/>
              </w:rPr>
            </w:pPr>
            <w:r>
              <w:rPr>
                <w:noProof/>
              </w:rPr>
              <w:t>M</w:t>
            </w:r>
          </w:p>
        </w:tc>
        <w:tc>
          <w:tcPr>
            <w:tcW w:w="1276" w:type="dxa"/>
            <w:tcBorders>
              <w:top w:val="nil"/>
              <w:left w:val="nil"/>
              <w:bottom w:val="single" w:sz="4" w:space="0" w:color="auto"/>
              <w:right w:val="single" w:sz="4" w:space="0" w:color="auto"/>
            </w:tcBorders>
            <w:shd w:val="clear" w:color="auto" w:fill="C6EFCE"/>
            <w:noWrap/>
            <w:vAlign w:val="center"/>
          </w:tcPr>
          <w:p w14:paraId="0AF8CB7B" w14:textId="77777777" w:rsidR="00235E11" w:rsidRDefault="00F837E4">
            <w:pPr>
              <w:pStyle w:val="P68B1DB1-Normal9"/>
              <w:spacing w:after="0"/>
              <w:rPr>
                <w:rFonts w:eastAsia="Times New Roman"/>
                <w:noProof/>
              </w:rPr>
            </w:pPr>
            <w:r>
              <w:rPr>
                <w:noProof/>
              </w:rPr>
              <w:t>Преглед на разходите — интегриране в бюджетния процес (1) или приключване на пилотния проект</w:t>
            </w:r>
          </w:p>
        </w:tc>
        <w:tc>
          <w:tcPr>
            <w:tcW w:w="1418" w:type="dxa"/>
            <w:tcBorders>
              <w:top w:val="nil"/>
              <w:left w:val="nil"/>
              <w:bottom w:val="single" w:sz="4" w:space="0" w:color="auto"/>
              <w:right w:val="single" w:sz="4" w:space="0" w:color="auto"/>
            </w:tcBorders>
            <w:shd w:val="clear" w:color="auto" w:fill="C6EFCE"/>
            <w:noWrap/>
            <w:vAlign w:val="center"/>
          </w:tcPr>
          <w:p w14:paraId="05A2E416" w14:textId="77777777" w:rsidR="00235E11" w:rsidRDefault="00F837E4">
            <w:pPr>
              <w:pStyle w:val="P68B1DB1-Normal9"/>
              <w:spacing w:after="0"/>
              <w:rPr>
                <w:rFonts w:eastAsia="Times New Roman"/>
                <w:noProof/>
              </w:rPr>
            </w:pPr>
            <w:r>
              <w:rPr>
                <w:noProof/>
              </w:rPr>
              <w:t>Правителствено решение</w:t>
            </w:r>
          </w:p>
        </w:tc>
        <w:tc>
          <w:tcPr>
            <w:tcW w:w="992" w:type="dxa"/>
            <w:tcBorders>
              <w:top w:val="nil"/>
              <w:left w:val="nil"/>
              <w:bottom w:val="single" w:sz="4" w:space="0" w:color="auto"/>
              <w:right w:val="single" w:sz="4" w:space="0" w:color="auto"/>
            </w:tcBorders>
            <w:shd w:val="clear" w:color="auto" w:fill="C6EFCE"/>
            <w:noWrap/>
            <w:vAlign w:val="center"/>
          </w:tcPr>
          <w:p w14:paraId="5514CE86" w14:textId="6933855E" w:rsidR="00235E11" w:rsidRDefault="00235E11">
            <w:pPr>
              <w:spacing w:after="0"/>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1A43BCCE" w14:textId="26B78344" w:rsidR="00235E11" w:rsidRDefault="00235E11">
            <w:pPr>
              <w:spacing w:after="0"/>
              <w:jc w:val="right"/>
              <w:rPr>
                <w:rFonts w:ascii="Times New Roman" w:eastAsia="Times New Roman" w:hAnsi="Times New Roman" w:cs="Times New Roman"/>
                <w:noProof/>
                <w:color w:val="006100"/>
              </w:rPr>
            </w:pPr>
          </w:p>
        </w:tc>
        <w:tc>
          <w:tcPr>
            <w:tcW w:w="992" w:type="dxa"/>
            <w:tcBorders>
              <w:top w:val="nil"/>
              <w:left w:val="nil"/>
              <w:bottom w:val="single" w:sz="4" w:space="0" w:color="auto"/>
              <w:right w:val="single" w:sz="4" w:space="0" w:color="auto"/>
            </w:tcBorders>
            <w:shd w:val="clear" w:color="auto" w:fill="C6EFCE"/>
            <w:noWrap/>
            <w:vAlign w:val="center"/>
          </w:tcPr>
          <w:p w14:paraId="33AEE14F" w14:textId="6E7C0422" w:rsidR="00235E11" w:rsidRDefault="00235E11">
            <w:pPr>
              <w:spacing w:after="0"/>
              <w:jc w:val="right"/>
              <w:rPr>
                <w:rFonts w:ascii="Times New Roman" w:eastAsia="Times New Roman" w:hAnsi="Times New Roman" w:cs="Times New Roman"/>
                <w:noProof/>
                <w:color w:val="006100"/>
              </w:rPr>
            </w:pPr>
          </w:p>
        </w:tc>
        <w:tc>
          <w:tcPr>
            <w:tcW w:w="709" w:type="dxa"/>
            <w:tcBorders>
              <w:top w:val="nil"/>
              <w:left w:val="nil"/>
              <w:bottom w:val="single" w:sz="4" w:space="0" w:color="auto"/>
              <w:right w:val="single" w:sz="4" w:space="0" w:color="auto"/>
            </w:tcBorders>
            <w:shd w:val="clear" w:color="auto" w:fill="C6EFCE"/>
            <w:noWrap/>
            <w:vAlign w:val="center"/>
          </w:tcPr>
          <w:p w14:paraId="57066F8F"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2CF2B550" w14:textId="77777777" w:rsidR="00235E11" w:rsidRDefault="00F837E4">
            <w:pPr>
              <w:pStyle w:val="P68B1DB1-Normal9"/>
              <w:spacing w:after="0"/>
              <w:jc w:val="center"/>
              <w:rPr>
                <w:rFonts w:eastAsia="Times New Roman"/>
                <w:noProof/>
              </w:rPr>
            </w:pPr>
            <w:r>
              <w:rPr>
                <w:noProof/>
              </w:rPr>
              <w:t>2022</w:t>
            </w:r>
          </w:p>
        </w:tc>
        <w:tc>
          <w:tcPr>
            <w:tcW w:w="5494" w:type="dxa"/>
            <w:tcBorders>
              <w:top w:val="nil"/>
              <w:left w:val="single" w:sz="4" w:space="0" w:color="auto"/>
              <w:bottom w:val="single" w:sz="4" w:space="0" w:color="auto"/>
              <w:right w:val="single" w:sz="4" w:space="0" w:color="auto"/>
            </w:tcBorders>
            <w:shd w:val="clear" w:color="auto" w:fill="C6EFCE"/>
            <w:noWrap/>
            <w:vAlign w:val="center"/>
          </w:tcPr>
          <w:p w14:paraId="76229B45" w14:textId="77777777" w:rsidR="00235E11" w:rsidRDefault="00F837E4">
            <w:pPr>
              <w:pStyle w:val="P68B1DB1-Normal9"/>
              <w:spacing w:after="0"/>
              <w:rPr>
                <w:rFonts w:eastAsia="Times New Roman"/>
                <w:noProof/>
              </w:rPr>
            </w:pPr>
            <w:r>
              <w:rPr>
                <w:noProof/>
              </w:rPr>
              <w:t>За федералните органи, органите на Валонския регион и регион Брюксел-столица: Преглед на разходите — интегриране в бюджетния процес (1): Правителствени решения, определящи начина, по който прегледите на разходите (или подобен подход) се интегрират в бюджетния процес. Решенията определят стратегията за преглед на разходите и график за бъдещите прегледи, като евентуално включват количествени цели. В съответствие с насоките на Еврогрупата да гарантира, наред с други елементи, ясен обхват и структура на прегледите, както и прозрачен мониторинг, докладване и оценка. За френските органи на Общността: Преглед на разходите — приключване на пилотния проект и редактиране на доклада.</w:t>
            </w:r>
          </w:p>
        </w:tc>
      </w:tr>
      <w:tr w:rsidR="00235E11" w14:paraId="2836C8FC" w14:textId="77777777">
        <w:trPr>
          <w:trHeight w:val="1591"/>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5BDCF966" w14:textId="77777777" w:rsidR="00235E11" w:rsidRDefault="00F837E4">
            <w:pPr>
              <w:pStyle w:val="P68B1DB1-Normal10"/>
              <w:spacing w:after="0"/>
              <w:jc w:val="center"/>
              <w:rPr>
                <w:noProof/>
              </w:rPr>
            </w:pPr>
            <w:r>
              <w:rPr>
                <w:noProof/>
              </w:rPr>
              <w:t>207</w:t>
            </w:r>
          </w:p>
        </w:tc>
        <w:tc>
          <w:tcPr>
            <w:tcW w:w="1452" w:type="dxa"/>
            <w:tcBorders>
              <w:top w:val="nil"/>
              <w:left w:val="nil"/>
              <w:bottom w:val="single" w:sz="4" w:space="0" w:color="auto"/>
              <w:right w:val="single" w:sz="4" w:space="0" w:color="auto"/>
            </w:tcBorders>
            <w:shd w:val="clear" w:color="auto" w:fill="C6EFCE"/>
            <w:noWrap/>
            <w:vAlign w:val="center"/>
          </w:tcPr>
          <w:p w14:paraId="4758A41B" w14:textId="77777777" w:rsidR="00235E11" w:rsidRDefault="00F837E4">
            <w:pPr>
              <w:pStyle w:val="P68B1DB1-Normal9"/>
              <w:spacing w:after="0"/>
              <w:rPr>
                <w:rFonts w:eastAsia="Times New Roman"/>
                <w:noProof/>
              </w:rPr>
            </w:pPr>
            <w:r>
              <w:rPr>
                <w:noProof/>
              </w:rPr>
              <w:t>Прегледи на разходите (R-6)</w:t>
            </w:r>
          </w:p>
        </w:tc>
        <w:tc>
          <w:tcPr>
            <w:tcW w:w="1275" w:type="dxa"/>
            <w:tcBorders>
              <w:top w:val="nil"/>
              <w:left w:val="nil"/>
              <w:bottom w:val="single" w:sz="4" w:space="0" w:color="auto"/>
              <w:right w:val="single" w:sz="4" w:space="0" w:color="auto"/>
            </w:tcBorders>
            <w:shd w:val="clear" w:color="auto" w:fill="C6EFCE"/>
            <w:noWrap/>
            <w:vAlign w:val="center"/>
          </w:tcPr>
          <w:p w14:paraId="2E9C88C9" w14:textId="0AAA3ABB" w:rsidR="00235E11" w:rsidRDefault="00F837E4">
            <w:pPr>
              <w:pStyle w:val="P68B1DB1-Normal9"/>
              <w:spacing w:after="0"/>
              <w:jc w:val="center"/>
              <w:rPr>
                <w:rFonts w:eastAsia="Times New Roman"/>
                <w:noProof/>
              </w:rPr>
            </w:pPr>
            <w:r>
              <w:rPr>
                <w:noProof/>
              </w:rPr>
              <w:t>M</w:t>
            </w:r>
          </w:p>
        </w:tc>
        <w:tc>
          <w:tcPr>
            <w:tcW w:w="1276" w:type="dxa"/>
            <w:tcBorders>
              <w:top w:val="nil"/>
              <w:left w:val="nil"/>
              <w:bottom w:val="single" w:sz="4" w:space="0" w:color="auto"/>
              <w:right w:val="single" w:sz="4" w:space="0" w:color="auto"/>
            </w:tcBorders>
            <w:shd w:val="clear" w:color="auto" w:fill="C6EFCE"/>
            <w:noWrap/>
            <w:vAlign w:val="center"/>
          </w:tcPr>
          <w:p w14:paraId="46384CDA" w14:textId="77777777" w:rsidR="00235E11" w:rsidRDefault="00F837E4">
            <w:pPr>
              <w:pStyle w:val="P68B1DB1-Normal9"/>
              <w:spacing w:after="0"/>
              <w:rPr>
                <w:rFonts w:eastAsia="Times New Roman"/>
                <w:noProof/>
              </w:rPr>
            </w:pPr>
            <w:r>
              <w:rPr>
                <w:noProof/>
              </w:rPr>
              <w:t>Преглед на разходите — интегриране в бюджетния процес (1) или (2)</w:t>
            </w:r>
          </w:p>
        </w:tc>
        <w:tc>
          <w:tcPr>
            <w:tcW w:w="1418" w:type="dxa"/>
            <w:tcBorders>
              <w:top w:val="nil"/>
              <w:left w:val="nil"/>
              <w:bottom w:val="single" w:sz="4" w:space="0" w:color="auto"/>
              <w:right w:val="single" w:sz="4" w:space="0" w:color="auto"/>
            </w:tcBorders>
            <w:shd w:val="clear" w:color="auto" w:fill="C6EFCE"/>
            <w:noWrap/>
            <w:vAlign w:val="center"/>
          </w:tcPr>
          <w:p w14:paraId="78E92C1F" w14:textId="77777777" w:rsidR="00235E11" w:rsidRDefault="00F837E4">
            <w:pPr>
              <w:pStyle w:val="P68B1DB1-Normal9"/>
              <w:spacing w:after="0"/>
              <w:rPr>
                <w:rFonts w:eastAsia="Times New Roman"/>
                <w:noProof/>
              </w:rPr>
            </w:pPr>
            <w:r>
              <w:rPr>
                <w:noProof/>
              </w:rPr>
              <w:t>Правителствено решение</w:t>
            </w:r>
          </w:p>
        </w:tc>
        <w:tc>
          <w:tcPr>
            <w:tcW w:w="992" w:type="dxa"/>
            <w:tcBorders>
              <w:top w:val="nil"/>
              <w:left w:val="nil"/>
              <w:bottom w:val="single" w:sz="4" w:space="0" w:color="auto"/>
              <w:right w:val="single" w:sz="4" w:space="0" w:color="auto"/>
            </w:tcBorders>
            <w:shd w:val="clear" w:color="auto" w:fill="C6EFCE"/>
            <w:noWrap/>
            <w:vAlign w:val="center"/>
          </w:tcPr>
          <w:p w14:paraId="244E94CE" w14:textId="77777777" w:rsidR="00235E11" w:rsidRDefault="00F837E4">
            <w:pPr>
              <w:pStyle w:val="P68B1DB1-Normal9"/>
              <w:spacing w:after="0"/>
              <w:rPr>
                <w:rFonts w:eastAsia="Times New Roman"/>
                <w:noProof/>
              </w:rPr>
            </w:pPr>
            <w:r>
              <w:rPr>
                <w:noProof/>
              </w:rPr>
              <w:t> </w:t>
            </w:r>
          </w:p>
        </w:tc>
        <w:tc>
          <w:tcPr>
            <w:tcW w:w="992" w:type="dxa"/>
            <w:tcBorders>
              <w:top w:val="nil"/>
              <w:left w:val="nil"/>
              <w:bottom w:val="single" w:sz="4" w:space="0" w:color="auto"/>
              <w:right w:val="single" w:sz="4" w:space="0" w:color="auto"/>
            </w:tcBorders>
            <w:shd w:val="clear" w:color="auto" w:fill="C6EFCE"/>
            <w:noWrap/>
            <w:vAlign w:val="center"/>
          </w:tcPr>
          <w:p w14:paraId="75AF59E8" w14:textId="77777777" w:rsidR="00235E11" w:rsidRDefault="00F837E4">
            <w:pPr>
              <w:pStyle w:val="P68B1DB1-Normal9"/>
              <w:spacing w:after="0"/>
              <w:rPr>
                <w:rFonts w:eastAsia="Times New Roman"/>
                <w:noProof/>
              </w:rPr>
            </w:pPr>
            <w:r>
              <w:rPr>
                <w:noProof/>
              </w:rPr>
              <w:t> </w:t>
            </w:r>
          </w:p>
        </w:tc>
        <w:tc>
          <w:tcPr>
            <w:tcW w:w="992" w:type="dxa"/>
            <w:tcBorders>
              <w:top w:val="nil"/>
              <w:left w:val="nil"/>
              <w:bottom w:val="single" w:sz="4" w:space="0" w:color="auto"/>
              <w:right w:val="single" w:sz="4" w:space="0" w:color="auto"/>
            </w:tcBorders>
            <w:shd w:val="clear" w:color="auto" w:fill="C6EFCE"/>
            <w:noWrap/>
            <w:vAlign w:val="center"/>
          </w:tcPr>
          <w:p w14:paraId="63190686" w14:textId="77777777" w:rsidR="00235E11" w:rsidRDefault="00F837E4">
            <w:pPr>
              <w:pStyle w:val="P68B1DB1-Normal9"/>
              <w:spacing w:after="0"/>
              <w:rPr>
                <w:rFonts w:eastAsia="Times New Roman"/>
                <w:noProof/>
              </w:rPr>
            </w:pPr>
            <w:r>
              <w:rPr>
                <w:noProof/>
              </w:rPr>
              <w:t> </w:t>
            </w:r>
          </w:p>
        </w:tc>
        <w:tc>
          <w:tcPr>
            <w:tcW w:w="709" w:type="dxa"/>
            <w:tcBorders>
              <w:top w:val="nil"/>
              <w:left w:val="nil"/>
              <w:bottom w:val="single" w:sz="4" w:space="0" w:color="auto"/>
              <w:right w:val="single" w:sz="4" w:space="0" w:color="auto"/>
            </w:tcBorders>
            <w:shd w:val="clear" w:color="auto" w:fill="C6EFCE"/>
            <w:noWrap/>
            <w:vAlign w:val="center"/>
          </w:tcPr>
          <w:p w14:paraId="521C3C96"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204D34A4" w14:textId="77777777" w:rsidR="00235E11" w:rsidRDefault="00F837E4">
            <w:pPr>
              <w:pStyle w:val="P68B1DB1-Normal9"/>
              <w:spacing w:after="0"/>
              <w:jc w:val="center"/>
              <w:rPr>
                <w:rFonts w:eastAsia="Times New Roman"/>
                <w:noProof/>
              </w:rPr>
            </w:pPr>
            <w:r>
              <w:rPr>
                <w:noProof/>
              </w:rPr>
              <w:t>2023</w:t>
            </w:r>
          </w:p>
        </w:tc>
        <w:tc>
          <w:tcPr>
            <w:tcW w:w="5494" w:type="dxa"/>
            <w:tcBorders>
              <w:top w:val="nil"/>
              <w:left w:val="single" w:sz="4" w:space="0" w:color="auto"/>
              <w:bottom w:val="single" w:sz="4" w:space="0" w:color="auto"/>
              <w:right w:val="single" w:sz="4" w:space="0" w:color="auto"/>
            </w:tcBorders>
            <w:shd w:val="clear" w:color="auto" w:fill="C6EFCE"/>
            <w:noWrap/>
            <w:vAlign w:val="center"/>
          </w:tcPr>
          <w:p w14:paraId="4CE92B81" w14:textId="77777777" w:rsidR="00235E11" w:rsidRDefault="00F837E4">
            <w:pPr>
              <w:pStyle w:val="P68B1DB1-Normal9"/>
              <w:spacing w:after="0"/>
              <w:rPr>
                <w:rFonts w:eastAsia="Times New Roman"/>
                <w:noProof/>
              </w:rPr>
            </w:pPr>
            <w:r>
              <w:rPr>
                <w:noProof/>
              </w:rPr>
              <w:t xml:space="preserve">За френските органи на Общността: Преглед на разходите — интегриране в бюджетния процес (1): Правителствени решения, определящи начина, по който прегледите на разходите (или подобен подход) се интегрират в бюджетния процес. Решенията определят стратегията за преглед на разходите и график за бъдещите прегледи, като евентуално включват количествени цели. В съответствие с насоките на Еврогрупата да гарантира, наред с други елементи, ясен обхват и структура на прегледите, както и прозрачен мониторинг, докладване и оценка. За федералния, фламандския регион, Валонския регион, регион Брюксел-Капитал и френските органи на Общността: Преглед на разходите — интегриране в бюджетния процес (2): Систематично включване на резултатите от прегледите на разходите в годишното и многогодишното бюджетно планиране при изготвянето на закона за бюджета за 2024 г. Това включва, наред с другото, количественото определяне ex post на резултатите, включително икономиите, свързани с програмата за преглед на разходите. </w:t>
            </w:r>
          </w:p>
        </w:tc>
      </w:tr>
      <w:tr w:rsidR="00235E11" w14:paraId="7E69490E" w14:textId="77777777">
        <w:trPr>
          <w:trHeight w:val="313"/>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58C92C35" w14:textId="77777777" w:rsidR="00235E11" w:rsidRDefault="00F837E4">
            <w:pPr>
              <w:pStyle w:val="P68B1DB1-Normal10"/>
              <w:spacing w:after="0"/>
              <w:jc w:val="center"/>
              <w:rPr>
                <w:noProof/>
              </w:rPr>
            </w:pPr>
            <w:r>
              <w:rPr>
                <w:noProof/>
              </w:rPr>
              <w:t>208</w:t>
            </w:r>
          </w:p>
        </w:tc>
        <w:tc>
          <w:tcPr>
            <w:tcW w:w="1452" w:type="dxa"/>
            <w:tcBorders>
              <w:top w:val="nil"/>
              <w:left w:val="nil"/>
              <w:bottom w:val="single" w:sz="4" w:space="0" w:color="auto"/>
              <w:right w:val="single" w:sz="4" w:space="0" w:color="auto"/>
            </w:tcBorders>
            <w:shd w:val="clear" w:color="auto" w:fill="C6EFCE"/>
            <w:noWrap/>
            <w:vAlign w:val="center"/>
          </w:tcPr>
          <w:p w14:paraId="38B1E417" w14:textId="77777777" w:rsidR="00235E11" w:rsidRDefault="00F837E4">
            <w:pPr>
              <w:pStyle w:val="P68B1DB1-Normal9"/>
              <w:spacing w:after="0"/>
              <w:rPr>
                <w:rFonts w:eastAsia="Times New Roman"/>
                <w:noProof/>
              </w:rPr>
            </w:pPr>
            <w:r>
              <w:rPr>
                <w:noProof/>
              </w:rPr>
              <w:t>Прегледи на разходите (R-6)</w:t>
            </w:r>
          </w:p>
        </w:tc>
        <w:tc>
          <w:tcPr>
            <w:tcW w:w="1275" w:type="dxa"/>
            <w:tcBorders>
              <w:top w:val="nil"/>
              <w:left w:val="nil"/>
              <w:bottom w:val="single" w:sz="4" w:space="0" w:color="auto"/>
              <w:right w:val="single" w:sz="4" w:space="0" w:color="auto"/>
            </w:tcBorders>
            <w:shd w:val="clear" w:color="auto" w:fill="C6EFCE"/>
            <w:noWrap/>
            <w:vAlign w:val="center"/>
          </w:tcPr>
          <w:p w14:paraId="1B882358" w14:textId="3F9BD227" w:rsidR="00235E11" w:rsidRDefault="00F837E4">
            <w:pPr>
              <w:pStyle w:val="P68B1DB1-Normal9"/>
              <w:spacing w:after="0"/>
              <w:jc w:val="center"/>
              <w:rPr>
                <w:rFonts w:eastAsia="Times New Roman"/>
                <w:noProof/>
              </w:rPr>
            </w:pPr>
            <w:r>
              <w:rPr>
                <w:noProof/>
              </w:rPr>
              <w:t>M</w:t>
            </w:r>
          </w:p>
        </w:tc>
        <w:tc>
          <w:tcPr>
            <w:tcW w:w="1276" w:type="dxa"/>
            <w:tcBorders>
              <w:top w:val="nil"/>
              <w:left w:val="nil"/>
              <w:bottom w:val="single" w:sz="4" w:space="0" w:color="auto"/>
              <w:right w:val="single" w:sz="4" w:space="0" w:color="auto"/>
            </w:tcBorders>
            <w:shd w:val="clear" w:color="auto" w:fill="C6EFCE"/>
            <w:noWrap/>
            <w:vAlign w:val="center"/>
          </w:tcPr>
          <w:p w14:paraId="50C0AA67" w14:textId="77777777" w:rsidR="00235E11" w:rsidRDefault="00F837E4">
            <w:pPr>
              <w:pStyle w:val="P68B1DB1-Normal9"/>
              <w:spacing w:after="0"/>
              <w:rPr>
                <w:rFonts w:eastAsia="Times New Roman"/>
                <w:noProof/>
              </w:rPr>
            </w:pPr>
            <w:r>
              <w:rPr>
                <w:noProof/>
              </w:rPr>
              <w:t>Последващ анализ на прегледа на разходите</w:t>
            </w:r>
          </w:p>
        </w:tc>
        <w:tc>
          <w:tcPr>
            <w:tcW w:w="1418" w:type="dxa"/>
            <w:tcBorders>
              <w:top w:val="nil"/>
              <w:left w:val="nil"/>
              <w:bottom w:val="single" w:sz="4" w:space="0" w:color="auto"/>
              <w:right w:val="single" w:sz="4" w:space="0" w:color="auto"/>
            </w:tcBorders>
            <w:shd w:val="clear" w:color="auto" w:fill="C6EFCE"/>
            <w:noWrap/>
            <w:vAlign w:val="center"/>
          </w:tcPr>
          <w:p w14:paraId="0A561D8B" w14:textId="77777777" w:rsidR="00235E11" w:rsidRDefault="00F837E4">
            <w:pPr>
              <w:pStyle w:val="P68B1DB1-Normal9"/>
              <w:spacing w:after="0"/>
              <w:rPr>
                <w:rFonts w:eastAsia="Times New Roman"/>
                <w:noProof/>
              </w:rPr>
            </w:pPr>
            <w:r>
              <w:rPr>
                <w:noProof/>
              </w:rPr>
              <w:t>Доклад за оценка</w:t>
            </w:r>
          </w:p>
        </w:tc>
        <w:tc>
          <w:tcPr>
            <w:tcW w:w="992" w:type="dxa"/>
            <w:tcBorders>
              <w:top w:val="nil"/>
              <w:left w:val="nil"/>
              <w:bottom w:val="single" w:sz="4" w:space="0" w:color="auto"/>
              <w:right w:val="single" w:sz="4" w:space="0" w:color="auto"/>
            </w:tcBorders>
            <w:shd w:val="clear" w:color="auto" w:fill="C6EFCE"/>
            <w:noWrap/>
            <w:vAlign w:val="center"/>
          </w:tcPr>
          <w:p w14:paraId="24B81518" w14:textId="77777777" w:rsidR="00235E11" w:rsidRDefault="00F837E4">
            <w:pPr>
              <w:pStyle w:val="P68B1DB1-Normal9"/>
              <w:spacing w:after="0"/>
              <w:rPr>
                <w:rFonts w:eastAsia="Times New Roman"/>
                <w:noProof/>
              </w:rPr>
            </w:pPr>
            <w:r>
              <w:rPr>
                <w:noProof/>
              </w:rPr>
              <w:t> </w:t>
            </w:r>
          </w:p>
        </w:tc>
        <w:tc>
          <w:tcPr>
            <w:tcW w:w="992" w:type="dxa"/>
            <w:tcBorders>
              <w:top w:val="nil"/>
              <w:left w:val="nil"/>
              <w:bottom w:val="single" w:sz="4" w:space="0" w:color="auto"/>
              <w:right w:val="single" w:sz="4" w:space="0" w:color="auto"/>
            </w:tcBorders>
            <w:shd w:val="clear" w:color="auto" w:fill="C6EFCE"/>
            <w:noWrap/>
            <w:vAlign w:val="center"/>
          </w:tcPr>
          <w:p w14:paraId="450E0B04" w14:textId="77777777" w:rsidR="00235E11" w:rsidRDefault="00F837E4">
            <w:pPr>
              <w:pStyle w:val="P68B1DB1-Normal9"/>
              <w:spacing w:after="0"/>
              <w:rPr>
                <w:rFonts w:eastAsia="Times New Roman"/>
                <w:noProof/>
              </w:rPr>
            </w:pPr>
            <w:r>
              <w:rPr>
                <w:noProof/>
              </w:rPr>
              <w:t> </w:t>
            </w:r>
          </w:p>
        </w:tc>
        <w:tc>
          <w:tcPr>
            <w:tcW w:w="992" w:type="dxa"/>
            <w:tcBorders>
              <w:top w:val="nil"/>
              <w:left w:val="nil"/>
              <w:bottom w:val="single" w:sz="4" w:space="0" w:color="auto"/>
              <w:right w:val="single" w:sz="4" w:space="0" w:color="auto"/>
            </w:tcBorders>
            <w:shd w:val="clear" w:color="auto" w:fill="C6EFCE"/>
            <w:noWrap/>
            <w:vAlign w:val="center"/>
          </w:tcPr>
          <w:p w14:paraId="46C9755D" w14:textId="77777777" w:rsidR="00235E11" w:rsidRDefault="00F837E4">
            <w:pPr>
              <w:pStyle w:val="P68B1DB1-Normal9"/>
              <w:spacing w:after="0"/>
              <w:rPr>
                <w:rFonts w:eastAsia="Times New Roman"/>
                <w:noProof/>
              </w:rPr>
            </w:pPr>
            <w:r>
              <w:rPr>
                <w:noProof/>
              </w:rPr>
              <w:t> </w:t>
            </w:r>
          </w:p>
        </w:tc>
        <w:tc>
          <w:tcPr>
            <w:tcW w:w="709" w:type="dxa"/>
            <w:tcBorders>
              <w:top w:val="nil"/>
              <w:left w:val="nil"/>
              <w:bottom w:val="single" w:sz="4" w:space="0" w:color="auto"/>
              <w:right w:val="single" w:sz="4" w:space="0" w:color="auto"/>
            </w:tcBorders>
            <w:shd w:val="clear" w:color="auto" w:fill="C6EFCE"/>
            <w:noWrap/>
            <w:vAlign w:val="center"/>
          </w:tcPr>
          <w:p w14:paraId="39A8539E" w14:textId="77777777" w:rsidR="00235E11" w:rsidRDefault="00F837E4">
            <w:pPr>
              <w:pStyle w:val="P68B1DB1-Normal9"/>
              <w:spacing w:after="0"/>
              <w:jc w:val="center"/>
              <w:rPr>
                <w:rFonts w:eastAsia="Times New Roman"/>
                <w:noProof/>
              </w:rPr>
            </w:pPr>
            <w:r>
              <w:rPr>
                <w:noProof/>
              </w:rPr>
              <w:t>Т4 Г.</w:t>
            </w:r>
          </w:p>
        </w:tc>
        <w:tc>
          <w:tcPr>
            <w:tcW w:w="709" w:type="dxa"/>
            <w:tcBorders>
              <w:top w:val="nil"/>
              <w:left w:val="nil"/>
              <w:bottom w:val="single" w:sz="4" w:space="0" w:color="auto"/>
              <w:right w:val="single" w:sz="4" w:space="0" w:color="auto"/>
            </w:tcBorders>
            <w:shd w:val="clear" w:color="auto" w:fill="C6EFCE"/>
            <w:noWrap/>
            <w:vAlign w:val="center"/>
          </w:tcPr>
          <w:p w14:paraId="099C9E48" w14:textId="77777777" w:rsidR="00235E11" w:rsidRDefault="00F837E4">
            <w:pPr>
              <w:pStyle w:val="P68B1DB1-Normal9"/>
              <w:spacing w:after="0"/>
              <w:jc w:val="center"/>
              <w:rPr>
                <w:rFonts w:eastAsia="Times New Roman"/>
                <w:noProof/>
              </w:rPr>
            </w:pPr>
            <w:r>
              <w:rPr>
                <w:noProof/>
              </w:rPr>
              <w:t>2024</w:t>
            </w:r>
          </w:p>
        </w:tc>
        <w:tc>
          <w:tcPr>
            <w:tcW w:w="5494" w:type="dxa"/>
            <w:tcBorders>
              <w:top w:val="nil"/>
              <w:left w:val="single" w:sz="4" w:space="0" w:color="auto"/>
              <w:bottom w:val="single" w:sz="4" w:space="0" w:color="auto"/>
              <w:right w:val="single" w:sz="4" w:space="0" w:color="auto"/>
            </w:tcBorders>
            <w:shd w:val="clear" w:color="auto" w:fill="C6EFCE"/>
            <w:noWrap/>
            <w:vAlign w:val="center"/>
          </w:tcPr>
          <w:p w14:paraId="5870E761" w14:textId="77777777" w:rsidR="00235E11" w:rsidRDefault="00F837E4">
            <w:pPr>
              <w:pStyle w:val="P68B1DB1-Normal9"/>
              <w:spacing w:after="0"/>
              <w:rPr>
                <w:rFonts w:eastAsia="Times New Roman"/>
                <w:noProof/>
              </w:rPr>
            </w:pPr>
            <w:r>
              <w:rPr>
                <w:noProof/>
              </w:rPr>
              <w:t>За федералния, фламандския, Валонския регион, регион Брюксел-столица и френските органи на Общността: Последващ анализ на прегледа на разходите: Публикуване на доклад за оценка на прегледите на разходите.</w:t>
            </w:r>
          </w:p>
        </w:tc>
      </w:tr>
    </w:tbl>
    <w:p w14:paraId="28248F9B" w14:textId="77777777" w:rsidR="00235E11" w:rsidRDefault="00235E11">
      <w:pPr>
        <w:pStyle w:val="Text1"/>
        <w:ind w:left="709"/>
        <w:rPr>
          <w:noProof/>
        </w:rPr>
        <w:sectPr w:rsidR="00235E11" w:rsidSect="007F56C3">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134" w:right="1134" w:bottom="1134" w:left="1134" w:header="567" w:footer="567" w:gutter="0"/>
          <w:cols w:space="720"/>
          <w:docGrid w:linePitch="360"/>
        </w:sectPr>
      </w:pPr>
    </w:p>
    <w:p w14:paraId="5F350C70" w14:textId="77777777" w:rsidR="00235E11" w:rsidRDefault="00F837E4">
      <w:pPr>
        <w:pStyle w:val="P68B1DB1-Jalonsetcibles27"/>
        <w:spacing w:before="120" w:after="120" w:line="240" w:lineRule="auto"/>
        <w:rPr>
          <w:noProof/>
        </w:rPr>
      </w:pPr>
      <w:r>
        <w:rPr>
          <w:noProof/>
        </w:rPr>
        <w:t>Глава за REPowerEU</w:t>
      </w:r>
    </w:p>
    <w:p w14:paraId="112B0B91" w14:textId="7120B663" w:rsidR="00235E11" w:rsidRDefault="00373F25">
      <w:pPr>
        <w:pStyle w:val="ManualHeading1"/>
        <w:spacing w:before="120"/>
        <w:ind w:left="0" w:hanging="130"/>
        <w:rPr>
          <w:noProof/>
        </w:rPr>
      </w:pPr>
      <w:r>
        <w:rPr>
          <w:noProof/>
          <w:lang w:val="bg-BG"/>
        </w:rPr>
        <w:t>С</w:t>
      </w:r>
      <w:r w:rsidR="00F837E4">
        <w:rPr>
          <w:caps/>
          <w:smallCaps w:val="0"/>
          <w:noProof/>
        </w:rPr>
        <w:t>. КОМПОНЕНТ</w:t>
      </w:r>
      <w:r w:rsidR="00F837E4">
        <w:rPr>
          <w:noProof/>
        </w:rPr>
        <w:t xml:space="preserve"> 7.1: Обновяване на сградите</w:t>
      </w:r>
    </w:p>
    <w:p w14:paraId="3B677C36" w14:textId="77777777" w:rsidR="00235E11" w:rsidRDefault="00F837E4">
      <w:pPr>
        <w:pStyle w:val="Text1"/>
        <w:ind w:left="0"/>
        <w:rPr>
          <w:noProof/>
        </w:rPr>
      </w:pPr>
      <w:r>
        <w:rPr>
          <w:noProof/>
        </w:rPr>
        <w:t xml:space="preserve">В главата за REPowerEU се разглежда предизвикателството да се намали зависимостта от изкопаеми горива и да се повиши енергийната ефективност. Целта на този компонент от главата за REPowerEU от белгийския план за възстановяване и устойчивост е да се санира съществуващият сграден фонд и да се повиши енергийната и ресурсната му ефективност. Компонентът е съсредоточен върху санирането на частни и обществени сгради, включително социална инфраструктура и жилищни жилища, и по-общо на сградите с по-ниски енергийни характеристики по отношение на енергийната ефективност. Поради това този компонент допринася за намаляване на емисиите на парникови газове и насърчаване на растежа в устойчивото строителство, както и на социалната устойчивост чрез намаляване на сметките за енергия. </w:t>
      </w:r>
    </w:p>
    <w:p w14:paraId="0C1508D9" w14:textId="77777777" w:rsidR="00235E11" w:rsidRDefault="00F837E4">
      <w:pPr>
        <w:pStyle w:val="Text1"/>
        <w:ind w:left="0"/>
        <w:rPr>
          <w:noProof/>
        </w:rPr>
      </w:pPr>
      <w:r>
        <w:rPr>
          <w:noProof/>
        </w:rPr>
        <w:t xml:space="preserve">Компонентът допринася за изпълнението на специфични за всяка държава препоръки 2022.4 и 2023.4, като призовава Белгия да </w:t>
      </w:r>
      <w:r>
        <w:rPr>
          <w:i/>
          <w:noProof/>
        </w:rPr>
        <w:t>намали цялостната зависимост от изкопаеми горива чрез засилване на подобренията на енергийната ефективност и намаляване на използването на изкопаеми горива в сградите</w:t>
      </w:r>
      <w:r>
        <w:rPr>
          <w:noProof/>
        </w:rPr>
        <w:t>.</w:t>
      </w:r>
    </w:p>
    <w:p w14:paraId="1E012F85"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2E88CE1F" w14:textId="682CFBF6" w:rsidR="00235E11" w:rsidRDefault="00617E7D">
      <w:pPr>
        <w:pStyle w:val="P68B1DB1-Normal1"/>
        <w:spacing w:before="120" w:after="120" w:line="240" w:lineRule="auto"/>
        <w:jc w:val="both"/>
        <w:rPr>
          <w:noProof/>
        </w:rPr>
      </w:pPr>
      <w:r>
        <w:rPr>
          <w:noProof/>
          <w:lang w:val="bg-BG"/>
        </w:rPr>
        <w:t>С</w:t>
      </w:r>
      <w:r w:rsidR="00F837E4">
        <w:rPr>
          <w:noProof/>
        </w:rPr>
        <w:t xml:space="preserve">.1. </w:t>
      </w:r>
      <w:r w:rsidR="00F837E4">
        <w:rPr>
          <w:noProof/>
        </w:rPr>
        <w:tab/>
        <w:t>Описание на реформите и инвестициите за безвъзмездна финансова подкрепа</w:t>
      </w:r>
    </w:p>
    <w:p w14:paraId="515835B4" w14:textId="77777777" w:rsidR="00235E11" w:rsidRDefault="00F837E4">
      <w:pPr>
        <w:pStyle w:val="P68B1DB1-Jalonsetcibles28"/>
        <w:spacing w:before="120" w:after="120" w:line="240" w:lineRule="auto"/>
        <w:jc w:val="both"/>
        <w:rPr>
          <w:noProof/>
        </w:rPr>
      </w:pPr>
      <w:r>
        <w:rPr>
          <w:noProof/>
        </w:rPr>
        <w:t>Реформа R-7.01: „Преразглеждане на Кодекса за въздуха, климата и енергетиката“ на регион Брюксел-столица</w:t>
      </w:r>
    </w:p>
    <w:p w14:paraId="6A3E65F0" w14:textId="77777777" w:rsidR="00235E11" w:rsidRDefault="00F837E4">
      <w:pPr>
        <w:pStyle w:val="P68B1DB1-Jalonsetcibles29"/>
        <w:spacing w:before="120" w:after="120" w:line="240" w:lineRule="auto"/>
        <w:jc w:val="both"/>
        <w:rPr>
          <w:noProof/>
        </w:rPr>
      </w:pPr>
      <w:r>
        <w:rPr>
          <w:noProof/>
        </w:rPr>
        <w:t xml:space="preserve">Тази реформа се състои в изменение на Брюкселския кодекс за въздуха, климата и енергетиката (COBRACE), с което се въвеждат нови задължения за саниране на сгради и нови сгради. За всички жилищни и нежилищни СЕХ се изисква сертификат за енергийните характеристики на сградите (EPB). За жилищния сграден фонд всяка единица EPB трябва да премине през ремонт, за да отговаря на следните изисквания за първично потребление на енергия: ЕХС единиците от жилищния сграден фонд трябва да отговарят най-малко на ниво на потребление на първична енергия под 275 kWh/m²/година (ограничение за клас Е) в рамките на 10 години или най-късно до 2033 г. и по-малко от 150 kWh/m²/година (ограничение за клас C) за изискванията, които трябва да бъдат постигнати в рамките на 20 години. </w:t>
      </w:r>
    </w:p>
    <w:p w14:paraId="76D99C8C" w14:textId="77777777" w:rsidR="00235E11" w:rsidRDefault="00F837E4">
      <w:pPr>
        <w:pStyle w:val="P68B1DB1-Jalonsetcibles29"/>
        <w:spacing w:before="120" w:after="120" w:line="240" w:lineRule="auto"/>
        <w:jc w:val="both"/>
        <w:rPr>
          <w:noProof/>
        </w:rPr>
      </w:pPr>
      <w:r>
        <w:rPr>
          <w:noProof/>
        </w:rPr>
        <w:t xml:space="preserve">От 1 януари 2025 г. всички нови сгради имат само отоплителни системи, за които топлогенераторите отговарят на изискванията за екопроектиране на Директива 2009/125/ЕО, и произвеждат топлинна енергия само от електроенергия и/или енергия от възобновяеми източници и/или са свързани към ефективна районна отоплителна система. Второ, считано от 2027 г., всяка нова сграда, притежавана, ползвана или предназначена за ползване от публичен орган, трябва да отговаря на целта за „нулеви емисии“ и да бъде оборудвана с инсталация за производство на енергия от слънчева енергия. Трето, считано от 2030 г., целта за нулеви емисии трябва да бъде постигната чрез всяко ново строителство. </w:t>
      </w:r>
    </w:p>
    <w:p w14:paraId="1557AA70" w14:textId="77777777" w:rsidR="00235E11" w:rsidRDefault="00F837E4">
      <w:pPr>
        <w:pStyle w:val="pf1"/>
        <w:jc w:val="both"/>
        <w:rPr>
          <w:noProof/>
        </w:rPr>
      </w:pPr>
      <w:r>
        <w:rPr>
          <w:noProof/>
        </w:rPr>
        <w:t xml:space="preserve">Преходният период за прилагането на реформата започва на 30 юни 2024 г. с влизането в сила на изискванията за екопроектиране на отоплителни инсталации, считано от 1 януари 2025 г. </w:t>
      </w:r>
    </w:p>
    <w:p w14:paraId="5F323CAA" w14:textId="77777777" w:rsidR="00235E11" w:rsidRDefault="00F837E4">
      <w:pPr>
        <w:pStyle w:val="P68B1DB1-Normal30"/>
        <w:rPr>
          <w:rFonts w:ascii="Times New Roman" w:hAnsi="Times New Roman" w:cs="Times New Roman"/>
          <w:noProof/>
        </w:rPr>
      </w:pPr>
      <w:r>
        <w:rPr>
          <w:rFonts w:ascii="Times New Roman" w:hAnsi="Times New Roman" w:cs="Times New Roman"/>
          <w:noProof/>
          <w:color w:val="000000" w:themeColor="text1"/>
        </w:rPr>
        <w:t xml:space="preserve">Изпълнението на мярката трябва да приключи до </w:t>
      </w:r>
      <w:r>
        <w:rPr>
          <w:rFonts w:ascii="Times New Roman" w:hAnsi="Times New Roman" w:cs="Times New Roman"/>
          <w:noProof/>
        </w:rPr>
        <w:t xml:space="preserve">30 юни 2024 г. </w:t>
      </w:r>
    </w:p>
    <w:p w14:paraId="6E2A4019" w14:textId="77777777" w:rsidR="00235E11" w:rsidRDefault="00F837E4">
      <w:pPr>
        <w:pStyle w:val="P68B1DB1-Jalonsetcibles28"/>
        <w:spacing w:before="120" w:after="120" w:line="240" w:lineRule="auto"/>
        <w:jc w:val="both"/>
        <w:rPr>
          <w:noProof/>
        </w:rPr>
      </w:pPr>
      <w:r>
        <w:rPr>
          <w:noProof/>
        </w:rPr>
        <w:t>Инвестиция I-7.01: „Подобрена схема за енергийни субсидии“ на регион Брюксел-столица</w:t>
      </w:r>
    </w:p>
    <w:p w14:paraId="65E9F026" w14:textId="5CA1C6E2" w:rsidR="00235E11" w:rsidRDefault="00F837E4">
      <w:pPr>
        <w:pStyle w:val="P68B1DB1-Jalonsetcibles29"/>
        <w:spacing w:before="120" w:after="120" w:line="240" w:lineRule="auto"/>
        <w:jc w:val="both"/>
        <w:rPr>
          <w:noProof/>
        </w:rPr>
      </w:pPr>
      <w:r>
        <w:rPr>
          <w:noProof/>
        </w:rPr>
        <w:t>С тази мярка се финансират безвъзмездни средства по програмата за субсидиране на санирането за саниране на сгради с ниска енергийна ефективност за домакинства с ниски доходи. Изпълнението на инвестицията трябва да приключи до 31 декември 2024 г.</w:t>
      </w:r>
    </w:p>
    <w:p w14:paraId="5AAEBF64" w14:textId="24ED1B01" w:rsidR="00235E11" w:rsidRDefault="00F837E4">
      <w:pPr>
        <w:pStyle w:val="P68B1DB1-Jalonsetcibles31"/>
        <w:spacing w:before="120" w:after="120" w:line="240" w:lineRule="auto"/>
        <w:jc w:val="both"/>
        <w:rPr>
          <w:noProof/>
        </w:rPr>
      </w:pPr>
      <w:r>
        <w:rPr>
          <w:noProof/>
        </w:rPr>
        <w:t>Инвестиция I-7.02: „Разширена мярка: Подобрена схема за енергийни субсидии на Фламандския регион</w:t>
      </w:r>
    </w:p>
    <w:p w14:paraId="7CF13425" w14:textId="662B287A" w:rsidR="00235E11" w:rsidRDefault="00F837E4">
      <w:pPr>
        <w:pStyle w:val="P68B1DB1-Jalonsetcibles32"/>
        <w:spacing w:before="120" w:after="120" w:line="240" w:lineRule="auto"/>
        <w:jc w:val="both"/>
        <w:rPr>
          <w:noProof/>
        </w:rPr>
      </w:pPr>
      <w:r>
        <w:rPr>
          <w:noProof/>
        </w:rPr>
        <w:t>Тези инвестиции увеличават реформата R-1.01, подинвестиция i) „Подобряване на схемата за енергийни субсидии“ на Фламандския регион по компонент 1.1: Обновяване. Увеличената част от тази мярка финансира увеличението на субсидията за всеки краен получател за енергийно ефективно саниране на частни жилища. Изпълнението на мярката трябва да приключи до 30 юни 2026 г.</w:t>
      </w:r>
    </w:p>
    <w:p w14:paraId="4C6A60F5" w14:textId="0F5EA3BB" w:rsidR="00235E11" w:rsidRDefault="00F837E4">
      <w:pPr>
        <w:pStyle w:val="P68B1DB1-Jalonsetcibles28"/>
        <w:spacing w:before="120" w:after="120" w:line="240" w:lineRule="auto"/>
        <w:rPr>
          <w:rFonts w:eastAsia="Times New Roman"/>
          <w:noProof/>
          <w:color w:val="000000" w:themeColor="text1"/>
        </w:rPr>
      </w:pPr>
      <w:r>
        <w:rPr>
          <w:noProof/>
        </w:rPr>
        <w:t>Инвестиция I-7.03: „Енергийни субсидии за частни жилища“ на немскоезичната общност</w:t>
      </w:r>
    </w:p>
    <w:p w14:paraId="2816780A" w14:textId="2A3CE610" w:rsidR="00235E11" w:rsidRDefault="00F837E4">
      <w:pPr>
        <w:pStyle w:val="P68B1DB1-Jalonsetcibles33"/>
        <w:spacing w:before="120" w:after="120" w:line="240" w:lineRule="auto"/>
        <w:jc w:val="both"/>
        <w:rPr>
          <w:noProof/>
        </w:rPr>
      </w:pPr>
      <w:r>
        <w:rPr>
          <w:noProof/>
        </w:rPr>
        <w:t>Тази мярка е инвестиционният компонент на R-1.03 „Подобряване на схемата за енергийни субсидии“ на немскоезичната общност по компонент 1.1: Обновяване. Мярката се състои в предоставяне на енергийни премии за саниране на частни жилища, допринасящи за намаляване на потреблението на енергия. Изпълнението на мярката трябва да приключи до 30 юни 2024 г.</w:t>
      </w:r>
    </w:p>
    <w:p w14:paraId="0107D3BB" w14:textId="77777777" w:rsidR="00235E11" w:rsidRDefault="00F837E4">
      <w:pPr>
        <w:pStyle w:val="P68B1DB1-Jalonsetcibles28"/>
        <w:spacing w:before="120" w:after="120" w:line="240" w:lineRule="auto"/>
        <w:jc w:val="both"/>
        <w:rPr>
          <w:noProof/>
        </w:rPr>
      </w:pPr>
      <w:r>
        <w:rPr>
          <w:noProof/>
        </w:rPr>
        <w:t>Инвестиция I-7.04: „Обновяване на социални жилища“ на Валонския регион</w:t>
      </w:r>
    </w:p>
    <w:p w14:paraId="245253F9" w14:textId="7E4BEEBE" w:rsidR="00235E11" w:rsidRDefault="00F837E4">
      <w:pPr>
        <w:pStyle w:val="P68B1DB1-Jalonsetcibles33"/>
        <w:spacing w:before="120" w:after="120" w:line="240" w:lineRule="auto"/>
        <w:jc w:val="both"/>
        <w:rPr>
          <w:noProof/>
        </w:rPr>
      </w:pPr>
      <w:r>
        <w:rPr>
          <w:noProof/>
        </w:rPr>
        <w:t>Тази инвестиция се състои в оборудване на социални жилища със слънчеви панели и термопомпи. Изпълнението на мярката трябва да приключи до 30 юни 2026 г.</w:t>
      </w:r>
    </w:p>
    <w:p w14:paraId="056C434A" w14:textId="77777777" w:rsidR="00235E11" w:rsidRDefault="00F837E4">
      <w:pPr>
        <w:pStyle w:val="P68B1DB1-Jalonsetcibles28"/>
        <w:spacing w:before="120" w:after="120" w:line="240" w:lineRule="auto"/>
        <w:jc w:val="both"/>
        <w:rPr>
          <w:noProof/>
        </w:rPr>
      </w:pPr>
      <w:r>
        <w:rPr>
          <w:noProof/>
        </w:rPr>
        <w:t>Инвестиция I-7.05: „Мерки в областта на енергетиката и климата в обществените сгради“ на федералната държава</w:t>
      </w:r>
    </w:p>
    <w:p w14:paraId="255E25F8" w14:textId="57315C9E" w:rsidR="00235E11" w:rsidRDefault="00F837E4">
      <w:pPr>
        <w:pStyle w:val="P68B1DB1-Jalonsetcibles33"/>
        <w:spacing w:before="120" w:after="120" w:line="240" w:lineRule="auto"/>
        <w:jc w:val="both"/>
        <w:rPr>
          <w:noProof/>
        </w:rPr>
      </w:pPr>
      <w:r>
        <w:rPr>
          <w:noProof/>
        </w:rPr>
        <w:t>Тази инвестиция се състои в оборудване на федералните обществени сгради със зарядни станции, слънчеви панели и светодиодни светлини. Целта на инвестицията, що се отнася до инфраструктурата за зареждане, е в съответствие с Директива (ЕС) 2023/2413 за изменение на Директива (ЕС) 2018/2001 за енергията от възобновяеми източници. Изпълнението на мярката трябва да приключи до 31 декември 2025 г.</w:t>
      </w:r>
    </w:p>
    <w:p w14:paraId="27E36024" w14:textId="77777777" w:rsidR="00235E11" w:rsidRDefault="00F837E4">
      <w:pPr>
        <w:pStyle w:val="P68B1DB1-Jalonsetcibles28"/>
        <w:spacing w:before="120" w:after="120" w:line="240" w:lineRule="auto"/>
        <w:jc w:val="both"/>
        <w:rPr>
          <w:noProof/>
        </w:rPr>
      </w:pPr>
      <w:r>
        <w:rPr>
          <w:noProof/>
        </w:rPr>
        <w:t>Инвестиция I-7: „Енергоспестяване в обществените сгради“ на Фламандския регион</w:t>
      </w:r>
    </w:p>
    <w:p w14:paraId="58EC1A62" w14:textId="77777777" w:rsidR="00235E11" w:rsidRDefault="00F837E4">
      <w:pPr>
        <w:pStyle w:val="P68B1DB1-Jalonsetcibles29"/>
        <w:spacing w:before="120" w:after="0" w:line="240" w:lineRule="auto"/>
        <w:jc w:val="both"/>
        <w:rPr>
          <w:noProof/>
        </w:rPr>
      </w:pPr>
      <w:r>
        <w:rPr>
          <w:noProof/>
        </w:rPr>
        <w:t>Изпълнението на мярката трябва да приключи до 30 юни 2026 г. Инвестицията се състои от следните подмерки/действия:</w:t>
      </w:r>
    </w:p>
    <w:p w14:paraId="74BD06DD" w14:textId="77777777" w:rsidR="00235E11" w:rsidRDefault="00F837E4">
      <w:pPr>
        <w:pStyle w:val="P68B1DB1-Jalonsetcibles29"/>
        <w:numPr>
          <w:ilvl w:val="0"/>
          <w:numId w:val="47"/>
        </w:numPr>
        <w:spacing w:before="120" w:after="120" w:line="240" w:lineRule="auto"/>
        <w:ind w:left="714" w:hanging="357"/>
        <w:contextualSpacing/>
        <w:jc w:val="both"/>
        <w:rPr>
          <w:noProof/>
        </w:rPr>
      </w:pPr>
      <w:r>
        <w:rPr>
          <w:noProof/>
        </w:rPr>
        <w:t>Инвестиция I-7.06: „Обновяване на обществени сгради“ на Фламандския регион</w:t>
      </w:r>
    </w:p>
    <w:p w14:paraId="12BD4BF7" w14:textId="77777777" w:rsidR="00235E11" w:rsidRDefault="00F837E4">
      <w:pPr>
        <w:pStyle w:val="P68B1DB1-Jalonsetcibles29"/>
        <w:numPr>
          <w:ilvl w:val="0"/>
          <w:numId w:val="47"/>
        </w:numPr>
        <w:spacing w:before="120" w:after="120" w:line="240" w:lineRule="auto"/>
        <w:ind w:left="714" w:hanging="357"/>
        <w:contextualSpacing/>
        <w:jc w:val="both"/>
        <w:rPr>
          <w:noProof/>
        </w:rPr>
      </w:pPr>
      <w:r>
        <w:rPr>
          <w:noProof/>
        </w:rPr>
        <w:t>Инвестиция I-7.07: „Енергийни мерки за обществените училища“ във Фламандския регион</w:t>
      </w:r>
    </w:p>
    <w:p w14:paraId="031809FE" w14:textId="012BAFEF" w:rsidR="00235E11" w:rsidRDefault="00F837E4">
      <w:pPr>
        <w:pStyle w:val="P68B1DB1-Jalonsetcibles29"/>
        <w:numPr>
          <w:ilvl w:val="0"/>
          <w:numId w:val="47"/>
        </w:numPr>
        <w:spacing w:before="120" w:after="120" w:line="240" w:lineRule="auto"/>
        <w:ind w:left="714" w:hanging="357"/>
        <w:contextualSpacing/>
        <w:jc w:val="both"/>
        <w:rPr>
          <w:noProof/>
        </w:rPr>
      </w:pPr>
      <w:r>
        <w:rPr>
          <w:noProof/>
        </w:rPr>
        <w:t>Инвестиция I-7.08: „Енергийни мерки за сгради за полагане на грижи“ на Фламандския регион</w:t>
      </w:r>
    </w:p>
    <w:p w14:paraId="4C43FEC9" w14:textId="77777777" w:rsidR="00235E11" w:rsidRDefault="00F837E4">
      <w:pPr>
        <w:pStyle w:val="P68B1DB1-Jalonsetcibles29"/>
        <w:numPr>
          <w:ilvl w:val="0"/>
          <w:numId w:val="47"/>
        </w:numPr>
        <w:spacing w:before="120" w:after="240" w:line="240" w:lineRule="auto"/>
        <w:ind w:left="714" w:hanging="357"/>
        <w:jc w:val="both"/>
        <w:rPr>
          <w:noProof/>
        </w:rPr>
      </w:pPr>
      <w:r>
        <w:rPr>
          <w:noProof/>
        </w:rPr>
        <w:t>Инвестиция I-7.09: „Енергийни мерки за сградата VRT“ на Фламандския регион</w:t>
      </w:r>
    </w:p>
    <w:p w14:paraId="6E603F2B" w14:textId="77777777" w:rsidR="00235E11" w:rsidRDefault="00F837E4">
      <w:pPr>
        <w:pStyle w:val="P68B1DB1-Jalonsetcibles28"/>
        <w:spacing w:before="120" w:after="120" w:line="240" w:lineRule="auto"/>
        <w:jc w:val="both"/>
        <w:rPr>
          <w:noProof/>
        </w:rPr>
      </w:pPr>
      <w:r>
        <w:rPr>
          <w:noProof/>
        </w:rPr>
        <w:t>Инвестиция I-7.06: „Обновяване на обществени сгради“ на Фламандския регион</w:t>
      </w:r>
    </w:p>
    <w:p w14:paraId="7D6434AD" w14:textId="30332925" w:rsidR="00235E11" w:rsidRDefault="00F837E4">
      <w:pPr>
        <w:pStyle w:val="P68B1DB1-Jalonsetcibles29"/>
        <w:spacing w:before="120" w:after="120" w:line="240" w:lineRule="auto"/>
        <w:jc w:val="both"/>
        <w:rPr>
          <w:noProof/>
        </w:rPr>
      </w:pPr>
      <w:r>
        <w:rPr>
          <w:noProof/>
        </w:rPr>
        <w:t>Тази инвестиция се състои в енергийно ефективно саниране на четири обществени сгради: (1) Martelaarsplein 7, Martelaarsplein 19 и Kreupelenstraat 2, Brussel, (2) Winston Churchillkaai 2, Oostende, (3) justitiehuis, Ieper, (4) Koolstraat 35, Brussel. Мярката намалява средно най-малко 30 % от потреблението на първична енергия, както е определено в Препоръка (ЕС) 2019/786 на Комисията относно санирането на сгради. Изпълнението на мярката трябва да приключи до 30 юни 2026 г.</w:t>
      </w:r>
    </w:p>
    <w:p w14:paraId="0845CBF5" w14:textId="77777777" w:rsidR="00235E11" w:rsidRDefault="00F837E4">
      <w:pPr>
        <w:pStyle w:val="P68B1DB1-Jalonsetcibles28"/>
        <w:spacing w:before="120" w:after="120" w:line="240" w:lineRule="auto"/>
        <w:jc w:val="both"/>
        <w:rPr>
          <w:noProof/>
        </w:rPr>
      </w:pPr>
      <w:r>
        <w:rPr>
          <w:noProof/>
        </w:rPr>
        <w:t>Инвестиция I-7.07: „Енергийни мерки за обществените училища“ във Фламандския регион</w:t>
      </w:r>
    </w:p>
    <w:p w14:paraId="78AE3A43" w14:textId="77777777" w:rsidR="00235E11" w:rsidRDefault="00F837E4">
      <w:pPr>
        <w:pStyle w:val="P68B1DB1-Jalonsetcibles29"/>
        <w:spacing w:before="120" w:after="120" w:line="240" w:lineRule="auto"/>
        <w:jc w:val="both"/>
        <w:rPr>
          <w:noProof/>
        </w:rPr>
      </w:pPr>
      <w:r>
        <w:rPr>
          <w:noProof/>
        </w:rPr>
        <w:t>Тази инвестиция се състои във внедряването на слънчеви панели в обществените училища въз основа на предварително проучване. Изпълнението на мярката трябва да приключи до 30 юни 2026 г.</w:t>
      </w:r>
    </w:p>
    <w:p w14:paraId="4EFE0863" w14:textId="44E3BA26" w:rsidR="00235E11" w:rsidRDefault="00F837E4">
      <w:pPr>
        <w:pStyle w:val="P68B1DB1-Jalonsetcibles28"/>
        <w:spacing w:before="120" w:after="120" w:line="240" w:lineRule="auto"/>
        <w:jc w:val="both"/>
        <w:rPr>
          <w:noProof/>
        </w:rPr>
      </w:pPr>
      <w:r>
        <w:rPr>
          <w:noProof/>
        </w:rPr>
        <w:t>Инвестиция I-7.08: „Енергийни мерки за сгради за полагане на грижи“ на Фламандския регион</w:t>
      </w:r>
    </w:p>
    <w:p w14:paraId="0294951C" w14:textId="269D45D5" w:rsidR="00235E11" w:rsidRDefault="00F837E4">
      <w:pPr>
        <w:pStyle w:val="P68B1DB1-Jalonsetcibles29"/>
        <w:spacing w:before="120" w:after="120" w:line="240" w:lineRule="auto"/>
        <w:jc w:val="both"/>
        <w:rPr>
          <w:noProof/>
        </w:rPr>
      </w:pPr>
      <w:r>
        <w:rPr>
          <w:noProof/>
        </w:rPr>
        <w:t>Тази инвестиция се състои от (1) извършване на енергийни обследвания и (2) завършване на енергийните мерки в сградите за полагане на грижи. Изпълнението на мярката трябва да приключи до 30 юни 2026 г.</w:t>
      </w:r>
    </w:p>
    <w:p w14:paraId="1929102B" w14:textId="77777777" w:rsidR="00235E11" w:rsidRDefault="00F837E4">
      <w:pPr>
        <w:pStyle w:val="P68B1DB1-Jalonsetcibles28"/>
        <w:spacing w:before="120" w:after="120" w:line="240" w:lineRule="auto"/>
        <w:jc w:val="both"/>
        <w:rPr>
          <w:noProof/>
        </w:rPr>
      </w:pPr>
      <w:r>
        <w:rPr>
          <w:noProof/>
        </w:rPr>
        <w:t>Инвестиция I-7.09: „Енергийни мерки за сградата VRT“ на Фламандския регион</w:t>
      </w:r>
    </w:p>
    <w:p w14:paraId="575DEF8E" w14:textId="23900FD9" w:rsidR="00235E11" w:rsidRDefault="00F837E4">
      <w:pPr>
        <w:pStyle w:val="P68B1DB1-Jalonsetcibles29"/>
        <w:spacing w:before="120" w:after="120" w:line="240" w:lineRule="auto"/>
        <w:jc w:val="both"/>
        <w:rPr>
          <w:noProof/>
        </w:rPr>
      </w:pPr>
      <w:r>
        <w:rPr>
          <w:noProof/>
        </w:rPr>
        <w:t>Тази инвестиция се състои в внедряването на термопомпи и слънчеви панели, както и на светодиодни лампи, изолация на покриви и интелигентно наблюдение на енергията в новата сграда VRT (</w:t>
      </w:r>
      <w:r>
        <w:rPr>
          <w:i/>
          <w:noProof/>
        </w:rPr>
        <w:t>Vlaamse Radio en Televisie</w:t>
      </w:r>
      <w:r>
        <w:rPr>
          <w:noProof/>
        </w:rPr>
        <w:t>). Изпълнението на мярката трябва да приключи до 30 юни 2026 г.</w:t>
      </w:r>
    </w:p>
    <w:p w14:paraId="49BBF254" w14:textId="68BCC827" w:rsidR="00235E11" w:rsidRDefault="00F837E4">
      <w:pPr>
        <w:pStyle w:val="P68B1DB1-Jalonsetcibles28"/>
        <w:spacing w:before="120" w:after="120" w:line="240" w:lineRule="auto"/>
        <w:jc w:val="both"/>
        <w:rPr>
          <w:noProof/>
        </w:rPr>
      </w:pPr>
      <w:r>
        <w:rPr>
          <w:noProof/>
        </w:rPr>
        <w:t>Инвестиция I-7.10: „Енергийни мерки за AWV сгради“ на Фламандския регион</w:t>
      </w:r>
    </w:p>
    <w:p w14:paraId="4A4C4EE4" w14:textId="77777777" w:rsidR="00235E11" w:rsidRDefault="00F837E4">
      <w:pPr>
        <w:pStyle w:val="P68B1DB1-Jalonsetcibles29"/>
        <w:spacing w:before="120" w:after="120" w:line="240" w:lineRule="auto"/>
        <w:jc w:val="both"/>
        <w:rPr>
          <w:noProof/>
        </w:rPr>
      </w:pPr>
      <w:r>
        <w:rPr>
          <w:noProof/>
        </w:rPr>
        <w:t>Тази инвестиция се състои в завършването на четири проекта за инсталиране на сгради на AWV (</w:t>
      </w:r>
      <w:r>
        <w:rPr>
          <w:i/>
          <w:noProof/>
        </w:rPr>
        <w:t>Agentschap Wegen en Verkeer</w:t>
      </w:r>
      <w:r>
        <w:rPr>
          <w:noProof/>
        </w:rPr>
        <w:t>): изолация, термопомпи, слънчеви панели и светодиодни светлини. Мярката намалява средно най-малко 30 % от потреблението на първична енергия, както е определено в Препоръка (ЕС) 2019/786 на Комисията относно санирането на сгради. Изпълнението на мярката трябва да приключи до 31 декември 2025 г.</w:t>
      </w:r>
    </w:p>
    <w:p w14:paraId="6C7B5A84" w14:textId="250AB89D" w:rsidR="00235E11" w:rsidRDefault="00617E7D">
      <w:pPr>
        <w:pStyle w:val="P68B1DB1-Normal1"/>
        <w:spacing w:before="120" w:after="120" w:line="240" w:lineRule="auto"/>
        <w:jc w:val="both"/>
        <w:rPr>
          <w:noProof/>
        </w:rPr>
      </w:pPr>
      <w:r>
        <w:rPr>
          <w:noProof/>
          <w:lang w:val="bg-BG"/>
        </w:rPr>
        <w:t>С</w:t>
      </w:r>
      <w:r w:rsidR="00F837E4">
        <w:rPr>
          <w:noProof/>
        </w:rPr>
        <w:t xml:space="preserve">.2. </w:t>
      </w:r>
      <w:r w:rsidR="00F837E4">
        <w:rPr>
          <w:noProof/>
        </w:rPr>
        <w:tab/>
        <w:t>Ключови етапи, цели, показатели и график за мониторинг и изпълнение на безвъзмездната финансова подкрепа</w:t>
      </w:r>
    </w:p>
    <w:p w14:paraId="534C640D" w14:textId="77777777" w:rsidR="00235E11" w:rsidRDefault="00235E11">
      <w:pPr>
        <w:spacing w:before="120" w:after="120" w:line="240" w:lineRule="auto"/>
        <w:jc w:val="both"/>
        <w:rPr>
          <w:rFonts w:ascii="Times New Roman" w:hAnsi="Times New Roman" w:cs="Times New Roman"/>
          <w:b/>
          <w:noProof/>
          <w:sz w:val="24"/>
          <w:u w:val="single"/>
        </w:rPr>
        <w:sectPr w:rsidR="00235E11" w:rsidSect="007F56C3">
          <w:headerReference w:type="even" r:id="rId246"/>
          <w:headerReference w:type="default" r:id="rId247"/>
          <w:footerReference w:type="even" r:id="rId248"/>
          <w:footerReference w:type="default" r:id="rId249"/>
          <w:headerReference w:type="first" r:id="rId250"/>
          <w:footerReference w:type="first" r:id="rId251"/>
          <w:pgSz w:w="11907" w:h="16839"/>
          <w:pgMar w:top="1134" w:right="1134" w:bottom="1134" w:left="1134" w:header="567" w:footer="567" w:gutter="0"/>
          <w:cols w:space="720"/>
          <w:docGrid w:linePitch="360"/>
        </w:sectPr>
      </w:pPr>
    </w:p>
    <w:tbl>
      <w:tblPr>
        <w:tblW w:w="155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1560"/>
        <w:gridCol w:w="703"/>
        <w:gridCol w:w="1281"/>
        <w:gridCol w:w="1345"/>
        <w:gridCol w:w="1207"/>
        <w:gridCol w:w="992"/>
        <w:gridCol w:w="992"/>
        <w:gridCol w:w="567"/>
        <w:gridCol w:w="709"/>
        <w:gridCol w:w="5527"/>
      </w:tblGrid>
      <w:tr w:rsidR="00235E11" w14:paraId="366FF9D5" w14:textId="77777777">
        <w:trPr>
          <w:tblHeader/>
        </w:trPr>
        <w:tc>
          <w:tcPr>
            <w:tcW w:w="709" w:type="dxa"/>
            <w:vMerge w:val="restart"/>
            <w:shd w:val="clear" w:color="auto" w:fill="BDD7EE"/>
            <w:vAlign w:val="center"/>
          </w:tcPr>
          <w:p w14:paraId="34A7285B" w14:textId="04F66430" w:rsidR="00235E11" w:rsidRDefault="00F837E4">
            <w:pPr>
              <w:pStyle w:val="P68B1DB1-Normal34"/>
              <w:spacing w:after="0" w:line="240" w:lineRule="auto"/>
              <w:jc w:val="center"/>
              <w:rPr>
                <w:noProof/>
              </w:rPr>
            </w:pPr>
            <w:r>
              <w:rPr>
                <w:noProof/>
              </w:rPr>
              <w:t>Следващи Забележка:</w:t>
            </w:r>
          </w:p>
        </w:tc>
        <w:tc>
          <w:tcPr>
            <w:tcW w:w="1560" w:type="dxa"/>
            <w:vMerge w:val="restart"/>
            <w:shd w:val="clear" w:color="auto" w:fill="BDD7EE"/>
            <w:vAlign w:val="center"/>
          </w:tcPr>
          <w:p w14:paraId="0BC3F88A" w14:textId="77777777" w:rsidR="00235E11" w:rsidRDefault="00F837E4">
            <w:pPr>
              <w:pStyle w:val="P68B1DB1-Normal34"/>
              <w:spacing w:after="0" w:line="240" w:lineRule="auto"/>
              <w:jc w:val="center"/>
              <w:rPr>
                <w:noProof/>
              </w:rPr>
            </w:pPr>
            <w:r>
              <w:rPr>
                <w:noProof/>
              </w:rPr>
              <w:t>Свързана мярка</w:t>
            </w:r>
          </w:p>
        </w:tc>
        <w:tc>
          <w:tcPr>
            <w:tcW w:w="703" w:type="dxa"/>
            <w:vMerge w:val="restart"/>
            <w:shd w:val="clear" w:color="auto" w:fill="BDD7EE"/>
            <w:vAlign w:val="center"/>
          </w:tcPr>
          <w:p w14:paraId="78227290" w14:textId="77777777" w:rsidR="00235E11" w:rsidRDefault="00F837E4">
            <w:pPr>
              <w:pStyle w:val="P68B1DB1-Normal34"/>
              <w:spacing w:after="0" w:line="240" w:lineRule="auto"/>
              <w:jc w:val="center"/>
              <w:rPr>
                <w:noProof/>
              </w:rPr>
            </w:pPr>
            <w:r>
              <w:rPr>
                <w:noProof/>
              </w:rPr>
              <w:t>M/T</w:t>
            </w:r>
          </w:p>
        </w:tc>
        <w:tc>
          <w:tcPr>
            <w:tcW w:w="1281" w:type="dxa"/>
            <w:vMerge w:val="restart"/>
            <w:shd w:val="clear" w:color="auto" w:fill="BDD7EE"/>
            <w:vAlign w:val="center"/>
          </w:tcPr>
          <w:p w14:paraId="5C91F380" w14:textId="77777777" w:rsidR="00235E11" w:rsidRDefault="00F837E4">
            <w:pPr>
              <w:pStyle w:val="P68B1DB1-Normal34"/>
              <w:spacing w:after="0" w:line="240" w:lineRule="auto"/>
              <w:jc w:val="center"/>
              <w:rPr>
                <w:noProof/>
              </w:rPr>
            </w:pPr>
            <w:r>
              <w:rPr>
                <w:noProof/>
              </w:rPr>
              <w:t>Име</w:t>
            </w:r>
          </w:p>
        </w:tc>
        <w:tc>
          <w:tcPr>
            <w:tcW w:w="1345" w:type="dxa"/>
            <w:vMerge w:val="restart"/>
            <w:shd w:val="clear" w:color="auto" w:fill="BDD7EE"/>
            <w:vAlign w:val="center"/>
          </w:tcPr>
          <w:p w14:paraId="663752A2" w14:textId="77777777" w:rsidR="00235E11" w:rsidRDefault="00F837E4">
            <w:pPr>
              <w:pStyle w:val="P68B1DB1-Normal34"/>
              <w:spacing w:after="0" w:line="240" w:lineRule="auto"/>
              <w:jc w:val="center"/>
              <w:rPr>
                <w:noProof/>
              </w:rPr>
            </w:pPr>
            <w:r>
              <w:rPr>
                <w:noProof/>
              </w:rPr>
              <w:t>Качествени показатели (за ключовите етапи)</w:t>
            </w:r>
          </w:p>
        </w:tc>
        <w:tc>
          <w:tcPr>
            <w:tcW w:w="3191" w:type="dxa"/>
            <w:gridSpan w:val="3"/>
            <w:shd w:val="clear" w:color="auto" w:fill="BDD7EE"/>
            <w:vAlign w:val="center"/>
          </w:tcPr>
          <w:p w14:paraId="736A0896" w14:textId="77777777" w:rsidR="00235E11" w:rsidRDefault="00F837E4">
            <w:pPr>
              <w:pStyle w:val="P68B1DB1-Normal34"/>
              <w:spacing w:after="0" w:line="240" w:lineRule="auto"/>
              <w:jc w:val="center"/>
              <w:rPr>
                <w:noProof/>
              </w:rPr>
            </w:pPr>
            <w:r>
              <w:rPr>
                <w:noProof/>
              </w:rPr>
              <w:t>Количествени показатели (за целите)</w:t>
            </w:r>
          </w:p>
        </w:tc>
        <w:tc>
          <w:tcPr>
            <w:tcW w:w="1276" w:type="dxa"/>
            <w:gridSpan w:val="2"/>
            <w:shd w:val="clear" w:color="auto" w:fill="BDD7EE"/>
            <w:vAlign w:val="center"/>
          </w:tcPr>
          <w:p w14:paraId="45D8465F" w14:textId="77777777" w:rsidR="00235E11" w:rsidRDefault="00F837E4">
            <w:pPr>
              <w:pStyle w:val="P68B1DB1-Normal34"/>
              <w:spacing w:after="0" w:line="240" w:lineRule="auto"/>
              <w:jc w:val="center"/>
              <w:rPr>
                <w:noProof/>
              </w:rPr>
            </w:pPr>
            <w:r>
              <w:rPr>
                <w:noProof/>
              </w:rPr>
              <w:t>График за приключване</w:t>
            </w:r>
          </w:p>
        </w:tc>
        <w:tc>
          <w:tcPr>
            <w:tcW w:w="5527" w:type="dxa"/>
            <w:vMerge w:val="restart"/>
            <w:shd w:val="clear" w:color="auto" w:fill="BDD7EE"/>
            <w:vAlign w:val="center"/>
          </w:tcPr>
          <w:p w14:paraId="1510894D" w14:textId="77777777" w:rsidR="00235E11" w:rsidRDefault="00F837E4">
            <w:pPr>
              <w:pStyle w:val="P68B1DB1-Normal34"/>
              <w:spacing w:after="0" w:line="240" w:lineRule="auto"/>
              <w:jc w:val="center"/>
              <w:rPr>
                <w:noProof/>
              </w:rPr>
            </w:pPr>
            <w:r>
              <w:rPr>
                <w:noProof/>
              </w:rPr>
              <w:t>Описание на ключовия етап/целта</w:t>
            </w:r>
          </w:p>
        </w:tc>
      </w:tr>
      <w:tr w:rsidR="00235E11" w14:paraId="0BB897E3" w14:textId="77777777">
        <w:trPr>
          <w:tblHeader/>
        </w:trPr>
        <w:tc>
          <w:tcPr>
            <w:tcW w:w="709" w:type="dxa"/>
            <w:vMerge/>
            <w:vAlign w:val="center"/>
          </w:tcPr>
          <w:p w14:paraId="00D03653" w14:textId="77777777" w:rsidR="00235E11" w:rsidRDefault="00235E11">
            <w:pPr>
              <w:spacing w:after="0" w:line="240" w:lineRule="auto"/>
              <w:rPr>
                <w:rFonts w:ascii="Times New Roman" w:eastAsia="Times New Roman" w:hAnsi="Times New Roman" w:cs="Times New Roman"/>
                <w:noProof/>
                <w:color w:val="006100"/>
              </w:rPr>
            </w:pPr>
          </w:p>
        </w:tc>
        <w:tc>
          <w:tcPr>
            <w:tcW w:w="1560" w:type="dxa"/>
            <w:vMerge/>
            <w:vAlign w:val="center"/>
          </w:tcPr>
          <w:p w14:paraId="4EC0CEBD" w14:textId="77777777" w:rsidR="00235E11" w:rsidRDefault="00235E11">
            <w:pPr>
              <w:spacing w:after="0" w:line="240" w:lineRule="auto"/>
              <w:rPr>
                <w:rFonts w:ascii="Times New Roman" w:eastAsia="Times New Roman" w:hAnsi="Times New Roman" w:cs="Times New Roman"/>
                <w:noProof/>
                <w:color w:val="006100"/>
              </w:rPr>
            </w:pPr>
          </w:p>
        </w:tc>
        <w:tc>
          <w:tcPr>
            <w:tcW w:w="703" w:type="dxa"/>
            <w:vMerge/>
            <w:vAlign w:val="center"/>
          </w:tcPr>
          <w:p w14:paraId="55C81887" w14:textId="77777777" w:rsidR="00235E11" w:rsidRDefault="00235E11">
            <w:pPr>
              <w:spacing w:after="0" w:line="240" w:lineRule="auto"/>
              <w:rPr>
                <w:rFonts w:ascii="Times New Roman" w:eastAsia="Times New Roman" w:hAnsi="Times New Roman" w:cs="Times New Roman"/>
                <w:noProof/>
                <w:color w:val="006100"/>
              </w:rPr>
            </w:pPr>
          </w:p>
        </w:tc>
        <w:tc>
          <w:tcPr>
            <w:tcW w:w="1281" w:type="dxa"/>
            <w:vMerge/>
            <w:vAlign w:val="center"/>
          </w:tcPr>
          <w:p w14:paraId="7861DF9C" w14:textId="77777777" w:rsidR="00235E11" w:rsidRDefault="00235E11">
            <w:pPr>
              <w:spacing w:after="0" w:line="240" w:lineRule="auto"/>
              <w:rPr>
                <w:rFonts w:ascii="Times New Roman" w:eastAsia="Times New Roman" w:hAnsi="Times New Roman" w:cs="Times New Roman"/>
                <w:noProof/>
                <w:color w:val="006100"/>
              </w:rPr>
            </w:pPr>
          </w:p>
        </w:tc>
        <w:tc>
          <w:tcPr>
            <w:tcW w:w="1345" w:type="dxa"/>
            <w:vMerge/>
            <w:vAlign w:val="center"/>
          </w:tcPr>
          <w:p w14:paraId="5DCC6B71" w14:textId="77777777" w:rsidR="00235E11" w:rsidRDefault="00235E11">
            <w:pPr>
              <w:spacing w:after="0" w:line="240" w:lineRule="auto"/>
              <w:rPr>
                <w:rFonts w:ascii="Times New Roman" w:eastAsia="Times New Roman" w:hAnsi="Times New Roman" w:cs="Times New Roman"/>
                <w:noProof/>
                <w:color w:val="006100"/>
              </w:rPr>
            </w:pPr>
          </w:p>
        </w:tc>
        <w:tc>
          <w:tcPr>
            <w:tcW w:w="1207" w:type="dxa"/>
            <w:shd w:val="clear" w:color="auto" w:fill="BDD7EE"/>
            <w:vAlign w:val="center"/>
          </w:tcPr>
          <w:p w14:paraId="0642ACFD" w14:textId="77777777" w:rsidR="00235E11" w:rsidRDefault="00F837E4">
            <w:pPr>
              <w:pStyle w:val="P68B1DB1-Normal34"/>
              <w:spacing w:after="0" w:line="240" w:lineRule="auto"/>
              <w:jc w:val="center"/>
              <w:rPr>
                <w:rFonts w:eastAsia="Times New Roman"/>
                <w:noProof/>
                <w:color w:val="006100"/>
              </w:rPr>
            </w:pPr>
            <w:r>
              <w:rPr>
                <w:noProof/>
              </w:rPr>
              <w:t>Единица мярка</w:t>
            </w:r>
          </w:p>
        </w:tc>
        <w:tc>
          <w:tcPr>
            <w:tcW w:w="992" w:type="dxa"/>
            <w:shd w:val="clear" w:color="auto" w:fill="BDD7EE"/>
            <w:vAlign w:val="center"/>
          </w:tcPr>
          <w:p w14:paraId="46F31EB5" w14:textId="77777777" w:rsidR="00235E11" w:rsidRDefault="00F837E4">
            <w:pPr>
              <w:pStyle w:val="P68B1DB1-Normal34"/>
              <w:spacing w:after="0" w:line="240" w:lineRule="auto"/>
              <w:jc w:val="center"/>
              <w:rPr>
                <w:rFonts w:eastAsia="Times New Roman"/>
                <w:noProof/>
                <w:color w:val="006100"/>
              </w:rPr>
            </w:pPr>
            <w:r>
              <w:rPr>
                <w:noProof/>
              </w:rPr>
              <w:t>Базова линия</w:t>
            </w:r>
          </w:p>
        </w:tc>
        <w:tc>
          <w:tcPr>
            <w:tcW w:w="992" w:type="dxa"/>
            <w:shd w:val="clear" w:color="auto" w:fill="BDD7EE"/>
            <w:vAlign w:val="center"/>
          </w:tcPr>
          <w:p w14:paraId="77EDD374" w14:textId="77777777" w:rsidR="00235E11" w:rsidRDefault="00F837E4">
            <w:pPr>
              <w:pStyle w:val="P68B1DB1-Normal34"/>
              <w:spacing w:after="0" w:line="240" w:lineRule="auto"/>
              <w:jc w:val="center"/>
              <w:rPr>
                <w:rFonts w:eastAsia="Times New Roman"/>
                <w:noProof/>
                <w:color w:val="006100"/>
              </w:rPr>
            </w:pPr>
            <w:r>
              <w:rPr>
                <w:noProof/>
              </w:rPr>
              <w:t>Цел</w:t>
            </w:r>
          </w:p>
        </w:tc>
        <w:tc>
          <w:tcPr>
            <w:tcW w:w="567" w:type="dxa"/>
            <w:shd w:val="clear" w:color="auto" w:fill="BDD7EE"/>
            <w:vAlign w:val="center"/>
          </w:tcPr>
          <w:p w14:paraId="79D5F0D7" w14:textId="77777777" w:rsidR="00235E11" w:rsidRDefault="00F837E4">
            <w:pPr>
              <w:pStyle w:val="P68B1DB1-Normal34"/>
              <w:spacing w:after="0" w:line="240" w:lineRule="auto"/>
              <w:jc w:val="center"/>
              <w:rPr>
                <w:rFonts w:eastAsia="Times New Roman"/>
                <w:noProof/>
                <w:color w:val="006100"/>
              </w:rPr>
            </w:pPr>
            <w:r>
              <w:rPr>
                <w:noProof/>
              </w:rPr>
              <w:t>Тримесечие</w:t>
            </w:r>
          </w:p>
        </w:tc>
        <w:tc>
          <w:tcPr>
            <w:tcW w:w="709" w:type="dxa"/>
            <w:shd w:val="clear" w:color="auto" w:fill="BDD7EE"/>
            <w:vAlign w:val="center"/>
          </w:tcPr>
          <w:p w14:paraId="1F8550EF" w14:textId="77777777" w:rsidR="00235E11" w:rsidRDefault="00F837E4">
            <w:pPr>
              <w:pStyle w:val="P68B1DB1-Normal34"/>
              <w:spacing w:after="0" w:line="240" w:lineRule="auto"/>
              <w:jc w:val="center"/>
              <w:rPr>
                <w:rFonts w:eastAsia="Times New Roman"/>
                <w:noProof/>
                <w:color w:val="006100"/>
              </w:rPr>
            </w:pPr>
            <w:r>
              <w:rPr>
                <w:noProof/>
              </w:rPr>
              <w:t>Година</w:t>
            </w:r>
          </w:p>
        </w:tc>
        <w:tc>
          <w:tcPr>
            <w:tcW w:w="5527" w:type="dxa"/>
            <w:vMerge/>
            <w:vAlign w:val="center"/>
          </w:tcPr>
          <w:p w14:paraId="587E98CB" w14:textId="77777777" w:rsidR="00235E11" w:rsidRDefault="00235E11">
            <w:pPr>
              <w:spacing w:after="0" w:line="240" w:lineRule="auto"/>
              <w:rPr>
                <w:rFonts w:ascii="Times New Roman" w:eastAsia="Times New Roman" w:hAnsi="Times New Roman" w:cs="Times New Roman"/>
                <w:noProof/>
                <w:color w:val="006100"/>
              </w:rPr>
            </w:pPr>
          </w:p>
        </w:tc>
      </w:tr>
      <w:tr w:rsidR="00235E11" w14:paraId="4E3251CA" w14:textId="77777777">
        <w:tc>
          <w:tcPr>
            <w:tcW w:w="709" w:type="dxa"/>
            <w:shd w:val="clear" w:color="auto" w:fill="C6EFCE"/>
            <w:vAlign w:val="center"/>
          </w:tcPr>
          <w:p w14:paraId="43A7A7C5" w14:textId="77777777" w:rsidR="00235E11" w:rsidRDefault="00F837E4">
            <w:pPr>
              <w:pStyle w:val="P68B1DB1-Normal9"/>
              <w:spacing w:line="240" w:lineRule="auto"/>
              <w:rPr>
                <w:noProof/>
              </w:rPr>
            </w:pPr>
            <w:r>
              <w:rPr>
                <w:noProof/>
              </w:rPr>
              <w:t>211</w:t>
            </w:r>
          </w:p>
        </w:tc>
        <w:tc>
          <w:tcPr>
            <w:tcW w:w="1560" w:type="dxa"/>
            <w:shd w:val="clear" w:color="auto" w:fill="C6EFCE"/>
            <w:vAlign w:val="center"/>
          </w:tcPr>
          <w:p w14:paraId="11DC1546" w14:textId="3FD6782D" w:rsidR="00235E11" w:rsidRDefault="00F837E4">
            <w:pPr>
              <w:pStyle w:val="P68B1DB1-Normal10"/>
              <w:spacing w:line="240" w:lineRule="auto"/>
              <w:rPr>
                <w:noProof/>
              </w:rPr>
            </w:pPr>
            <w:r>
              <w:rPr>
                <w:noProof/>
              </w:rPr>
              <w:t>Преразглеждане на кодекса за въздуха, климата и енергетиката — RBC (R-7.01)</w:t>
            </w:r>
          </w:p>
        </w:tc>
        <w:tc>
          <w:tcPr>
            <w:tcW w:w="703" w:type="dxa"/>
            <w:shd w:val="clear" w:color="auto" w:fill="C6EFCE"/>
            <w:vAlign w:val="center"/>
          </w:tcPr>
          <w:p w14:paraId="4328D6B3" w14:textId="77777777" w:rsidR="00235E11" w:rsidRDefault="00F837E4">
            <w:pPr>
              <w:pStyle w:val="P68B1DB1-Normal10"/>
              <w:spacing w:line="240" w:lineRule="auto"/>
              <w:jc w:val="center"/>
              <w:rPr>
                <w:noProof/>
              </w:rPr>
            </w:pPr>
            <w:r>
              <w:rPr>
                <w:noProof/>
              </w:rPr>
              <w:t>M</w:t>
            </w:r>
          </w:p>
        </w:tc>
        <w:tc>
          <w:tcPr>
            <w:tcW w:w="1281" w:type="dxa"/>
            <w:shd w:val="clear" w:color="auto" w:fill="C6EFCE"/>
            <w:vAlign w:val="center"/>
          </w:tcPr>
          <w:p w14:paraId="10C17AAE" w14:textId="77777777" w:rsidR="00235E11" w:rsidRDefault="00F837E4">
            <w:pPr>
              <w:pStyle w:val="P68B1DB1-Normal10"/>
              <w:spacing w:line="240" w:lineRule="auto"/>
              <w:rPr>
                <w:noProof/>
              </w:rPr>
            </w:pPr>
            <w:r>
              <w:rPr>
                <w:noProof/>
              </w:rPr>
              <w:t>Нови задължения за саниране на сгради</w:t>
            </w:r>
          </w:p>
        </w:tc>
        <w:tc>
          <w:tcPr>
            <w:tcW w:w="1345" w:type="dxa"/>
            <w:shd w:val="clear" w:color="auto" w:fill="C6EFCE"/>
            <w:vAlign w:val="center"/>
          </w:tcPr>
          <w:p w14:paraId="698C1D08" w14:textId="77777777" w:rsidR="00235E11" w:rsidRDefault="00F837E4">
            <w:pPr>
              <w:pStyle w:val="P68B1DB1-Normal10"/>
              <w:spacing w:line="240" w:lineRule="auto"/>
              <w:rPr>
                <w:noProof/>
              </w:rPr>
            </w:pPr>
            <w:r>
              <w:rPr>
                <w:noProof/>
              </w:rPr>
              <w:t>Разпоредба в правния акт, указваща влизането в сила на наредбата за изменение на COBRACE</w:t>
            </w:r>
          </w:p>
        </w:tc>
        <w:tc>
          <w:tcPr>
            <w:tcW w:w="1207" w:type="dxa"/>
            <w:shd w:val="clear" w:color="auto" w:fill="C6EFCE"/>
            <w:vAlign w:val="center"/>
          </w:tcPr>
          <w:p w14:paraId="3F42A21C" w14:textId="77777777" w:rsidR="00235E11" w:rsidRDefault="00235E11">
            <w:pPr>
              <w:spacing w:line="240" w:lineRule="auto"/>
              <w:rPr>
                <w:rFonts w:ascii="Times New Roman" w:eastAsia="Times New Roman" w:hAnsi="Times New Roman" w:cs="Times New Roman"/>
                <w:noProof/>
                <w:color w:val="006100"/>
              </w:rPr>
            </w:pPr>
          </w:p>
        </w:tc>
        <w:tc>
          <w:tcPr>
            <w:tcW w:w="992" w:type="dxa"/>
            <w:shd w:val="clear" w:color="auto" w:fill="C6EFCE"/>
            <w:vAlign w:val="center"/>
          </w:tcPr>
          <w:p w14:paraId="7A51DCB7" w14:textId="77777777" w:rsidR="00235E11" w:rsidRDefault="00235E11">
            <w:pPr>
              <w:spacing w:line="240" w:lineRule="auto"/>
              <w:rPr>
                <w:rFonts w:ascii="Times New Roman" w:eastAsia="Times New Roman" w:hAnsi="Times New Roman" w:cs="Times New Roman"/>
                <w:noProof/>
                <w:color w:val="006100"/>
              </w:rPr>
            </w:pPr>
          </w:p>
        </w:tc>
        <w:tc>
          <w:tcPr>
            <w:tcW w:w="992" w:type="dxa"/>
            <w:shd w:val="clear" w:color="auto" w:fill="C6EFCE"/>
            <w:vAlign w:val="center"/>
          </w:tcPr>
          <w:p w14:paraId="318D62CD" w14:textId="77777777" w:rsidR="00235E11" w:rsidRDefault="00235E11">
            <w:pPr>
              <w:spacing w:line="240" w:lineRule="auto"/>
              <w:rPr>
                <w:rFonts w:ascii="Times New Roman" w:eastAsia="Times New Roman" w:hAnsi="Times New Roman" w:cs="Times New Roman"/>
                <w:noProof/>
                <w:color w:val="006100"/>
              </w:rPr>
            </w:pPr>
          </w:p>
        </w:tc>
        <w:tc>
          <w:tcPr>
            <w:tcW w:w="567" w:type="dxa"/>
            <w:shd w:val="clear" w:color="auto" w:fill="C6EFCE"/>
            <w:vAlign w:val="center"/>
          </w:tcPr>
          <w:p w14:paraId="181411F1" w14:textId="2393EA36" w:rsidR="00235E11" w:rsidRDefault="00F837E4">
            <w:pPr>
              <w:pStyle w:val="P68B1DB1-Normal10"/>
              <w:spacing w:line="240" w:lineRule="auto"/>
              <w:rPr>
                <w:noProof/>
              </w:rPr>
            </w:pPr>
            <w:r>
              <w:rPr>
                <w:noProof/>
              </w:rPr>
              <w:t>Т2 Г.</w:t>
            </w:r>
          </w:p>
        </w:tc>
        <w:tc>
          <w:tcPr>
            <w:tcW w:w="709" w:type="dxa"/>
            <w:shd w:val="clear" w:color="auto" w:fill="C6EFCE"/>
            <w:vAlign w:val="center"/>
          </w:tcPr>
          <w:p w14:paraId="5500F842" w14:textId="77777777" w:rsidR="00235E11" w:rsidRDefault="00F837E4">
            <w:pPr>
              <w:pStyle w:val="P68B1DB1-Normal10"/>
              <w:spacing w:line="240" w:lineRule="auto"/>
              <w:rPr>
                <w:noProof/>
              </w:rPr>
            </w:pPr>
            <w:r>
              <w:rPr>
                <w:noProof/>
              </w:rPr>
              <w:t>2024</w:t>
            </w:r>
          </w:p>
        </w:tc>
        <w:tc>
          <w:tcPr>
            <w:tcW w:w="5527" w:type="dxa"/>
            <w:shd w:val="clear" w:color="auto" w:fill="C6EFCE"/>
            <w:vAlign w:val="center"/>
          </w:tcPr>
          <w:p w14:paraId="2140CE2D" w14:textId="54EFF779" w:rsidR="00235E11" w:rsidRDefault="00F837E4">
            <w:pPr>
              <w:pStyle w:val="P68B1DB1-Normal9"/>
              <w:spacing w:line="240" w:lineRule="auto"/>
              <w:rPr>
                <w:rFonts w:eastAsia="Times New Roman"/>
                <w:noProof/>
              </w:rPr>
            </w:pPr>
            <w:r>
              <w:rPr>
                <w:noProof/>
              </w:rPr>
              <w:t>Влизането в сила на Наредбата за изменение на Брюкселския кодекс за въздуха, климата и енергетиката. Тези нови задължения включват i) изискване за сертификат за енергийните характеристики на сградите (СЕХ) за всички жилищни и нежилищни единици, ii) ЕХС на жилищния сграден фонд да отговарят най-малко на ниво на първично енергопотребление под 275 kWh/m²/година (ограничение за клас E) в рамките на 10 години или най-късно до 2033 г., и iii) по-малко от 150 kWh/m²/година (ограничение за клас C) за изискванията, които трябва да бъдат постигнати в рамките на 20 години. Считано от 1 януари 2025 г., iv) всички нови сгради имат само отоплителни системи, чиито топлогенератори отговарят на изискванията за екопроектиране на Директива 2009/125/ЕО, и произвеждат топлинна енергия само от електроенергия и/или енергия от възобновяеми източници и/или са свързани към ефективна районна отоплителна система.</w:t>
            </w:r>
          </w:p>
        </w:tc>
      </w:tr>
      <w:tr w:rsidR="00235E11" w14:paraId="2CC8D081" w14:textId="77777777">
        <w:trPr>
          <w:trHeight w:val="1047"/>
        </w:trPr>
        <w:tc>
          <w:tcPr>
            <w:tcW w:w="709" w:type="dxa"/>
            <w:shd w:val="clear" w:color="auto" w:fill="C6EFCE"/>
            <w:vAlign w:val="center"/>
          </w:tcPr>
          <w:p w14:paraId="7B788A1F" w14:textId="77777777" w:rsidR="00235E11" w:rsidRDefault="00F837E4">
            <w:pPr>
              <w:pStyle w:val="P68B1DB1-Normal9"/>
              <w:spacing w:line="240" w:lineRule="auto"/>
              <w:rPr>
                <w:noProof/>
              </w:rPr>
            </w:pPr>
            <w:r>
              <w:rPr>
                <w:noProof/>
              </w:rPr>
              <w:t>212</w:t>
            </w:r>
          </w:p>
        </w:tc>
        <w:tc>
          <w:tcPr>
            <w:tcW w:w="1560" w:type="dxa"/>
            <w:shd w:val="clear" w:color="auto" w:fill="C6EFCE"/>
            <w:vAlign w:val="center"/>
          </w:tcPr>
          <w:p w14:paraId="5A57BC00" w14:textId="49E72D61" w:rsidR="00235E11" w:rsidRDefault="00F837E4">
            <w:pPr>
              <w:pStyle w:val="P68B1DB1-Normal10"/>
              <w:spacing w:line="240" w:lineRule="auto"/>
              <w:rPr>
                <w:noProof/>
              </w:rPr>
            </w:pPr>
            <w:r>
              <w:rPr>
                <w:noProof/>
              </w:rPr>
              <w:t>Подобрена схема за енергийни субсидии“ — RBC (I-7.01)</w:t>
            </w:r>
          </w:p>
        </w:tc>
        <w:tc>
          <w:tcPr>
            <w:tcW w:w="703" w:type="dxa"/>
            <w:shd w:val="clear" w:color="auto" w:fill="C6EFCE"/>
            <w:vAlign w:val="center"/>
          </w:tcPr>
          <w:p w14:paraId="72D425D6" w14:textId="77777777" w:rsidR="00235E11" w:rsidRDefault="00F837E4">
            <w:pPr>
              <w:pStyle w:val="P68B1DB1-Normal10"/>
              <w:spacing w:line="240" w:lineRule="auto"/>
              <w:jc w:val="center"/>
              <w:rPr>
                <w:noProof/>
              </w:rPr>
            </w:pPr>
            <w:r>
              <w:rPr>
                <w:noProof/>
              </w:rPr>
              <w:t>T</w:t>
            </w:r>
          </w:p>
        </w:tc>
        <w:tc>
          <w:tcPr>
            <w:tcW w:w="1281" w:type="dxa"/>
            <w:shd w:val="clear" w:color="auto" w:fill="C6EFCE"/>
            <w:vAlign w:val="center"/>
          </w:tcPr>
          <w:p w14:paraId="4FBC7AC7" w14:textId="77777777" w:rsidR="00235E11" w:rsidRDefault="00F837E4">
            <w:pPr>
              <w:pStyle w:val="P68B1DB1-Normal10"/>
              <w:spacing w:line="240" w:lineRule="auto"/>
              <w:rPr>
                <w:noProof/>
              </w:rPr>
            </w:pPr>
            <w:r>
              <w:rPr>
                <w:noProof/>
              </w:rPr>
              <w:t>Енергийни субсидии за домакинства с ниски доходи</w:t>
            </w:r>
          </w:p>
        </w:tc>
        <w:tc>
          <w:tcPr>
            <w:tcW w:w="1345" w:type="dxa"/>
            <w:shd w:val="clear" w:color="auto" w:fill="C6EFCE"/>
            <w:vAlign w:val="center"/>
          </w:tcPr>
          <w:p w14:paraId="0CBEFDD6" w14:textId="77777777" w:rsidR="00235E11" w:rsidRDefault="00235E11">
            <w:pPr>
              <w:spacing w:line="240" w:lineRule="auto"/>
              <w:rPr>
                <w:rFonts w:ascii="Times New Roman" w:eastAsia="Times New Roman" w:hAnsi="Times New Roman" w:cs="Times New Roman"/>
                <w:noProof/>
                <w:color w:val="006100"/>
              </w:rPr>
            </w:pPr>
          </w:p>
        </w:tc>
        <w:tc>
          <w:tcPr>
            <w:tcW w:w="1207" w:type="dxa"/>
            <w:shd w:val="clear" w:color="auto" w:fill="C6EFCE"/>
            <w:vAlign w:val="center"/>
          </w:tcPr>
          <w:p w14:paraId="161CB08B" w14:textId="77777777" w:rsidR="00235E11" w:rsidRDefault="00F837E4">
            <w:pPr>
              <w:pStyle w:val="P68B1DB1-Normal10"/>
              <w:spacing w:line="240" w:lineRule="auto"/>
              <w:rPr>
                <w:noProof/>
              </w:rPr>
            </w:pPr>
            <w:r>
              <w:rPr>
                <w:noProof/>
              </w:rPr>
              <w:t>Брой</w:t>
            </w:r>
          </w:p>
        </w:tc>
        <w:tc>
          <w:tcPr>
            <w:tcW w:w="992" w:type="dxa"/>
            <w:shd w:val="clear" w:color="auto" w:fill="C6EFCE"/>
            <w:vAlign w:val="center"/>
          </w:tcPr>
          <w:p w14:paraId="65AD8801" w14:textId="77777777" w:rsidR="00235E11" w:rsidRDefault="00F837E4">
            <w:pPr>
              <w:pStyle w:val="P68B1DB1-Normal10"/>
              <w:spacing w:line="240" w:lineRule="auto"/>
              <w:rPr>
                <w:noProof/>
              </w:rPr>
            </w:pPr>
            <w:r>
              <w:rPr>
                <w:noProof/>
              </w:rPr>
              <w:t>0</w:t>
            </w:r>
          </w:p>
        </w:tc>
        <w:tc>
          <w:tcPr>
            <w:tcW w:w="992" w:type="dxa"/>
            <w:shd w:val="clear" w:color="auto" w:fill="C6EFCE"/>
            <w:vAlign w:val="center"/>
          </w:tcPr>
          <w:p w14:paraId="4D478174" w14:textId="7C8CD841" w:rsidR="00235E11" w:rsidRDefault="00F837E4">
            <w:pPr>
              <w:pStyle w:val="P68B1DB1-Normal9"/>
              <w:spacing w:line="240" w:lineRule="auto"/>
              <w:rPr>
                <w:rFonts w:eastAsia="Times New Roman"/>
                <w:noProof/>
              </w:rPr>
            </w:pPr>
            <w:r>
              <w:rPr>
                <w:noProof/>
              </w:rPr>
              <w:t>1 749</w:t>
            </w:r>
          </w:p>
        </w:tc>
        <w:tc>
          <w:tcPr>
            <w:tcW w:w="567" w:type="dxa"/>
            <w:shd w:val="clear" w:color="auto" w:fill="C6EFCE"/>
            <w:vAlign w:val="center"/>
          </w:tcPr>
          <w:p w14:paraId="4B3E18FB" w14:textId="77777777" w:rsidR="00235E11" w:rsidRDefault="00F837E4">
            <w:pPr>
              <w:pStyle w:val="P68B1DB1-Normal10"/>
              <w:spacing w:line="240" w:lineRule="auto"/>
              <w:rPr>
                <w:noProof/>
              </w:rPr>
            </w:pPr>
            <w:r>
              <w:rPr>
                <w:noProof/>
              </w:rPr>
              <w:t>Т4 Г.</w:t>
            </w:r>
          </w:p>
        </w:tc>
        <w:tc>
          <w:tcPr>
            <w:tcW w:w="709" w:type="dxa"/>
            <w:shd w:val="clear" w:color="auto" w:fill="C6EFCE"/>
            <w:vAlign w:val="center"/>
          </w:tcPr>
          <w:p w14:paraId="285126DB" w14:textId="77777777" w:rsidR="00235E11" w:rsidRDefault="00F837E4">
            <w:pPr>
              <w:pStyle w:val="P68B1DB1-Normal10"/>
              <w:spacing w:line="240" w:lineRule="auto"/>
              <w:rPr>
                <w:noProof/>
              </w:rPr>
            </w:pPr>
            <w:r>
              <w:rPr>
                <w:noProof/>
              </w:rPr>
              <w:t>2024</w:t>
            </w:r>
          </w:p>
        </w:tc>
        <w:tc>
          <w:tcPr>
            <w:tcW w:w="5527" w:type="dxa"/>
            <w:shd w:val="clear" w:color="auto" w:fill="C6EFCE"/>
            <w:vAlign w:val="center"/>
          </w:tcPr>
          <w:p w14:paraId="4C4C78F3" w14:textId="2F694CDA" w:rsidR="00235E11" w:rsidRDefault="00F837E4">
            <w:pPr>
              <w:pStyle w:val="P68B1DB1-Normal9"/>
              <w:spacing w:line="240" w:lineRule="auto"/>
              <w:rPr>
                <w:rFonts w:eastAsia="Times New Roman"/>
                <w:noProof/>
              </w:rPr>
            </w:pPr>
            <w:r>
              <w:rPr>
                <w:noProof/>
              </w:rPr>
              <w:t>1 749 жилищни жилища, санирани с помощта на безвъзмездни средства за енергия, с които се постига намаляване на търсенето на първична енергия в полза на домакинствата с ниски доходи.</w:t>
            </w:r>
          </w:p>
        </w:tc>
      </w:tr>
      <w:tr w:rsidR="00235E11" w14:paraId="3A96592F" w14:textId="77777777">
        <w:tc>
          <w:tcPr>
            <w:tcW w:w="709" w:type="dxa"/>
            <w:shd w:val="clear" w:color="auto" w:fill="C6EFCE"/>
            <w:vAlign w:val="center"/>
          </w:tcPr>
          <w:p w14:paraId="2EF3B09E" w14:textId="77777777" w:rsidR="00235E11" w:rsidRDefault="00F837E4">
            <w:pPr>
              <w:pStyle w:val="P68B1DB1-Normal9"/>
              <w:spacing w:line="240" w:lineRule="auto"/>
              <w:rPr>
                <w:noProof/>
              </w:rPr>
            </w:pPr>
            <w:r>
              <w:rPr>
                <w:noProof/>
              </w:rPr>
              <w:t>213</w:t>
            </w:r>
          </w:p>
        </w:tc>
        <w:tc>
          <w:tcPr>
            <w:tcW w:w="1560" w:type="dxa"/>
            <w:shd w:val="clear" w:color="auto" w:fill="C6EFCE"/>
            <w:vAlign w:val="center"/>
          </w:tcPr>
          <w:p w14:paraId="55CB6960" w14:textId="5B5D8B27" w:rsidR="00235E11" w:rsidRDefault="00F837E4">
            <w:pPr>
              <w:pStyle w:val="P68B1DB1-Normal10"/>
              <w:spacing w:after="0" w:line="240" w:lineRule="auto"/>
              <w:rPr>
                <w:noProof/>
              </w:rPr>
            </w:pPr>
            <w:r>
              <w:rPr>
                <w:noProof/>
              </w:rPr>
              <w:t>Подобрена схема за енергийни субсидии на Фламандския регион (I-7.02)</w:t>
            </w:r>
          </w:p>
        </w:tc>
        <w:tc>
          <w:tcPr>
            <w:tcW w:w="703" w:type="dxa"/>
            <w:shd w:val="clear" w:color="auto" w:fill="C6EFCE"/>
            <w:vAlign w:val="center"/>
          </w:tcPr>
          <w:p w14:paraId="779668C1" w14:textId="77777777" w:rsidR="00235E11" w:rsidRDefault="00F837E4">
            <w:pPr>
              <w:pStyle w:val="P68B1DB1-Normal10"/>
              <w:spacing w:line="240" w:lineRule="auto"/>
              <w:jc w:val="center"/>
              <w:rPr>
                <w:noProof/>
              </w:rPr>
            </w:pPr>
            <w:r>
              <w:rPr>
                <w:noProof/>
              </w:rPr>
              <w:t>M</w:t>
            </w:r>
          </w:p>
        </w:tc>
        <w:tc>
          <w:tcPr>
            <w:tcW w:w="1281" w:type="dxa"/>
            <w:shd w:val="clear" w:color="auto" w:fill="C6EFCE"/>
            <w:vAlign w:val="center"/>
          </w:tcPr>
          <w:p w14:paraId="603DAEFE" w14:textId="77777777" w:rsidR="00235E11" w:rsidRDefault="00F837E4">
            <w:pPr>
              <w:pStyle w:val="P68B1DB1-Normal10"/>
              <w:spacing w:line="240" w:lineRule="auto"/>
              <w:rPr>
                <w:noProof/>
              </w:rPr>
            </w:pPr>
            <w:r>
              <w:rPr>
                <w:noProof/>
              </w:rPr>
              <w:t>Схема за увеличаване на енергийните субсидии на Фламандския регион</w:t>
            </w:r>
          </w:p>
        </w:tc>
        <w:tc>
          <w:tcPr>
            <w:tcW w:w="1345" w:type="dxa"/>
            <w:shd w:val="clear" w:color="auto" w:fill="C6EFCE"/>
            <w:vAlign w:val="center"/>
          </w:tcPr>
          <w:p w14:paraId="396F4248" w14:textId="3647185C" w:rsidR="00235E11" w:rsidRDefault="00F837E4">
            <w:pPr>
              <w:pStyle w:val="P68B1DB1-Normal10"/>
              <w:spacing w:line="240" w:lineRule="auto"/>
              <w:rPr>
                <w:noProof/>
              </w:rPr>
            </w:pPr>
            <w:r>
              <w:rPr>
                <w:noProof/>
              </w:rPr>
              <w:t>Влизане в сила на изменението на постановлението относно схемата за енергийни субсидии на фламандското правителство</w:t>
            </w:r>
          </w:p>
        </w:tc>
        <w:tc>
          <w:tcPr>
            <w:tcW w:w="1207" w:type="dxa"/>
            <w:shd w:val="clear" w:color="auto" w:fill="C6EFCE"/>
            <w:vAlign w:val="center"/>
          </w:tcPr>
          <w:p w14:paraId="7C4E8F3B" w14:textId="77777777" w:rsidR="00235E11" w:rsidRDefault="00235E11">
            <w:pPr>
              <w:spacing w:line="240" w:lineRule="auto"/>
              <w:rPr>
                <w:rFonts w:ascii="Times New Roman" w:eastAsia="Times New Roman" w:hAnsi="Times New Roman" w:cs="Times New Roman"/>
                <w:noProof/>
                <w:color w:val="006100"/>
              </w:rPr>
            </w:pPr>
          </w:p>
        </w:tc>
        <w:tc>
          <w:tcPr>
            <w:tcW w:w="992" w:type="dxa"/>
            <w:shd w:val="clear" w:color="auto" w:fill="C6EFCE"/>
            <w:vAlign w:val="center"/>
          </w:tcPr>
          <w:p w14:paraId="6CD9CAC9" w14:textId="77777777" w:rsidR="00235E11" w:rsidRDefault="00235E11">
            <w:pPr>
              <w:spacing w:line="240" w:lineRule="auto"/>
              <w:rPr>
                <w:rFonts w:ascii="Times New Roman" w:eastAsia="Times New Roman" w:hAnsi="Times New Roman" w:cs="Times New Roman"/>
                <w:noProof/>
                <w:color w:val="006100"/>
              </w:rPr>
            </w:pPr>
          </w:p>
        </w:tc>
        <w:tc>
          <w:tcPr>
            <w:tcW w:w="992" w:type="dxa"/>
            <w:shd w:val="clear" w:color="auto" w:fill="C6EFCE"/>
            <w:vAlign w:val="center"/>
          </w:tcPr>
          <w:p w14:paraId="7A4560B3" w14:textId="77777777" w:rsidR="00235E11" w:rsidRDefault="00235E11">
            <w:pPr>
              <w:spacing w:line="240" w:lineRule="auto"/>
              <w:rPr>
                <w:rFonts w:ascii="Times New Roman" w:eastAsia="Times New Roman" w:hAnsi="Times New Roman" w:cs="Times New Roman"/>
                <w:noProof/>
                <w:color w:val="006100"/>
              </w:rPr>
            </w:pPr>
          </w:p>
        </w:tc>
        <w:tc>
          <w:tcPr>
            <w:tcW w:w="567" w:type="dxa"/>
            <w:shd w:val="clear" w:color="auto" w:fill="C6EFCE"/>
            <w:vAlign w:val="center"/>
          </w:tcPr>
          <w:p w14:paraId="529BB195" w14:textId="77777777" w:rsidR="00235E11" w:rsidRDefault="00F837E4">
            <w:pPr>
              <w:pStyle w:val="P68B1DB1-Normal10"/>
              <w:spacing w:line="240" w:lineRule="auto"/>
              <w:rPr>
                <w:noProof/>
              </w:rPr>
            </w:pPr>
            <w:r>
              <w:rPr>
                <w:noProof/>
              </w:rPr>
              <w:t>Т1 Г.</w:t>
            </w:r>
          </w:p>
        </w:tc>
        <w:tc>
          <w:tcPr>
            <w:tcW w:w="709" w:type="dxa"/>
            <w:shd w:val="clear" w:color="auto" w:fill="C6EFCE"/>
            <w:vAlign w:val="center"/>
          </w:tcPr>
          <w:p w14:paraId="39F87307" w14:textId="77777777" w:rsidR="00235E11" w:rsidRDefault="00F837E4">
            <w:pPr>
              <w:pStyle w:val="P68B1DB1-Normal10"/>
              <w:spacing w:line="240" w:lineRule="auto"/>
              <w:rPr>
                <w:noProof/>
              </w:rPr>
            </w:pPr>
            <w:r>
              <w:rPr>
                <w:noProof/>
              </w:rPr>
              <w:t>2022</w:t>
            </w:r>
          </w:p>
        </w:tc>
        <w:tc>
          <w:tcPr>
            <w:tcW w:w="5527" w:type="dxa"/>
            <w:shd w:val="clear" w:color="auto" w:fill="C6EFCE"/>
            <w:vAlign w:val="center"/>
          </w:tcPr>
          <w:p w14:paraId="0B619B7A" w14:textId="2EB02B2A" w:rsidR="00235E11" w:rsidRDefault="00F837E4">
            <w:pPr>
              <w:pStyle w:val="P68B1DB1-Normal10"/>
              <w:spacing w:line="240" w:lineRule="auto"/>
              <w:rPr>
                <w:noProof/>
                <w:highlight w:val="yellow"/>
              </w:rPr>
            </w:pPr>
            <w:r>
              <w:rPr>
                <w:noProof/>
              </w:rPr>
              <w:t>Влизане в сила на изменението на указа относно схемата за енергийни субсидии, свързана с R-1.01, подреформа i). В него се определя увеличение на максималните проценти на схемата за субсидиране за двете целеви групи с най-ниски доходи, както и увеличение на безвъзмездните средства за изолация на покрива и на безвъзмездните средства за термопомпи.</w:t>
            </w:r>
          </w:p>
        </w:tc>
      </w:tr>
      <w:tr w:rsidR="00235E11" w14:paraId="1CB1BC49" w14:textId="77777777">
        <w:tc>
          <w:tcPr>
            <w:tcW w:w="709" w:type="dxa"/>
            <w:shd w:val="clear" w:color="auto" w:fill="C6EFCE"/>
            <w:vAlign w:val="center"/>
          </w:tcPr>
          <w:p w14:paraId="34E82CF4" w14:textId="77777777" w:rsidR="00235E11" w:rsidRDefault="00F837E4">
            <w:pPr>
              <w:pStyle w:val="P68B1DB1-Normal9"/>
              <w:spacing w:after="0" w:line="240" w:lineRule="auto"/>
              <w:rPr>
                <w:noProof/>
              </w:rPr>
            </w:pPr>
            <w:r>
              <w:rPr>
                <w:noProof/>
              </w:rPr>
              <w:t>214</w:t>
            </w:r>
          </w:p>
        </w:tc>
        <w:tc>
          <w:tcPr>
            <w:tcW w:w="1560" w:type="dxa"/>
            <w:shd w:val="clear" w:color="auto" w:fill="C6EFCE"/>
            <w:vAlign w:val="center"/>
          </w:tcPr>
          <w:p w14:paraId="4A114E0E" w14:textId="359D06FE" w:rsidR="00235E11" w:rsidRDefault="00F837E4">
            <w:pPr>
              <w:pStyle w:val="P68B1DB1-Normal10"/>
              <w:spacing w:after="0" w:line="240" w:lineRule="auto"/>
              <w:rPr>
                <w:noProof/>
              </w:rPr>
            </w:pPr>
            <w:r>
              <w:rPr>
                <w:noProof/>
              </w:rPr>
              <w:t>Енергийни субсидии — немскоезична общност (I-7.03)</w:t>
            </w:r>
          </w:p>
        </w:tc>
        <w:tc>
          <w:tcPr>
            <w:tcW w:w="703" w:type="dxa"/>
            <w:shd w:val="clear" w:color="auto" w:fill="C6EFCE"/>
            <w:vAlign w:val="center"/>
          </w:tcPr>
          <w:p w14:paraId="14EC3885" w14:textId="77777777" w:rsidR="00235E11" w:rsidRDefault="00F837E4">
            <w:pPr>
              <w:pStyle w:val="P68B1DB1-Normal10"/>
              <w:spacing w:after="0" w:line="240" w:lineRule="auto"/>
              <w:jc w:val="center"/>
              <w:rPr>
                <w:noProof/>
              </w:rPr>
            </w:pPr>
            <w:r>
              <w:rPr>
                <w:noProof/>
              </w:rPr>
              <w:t>T</w:t>
            </w:r>
          </w:p>
        </w:tc>
        <w:tc>
          <w:tcPr>
            <w:tcW w:w="1281" w:type="dxa"/>
            <w:shd w:val="clear" w:color="auto" w:fill="C6EFCE"/>
            <w:vAlign w:val="center"/>
          </w:tcPr>
          <w:p w14:paraId="4540FA18" w14:textId="77777777" w:rsidR="00235E11" w:rsidRDefault="00F837E4">
            <w:pPr>
              <w:pStyle w:val="P68B1DB1-Normal10"/>
              <w:spacing w:after="0" w:line="240" w:lineRule="auto"/>
              <w:rPr>
                <w:noProof/>
              </w:rPr>
            </w:pPr>
            <w:r>
              <w:rPr>
                <w:noProof/>
              </w:rPr>
              <w:t>Обновяване на частни жилища</w:t>
            </w:r>
          </w:p>
        </w:tc>
        <w:tc>
          <w:tcPr>
            <w:tcW w:w="1345" w:type="dxa"/>
            <w:shd w:val="clear" w:color="auto" w:fill="C6EFCE"/>
            <w:vAlign w:val="center"/>
          </w:tcPr>
          <w:p w14:paraId="68C731E6" w14:textId="40CBA41C" w:rsidR="00235E11" w:rsidRDefault="00235E11">
            <w:pPr>
              <w:spacing w:after="0" w:line="240" w:lineRule="auto"/>
              <w:rPr>
                <w:rFonts w:ascii="Times New Roman" w:hAnsi="Times New Roman" w:cs="Times New Roman"/>
                <w:noProof/>
                <w:color w:val="006100"/>
              </w:rPr>
            </w:pPr>
          </w:p>
        </w:tc>
        <w:tc>
          <w:tcPr>
            <w:tcW w:w="1207" w:type="dxa"/>
            <w:shd w:val="clear" w:color="auto" w:fill="C6EFCE"/>
            <w:vAlign w:val="center"/>
          </w:tcPr>
          <w:p w14:paraId="3CD233D3" w14:textId="77777777" w:rsidR="00235E11" w:rsidRDefault="00F837E4">
            <w:pPr>
              <w:pStyle w:val="P68B1DB1-Normal10"/>
              <w:spacing w:after="0" w:line="240" w:lineRule="auto"/>
              <w:rPr>
                <w:noProof/>
              </w:rPr>
            </w:pPr>
            <w:r>
              <w:rPr>
                <w:noProof/>
              </w:rPr>
              <w:t>Брой</w:t>
            </w:r>
          </w:p>
        </w:tc>
        <w:tc>
          <w:tcPr>
            <w:tcW w:w="992" w:type="dxa"/>
            <w:shd w:val="clear" w:color="auto" w:fill="C6EFCE"/>
            <w:vAlign w:val="center"/>
          </w:tcPr>
          <w:p w14:paraId="671AF560" w14:textId="77777777" w:rsidR="00235E11" w:rsidRDefault="00F837E4">
            <w:pPr>
              <w:pStyle w:val="P68B1DB1-Normal10"/>
              <w:spacing w:after="0" w:line="240" w:lineRule="auto"/>
              <w:rPr>
                <w:noProof/>
              </w:rPr>
            </w:pPr>
            <w:r>
              <w:rPr>
                <w:noProof/>
              </w:rPr>
              <w:t>0</w:t>
            </w:r>
          </w:p>
        </w:tc>
        <w:tc>
          <w:tcPr>
            <w:tcW w:w="992" w:type="dxa"/>
            <w:shd w:val="clear" w:color="auto" w:fill="C6EFCE"/>
            <w:vAlign w:val="center"/>
          </w:tcPr>
          <w:p w14:paraId="104447E8" w14:textId="77777777" w:rsidR="00235E11" w:rsidRDefault="00F837E4">
            <w:pPr>
              <w:pStyle w:val="P68B1DB1-Normal10"/>
              <w:spacing w:after="0" w:line="240" w:lineRule="auto"/>
              <w:rPr>
                <w:noProof/>
              </w:rPr>
            </w:pPr>
            <w:r>
              <w:rPr>
                <w:noProof/>
              </w:rPr>
              <w:t>774</w:t>
            </w:r>
          </w:p>
        </w:tc>
        <w:tc>
          <w:tcPr>
            <w:tcW w:w="567" w:type="dxa"/>
            <w:shd w:val="clear" w:color="auto" w:fill="C6EFCE"/>
            <w:vAlign w:val="center"/>
          </w:tcPr>
          <w:p w14:paraId="26875591" w14:textId="77777777" w:rsidR="00235E11" w:rsidRDefault="00F837E4">
            <w:pPr>
              <w:pStyle w:val="P68B1DB1-Normal10"/>
              <w:spacing w:after="0" w:line="240" w:lineRule="auto"/>
              <w:rPr>
                <w:noProof/>
              </w:rPr>
            </w:pPr>
            <w:r>
              <w:rPr>
                <w:noProof/>
              </w:rPr>
              <w:t>Т2 Г.</w:t>
            </w:r>
          </w:p>
        </w:tc>
        <w:tc>
          <w:tcPr>
            <w:tcW w:w="709" w:type="dxa"/>
            <w:shd w:val="clear" w:color="auto" w:fill="C6EFCE"/>
            <w:vAlign w:val="center"/>
          </w:tcPr>
          <w:p w14:paraId="30EA5DB0" w14:textId="77777777" w:rsidR="00235E11" w:rsidRDefault="00F837E4">
            <w:pPr>
              <w:pStyle w:val="P68B1DB1-Normal10"/>
              <w:spacing w:after="0" w:line="240" w:lineRule="auto"/>
              <w:rPr>
                <w:noProof/>
              </w:rPr>
            </w:pPr>
            <w:r>
              <w:rPr>
                <w:noProof/>
              </w:rPr>
              <w:t>2024</w:t>
            </w:r>
          </w:p>
        </w:tc>
        <w:tc>
          <w:tcPr>
            <w:tcW w:w="5527" w:type="dxa"/>
            <w:shd w:val="clear" w:color="auto" w:fill="C6EFCE"/>
            <w:vAlign w:val="center"/>
          </w:tcPr>
          <w:p w14:paraId="2A1903C1" w14:textId="77777777" w:rsidR="00235E11" w:rsidRDefault="00F837E4">
            <w:pPr>
              <w:pStyle w:val="P68B1DB1-Normal10"/>
              <w:spacing w:after="0" w:line="240" w:lineRule="auto"/>
              <w:rPr>
                <w:noProof/>
              </w:rPr>
            </w:pPr>
            <w:r>
              <w:rPr>
                <w:noProof/>
              </w:rPr>
              <w:t>774 частни жилища са обновени с помощта на енергийни субсидии.</w:t>
            </w:r>
          </w:p>
        </w:tc>
      </w:tr>
      <w:tr w:rsidR="00235E11" w14:paraId="3457531F" w14:textId="77777777">
        <w:tc>
          <w:tcPr>
            <w:tcW w:w="709" w:type="dxa"/>
            <w:shd w:val="clear" w:color="auto" w:fill="C6EFCE"/>
            <w:vAlign w:val="center"/>
          </w:tcPr>
          <w:p w14:paraId="699106B2" w14:textId="77777777" w:rsidR="00235E11" w:rsidRDefault="00F837E4">
            <w:pPr>
              <w:pStyle w:val="P68B1DB1-Normal9"/>
              <w:spacing w:line="240" w:lineRule="auto"/>
              <w:rPr>
                <w:noProof/>
              </w:rPr>
            </w:pPr>
            <w:r>
              <w:rPr>
                <w:noProof/>
              </w:rPr>
              <w:t>215</w:t>
            </w:r>
          </w:p>
        </w:tc>
        <w:tc>
          <w:tcPr>
            <w:tcW w:w="1560" w:type="dxa"/>
            <w:shd w:val="clear" w:color="auto" w:fill="C6EFCE"/>
            <w:vAlign w:val="center"/>
          </w:tcPr>
          <w:p w14:paraId="7BBAD41F" w14:textId="08A00C87" w:rsidR="00235E11" w:rsidRDefault="00F837E4">
            <w:pPr>
              <w:pStyle w:val="P68B1DB1-Normal10"/>
              <w:spacing w:line="240" w:lineRule="auto"/>
              <w:rPr>
                <w:noProof/>
              </w:rPr>
            </w:pPr>
            <w:r>
              <w:rPr>
                <w:noProof/>
              </w:rPr>
              <w:t>Обновяване на социални жилища — WAL (I-7.04)</w:t>
            </w:r>
          </w:p>
        </w:tc>
        <w:tc>
          <w:tcPr>
            <w:tcW w:w="703" w:type="dxa"/>
            <w:shd w:val="clear" w:color="auto" w:fill="C6EFCE"/>
            <w:vAlign w:val="center"/>
          </w:tcPr>
          <w:p w14:paraId="496893F6" w14:textId="77777777" w:rsidR="00235E11" w:rsidRDefault="00F837E4">
            <w:pPr>
              <w:pStyle w:val="P68B1DB1-Normal10"/>
              <w:spacing w:line="240" w:lineRule="auto"/>
              <w:jc w:val="center"/>
              <w:rPr>
                <w:noProof/>
              </w:rPr>
            </w:pPr>
            <w:r>
              <w:rPr>
                <w:noProof/>
              </w:rPr>
              <w:t>T</w:t>
            </w:r>
          </w:p>
        </w:tc>
        <w:tc>
          <w:tcPr>
            <w:tcW w:w="1281" w:type="dxa"/>
            <w:shd w:val="clear" w:color="auto" w:fill="C6EFCE"/>
            <w:vAlign w:val="center"/>
          </w:tcPr>
          <w:p w14:paraId="4C011105" w14:textId="77777777" w:rsidR="00235E11" w:rsidRDefault="00F837E4">
            <w:pPr>
              <w:pStyle w:val="P68B1DB1-Normal10"/>
              <w:spacing w:after="0" w:line="240" w:lineRule="auto"/>
              <w:rPr>
                <w:noProof/>
              </w:rPr>
            </w:pPr>
            <w:r>
              <w:rPr>
                <w:noProof/>
              </w:rPr>
              <w:t>Слънчеви панели и термопомпи в социалните жилища</w:t>
            </w:r>
          </w:p>
        </w:tc>
        <w:tc>
          <w:tcPr>
            <w:tcW w:w="1345" w:type="dxa"/>
            <w:shd w:val="clear" w:color="auto" w:fill="C6EFCE"/>
            <w:vAlign w:val="center"/>
          </w:tcPr>
          <w:p w14:paraId="5FF6BFAF" w14:textId="77777777" w:rsidR="00235E11" w:rsidRDefault="00235E11">
            <w:pPr>
              <w:spacing w:after="0" w:line="240" w:lineRule="auto"/>
              <w:rPr>
                <w:rFonts w:ascii="Times New Roman" w:eastAsia="Times New Roman" w:hAnsi="Times New Roman" w:cs="Times New Roman"/>
                <w:noProof/>
                <w:color w:val="006100"/>
              </w:rPr>
            </w:pPr>
          </w:p>
        </w:tc>
        <w:tc>
          <w:tcPr>
            <w:tcW w:w="1207" w:type="dxa"/>
            <w:shd w:val="clear" w:color="auto" w:fill="C6EFCE"/>
            <w:vAlign w:val="center"/>
          </w:tcPr>
          <w:p w14:paraId="182498BC" w14:textId="77777777" w:rsidR="00235E11" w:rsidRDefault="00F837E4">
            <w:pPr>
              <w:pStyle w:val="P68B1DB1-Normal10"/>
              <w:spacing w:after="0" w:line="240" w:lineRule="auto"/>
              <w:rPr>
                <w:noProof/>
              </w:rPr>
            </w:pPr>
            <w:r>
              <w:rPr>
                <w:noProof/>
              </w:rPr>
              <w:t>Брой</w:t>
            </w:r>
          </w:p>
        </w:tc>
        <w:tc>
          <w:tcPr>
            <w:tcW w:w="992" w:type="dxa"/>
            <w:shd w:val="clear" w:color="auto" w:fill="C6EFCE"/>
            <w:vAlign w:val="center"/>
          </w:tcPr>
          <w:p w14:paraId="4F0416F3" w14:textId="77777777" w:rsidR="00235E11" w:rsidRDefault="00235E11">
            <w:pPr>
              <w:spacing w:after="0" w:line="240" w:lineRule="auto"/>
              <w:rPr>
                <w:rFonts w:ascii="Times New Roman" w:eastAsia="Times New Roman" w:hAnsi="Times New Roman" w:cs="Times New Roman"/>
                <w:noProof/>
                <w:color w:val="006100"/>
              </w:rPr>
            </w:pPr>
          </w:p>
        </w:tc>
        <w:tc>
          <w:tcPr>
            <w:tcW w:w="992" w:type="dxa"/>
            <w:shd w:val="clear" w:color="auto" w:fill="C6EFCE"/>
            <w:vAlign w:val="center"/>
          </w:tcPr>
          <w:p w14:paraId="6AF13A06" w14:textId="1EED0C03" w:rsidR="00235E11" w:rsidRDefault="00F837E4">
            <w:pPr>
              <w:pStyle w:val="P68B1DB1-Normal9"/>
              <w:spacing w:after="0" w:line="240" w:lineRule="auto"/>
              <w:rPr>
                <w:rFonts w:eastAsia="Times New Roman"/>
                <w:noProof/>
              </w:rPr>
            </w:pPr>
            <w:r>
              <w:rPr>
                <w:noProof/>
              </w:rPr>
              <w:t>3 600</w:t>
            </w:r>
          </w:p>
        </w:tc>
        <w:tc>
          <w:tcPr>
            <w:tcW w:w="567" w:type="dxa"/>
            <w:shd w:val="clear" w:color="auto" w:fill="C6EFCE"/>
            <w:vAlign w:val="center"/>
          </w:tcPr>
          <w:p w14:paraId="434BD88A" w14:textId="77777777" w:rsidR="00235E11" w:rsidRDefault="00F837E4">
            <w:pPr>
              <w:pStyle w:val="P68B1DB1-Normal10"/>
              <w:spacing w:after="0" w:line="240" w:lineRule="auto"/>
              <w:rPr>
                <w:noProof/>
              </w:rPr>
            </w:pPr>
            <w:r>
              <w:rPr>
                <w:noProof/>
              </w:rPr>
              <w:t>Т2 Г.</w:t>
            </w:r>
          </w:p>
        </w:tc>
        <w:tc>
          <w:tcPr>
            <w:tcW w:w="709" w:type="dxa"/>
            <w:shd w:val="clear" w:color="auto" w:fill="C6EFCE"/>
            <w:vAlign w:val="center"/>
          </w:tcPr>
          <w:p w14:paraId="4FBEF063" w14:textId="77777777" w:rsidR="00235E11" w:rsidRDefault="00F837E4">
            <w:pPr>
              <w:pStyle w:val="P68B1DB1-Normal10"/>
              <w:spacing w:after="0" w:line="240" w:lineRule="auto"/>
              <w:rPr>
                <w:noProof/>
              </w:rPr>
            </w:pPr>
            <w:r>
              <w:rPr>
                <w:noProof/>
              </w:rPr>
              <w:t>2026</w:t>
            </w:r>
          </w:p>
        </w:tc>
        <w:tc>
          <w:tcPr>
            <w:tcW w:w="5527" w:type="dxa"/>
            <w:shd w:val="clear" w:color="auto" w:fill="C6EFCE"/>
            <w:vAlign w:val="center"/>
          </w:tcPr>
          <w:p w14:paraId="6B18E007" w14:textId="3774B57D" w:rsidR="00235E11" w:rsidRDefault="00F837E4">
            <w:pPr>
              <w:pStyle w:val="P68B1DB1-Normal9"/>
              <w:spacing w:after="0" w:line="240" w:lineRule="auto"/>
              <w:rPr>
                <w:rFonts w:eastAsia="Times New Roman"/>
                <w:noProof/>
              </w:rPr>
            </w:pPr>
            <w:r>
              <w:rPr>
                <w:noProof/>
              </w:rPr>
              <w:t>3 600 социални жилища са оборудвани със слънчеви панели, включително 285 социални жилища са оборудвани със слънчеви панели и термопомпи.</w:t>
            </w:r>
          </w:p>
        </w:tc>
      </w:tr>
      <w:tr w:rsidR="00235E11" w14:paraId="1182A32D" w14:textId="77777777">
        <w:tc>
          <w:tcPr>
            <w:tcW w:w="709" w:type="dxa"/>
            <w:shd w:val="clear" w:color="auto" w:fill="C6EFCE"/>
            <w:vAlign w:val="center"/>
          </w:tcPr>
          <w:p w14:paraId="151C995E" w14:textId="77777777" w:rsidR="00235E11" w:rsidRDefault="00F837E4">
            <w:pPr>
              <w:pStyle w:val="P68B1DB1-Normal9"/>
              <w:spacing w:line="240" w:lineRule="auto"/>
              <w:rPr>
                <w:noProof/>
              </w:rPr>
            </w:pPr>
            <w:r>
              <w:rPr>
                <w:noProof/>
              </w:rPr>
              <w:t>216</w:t>
            </w:r>
          </w:p>
        </w:tc>
        <w:tc>
          <w:tcPr>
            <w:tcW w:w="1560" w:type="dxa"/>
            <w:shd w:val="clear" w:color="auto" w:fill="C6EFCE"/>
            <w:vAlign w:val="center"/>
          </w:tcPr>
          <w:p w14:paraId="05345B1B" w14:textId="7F0D4C9D" w:rsidR="00235E11" w:rsidRDefault="00F837E4">
            <w:pPr>
              <w:pStyle w:val="P68B1DB1-Normal10"/>
              <w:spacing w:after="0" w:line="240" w:lineRule="auto"/>
              <w:rPr>
                <w:noProof/>
              </w:rPr>
            </w:pPr>
            <w:r>
              <w:rPr>
                <w:noProof/>
              </w:rPr>
              <w:t>Мерки в областта на енергетиката и климата в обществените сгради — федерална провинция (I-7.05)</w:t>
            </w:r>
          </w:p>
        </w:tc>
        <w:tc>
          <w:tcPr>
            <w:tcW w:w="703" w:type="dxa"/>
            <w:shd w:val="clear" w:color="auto" w:fill="C6EFCE"/>
            <w:vAlign w:val="center"/>
          </w:tcPr>
          <w:p w14:paraId="4497D7E0" w14:textId="77777777" w:rsidR="00235E11" w:rsidRDefault="00F837E4">
            <w:pPr>
              <w:pStyle w:val="P68B1DB1-Normal10"/>
              <w:spacing w:after="0" w:line="240" w:lineRule="auto"/>
              <w:jc w:val="center"/>
              <w:rPr>
                <w:noProof/>
              </w:rPr>
            </w:pPr>
            <w:r>
              <w:rPr>
                <w:noProof/>
              </w:rPr>
              <w:t>T</w:t>
            </w:r>
          </w:p>
        </w:tc>
        <w:tc>
          <w:tcPr>
            <w:tcW w:w="1281" w:type="dxa"/>
            <w:shd w:val="clear" w:color="auto" w:fill="C6EFCE"/>
            <w:vAlign w:val="center"/>
          </w:tcPr>
          <w:p w14:paraId="104187A4" w14:textId="77777777" w:rsidR="00235E11" w:rsidRDefault="00F837E4">
            <w:pPr>
              <w:pStyle w:val="P68B1DB1-Normal10"/>
              <w:spacing w:line="240" w:lineRule="auto"/>
              <w:rPr>
                <w:noProof/>
              </w:rPr>
            </w:pPr>
            <w:r>
              <w:rPr>
                <w:noProof/>
              </w:rPr>
              <w:t>Завършени енергийни мерки</w:t>
            </w:r>
          </w:p>
        </w:tc>
        <w:tc>
          <w:tcPr>
            <w:tcW w:w="1345" w:type="dxa"/>
            <w:shd w:val="clear" w:color="auto" w:fill="C6EFCE"/>
            <w:vAlign w:val="center"/>
          </w:tcPr>
          <w:p w14:paraId="3CFD5B32" w14:textId="77777777" w:rsidR="00235E11" w:rsidRDefault="00235E11">
            <w:pPr>
              <w:spacing w:line="240" w:lineRule="auto"/>
              <w:rPr>
                <w:rFonts w:ascii="Times New Roman" w:eastAsia="Times New Roman" w:hAnsi="Times New Roman" w:cs="Times New Roman"/>
                <w:noProof/>
                <w:color w:val="006100"/>
              </w:rPr>
            </w:pPr>
          </w:p>
        </w:tc>
        <w:tc>
          <w:tcPr>
            <w:tcW w:w="1207" w:type="dxa"/>
            <w:shd w:val="clear" w:color="auto" w:fill="C6EFCE"/>
            <w:vAlign w:val="center"/>
          </w:tcPr>
          <w:p w14:paraId="5EA064FA" w14:textId="77777777" w:rsidR="00235E11" w:rsidRDefault="00F837E4">
            <w:pPr>
              <w:pStyle w:val="P68B1DB1-Normal10"/>
              <w:spacing w:line="240" w:lineRule="auto"/>
              <w:rPr>
                <w:noProof/>
              </w:rPr>
            </w:pPr>
            <w:r>
              <w:rPr>
                <w:noProof/>
              </w:rPr>
              <w:t>Брой</w:t>
            </w:r>
          </w:p>
        </w:tc>
        <w:tc>
          <w:tcPr>
            <w:tcW w:w="992" w:type="dxa"/>
            <w:shd w:val="clear" w:color="auto" w:fill="C6EFCE"/>
            <w:vAlign w:val="center"/>
          </w:tcPr>
          <w:p w14:paraId="4A4EC687" w14:textId="77777777" w:rsidR="00235E11" w:rsidRDefault="00F837E4">
            <w:pPr>
              <w:pStyle w:val="P68B1DB1-Normal10"/>
              <w:spacing w:line="240" w:lineRule="auto"/>
              <w:rPr>
                <w:noProof/>
              </w:rPr>
            </w:pPr>
            <w:r>
              <w:rPr>
                <w:noProof/>
              </w:rPr>
              <w:t>0</w:t>
            </w:r>
          </w:p>
        </w:tc>
        <w:tc>
          <w:tcPr>
            <w:tcW w:w="992" w:type="dxa"/>
            <w:shd w:val="clear" w:color="auto" w:fill="C6EFCE"/>
            <w:vAlign w:val="center"/>
          </w:tcPr>
          <w:p w14:paraId="4B22FE9C" w14:textId="77777777" w:rsidR="00235E11" w:rsidRDefault="00F837E4">
            <w:pPr>
              <w:pStyle w:val="P68B1DB1-Normal9"/>
              <w:spacing w:line="240" w:lineRule="auto"/>
              <w:rPr>
                <w:rFonts w:eastAsia="Times New Roman"/>
                <w:noProof/>
              </w:rPr>
            </w:pPr>
            <w:r>
              <w:rPr>
                <w:noProof/>
              </w:rPr>
              <w:t>3 622</w:t>
            </w:r>
          </w:p>
        </w:tc>
        <w:tc>
          <w:tcPr>
            <w:tcW w:w="567" w:type="dxa"/>
            <w:shd w:val="clear" w:color="auto" w:fill="C6EFCE"/>
            <w:vAlign w:val="center"/>
          </w:tcPr>
          <w:p w14:paraId="188E9126" w14:textId="77777777" w:rsidR="00235E11" w:rsidRDefault="00F837E4">
            <w:pPr>
              <w:pStyle w:val="P68B1DB1-Normal10"/>
              <w:spacing w:line="240" w:lineRule="auto"/>
              <w:rPr>
                <w:noProof/>
              </w:rPr>
            </w:pPr>
            <w:r>
              <w:rPr>
                <w:noProof/>
              </w:rPr>
              <w:t>Т4 Г.</w:t>
            </w:r>
          </w:p>
        </w:tc>
        <w:tc>
          <w:tcPr>
            <w:tcW w:w="709" w:type="dxa"/>
            <w:shd w:val="clear" w:color="auto" w:fill="C6EFCE"/>
            <w:vAlign w:val="center"/>
          </w:tcPr>
          <w:p w14:paraId="3063168D" w14:textId="77777777" w:rsidR="00235E11" w:rsidRDefault="00F837E4">
            <w:pPr>
              <w:pStyle w:val="P68B1DB1-Normal10"/>
              <w:spacing w:line="240" w:lineRule="auto"/>
              <w:rPr>
                <w:noProof/>
              </w:rPr>
            </w:pPr>
            <w:r>
              <w:rPr>
                <w:noProof/>
              </w:rPr>
              <w:t>2025</w:t>
            </w:r>
          </w:p>
        </w:tc>
        <w:tc>
          <w:tcPr>
            <w:tcW w:w="5527" w:type="dxa"/>
            <w:shd w:val="clear" w:color="auto" w:fill="C6EFCE"/>
            <w:vAlign w:val="center"/>
          </w:tcPr>
          <w:p w14:paraId="6464FE74" w14:textId="17A476EB" w:rsidR="00235E11" w:rsidRDefault="00F837E4">
            <w:pPr>
              <w:spacing w:line="240" w:lineRule="auto"/>
              <w:rPr>
                <w:rFonts w:ascii="Times New Roman" w:eastAsia="Times New Roman" w:hAnsi="Times New Roman" w:cs="Times New Roman"/>
                <w:noProof/>
                <w:color w:val="006100"/>
              </w:rPr>
            </w:pPr>
            <w:r>
              <w:rPr>
                <w:rFonts w:ascii="Times New Roman" w:hAnsi="Times New Roman" w:cs="Times New Roman"/>
                <w:noProof/>
                <w:color w:val="006100"/>
              </w:rPr>
              <w:t>Бяха завършени 50-те избрани проекта за инсталиране на светодиодни светлини, слънчеви панели и зарядни точки във федералните сгради, включително най-малко 224 kW светодиодни светлини, 3 300 Mwp слънчеви панели и 98 зарядни точки.</w:t>
            </w:r>
            <w:r>
              <w:rPr>
                <w:noProof/>
              </w:rPr>
              <w:t xml:space="preserve"> </w:t>
            </w:r>
            <w:r>
              <w:rPr>
                <w:rFonts w:ascii="Times New Roman" w:eastAsia="Times New Roman" w:hAnsi="Times New Roman" w:cs="Times New Roman"/>
                <w:noProof/>
                <w:color w:val="006100"/>
              </w:rPr>
              <w:t>Целта на инфраструктурата за зареждане е в съответствие с Директива (ЕС) 2023/2413 за изменение на Директива (ЕС) 2018/2001 за енергията от възобновяеми източници.</w:t>
            </w:r>
          </w:p>
        </w:tc>
      </w:tr>
      <w:tr w:rsidR="00235E11" w14:paraId="5FBD66EF" w14:textId="77777777">
        <w:tc>
          <w:tcPr>
            <w:tcW w:w="709" w:type="dxa"/>
            <w:shd w:val="clear" w:color="auto" w:fill="C6EFCE"/>
            <w:vAlign w:val="center"/>
          </w:tcPr>
          <w:p w14:paraId="5BBAB290" w14:textId="77777777" w:rsidR="00235E11" w:rsidRDefault="00F837E4">
            <w:pPr>
              <w:pStyle w:val="P68B1DB1-Normal9"/>
              <w:spacing w:line="240" w:lineRule="auto"/>
              <w:rPr>
                <w:noProof/>
              </w:rPr>
            </w:pPr>
            <w:r>
              <w:rPr>
                <w:noProof/>
              </w:rPr>
              <w:t>217</w:t>
            </w:r>
          </w:p>
        </w:tc>
        <w:tc>
          <w:tcPr>
            <w:tcW w:w="1560" w:type="dxa"/>
            <w:shd w:val="clear" w:color="auto" w:fill="C6EFCE"/>
            <w:vAlign w:val="center"/>
          </w:tcPr>
          <w:p w14:paraId="24612784" w14:textId="3ED5355A" w:rsidR="00235E11" w:rsidRDefault="00F837E4">
            <w:pPr>
              <w:pStyle w:val="P68B1DB1-Normal10"/>
              <w:spacing w:line="240" w:lineRule="auto"/>
              <w:rPr>
                <w:noProof/>
              </w:rPr>
            </w:pPr>
            <w:r>
              <w:rPr>
                <w:noProof/>
              </w:rPr>
              <w:t>Енергийни мерки за сгради с повишена проходимост (I-7.10)</w:t>
            </w:r>
          </w:p>
        </w:tc>
        <w:tc>
          <w:tcPr>
            <w:tcW w:w="703" w:type="dxa"/>
            <w:shd w:val="clear" w:color="auto" w:fill="C6EFCE"/>
            <w:vAlign w:val="center"/>
          </w:tcPr>
          <w:p w14:paraId="3E35A754" w14:textId="77777777" w:rsidR="00235E11" w:rsidRDefault="00F837E4">
            <w:pPr>
              <w:pStyle w:val="P68B1DB1-Normal10"/>
              <w:spacing w:line="240" w:lineRule="auto"/>
              <w:jc w:val="center"/>
              <w:rPr>
                <w:noProof/>
              </w:rPr>
            </w:pPr>
            <w:r>
              <w:rPr>
                <w:noProof/>
              </w:rPr>
              <w:t>T</w:t>
            </w:r>
          </w:p>
        </w:tc>
        <w:tc>
          <w:tcPr>
            <w:tcW w:w="1281" w:type="dxa"/>
            <w:shd w:val="clear" w:color="auto" w:fill="C6EFCE"/>
            <w:vAlign w:val="center"/>
          </w:tcPr>
          <w:p w14:paraId="2B611A15" w14:textId="77777777" w:rsidR="00235E11" w:rsidRDefault="00F837E4">
            <w:pPr>
              <w:pStyle w:val="P68B1DB1-Normal10"/>
              <w:spacing w:line="240" w:lineRule="auto"/>
              <w:rPr>
                <w:noProof/>
              </w:rPr>
            </w:pPr>
            <w:r>
              <w:rPr>
                <w:noProof/>
              </w:rPr>
              <w:t>Завършени проекти за енергийни мерки</w:t>
            </w:r>
          </w:p>
        </w:tc>
        <w:tc>
          <w:tcPr>
            <w:tcW w:w="1345" w:type="dxa"/>
            <w:shd w:val="clear" w:color="auto" w:fill="C6EFCE"/>
            <w:vAlign w:val="center"/>
          </w:tcPr>
          <w:p w14:paraId="473265EE" w14:textId="77777777" w:rsidR="00235E11" w:rsidRDefault="00235E11">
            <w:pPr>
              <w:spacing w:line="240" w:lineRule="auto"/>
              <w:rPr>
                <w:rFonts w:ascii="Times New Roman" w:eastAsia="Times New Roman" w:hAnsi="Times New Roman" w:cs="Times New Roman"/>
                <w:noProof/>
                <w:color w:val="006100"/>
              </w:rPr>
            </w:pPr>
          </w:p>
        </w:tc>
        <w:tc>
          <w:tcPr>
            <w:tcW w:w="1207" w:type="dxa"/>
            <w:shd w:val="clear" w:color="auto" w:fill="C6EFCE"/>
            <w:vAlign w:val="center"/>
          </w:tcPr>
          <w:p w14:paraId="737D2E2E" w14:textId="77777777" w:rsidR="00235E11" w:rsidRDefault="00F837E4">
            <w:pPr>
              <w:pStyle w:val="P68B1DB1-Normal10"/>
              <w:spacing w:line="240" w:lineRule="auto"/>
              <w:rPr>
                <w:noProof/>
              </w:rPr>
            </w:pPr>
            <w:r>
              <w:rPr>
                <w:noProof/>
              </w:rPr>
              <w:t>Брой</w:t>
            </w:r>
          </w:p>
        </w:tc>
        <w:tc>
          <w:tcPr>
            <w:tcW w:w="992" w:type="dxa"/>
            <w:shd w:val="clear" w:color="auto" w:fill="C6EFCE"/>
            <w:vAlign w:val="center"/>
          </w:tcPr>
          <w:p w14:paraId="246188EF" w14:textId="77777777" w:rsidR="00235E11" w:rsidRDefault="00F837E4">
            <w:pPr>
              <w:pStyle w:val="P68B1DB1-Normal10"/>
              <w:spacing w:line="240" w:lineRule="auto"/>
              <w:rPr>
                <w:noProof/>
              </w:rPr>
            </w:pPr>
            <w:r>
              <w:rPr>
                <w:noProof/>
              </w:rPr>
              <w:t>0</w:t>
            </w:r>
          </w:p>
        </w:tc>
        <w:tc>
          <w:tcPr>
            <w:tcW w:w="992" w:type="dxa"/>
            <w:shd w:val="clear" w:color="auto" w:fill="C6EFCE"/>
            <w:vAlign w:val="center"/>
          </w:tcPr>
          <w:p w14:paraId="4CCEF3CB" w14:textId="13633DFA" w:rsidR="00235E11" w:rsidRDefault="00F837E4">
            <w:pPr>
              <w:pStyle w:val="P68B1DB1-Normal10"/>
              <w:spacing w:line="240" w:lineRule="auto"/>
              <w:rPr>
                <w:noProof/>
              </w:rPr>
            </w:pPr>
            <w:r>
              <w:rPr>
                <w:noProof/>
              </w:rPr>
              <w:t>4</w:t>
            </w:r>
          </w:p>
        </w:tc>
        <w:tc>
          <w:tcPr>
            <w:tcW w:w="567" w:type="dxa"/>
            <w:shd w:val="clear" w:color="auto" w:fill="C6EFCE"/>
            <w:vAlign w:val="center"/>
          </w:tcPr>
          <w:p w14:paraId="3A6B8AB6" w14:textId="77777777" w:rsidR="00235E11" w:rsidRDefault="00F837E4">
            <w:pPr>
              <w:pStyle w:val="P68B1DB1-Normal10"/>
              <w:spacing w:line="240" w:lineRule="auto"/>
              <w:rPr>
                <w:noProof/>
              </w:rPr>
            </w:pPr>
            <w:r>
              <w:rPr>
                <w:noProof/>
              </w:rPr>
              <w:t>Т4 Г.</w:t>
            </w:r>
          </w:p>
        </w:tc>
        <w:tc>
          <w:tcPr>
            <w:tcW w:w="709" w:type="dxa"/>
            <w:shd w:val="clear" w:color="auto" w:fill="C6EFCE"/>
            <w:vAlign w:val="center"/>
          </w:tcPr>
          <w:p w14:paraId="4AB54B66" w14:textId="77777777" w:rsidR="00235E11" w:rsidRDefault="00F837E4">
            <w:pPr>
              <w:pStyle w:val="P68B1DB1-Normal10"/>
              <w:spacing w:line="240" w:lineRule="auto"/>
              <w:rPr>
                <w:noProof/>
              </w:rPr>
            </w:pPr>
            <w:r>
              <w:rPr>
                <w:noProof/>
              </w:rPr>
              <w:t>2025</w:t>
            </w:r>
          </w:p>
        </w:tc>
        <w:tc>
          <w:tcPr>
            <w:tcW w:w="5527" w:type="dxa"/>
            <w:shd w:val="clear" w:color="auto" w:fill="C6EFCE"/>
            <w:vAlign w:val="center"/>
          </w:tcPr>
          <w:p w14:paraId="154A5577" w14:textId="424D6136" w:rsidR="00235E11" w:rsidRDefault="00F837E4">
            <w:pPr>
              <w:pStyle w:val="P68B1DB1-Normal10"/>
              <w:spacing w:line="240" w:lineRule="auto"/>
              <w:rPr>
                <w:noProof/>
              </w:rPr>
            </w:pPr>
            <w:r>
              <w:rPr>
                <w:noProof/>
              </w:rPr>
              <w:t>Четири проекта за инсталиране в сгради AWV: завършени са термопомпи, изолация, слънчеви панели и светодиодни светлини, намалявайки средно поне 30 % от потреблението на първична енергия, както е определено в Препоръка (ЕС) 2019/786 на Комисията относно санирането на сгради.</w:t>
            </w:r>
          </w:p>
        </w:tc>
      </w:tr>
      <w:tr w:rsidR="00235E11" w14:paraId="75A07ADB" w14:textId="77777777">
        <w:tc>
          <w:tcPr>
            <w:tcW w:w="709" w:type="dxa"/>
            <w:shd w:val="clear" w:color="auto" w:fill="C6EFCE"/>
            <w:vAlign w:val="center"/>
          </w:tcPr>
          <w:p w14:paraId="0022BB37" w14:textId="77777777" w:rsidR="00235E11" w:rsidRDefault="00F837E4">
            <w:pPr>
              <w:pStyle w:val="P68B1DB1-Normal9"/>
              <w:spacing w:line="240" w:lineRule="auto"/>
              <w:rPr>
                <w:noProof/>
              </w:rPr>
            </w:pPr>
            <w:r>
              <w:rPr>
                <w:noProof/>
              </w:rPr>
              <w:t>218</w:t>
            </w:r>
          </w:p>
        </w:tc>
        <w:tc>
          <w:tcPr>
            <w:tcW w:w="1560" w:type="dxa"/>
            <w:shd w:val="clear" w:color="auto" w:fill="C6EFCE"/>
            <w:vAlign w:val="center"/>
          </w:tcPr>
          <w:p w14:paraId="4F74DF08" w14:textId="146C80E9" w:rsidR="00235E11" w:rsidRDefault="00F837E4">
            <w:pPr>
              <w:pStyle w:val="P68B1DB1-Normal10"/>
              <w:spacing w:line="240" w:lineRule="auto"/>
              <w:rPr>
                <w:noProof/>
              </w:rPr>
            </w:pPr>
            <w:r>
              <w:rPr>
                <w:noProof/>
              </w:rPr>
              <w:t>Икономия на енергия в обществените сгради — VLA (I-7)</w:t>
            </w:r>
          </w:p>
        </w:tc>
        <w:tc>
          <w:tcPr>
            <w:tcW w:w="703" w:type="dxa"/>
            <w:shd w:val="clear" w:color="auto" w:fill="C6EFCE"/>
            <w:vAlign w:val="center"/>
          </w:tcPr>
          <w:p w14:paraId="519D1CA2" w14:textId="77777777" w:rsidR="00235E11" w:rsidRDefault="00F837E4">
            <w:pPr>
              <w:pStyle w:val="P68B1DB1-Normal10"/>
              <w:spacing w:after="0" w:line="240" w:lineRule="auto"/>
              <w:jc w:val="center"/>
              <w:rPr>
                <w:noProof/>
              </w:rPr>
            </w:pPr>
            <w:r>
              <w:rPr>
                <w:noProof/>
              </w:rPr>
              <w:t>T</w:t>
            </w:r>
          </w:p>
        </w:tc>
        <w:tc>
          <w:tcPr>
            <w:tcW w:w="1281" w:type="dxa"/>
            <w:shd w:val="clear" w:color="auto" w:fill="C6EFCE"/>
            <w:vAlign w:val="center"/>
          </w:tcPr>
          <w:p w14:paraId="13605C34" w14:textId="77777777" w:rsidR="00235E11" w:rsidRDefault="00F837E4">
            <w:pPr>
              <w:pStyle w:val="P68B1DB1-Normal10"/>
              <w:spacing w:line="240" w:lineRule="auto"/>
              <w:rPr>
                <w:noProof/>
              </w:rPr>
            </w:pPr>
            <w:r>
              <w:rPr>
                <w:noProof/>
              </w:rPr>
              <w:t>Енергийно ефективно саниране на обществени сгради</w:t>
            </w:r>
          </w:p>
        </w:tc>
        <w:tc>
          <w:tcPr>
            <w:tcW w:w="1345" w:type="dxa"/>
            <w:shd w:val="clear" w:color="auto" w:fill="C6EFCE"/>
            <w:vAlign w:val="center"/>
          </w:tcPr>
          <w:p w14:paraId="72BDF933" w14:textId="77777777" w:rsidR="00235E11" w:rsidRDefault="00235E11">
            <w:pPr>
              <w:spacing w:line="240" w:lineRule="auto"/>
              <w:rPr>
                <w:rFonts w:ascii="Times New Roman" w:eastAsia="Times New Roman" w:hAnsi="Times New Roman" w:cs="Times New Roman"/>
                <w:noProof/>
                <w:color w:val="006100"/>
              </w:rPr>
            </w:pPr>
          </w:p>
        </w:tc>
        <w:tc>
          <w:tcPr>
            <w:tcW w:w="1207" w:type="dxa"/>
            <w:shd w:val="clear" w:color="auto" w:fill="C6EFCE"/>
            <w:vAlign w:val="center"/>
          </w:tcPr>
          <w:p w14:paraId="7D0E1036" w14:textId="1720116A" w:rsidR="00235E11" w:rsidRDefault="00F837E4">
            <w:pPr>
              <w:pStyle w:val="P68B1DB1-Normal10"/>
              <w:spacing w:line="240" w:lineRule="auto"/>
              <w:rPr>
                <w:noProof/>
              </w:rPr>
            </w:pPr>
            <w:r>
              <w:rPr>
                <w:noProof/>
              </w:rPr>
              <w:t>Брой</w:t>
            </w:r>
          </w:p>
        </w:tc>
        <w:tc>
          <w:tcPr>
            <w:tcW w:w="992" w:type="dxa"/>
            <w:shd w:val="clear" w:color="auto" w:fill="C6EFCE"/>
            <w:vAlign w:val="center"/>
          </w:tcPr>
          <w:p w14:paraId="1F90DD08" w14:textId="77777777" w:rsidR="00235E11" w:rsidRDefault="00F837E4">
            <w:pPr>
              <w:pStyle w:val="P68B1DB1-Normal10"/>
              <w:spacing w:line="240" w:lineRule="auto"/>
              <w:rPr>
                <w:noProof/>
              </w:rPr>
            </w:pPr>
            <w:r>
              <w:rPr>
                <w:noProof/>
              </w:rPr>
              <w:t>0</w:t>
            </w:r>
          </w:p>
        </w:tc>
        <w:tc>
          <w:tcPr>
            <w:tcW w:w="992" w:type="dxa"/>
            <w:shd w:val="clear" w:color="auto" w:fill="C6EFCE"/>
            <w:vAlign w:val="center"/>
          </w:tcPr>
          <w:p w14:paraId="137C47A9" w14:textId="4448DE08" w:rsidR="00235E11" w:rsidRDefault="00F837E4">
            <w:pPr>
              <w:pStyle w:val="P68B1DB1-Normal10"/>
              <w:spacing w:line="240" w:lineRule="auto"/>
              <w:rPr>
                <w:noProof/>
              </w:rPr>
            </w:pPr>
            <w:r>
              <w:rPr>
                <w:noProof/>
              </w:rPr>
              <w:t>555</w:t>
            </w:r>
          </w:p>
        </w:tc>
        <w:tc>
          <w:tcPr>
            <w:tcW w:w="567" w:type="dxa"/>
            <w:shd w:val="clear" w:color="auto" w:fill="C6EFCE"/>
            <w:vAlign w:val="center"/>
          </w:tcPr>
          <w:p w14:paraId="21D5EA60" w14:textId="77777777" w:rsidR="00235E11" w:rsidRDefault="00F837E4">
            <w:pPr>
              <w:pStyle w:val="P68B1DB1-Normal10"/>
              <w:spacing w:line="240" w:lineRule="auto"/>
              <w:rPr>
                <w:noProof/>
              </w:rPr>
            </w:pPr>
            <w:r>
              <w:rPr>
                <w:noProof/>
              </w:rPr>
              <w:t>Т2 Г.</w:t>
            </w:r>
          </w:p>
        </w:tc>
        <w:tc>
          <w:tcPr>
            <w:tcW w:w="709" w:type="dxa"/>
            <w:shd w:val="clear" w:color="auto" w:fill="C6EFCE"/>
            <w:vAlign w:val="center"/>
          </w:tcPr>
          <w:p w14:paraId="268D1F65" w14:textId="77777777" w:rsidR="00235E11" w:rsidRDefault="00F837E4">
            <w:pPr>
              <w:pStyle w:val="P68B1DB1-Normal10"/>
              <w:spacing w:line="240" w:lineRule="auto"/>
              <w:rPr>
                <w:noProof/>
              </w:rPr>
            </w:pPr>
            <w:r>
              <w:rPr>
                <w:noProof/>
              </w:rPr>
              <w:t>2026</w:t>
            </w:r>
          </w:p>
        </w:tc>
        <w:tc>
          <w:tcPr>
            <w:tcW w:w="5527" w:type="dxa"/>
            <w:shd w:val="clear" w:color="auto" w:fill="C6EFCE"/>
            <w:vAlign w:val="center"/>
          </w:tcPr>
          <w:p w14:paraId="0EFA3A37" w14:textId="2934A345" w:rsidR="00235E11" w:rsidRDefault="00F837E4">
            <w:pPr>
              <w:pStyle w:val="P68B1DB1-Normal10"/>
              <w:spacing w:line="240" w:lineRule="auto"/>
              <w:rPr>
                <w:noProof/>
              </w:rPr>
            </w:pPr>
            <w:r>
              <w:rPr>
                <w:noProof/>
              </w:rPr>
              <w:t>Обновени са четири обществени сгради: (1) Martelaarsplein 7, Martelaarsplein 19 и Kreupelenstraat 2, Brussel, (2) Winston Churchillkaai 2, Oostende, (3) justitiehuis, Ieper, (4) Koolstraat 35, Brussel (I-7.06), намалявайки средно поне 30 % от потреблението на първична енергия, както е определено в Препоръка (ЕС) 2019/786 на Комисията относно санирането на сгради. Намаляването на потреблението на първична енергия със средно 30 % ще бъде доказано с предварителни и последващи сертификати за енергийни характеристики (СЕХ) за всяка от тези сгради. В съответствие с приложение I към ДЕХС (Директива 2010/31/ЕС) предварителните и последващите СЕХ могат да се основават на изчисленото потребление на енергия съгласно съответната (национална) методика за енергийните характеристики.</w:t>
            </w:r>
          </w:p>
          <w:p w14:paraId="3097FF43" w14:textId="00294211" w:rsidR="00235E11" w:rsidRDefault="00F837E4">
            <w:pPr>
              <w:pStyle w:val="P68B1DB1-Normal9"/>
              <w:spacing w:line="240" w:lineRule="auto"/>
              <w:rPr>
                <w:rFonts w:eastAsia="Times New Roman"/>
                <w:noProof/>
              </w:rPr>
            </w:pPr>
            <w:r>
              <w:rPr>
                <w:noProof/>
              </w:rPr>
              <w:t>Най-малко 100 обществени училищни сгради са оборудвани с най-малко 100 000 кумулативни m² слънчеви панели (I-7.07).</w:t>
            </w:r>
          </w:p>
          <w:p w14:paraId="49B788B6" w14:textId="2739D2C9" w:rsidR="00235E11" w:rsidRDefault="00F837E4">
            <w:pPr>
              <w:pStyle w:val="P68B1DB1-Normal10"/>
              <w:spacing w:line="240" w:lineRule="auto"/>
              <w:rPr>
                <w:noProof/>
              </w:rPr>
            </w:pPr>
            <w:r>
              <w:rPr>
                <w:noProof/>
              </w:rPr>
              <w:t>Най-малко 400 сгради за полагане на грижи са преминали енергиен одит. Най-малко 50 сгради за полагане на грижи са завършили енергийните мерки, за които са получени безвъзмездни средства (I-7.08).</w:t>
            </w:r>
          </w:p>
          <w:p w14:paraId="5228786B" w14:textId="3E387D51" w:rsidR="00235E11" w:rsidRDefault="00F837E4">
            <w:pPr>
              <w:pStyle w:val="P68B1DB1-Normal10"/>
              <w:spacing w:line="240" w:lineRule="auto"/>
              <w:rPr>
                <w:noProof/>
              </w:rPr>
            </w:pPr>
            <w:r>
              <w:rPr>
                <w:noProof/>
              </w:rPr>
              <w:t>Сградата VRT е оборудвана с термопомпи и слънчеви панели, както и със светодиодни светлини, изолация на покрива и интелигентно наблюдение на енергията (I-7.09).</w:t>
            </w:r>
          </w:p>
        </w:tc>
      </w:tr>
    </w:tbl>
    <w:p w14:paraId="28962988" w14:textId="77777777" w:rsidR="00235E11" w:rsidRDefault="00235E11">
      <w:pPr>
        <w:pStyle w:val="TitreComposante"/>
        <w:rPr>
          <w:noProof/>
        </w:rPr>
        <w:sectPr w:rsidR="00235E11" w:rsidSect="007F56C3">
          <w:headerReference w:type="even" r:id="rId252"/>
          <w:headerReference w:type="default" r:id="rId253"/>
          <w:footerReference w:type="even" r:id="rId254"/>
          <w:footerReference w:type="default" r:id="rId255"/>
          <w:headerReference w:type="first" r:id="rId256"/>
          <w:footerReference w:type="first" r:id="rId257"/>
          <w:pgSz w:w="16838" w:h="11906" w:orient="landscape"/>
          <w:pgMar w:top="1417" w:right="1417" w:bottom="1417" w:left="1417" w:header="708" w:footer="708" w:gutter="0"/>
          <w:cols w:space="708"/>
          <w:docGrid w:linePitch="360"/>
        </w:sectPr>
      </w:pPr>
    </w:p>
    <w:p w14:paraId="23C4178E" w14:textId="23B708C2" w:rsidR="00235E11" w:rsidRDefault="00617E7D">
      <w:pPr>
        <w:pStyle w:val="ManualHeading1"/>
        <w:spacing w:before="120"/>
        <w:ind w:left="0" w:hanging="130"/>
        <w:rPr>
          <w:noProof/>
        </w:rPr>
      </w:pPr>
      <w:r>
        <w:rPr>
          <w:noProof/>
          <w:lang w:val="bg-BG"/>
        </w:rPr>
        <w:t>Т</w:t>
      </w:r>
      <w:r w:rsidR="00F837E4">
        <w:rPr>
          <w:caps/>
          <w:smallCaps w:val="0"/>
          <w:noProof/>
        </w:rPr>
        <w:t>. КОМПОНЕНТ</w:t>
      </w:r>
      <w:r w:rsidR="00F837E4">
        <w:rPr>
          <w:noProof/>
        </w:rPr>
        <w:t xml:space="preserve"> 7.2: Нови енергийни технологии</w:t>
      </w:r>
    </w:p>
    <w:p w14:paraId="34C87190" w14:textId="7374B075" w:rsidR="00235E11" w:rsidRDefault="00F837E4">
      <w:pPr>
        <w:pStyle w:val="NormalLeft"/>
        <w:jc w:val="both"/>
        <w:rPr>
          <w:noProof/>
        </w:rPr>
      </w:pPr>
      <w:r>
        <w:rPr>
          <w:noProof/>
        </w:rPr>
        <w:t>Този компонент на белгийския план за възстановяване и устойчивост има за цел да даде силен тласък на технологичното развитие в подкрепа на енергийния преход и намаляване на емисиите</w:t>
      </w:r>
      <w:r w:rsidR="00617E7D">
        <w:rPr>
          <w:noProof/>
          <w:lang w:val="bg-BG"/>
        </w:rPr>
        <w:t xml:space="preserve"> </w:t>
      </w:r>
      <w:r w:rsidRPr="00617E7D">
        <w:rPr>
          <w:noProof/>
        </w:rPr>
        <w:t>на</w:t>
      </w:r>
      <w:r>
        <w:rPr>
          <w:noProof/>
        </w:rPr>
        <w:t xml:space="preserve"> CO2, с акцент върху системната интеграция и декарбонизацията на промишлеността.</w:t>
      </w:r>
    </w:p>
    <w:p w14:paraId="08B96607" w14:textId="77777777" w:rsidR="00235E11" w:rsidRDefault="00F837E4">
      <w:pPr>
        <w:pStyle w:val="NormalLeft"/>
        <w:jc w:val="both"/>
        <w:rPr>
          <w:noProof/>
        </w:rPr>
      </w:pPr>
      <w:bookmarkStart w:id="3" w:name="_Hlk142416993"/>
      <w:r>
        <w:rPr>
          <w:noProof/>
        </w:rPr>
        <w:t>Компонентът допринася за изпълнението на специфични за всяка държава препоръки 2022.4 и 2023.4, като призовава Белгия да намали цялостната зависимост от изкопаеми горива</w:t>
      </w:r>
      <w:bookmarkEnd w:id="3"/>
      <w:r>
        <w:rPr>
          <w:noProof/>
        </w:rPr>
        <w:t xml:space="preserve">, </w:t>
      </w:r>
      <w:r>
        <w:rPr>
          <w:i/>
          <w:noProof/>
        </w:rPr>
        <w:t>наред с другото</w:t>
      </w:r>
      <w:r>
        <w:rPr>
          <w:noProof/>
        </w:rPr>
        <w:t>, чрез допълнително стимулиране на декарбонизацията на промишлеността и да увеличи усилията на политиката, насочени към придобиването на умения и компетентности за екологичния преход.</w:t>
      </w:r>
    </w:p>
    <w:p w14:paraId="4B8BBD4F" w14:textId="77777777" w:rsidR="00235E11" w:rsidRDefault="00F837E4">
      <w:pPr>
        <w:pStyle w:val="NormalLeft"/>
        <w:jc w:val="both"/>
        <w:rPr>
          <w:noProof/>
        </w:rPr>
      </w:pPr>
      <w:bookmarkStart w:id="4" w:name="_Hlk142416148"/>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bookmarkEnd w:id="4"/>
    </w:p>
    <w:p w14:paraId="4AEA6454" w14:textId="5261227B" w:rsidR="00235E11" w:rsidRDefault="00617E7D">
      <w:pPr>
        <w:pStyle w:val="P68B1DB1-Jalonsetcibles35"/>
        <w:spacing w:after="120" w:line="240" w:lineRule="auto"/>
        <w:rPr>
          <w:noProof/>
        </w:rPr>
      </w:pPr>
      <w:bookmarkStart w:id="5" w:name="_Hlk142330835"/>
      <w:r>
        <w:rPr>
          <w:noProof/>
          <w:lang w:val="bg-BG"/>
        </w:rPr>
        <w:t>Т</w:t>
      </w:r>
      <w:r w:rsidR="00F837E4">
        <w:rPr>
          <w:noProof/>
        </w:rPr>
        <w:t>.1. Описание на реформите и инвестициите за безвъзмездна финансова подкрепа</w:t>
      </w:r>
    </w:p>
    <w:bookmarkEnd w:id="5"/>
    <w:p w14:paraId="1D17C22F" w14:textId="08AFD177" w:rsidR="00235E11" w:rsidRDefault="00F837E4">
      <w:pPr>
        <w:pStyle w:val="P68B1DB1-Jalonsetcibles31"/>
        <w:spacing w:before="120" w:after="120" w:line="240" w:lineRule="auto"/>
        <w:rPr>
          <w:noProof/>
          <w:color w:val="000000" w:themeColor="text1"/>
        </w:rPr>
      </w:pPr>
      <w:r>
        <w:rPr>
          <w:noProof/>
        </w:rPr>
        <w:t>Инвестиция I-7.11: „Изследователска платформа за енергиен преход“ на Френската общност</w:t>
      </w:r>
    </w:p>
    <w:p w14:paraId="33814C7B" w14:textId="77777777" w:rsidR="00235E11" w:rsidRDefault="00F837E4">
      <w:pPr>
        <w:pStyle w:val="P68B1DB1-Jalonsetcibles32"/>
        <w:spacing w:before="120" w:after="120" w:line="240" w:lineRule="auto"/>
        <w:jc w:val="both"/>
        <w:rPr>
          <w:noProof/>
        </w:rPr>
      </w:pPr>
      <w:r>
        <w:rPr>
          <w:noProof/>
        </w:rPr>
        <w:t>Тази мярка се състои от инвестиции в редица съоръжения и оборудване за НИРД в полза на френскоговорящите университети. Технологиите, към които е насочена тази мярка, са свързани с една или повече от следните области: производство на енергия от възобновяеми източници и с ниски въглеродни емисии; производство, преобразуване и съхранение на енергия; Улавяне и валоризация на CO2; рационално използване на енергията в сградите и мобилността; експлоатация на електроенергийната мрежа. Изпълнението на мярката трябва да приключи до 31 декември 2025 г.</w:t>
      </w:r>
    </w:p>
    <w:p w14:paraId="025FE87F" w14:textId="5C0385BD" w:rsidR="00235E11" w:rsidRDefault="00F837E4">
      <w:pPr>
        <w:pStyle w:val="P68B1DB1-Jalonsetcibles31"/>
        <w:spacing w:before="120" w:after="120" w:line="240" w:lineRule="auto"/>
        <w:rPr>
          <w:noProof/>
        </w:rPr>
      </w:pPr>
      <w:r>
        <w:rPr>
          <w:noProof/>
        </w:rPr>
        <w:t>Инвестиция I-7.12: „Инфраструктура за внос на енергия“ на федералната държава</w:t>
      </w:r>
    </w:p>
    <w:p w14:paraId="34671380" w14:textId="77777777" w:rsidR="00235E11" w:rsidRDefault="00F837E4">
      <w:pPr>
        <w:pStyle w:val="P68B1DB1-Normal16"/>
        <w:widowControl w:val="0"/>
        <w:spacing w:before="120" w:after="120" w:line="240" w:lineRule="auto"/>
        <w:jc w:val="both"/>
        <w:rPr>
          <w:noProof/>
          <w:color w:val="000000" w:themeColor="text1"/>
        </w:rPr>
      </w:pPr>
      <w:r>
        <w:rPr>
          <w:noProof/>
        </w:rPr>
        <w:t xml:space="preserve">Тази мярка се състои в подкрепа на демонстрационни или научноизследователски и развойни проекти с цел оптимизиране на инфраструктурата за внос на водород или електроенергия. </w:t>
      </w:r>
      <w:r>
        <w:rPr>
          <w:noProof/>
          <w:color w:val="000000" w:themeColor="text1"/>
        </w:rPr>
        <w:t>Организират се две покани за представяне на проекти:</w:t>
      </w:r>
      <w:r>
        <w:rPr>
          <w:noProof/>
        </w:rPr>
        <w:t xml:space="preserve"> </w:t>
      </w:r>
      <w:r>
        <w:rPr>
          <w:noProof/>
          <w:color w:val="000000" w:themeColor="text1"/>
        </w:rPr>
        <w:t xml:space="preserve">I) покана за представяне на проекти в подкрепа на научните изследвания, развойната дейност и демонстрацията на технологии и инфраструктури, които могат да допринесат за вноса на водород в Белгия, и ii) покана за представяне на проекти за подпомагане, чрез отпускане на безвъзмездни средства, на научноизследователска и развойна дейност и демонстрация на технологии и инфраструктури за внос на електроенергия или водород в Белгия. </w:t>
      </w:r>
      <w:r>
        <w:rPr>
          <w:noProof/>
        </w:rPr>
        <w:t>Изпълнението на</w:t>
      </w:r>
      <w:r>
        <w:rPr>
          <w:noProof/>
          <w:color w:val="000000" w:themeColor="text1"/>
        </w:rPr>
        <w:t xml:space="preserve"> </w:t>
      </w:r>
      <w:r>
        <w:rPr>
          <w:noProof/>
        </w:rPr>
        <w:t>мярката трябва да приключи до 30 юни 2026 г.</w:t>
      </w:r>
    </w:p>
    <w:p w14:paraId="7163D44A" w14:textId="0E2E96C1" w:rsidR="00235E11" w:rsidRDefault="00F837E4">
      <w:pPr>
        <w:pStyle w:val="P68B1DB1-Jalonsetcibles31"/>
        <w:spacing w:before="120" w:after="120" w:line="240" w:lineRule="auto"/>
        <w:rPr>
          <w:noProof/>
        </w:rPr>
      </w:pPr>
      <w:r>
        <w:rPr>
          <w:noProof/>
        </w:rPr>
        <w:t>Инвестиция I-7.13: „Призив за декарбонизация на промишлеността“ на Валонския регион</w:t>
      </w:r>
    </w:p>
    <w:p w14:paraId="1DD413F8" w14:textId="0736E81D" w:rsidR="00235E11" w:rsidRDefault="00F837E4">
      <w:pPr>
        <w:pStyle w:val="Jalonsetcibles"/>
        <w:spacing w:before="120" w:after="120" w:line="240" w:lineRule="auto"/>
        <w:jc w:val="both"/>
        <w:rPr>
          <w:rFonts w:eastAsia="Times New Roman"/>
          <w:b w:val="0"/>
          <w:noProof/>
          <w:color w:val="auto"/>
          <w:sz w:val="24"/>
        </w:rPr>
      </w:pPr>
      <w:r>
        <w:rPr>
          <w:rFonts w:eastAsia="Times New Roman"/>
          <w:b w:val="0"/>
          <w:noProof/>
          <w:color w:val="auto"/>
          <w:sz w:val="24"/>
        </w:rPr>
        <w:t>Тази мярка се състои в предоставяне на финансови стимули за инвестиции в енергетиката във Валонската промишленост и за развитието на нови промишлени отрасли в областта на зелените технологии. Тези инвестиции обхващат проекти за енергийна ефективност, като например управлението на промишлена топлина, улавянето и съхранението на въглерод (УСВ), при които уловеният CO</w:t>
      </w:r>
      <w:r>
        <w:rPr>
          <w:rFonts w:eastAsia="Times New Roman"/>
          <w:b w:val="0"/>
          <w:noProof/>
          <w:color w:val="auto"/>
          <w:sz w:val="24"/>
          <w:vertAlign w:val="subscript"/>
        </w:rPr>
        <w:t>2</w:t>
      </w:r>
      <w:r>
        <w:rPr>
          <w:rFonts w:eastAsia="Times New Roman"/>
          <w:b w:val="0"/>
          <w:noProof/>
          <w:color w:val="auto"/>
          <w:sz w:val="24"/>
        </w:rPr>
        <w:t xml:space="preserve"> произтича от неизбежни технологични емисии, преминаването към други горива, производството на енергия от възобновяеми източници или създаването на нови промишлени елементи на веригата за създаване на стойност на технологиите, </w:t>
      </w:r>
      <w:r>
        <w:rPr>
          <w:rStyle w:val="cf01"/>
          <w:rFonts w:ascii="Times New Roman" w:hAnsi="Times New Roman" w:cs="Times New Roman"/>
          <w:noProof/>
          <w:color w:val="auto"/>
          <w:sz w:val="24"/>
        </w:rPr>
        <w:t>свързани с екологичния преход</w:t>
      </w:r>
      <w:r>
        <w:rPr>
          <w:rFonts w:eastAsia="Times New Roman"/>
          <w:b w:val="0"/>
          <w:noProof/>
          <w:color w:val="auto"/>
          <w:sz w:val="24"/>
        </w:rPr>
        <w:t>, като например веригата за създаване на стойност в сектора на батериите (при производството или при управлението на материали от критично значение) и веригата за създаване на стойност на водорода от възобновяеми източници или без изкопаеми горива.</w:t>
      </w:r>
    </w:p>
    <w:p w14:paraId="514EB096" w14:textId="08D4797A" w:rsidR="00235E11" w:rsidRDefault="00F837E4">
      <w:pPr>
        <w:pStyle w:val="P68B1DB1-Jalonsetcibles32"/>
        <w:spacing w:before="120" w:after="120" w:line="240" w:lineRule="auto"/>
        <w:jc w:val="both"/>
        <w:rPr>
          <w:noProof/>
        </w:rPr>
      </w:pPr>
      <w:r>
        <w:rPr>
          <w:noProof/>
        </w:rPr>
        <w:t>За да се гарантира, че мярката е в съответствие с принципа за ненанасяне на значителни вреди в рамките на Механизма за възстановяване и устойчивост, определен в техническите насоки за НЗВ (2021/C58/01), критериите за допустимост в предстоящата покана изключват дейностите по схемата на ЕС за търговия с емисии (СТЕ), с които се постигат прогнозни емисии на парникови газове, които не са по-ниски от съответните референтни показатели. Когато с дейността се постигат прогнозни емисии на парникови газове, които не са значително по-ниски, но все още по-ниски от съответните параметри, следва да се предостави обяснение на причините, поради които това не е възможно. Освен това мярката може също така да подпомага в обекти, регистрирани като инсталации по СТЕ, интервенции, които не засягат емисиите на инсталацията, обхваната от СТЕ, и следователно са действия, които не попадат в границите на инсталацията по СТЕ (вж. насоките за тълкуване на тези граници). Референтните показатели, установени за безплатното разпределяне на квоти за дейности, попадащи в обхвата на схемата за търговия с емисии, са определени в регламент за изпълнение (ЕС) 2021/447 на Комисията. Изпълнението на мярката трябва да приключи до 30 юни 2026 г.</w:t>
      </w:r>
    </w:p>
    <w:p w14:paraId="597A1958" w14:textId="2C5A1D97" w:rsidR="00235E11" w:rsidRDefault="00F837E4">
      <w:pPr>
        <w:pStyle w:val="P68B1DB1-Jalonsetcibles31"/>
        <w:spacing w:before="120" w:after="120" w:line="240" w:lineRule="auto"/>
        <w:rPr>
          <w:noProof/>
        </w:rPr>
      </w:pPr>
      <w:r>
        <w:rPr>
          <w:noProof/>
        </w:rPr>
        <w:t>Инвестиция I-7.14: „Призив за действия в областта на климата в селското стопанство“ на Фламандския регион</w:t>
      </w:r>
    </w:p>
    <w:p w14:paraId="3C2B300B" w14:textId="77777777" w:rsidR="00235E11" w:rsidRDefault="00F837E4">
      <w:pPr>
        <w:pStyle w:val="P68B1DB1-Jalonsetcibles36"/>
        <w:spacing w:before="120" w:after="120" w:line="240" w:lineRule="auto"/>
        <w:jc w:val="both"/>
        <w:rPr>
          <w:noProof/>
          <w:color w:val="auto"/>
        </w:rPr>
      </w:pPr>
      <w:r>
        <w:rPr>
          <w:noProof/>
          <w:color w:val="auto"/>
        </w:rPr>
        <w:t xml:space="preserve">Тази инвестиция се състои в подкрепа на </w:t>
      </w:r>
      <w:r>
        <w:rPr>
          <w:noProof/>
          <w:color w:val="000000" w:themeColor="text1"/>
        </w:rPr>
        <w:t xml:space="preserve">енергоспестяващи техники (като изолация, съхранение на топлинна енергия, оползотворяване на топлина, мониторинг на честотата на помпите и вентилаторите, предварително охлаждане), зелена топлина и енергия от възобновяеми източници (като слънчеви водоподгреватели, термопомпи, устойчиво и местно използване на биомаса), насочени към намаляване на емисиите на парникови газове в селскостопанския сектор. Мярката се изпълнява, като се използват същите условия като тези за мярка „3.23 — Продуктивни инвестиции на VLIF в земеделски стопанства“, включени във фламандския стратегически план в рамките на Общата селскостопанска политика. </w:t>
      </w:r>
      <w:r>
        <w:rPr>
          <w:noProof/>
          <w:color w:val="auto"/>
        </w:rPr>
        <w:t>Изпълнението на мярката трябва да приключи до 30 юни 2026 г.</w:t>
      </w:r>
    </w:p>
    <w:p w14:paraId="5FDEDF20" w14:textId="77777777" w:rsidR="00235E11" w:rsidRDefault="00235E11">
      <w:pPr>
        <w:pStyle w:val="Jalonsetcibles"/>
        <w:spacing w:before="120" w:after="120" w:line="240" w:lineRule="auto"/>
        <w:jc w:val="both"/>
        <w:rPr>
          <w:rFonts w:eastAsia="Times New Roman"/>
          <w:b w:val="0"/>
          <w:noProof/>
          <w:color w:val="auto"/>
          <w:sz w:val="24"/>
        </w:rPr>
      </w:pPr>
    </w:p>
    <w:p w14:paraId="0422B342" w14:textId="68B9DB4B" w:rsidR="00235E11" w:rsidRDefault="00617E7D">
      <w:pPr>
        <w:pStyle w:val="P68B1DB1-Jalonsetcibles37"/>
        <w:spacing w:before="120" w:after="120" w:line="240" w:lineRule="auto"/>
        <w:rPr>
          <w:noProof/>
        </w:rPr>
      </w:pPr>
      <w:r>
        <w:rPr>
          <w:noProof/>
          <w:lang w:val="bg-BG"/>
        </w:rPr>
        <w:t>Т</w:t>
      </w:r>
      <w:r w:rsidR="00F837E4">
        <w:rPr>
          <w:noProof/>
        </w:rPr>
        <w:t>.2 Етапни етапи, цели, показатели и график за мониторинг и изпълнение на безвъзмездната финансова подкрепа</w:t>
      </w:r>
    </w:p>
    <w:p w14:paraId="42439C48" w14:textId="77777777" w:rsidR="00235E11" w:rsidRDefault="00235E11">
      <w:pPr>
        <w:pStyle w:val="Text1"/>
        <w:ind w:left="0"/>
        <w:rPr>
          <w:noProof/>
        </w:rPr>
        <w:sectPr w:rsidR="00235E11" w:rsidSect="007F56C3">
          <w:headerReference w:type="even" r:id="rId258"/>
          <w:headerReference w:type="default" r:id="rId259"/>
          <w:footerReference w:type="even" r:id="rId260"/>
          <w:footerReference w:type="default" r:id="rId261"/>
          <w:headerReference w:type="first" r:id="rId262"/>
          <w:footerReference w:type="first" r:id="rId263"/>
          <w:pgSz w:w="11907" w:h="16839"/>
          <w:pgMar w:top="1134" w:right="1134" w:bottom="1134" w:left="1134" w:header="567" w:footer="567" w:gutter="0"/>
          <w:cols w:space="720"/>
          <w:docGrid w:linePitch="360"/>
        </w:sectPr>
      </w:pPr>
      <w:bookmarkStart w:id="6" w:name="_Hlk142327646"/>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52"/>
        <w:gridCol w:w="567"/>
        <w:gridCol w:w="1559"/>
        <w:gridCol w:w="1276"/>
        <w:gridCol w:w="992"/>
        <w:gridCol w:w="709"/>
        <w:gridCol w:w="708"/>
        <w:gridCol w:w="709"/>
        <w:gridCol w:w="709"/>
        <w:gridCol w:w="5103"/>
      </w:tblGrid>
      <w:tr w:rsidR="00235E11" w14:paraId="194D69AF" w14:textId="77777777">
        <w:trPr>
          <w:trHeight w:val="836"/>
          <w:tblHeader/>
        </w:trPr>
        <w:tc>
          <w:tcPr>
            <w:tcW w:w="670" w:type="dxa"/>
            <w:vMerge w:val="restart"/>
            <w:shd w:val="clear" w:color="auto" w:fill="BDD7EE"/>
            <w:vAlign w:val="center"/>
          </w:tcPr>
          <w:p w14:paraId="36CF3D90" w14:textId="77777777" w:rsidR="00235E11" w:rsidRDefault="00F837E4">
            <w:pPr>
              <w:pStyle w:val="P68B1DB1-Normal7"/>
              <w:spacing w:after="0" w:line="240" w:lineRule="auto"/>
              <w:jc w:val="center"/>
              <w:rPr>
                <w:noProof/>
                <w:color w:val="006100"/>
              </w:rPr>
            </w:pPr>
            <w:r>
              <w:rPr>
                <w:noProof/>
              </w:rPr>
              <w:t>Следващи Брой</w:t>
            </w:r>
          </w:p>
        </w:tc>
        <w:tc>
          <w:tcPr>
            <w:tcW w:w="1452" w:type="dxa"/>
            <w:vMerge w:val="restart"/>
            <w:shd w:val="clear" w:color="auto" w:fill="BDD7EE"/>
            <w:vAlign w:val="center"/>
          </w:tcPr>
          <w:p w14:paraId="47799B1F" w14:textId="77777777" w:rsidR="00235E11" w:rsidRDefault="00F837E4">
            <w:pPr>
              <w:pStyle w:val="P68B1DB1-Normal7"/>
              <w:spacing w:after="0" w:line="240" w:lineRule="auto"/>
              <w:jc w:val="center"/>
              <w:rPr>
                <w:noProof/>
                <w:color w:val="006100"/>
              </w:rPr>
            </w:pPr>
            <w:r>
              <w:rPr>
                <w:noProof/>
              </w:rPr>
              <w:t>Свързана мярка (реформа или инвестиции)</w:t>
            </w:r>
          </w:p>
        </w:tc>
        <w:tc>
          <w:tcPr>
            <w:tcW w:w="567" w:type="dxa"/>
            <w:vMerge w:val="restart"/>
            <w:shd w:val="clear" w:color="auto" w:fill="BDD7EE"/>
            <w:vAlign w:val="center"/>
          </w:tcPr>
          <w:p w14:paraId="1F40DDFD" w14:textId="77777777" w:rsidR="00235E11" w:rsidRDefault="00F837E4">
            <w:pPr>
              <w:pStyle w:val="P68B1DB1-Normal7"/>
              <w:spacing w:after="0" w:line="240" w:lineRule="auto"/>
              <w:jc w:val="center"/>
              <w:rPr>
                <w:noProof/>
                <w:color w:val="006100"/>
              </w:rPr>
            </w:pPr>
            <w:r>
              <w:rPr>
                <w:noProof/>
              </w:rPr>
              <w:t>M/T</w:t>
            </w:r>
          </w:p>
        </w:tc>
        <w:tc>
          <w:tcPr>
            <w:tcW w:w="1559" w:type="dxa"/>
            <w:vMerge w:val="restart"/>
            <w:shd w:val="clear" w:color="auto" w:fill="BDD7EE"/>
            <w:vAlign w:val="center"/>
          </w:tcPr>
          <w:p w14:paraId="1690F1B4" w14:textId="77777777" w:rsidR="00235E11" w:rsidRDefault="00F837E4">
            <w:pPr>
              <w:pStyle w:val="P68B1DB1-Normal7"/>
              <w:spacing w:after="0" w:line="240" w:lineRule="auto"/>
              <w:jc w:val="center"/>
              <w:rPr>
                <w:noProof/>
                <w:color w:val="006100"/>
              </w:rPr>
            </w:pPr>
            <w:r>
              <w:rPr>
                <w:noProof/>
              </w:rPr>
              <w:t>Име</w:t>
            </w:r>
          </w:p>
        </w:tc>
        <w:tc>
          <w:tcPr>
            <w:tcW w:w="1276" w:type="dxa"/>
            <w:vMerge w:val="restart"/>
            <w:shd w:val="clear" w:color="auto" w:fill="BDD7EE"/>
            <w:vAlign w:val="center"/>
          </w:tcPr>
          <w:p w14:paraId="5195421C" w14:textId="77777777" w:rsidR="00235E11" w:rsidRDefault="00F837E4">
            <w:pPr>
              <w:pStyle w:val="P68B1DB1-Normal8"/>
              <w:spacing w:after="0" w:line="240" w:lineRule="auto"/>
              <w:jc w:val="center"/>
              <w:rPr>
                <w:rFonts w:ascii="Times New Roman" w:hAnsi="Times New Roman" w:cs="Times New Roman"/>
                <w:noProof/>
                <w:color w:val="006100"/>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409" w:type="dxa"/>
            <w:gridSpan w:val="3"/>
            <w:shd w:val="clear" w:color="auto" w:fill="BDD7EE"/>
            <w:vAlign w:val="center"/>
          </w:tcPr>
          <w:p w14:paraId="6615FD18" w14:textId="77777777" w:rsidR="00235E11" w:rsidRDefault="00F837E4">
            <w:pPr>
              <w:pStyle w:val="P68B1DB1-Normal8"/>
              <w:spacing w:after="0" w:line="240" w:lineRule="auto"/>
              <w:jc w:val="center"/>
              <w:rPr>
                <w:rFonts w:ascii="Times New Roman" w:eastAsia="Times New Roman" w:hAnsi="Times New Roman" w:cs="Times New Roman"/>
                <w:noProof/>
                <w:color w:val="006100"/>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8" w:type="dxa"/>
            <w:gridSpan w:val="2"/>
            <w:shd w:val="clear" w:color="auto" w:fill="BDD7EE"/>
            <w:vAlign w:val="center"/>
          </w:tcPr>
          <w:p w14:paraId="749B6226" w14:textId="77777777" w:rsidR="00235E11" w:rsidRDefault="00F837E4">
            <w:pPr>
              <w:pStyle w:val="P68B1DB1-Normal7"/>
              <w:jc w:val="center"/>
              <w:rPr>
                <w:noProof/>
              </w:rPr>
            </w:pPr>
            <w:r>
              <w:rPr>
                <w:noProof/>
              </w:rPr>
              <w:t>Примерен график за приключване</w:t>
            </w:r>
          </w:p>
        </w:tc>
        <w:tc>
          <w:tcPr>
            <w:tcW w:w="5103" w:type="dxa"/>
            <w:vMerge w:val="restart"/>
            <w:shd w:val="clear" w:color="auto" w:fill="BDD7EE"/>
            <w:vAlign w:val="center"/>
          </w:tcPr>
          <w:p w14:paraId="0811433E" w14:textId="77777777" w:rsidR="00235E11" w:rsidRDefault="00F837E4">
            <w:pPr>
              <w:pStyle w:val="P68B1DB1-Normal7"/>
              <w:jc w:val="center"/>
              <w:rPr>
                <w:noProof/>
              </w:rPr>
            </w:pPr>
            <w:r>
              <w:rPr>
                <w:noProof/>
              </w:rPr>
              <w:t>Описание на всеки ключов етап и цел</w:t>
            </w:r>
          </w:p>
        </w:tc>
      </w:tr>
      <w:tr w:rsidR="00235E11" w14:paraId="1C0D673A" w14:textId="77777777">
        <w:trPr>
          <w:trHeight w:val="842"/>
        </w:trPr>
        <w:tc>
          <w:tcPr>
            <w:tcW w:w="670" w:type="dxa"/>
            <w:vMerge/>
            <w:vAlign w:val="center"/>
          </w:tcPr>
          <w:p w14:paraId="49DC0EFA" w14:textId="77777777" w:rsidR="00235E11" w:rsidRDefault="00235E11">
            <w:pPr>
              <w:rPr>
                <w:rFonts w:ascii="Times New Roman" w:hAnsi="Times New Roman" w:cs="Times New Roman"/>
                <w:noProof/>
              </w:rPr>
            </w:pPr>
          </w:p>
        </w:tc>
        <w:tc>
          <w:tcPr>
            <w:tcW w:w="1452" w:type="dxa"/>
            <w:vMerge/>
            <w:vAlign w:val="center"/>
          </w:tcPr>
          <w:p w14:paraId="1A3773B3" w14:textId="77777777" w:rsidR="00235E11" w:rsidRDefault="00235E11">
            <w:pPr>
              <w:rPr>
                <w:rFonts w:ascii="Times New Roman" w:hAnsi="Times New Roman" w:cs="Times New Roman"/>
                <w:noProof/>
              </w:rPr>
            </w:pPr>
          </w:p>
        </w:tc>
        <w:tc>
          <w:tcPr>
            <w:tcW w:w="567" w:type="dxa"/>
            <w:vMerge/>
            <w:vAlign w:val="center"/>
          </w:tcPr>
          <w:p w14:paraId="5C5E5C90" w14:textId="77777777" w:rsidR="00235E11" w:rsidRDefault="00235E11">
            <w:pPr>
              <w:rPr>
                <w:rFonts w:ascii="Times New Roman" w:hAnsi="Times New Roman" w:cs="Times New Roman"/>
                <w:noProof/>
              </w:rPr>
            </w:pPr>
          </w:p>
        </w:tc>
        <w:tc>
          <w:tcPr>
            <w:tcW w:w="1559" w:type="dxa"/>
            <w:vMerge/>
            <w:vAlign w:val="center"/>
          </w:tcPr>
          <w:p w14:paraId="2B11E58B" w14:textId="77777777" w:rsidR="00235E11" w:rsidRDefault="00235E11">
            <w:pPr>
              <w:rPr>
                <w:rFonts w:ascii="Times New Roman" w:hAnsi="Times New Roman" w:cs="Times New Roman"/>
                <w:noProof/>
              </w:rPr>
            </w:pPr>
          </w:p>
        </w:tc>
        <w:tc>
          <w:tcPr>
            <w:tcW w:w="1276" w:type="dxa"/>
            <w:vMerge/>
            <w:vAlign w:val="center"/>
          </w:tcPr>
          <w:p w14:paraId="689FC82E" w14:textId="77777777" w:rsidR="00235E11" w:rsidRDefault="00235E11">
            <w:pPr>
              <w:spacing w:after="0" w:line="240" w:lineRule="auto"/>
              <w:rPr>
                <w:rFonts w:ascii="Times New Roman" w:hAnsi="Times New Roman" w:cs="Times New Roman"/>
                <w:noProof/>
                <w:color w:val="006100"/>
              </w:rPr>
            </w:pPr>
          </w:p>
        </w:tc>
        <w:tc>
          <w:tcPr>
            <w:tcW w:w="992" w:type="dxa"/>
            <w:shd w:val="clear" w:color="auto" w:fill="BDD7EE"/>
            <w:vAlign w:val="center"/>
          </w:tcPr>
          <w:p w14:paraId="54CF7FE0" w14:textId="77777777" w:rsidR="00235E11" w:rsidRDefault="00F837E4">
            <w:pPr>
              <w:pStyle w:val="P68B1DB1-Normal7"/>
              <w:spacing w:after="0" w:line="240" w:lineRule="auto"/>
              <w:jc w:val="center"/>
              <w:rPr>
                <w:noProof/>
                <w:color w:val="006100"/>
              </w:rPr>
            </w:pPr>
            <w:r>
              <w:rPr>
                <w:noProof/>
              </w:rPr>
              <w:t>Единица мярка</w:t>
            </w:r>
          </w:p>
        </w:tc>
        <w:tc>
          <w:tcPr>
            <w:tcW w:w="709" w:type="dxa"/>
            <w:shd w:val="clear" w:color="auto" w:fill="BDD7EE"/>
            <w:vAlign w:val="center"/>
          </w:tcPr>
          <w:p w14:paraId="3769952F" w14:textId="77777777" w:rsidR="00235E11" w:rsidRDefault="00F837E4">
            <w:pPr>
              <w:pStyle w:val="P68B1DB1-Normal7"/>
              <w:spacing w:after="0" w:line="240" w:lineRule="auto"/>
              <w:jc w:val="center"/>
              <w:rPr>
                <w:noProof/>
                <w:color w:val="006100"/>
              </w:rPr>
            </w:pPr>
            <w:r>
              <w:rPr>
                <w:noProof/>
              </w:rPr>
              <w:t>Базова линия</w:t>
            </w:r>
          </w:p>
        </w:tc>
        <w:tc>
          <w:tcPr>
            <w:tcW w:w="708" w:type="dxa"/>
            <w:shd w:val="clear" w:color="auto" w:fill="BDD7EE"/>
            <w:vAlign w:val="center"/>
          </w:tcPr>
          <w:p w14:paraId="688CF99F" w14:textId="77777777" w:rsidR="00235E11" w:rsidRDefault="00F837E4">
            <w:pPr>
              <w:pStyle w:val="P68B1DB1-Normal7"/>
              <w:spacing w:after="0" w:line="240" w:lineRule="auto"/>
              <w:jc w:val="center"/>
              <w:rPr>
                <w:noProof/>
              </w:rPr>
            </w:pPr>
            <w:r>
              <w:rPr>
                <w:noProof/>
              </w:rPr>
              <w:t>Цел</w:t>
            </w:r>
          </w:p>
        </w:tc>
        <w:tc>
          <w:tcPr>
            <w:tcW w:w="709" w:type="dxa"/>
            <w:shd w:val="clear" w:color="auto" w:fill="BDD7EE"/>
            <w:vAlign w:val="center"/>
          </w:tcPr>
          <w:p w14:paraId="035148E5" w14:textId="77777777" w:rsidR="00235E11" w:rsidRDefault="00F837E4">
            <w:pPr>
              <w:pStyle w:val="P68B1DB1-Normal7"/>
              <w:spacing w:after="0" w:line="240" w:lineRule="auto"/>
              <w:jc w:val="center"/>
              <w:rPr>
                <w:noProof/>
                <w:color w:val="006100"/>
              </w:rPr>
            </w:pPr>
            <w:r>
              <w:rPr>
                <w:noProof/>
              </w:rPr>
              <w:t>Тримесечие</w:t>
            </w:r>
          </w:p>
        </w:tc>
        <w:tc>
          <w:tcPr>
            <w:tcW w:w="709" w:type="dxa"/>
            <w:shd w:val="clear" w:color="auto" w:fill="BDD7EE"/>
            <w:vAlign w:val="center"/>
          </w:tcPr>
          <w:p w14:paraId="60661D88" w14:textId="77777777" w:rsidR="00235E11" w:rsidRDefault="00F837E4">
            <w:pPr>
              <w:pStyle w:val="P68B1DB1-Normal7"/>
              <w:spacing w:after="0" w:line="240" w:lineRule="auto"/>
              <w:jc w:val="center"/>
              <w:rPr>
                <w:noProof/>
                <w:color w:val="006100"/>
              </w:rPr>
            </w:pPr>
            <w:r>
              <w:rPr>
                <w:noProof/>
              </w:rPr>
              <w:t>Година</w:t>
            </w:r>
          </w:p>
        </w:tc>
        <w:tc>
          <w:tcPr>
            <w:tcW w:w="5103" w:type="dxa"/>
            <w:vMerge/>
            <w:vAlign w:val="center"/>
          </w:tcPr>
          <w:p w14:paraId="4887C7EB" w14:textId="77777777" w:rsidR="00235E11" w:rsidRDefault="00235E11">
            <w:pPr>
              <w:rPr>
                <w:rFonts w:ascii="Times New Roman" w:eastAsia="Times New Roman" w:hAnsi="Times New Roman" w:cs="Times New Roman"/>
                <w:b/>
                <w:noProof/>
              </w:rPr>
            </w:pPr>
          </w:p>
        </w:tc>
      </w:tr>
      <w:bookmarkEnd w:id="6"/>
      <w:tr w:rsidR="00235E11" w14:paraId="7A8B2AF1" w14:textId="77777777">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493DE247" w14:textId="77777777" w:rsidR="00235E11" w:rsidRDefault="00F837E4">
            <w:pPr>
              <w:pStyle w:val="P68B1DB1-Normal9"/>
              <w:spacing w:after="0" w:line="240" w:lineRule="auto"/>
              <w:jc w:val="center"/>
              <w:rPr>
                <w:noProof/>
              </w:rPr>
            </w:pPr>
            <w:r>
              <w:rPr>
                <w:noProof/>
              </w:rPr>
              <w:t>219</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661E9F33" w14:textId="77777777" w:rsidR="00235E11" w:rsidRDefault="00F837E4">
            <w:pPr>
              <w:pStyle w:val="P68B1DB1-Normal9"/>
              <w:spacing w:after="0" w:line="240" w:lineRule="auto"/>
              <w:rPr>
                <w:noProof/>
              </w:rPr>
            </w:pPr>
            <w:r>
              <w:rPr>
                <w:noProof/>
              </w:rPr>
              <w:t xml:space="preserve">Изследователска платформа за енергиен преход (I-7.11) </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3FCE4676" w14:textId="77777777" w:rsidR="00235E11" w:rsidRDefault="00F837E4">
            <w:pPr>
              <w:pStyle w:val="P68B1DB1-Normal9"/>
              <w:spacing w:after="0" w:line="240" w:lineRule="auto"/>
              <w:rPr>
                <w:noProof/>
              </w:rPr>
            </w:pPr>
            <w:r>
              <w:rPr>
                <w:noProof/>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6771FC06" w14:textId="77777777" w:rsidR="00235E11" w:rsidRDefault="00F837E4">
            <w:pPr>
              <w:pStyle w:val="P68B1DB1-Normal9"/>
              <w:spacing w:after="0" w:line="240" w:lineRule="auto"/>
              <w:rPr>
                <w:noProof/>
              </w:rPr>
            </w:pPr>
            <w:r>
              <w:rPr>
                <w:noProof/>
              </w:rPr>
              <w:t>Освобождаване на обществени поръчки за оборудване</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ADE663F" w14:textId="6F4AD4F4" w:rsidR="00235E11" w:rsidRDefault="00F837E4">
            <w:pPr>
              <w:pStyle w:val="P68B1DB1-Normal9"/>
              <w:spacing w:after="0" w:line="240" w:lineRule="auto"/>
              <w:rPr>
                <w:noProof/>
              </w:rPr>
            </w:pPr>
            <w:r>
              <w:rPr>
                <w:noProof/>
              </w:rPr>
              <w:t>Обявяване на търгове за обществени поръчки</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61054039" w14:textId="77777777" w:rsidR="00235E11" w:rsidRDefault="00235E11">
            <w:pPr>
              <w:spacing w:after="0"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17DB389" w14:textId="77777777" w:rsidR="00235E11" w:rsidRDefault="00235E11">
            <w:pPr>
              <w:spacing w:after="0" w:line="240" w:lineRule="auto"/>
              <w:rPr>
                <w:rFonts w:ascii="Times New Roman" w:eastAsia="Times New Roman" w:hAnsi="Times New Roman" w:cs="Times New Roman"/>
                <w:noProof/>
                <w:color w:val="006100"/>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6E5D46AA" w14:textId="77777777" w:rsidR="00235E11" w:rsidRDefault="00235E11">
            <w:pPr>
              <w:spacing w:after="0"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0B6CD4EF" w14:textId="77777777" w:rsidR="00235E11" w:rsidRDefault="00F837E4">
            <w:pPr>
              <w:pStyle w:val="P68B1DB1-Normal9"/>
              <w:spacing w:after="0" w:line="240" w:lineRule="auto"/>
              <w:jc w:val="center"/>
              <w:rPr>
                <w:noProof/>
              </w:rPr>
            </w:pPr>
            <w:r>
              <w:rPr>
                <w:noProof/>
              </w:rPr>
              <w:t>Т2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9317AF6" w14:textId="77777777" w:rsidR="00235E11" w:rsidRDefault="00F837E4">
            <w:pPr>
              <w:pStyle w:val="P68B1DB1-Normal9"/>
              <w:spacing w:after="0" w:line="240" w:lineRule="auto"/>
              <w:jc w:val="center"/>
              <w:rPr>
                <w:noProof/>
              </w:rPr>
            </w:pPr>
            <w:r>
              <w:rPr>
                <w:noProof/>
              </w:rPr>
              <w:t>2024</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2A471AAB" w14:textId="77777777" w:rsidR="00235E11" w:rsidRDefault="00F837E4">
            <w:pPr>
              <w:pStyle w:val="P68B1DB1-Normal9"/>
              <w:spacing w:after="0" w:line="240" w:lineRule="auto"/>
              <w:rPr>
                <w:noProof/>
              </w:rPr>
            </w:pPr>
            <w:r>
              <w:rPr>
                <w:noProof/>
              </w:rPr>
              <w:t xml:space="preserve">Публикуване на публични търгове за възлагане на обществени поръчки за целево оборудване в рамките на проекта „Научноизследователска платформа за енергиен преход“ (Fedération Wallonie-Bruxelles), който отговаря на следните условия по отношение на планираните дейности в областта на научните изследвания и иновациите: </w:t>
            </w:r>
          </w:p>
          <w:p w14:paraId="04D6C9CC" w14:textId="77777777" w:rsidR="00235E11" w:rsidRDefault="00F837E4">
            <w:pPr>
              <w:pStyle w:val="P68B1DB1-Normal9"/>
              <w:spacing w:after="0" w:line="240" w:lineRule="auto"/>
              <w:rPr>
                <w:noProof/>
              </w:rPr>
            </w:pPr>
            <w:r>
              <w:rPr>
                <w:noProof/>
              </w:rPr>
              <w:t>— Акцентът е поставен изключително или предимно върху варианти със слабо въздействие (като например производство на водород от възобновяеми източници или иновации в областта на околната среда с нулеви емисии); или</w:t>
            </w:r>
          </w:p>
          <w:p w14:paraId="3F084903" w14:textId="77777777" w:rsidR="00235E11" w:rsidRDefault="00F837E4">
            <w:pPr>
              <w:pStyle w:val="P68B1DB1-Normal9"/>
              <w:spacing w:after="0" w:line="240" w:lineRule="auto"/>
              <w:rPr>
                <w:noProof/>
              </w:rPr>
            </w:pPr>
            <w:r>
              <w:rPr>
                <w:noProof/>
              </w:rPr>
              <w:t>— Целта на Р I е да се подобри „най-добрата в класа“ технология (като например технологии с най-ограничено въздействие (но не с нулево/слабо въздействие) измежду наличните в момента) и са въведени подходящи съпътстващи мерки за предотвратяване на ефектите на зависимост (мерки, позволяващи внедряването на технологии с ниско въздействие или тяхното разработване); или</w:t>
            </w:r>
          </w:p>
          <w:p w14:paraId="3BE5D0E1" w14:textId="77777777" w:rsidR="00235E11" w:rsidRDefault="00F837E4">
            <w:pPr>
              <w:pStyle w:val="P68B1DB1-Normal9"/>
              <w:spacing w:after="0" w:line="240" w:lineRule="auto"/>
              <w:rPr>
                <w:rFonts w:eastAsia="Times New Roman"/>
                <w:noProof/>
                <w:highlight w:val="yellow"/>
              </w:rPr>
            </w:pPr>
            <w:r>
              <w:rPr>
                <w:noProof/>
              </w:rPr>
              <w:t>— Резултатите от процеса R -I са технологично неутрални на равнището на тяхното прилагане (т.е. те могат да се прилагат за всички налични технологии).</w:t>
            </w:r>
          </w:p>
        </w:tc>
      </w:tr>
      <w:tr w:rsidR="00235E11" w14:paraId="294CC6C4" w14:textId="77777777">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47FB4C46" w14:textId="77777777" w:rsidR="00235E11" w:rsidRDefault="00F837E4">
            <w:pPr>
              <w:pStyle w:val="P68B1DB1-Normal9"/>
              <w:spacing w:after="0" w:line="240" w:lineRule="auto"/>
              <w:jc w:val="center"/>
              <w:rPr>
                <w:noProof/>
              </w:rPr>
            </w:pPr>
            <w:r>
              <w:rPr>
                <w:noProof/>
              </w:rPr>
              <w:t>220</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0EA9E27D" w14:textId="77777777" w:rsidR="00235E11" w:rsidRDefault="00F837E4">
            <w:pPr>
              <w:pStyle w:val="P68B1DB1-Normal9"/>
              <w:spacing w:after="0" w:line="240" w:lineRule="auto"/>
              <w:rPr>
                <w:noProof/>
              </w:rPr>
            </w:pPr>
            <w:r>
              <w:rPr>
                <w:noProof/>
              </w:rPr>
              <w:t xml:space="preserve">Изследователска платформа за енергиен преход (I-7.11) </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26628CB6" w14:textId="77777777" w:rsidR="00235E11" w:rsidRDefault="00F837E4">
            <w:pPr>
              <w:pStyle w:val="P68B1DB1-Normal9"/>
              <w:spacing w:after="0" w:line="240" w:lineRule="auto"/>
              <w:rPr>
                <w:noProof/>
              </w:rPr>
            </w:pPr>
            <w:r>
              <w:rPr>
                <w:noProof/>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2DBCD78B" w14:textId="77777777" w:rsidR="00235E11" w:rsidRDefault="00F837E4">
            <w:pPr>
              <w:pStyle w:val="P68B1DB1-Normal9"/>
              <w:spacing w:after="0" w:line="240" w:lineRule="auto"/>
              <w:rPr>
                <w:noProof/>
              </w:rPr>
            </w:pPr>
            <w:r>
              <w:rPr>
                <w:noProof/>
              </w:rPr>
              <w:t>Доставка на оборудване</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0A5B687" w14:textId="77777777" w:rsidR="00235E11" w:rsidRDefault="00F837E4">
            <w:pPr>
              <w:pStyle w:val="P68B1DB1-Normal9"/>
              <w:spacing w:after="0" w:line="240" w:lineRule="auto"/>
              <w:rPr>
                <w:noProof/>
              </w:rPr>
            </w:pPr>
            <w:r>
              <w:rPr>
                <w:noProof/>
              </w:rPr>
              <w:t xml:space="preserve">Окончателен доклад за проекта </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30583A60" w14:textId="77777777" w:rsidR="00235E11" w:rsidRDefault="00235E11">
            <w:pPr>
              <w:spacing w:after="0"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43C44CD7" w14:textId="77777777" w:rsidR="00235E11" w:rsidRDefault="00235E11">
            <w:pPr>
              <w:spacing w:after="0" w:line="240" w:lineRule="auto"/>
              <w:rPr>
                <w:rFonts w:ascii="Times New Roman" w:eastAsia="Times New Roman" w:hAnsi="Times New Roman" w:cs="Times New Roman"/>
                <w:noProof/>
                <w:color w:val="006100"/>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CC4B762" w14:textId="77777777" w:rsidR="00235E11" w:rsidRDefault="00235E11">
            <w:pPr>
              <w:spacing w:after="0"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01BC1E4C" w14:textId="77777777" w:rsidR="00235E11" w:rsidRDefault="00F837E4">
            <w:pPr>
              <w:pStyle w:val="P68B1DB1-Normal9"/>
              <w:spacing w:after="0" w:line="240" w:lineRule="auto"/>
              <w:jc w:val="center"/>
              <w:rPr>
                <w:noProof/>
              </w:rPr>
            </w:pPr>
            <w:r>
              <w:rPr>
                <w:noProof/>
              </w:rPr>
              <w:t>Т4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8E2E81B" w14:textId="77777777" w:rsidR="00235E11" w:rsidRDefault="00F837E4">
            <w:pPr>
              <w:pStyle w:val="P68B1DB1-Normal9"/>
              <w:spacing w:after="0" w:line="240" w:lineRule="auto"/>
              <w:jc w:val="center"/>
              <w:rPr>
                <w:noProof/>
              </w:rPr>
            </w:pPr>
            <w:r>
              <w:rPr>
                <w:noProof/>
              </w:rPr>
              <w:t>2025</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23EF2AE1" w14:textId="77777777" w:rsidR="00235E11" w:rsidRDefault="00F837E4">
            <w:pPr>
              <w:pStyle w:val="P68B1DB1-Normal9"/>
              <w:spacing w:after="0" w:line="240" w:lineRule="auto"/>
              <w:rPr>
                <w:rFonts w:eastAsia="Times New Roman"/>
                <w:noProof/>
              </w:rPr>
            </w:pPr>
            <w:r>
              <w:rPr>
                <w:noProof/>
              </w:rPr>
              <w:t>21 182 204 EUR, изпълнени след приключване на обществената поръчка за оборудване, а останалите 2 353 578 EUR са поръчани.</w:t>
            </w:r>
          </w:p>
        </w:tc>
      </w:tr>
      <w:tr w:rsidR="00235E11" w14:paraId="79B20CA1" w14:textId="77777777">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01721C8E" w14:textId="77777777" w:rsidR="00235E11" w:rsidRDefault="00F837E4">
            <w:pPr>
              <w:pStyle w:val="P68B1DB1-Normal10"/>
              <w:spacing w:line="240" w:lineRule="auto"/>
              <w:jc w:val="center"/>
              <w:rPr>
                <w:noProof/>
              </w:rPr>
            </w:pPr>
            <w:r>
              <w:rPr>
                <w:noProof/>
              </w:rPr>
              <w:t>221</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11BE34C7" w14:textId="77777777" w:rsidR="00235E11" w:rsidRDefault="00F837E4">
            <w:pPr>
              <w:pStyle w:val="P68B1DB1-Normal10"/>
              <w:spacing w:line="240" w:lineRule="auto"/>
              <w:rPr>
                <w:noProof/>
              </w:rPr>
            </w:pPr>
            <w:r>
              <w:rPr>
                <w:noProof/>
              </w:rPr>
              <w:t>Инфраструктура за внос на енергия (I-7.12)</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48FB6AD2" w14:textId="77777777" w:rsidR="00235E11" w:rsidRDefault="00F837E4">
            <w:pPr>
              <w:pStyle w:val="P68B1DB1-Normal10"/>
              <w:spacing w:line="240" w:lineRule="auto"/>
              <w:rPr>
                <w:noProof/>
              </w:rPr>
            </w:pPr>
            <w:r>
              <w:rPr>
                <w:noProof/>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703DC5ED" w14:textId="77777777" w:rsidR="00235E11" w:rsidRDefault="00F837E4">
            <w:pPr>
              <w:pStyle w:val="P68B1DB1-Normal9"/>
              <w:spacing w:after="0" w:line="240" w:lineRule="auto"/>
              <w:rPr>
                <w:rFonts w:eastAsia="Times New Roman"/>
                <w:noProof/>
                <w:color w:val="000000" w:themeColor="text1"/>
              </w:rPr>
            </w:pPr>
            <w:r>
              <w:rPr>
                <w:noProof/>
              </w:rPr>
              <w:t>Възлагане на поръчки по покани за представяне на проекти</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CDF1022" w14:textId="4F4852CB" w:rsidR="00235E11" w:rsidRDefault="00F837E4">
            <w:pPr>
              <w:pStyle w:val="P68B1DB1-Normal9"/>
              <w:spacing w:after="0" w:line="240" w:lineRule="auto"/>
              <w:rPr>
                <w:rFonts w:eastAsia="Times New Roman"/>
                <w:noProof/>
                <w:color w:val="000000" w:themeColor="text1"/>
              </w:rPr>
            </w:pPr>
            <w:r>
              <w:rPr>
                <w:noProof/>
              </w:rPr>
              <w:t xml:space="preserve">Писмено уведомление до успешно издържалите конкурса кандидати </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647AA5B7" w14:textId="77777777" w:rsidR="00235E11" w:rsidRDefault="00235E11">
            <w:pPr>
              <w:spacing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5034549E" w14:textId="77777777" w:rsidR="00235E11" w:rsidRDefault="00235E11">
            <w:pPr>
              <w:spacing w:line="240" w:lineRule="auto"/>
              <w:rPr>
                <w:rFonts w:ascii="Times New Roman" w:eastAsia="Times New Roman" w:hAnsi="Times New Roman" w:cs="Times New Roman"/>
                <w:noProof/>
                <w:color w:val="006100"/>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29F03E6" w14:textId="77777777" w:rsidR="00235E11" w:rsidRDefault="00235E11">
            <w:pPr>
              <w:spacing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9654182" w14:textId="77777777" w:rsidR="00235E11" w:rsidRDefault="00F837E4">
            <w:pPr>
              <w:pStyle w:val="P68B1DB1-Normal10"/>
              <w:spacing w:line="240" w:lineRule="auto"/>
              <w:jc w:val="center"/>
              <w:rPr>
                <w:noProof/>
              </w:rPr>
            </w:pPr>
            <w:r>
              <w:rPr>
                <w:noProof/>
              </w:rPr>
              <w:t>Т2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C8EDF7D" w14:textId="77777777" w:rsidR="00235E11" w:rsidRDefault="00F837E4">
            <w:pPr>
              <w:pStyle w:val="P68B1DB1-Normal10"/>
              <w:spacing w:line="240" w:lineRule="auto"/>
              <w:jc w:val="center"/>
              <w:rPr>
                <w:noProof/>
              </w:rPr>
            </w:pPr>
            <w:r>
              <w:rPr>
                <w:noProof/>
              </w:rPr>
              <w:t>2024</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00207EED" w14:textId="77777777" w:rsidR="00235E11" w:rsidRDefault="00F837E4">
            <w:pPr>
              <w:pStyle w:val="P68B1DB1-Normal9"/>
              <w:spacing w:after="0" w:line="240" w:lineRule="auto"/>
              <w:rPr>
                <w:noProof/>
              </w:rPr>
            </w:pPr>
            <w:r>
              <w:rPr>
                <w:noProof/>
              </w:rPr>
              <w:t>Възлагане на договори за демонстрационни или научноизследователски и развойни проекти, избрани в рамките на поканите за представяне на проекти за оптимизиране на инфраструктурата за внос на водород или електроенергия.</w:t>
            </w:r>
          </w:p>
        </w:tc>
      </w:tr>
      <w:tr w:rsidR="00235E11" w14:paraId="797A19EF" w14:textId="77777777">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3E9B8815" w14:textId="77777777" w:rsidR="00235E11" w:rsidRDefault="00F837E4">
            <w:pPr>
              <w:pStyle w:val="P68B1DB1-Normal10"/>
              <w:spacing w:line="240" w:lineRule="auto"/>
              <w:jc w:val="center"/>
              <w:rPr>
                <w:noProof/>
              </w:rPr>
            </w:pPr>
            <w:r>
              <w:rPr>
                <w:noProof/>
              </w:rPr>
              <w:t>222</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6FC05EC6" w14:textId="77777777" w:rsidR="00235E11" w:rsidRDefault="00F837E4">
            <w:pPr>
              <w:pStyle w:val="P68B1DB1-Normal10"/>
              <w:spacing w:line="240" w:lineRule="auto"/>
              <w:rPr>
                <w:noProof/>
              </w:rPr>
            </w:pPr>
            <w:r>
              <w:rPr>
                <w:noProof/>
              </w:rPr>
              <w:t>Инфраструктура за внос на енергия (I-7.12)</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4200C745" w14:textId="77777777" w:rsidR="00235E11" w:rsidRDefault="00F837E4">
            <w:pPr>
              <w:pStyle w:val="P68B1DB1-Normal10"/>
              <w:spacing w:line="240" w:lineRule="auto"/>
              <w:rPr>
                <w:noProof/>
              </w:rPr>
            </w:pPr>
            <w:r>
              <w:rPr>
                <w:noProof/>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32E966ED" w14:textId="77777777" w:rsidR="00235E11" w:rsidRDefault="00F837E4">
            <w:pPr>
              <w:pStyle w:val="P68B1DB1-Normal9"/>
              <w:spacing w:after="0" w:line="240" w:lineRule="auto"/>
              <w:rPr>
                <w:rFonts w:eastAsia="Times New Roman"/>
                <w:noProof/>
                <w:color w:val="000000" w:themeColor="text1"/>
              </w:rPr>
            </w:pPr>
            <w:r>
              <w:rPr>
                <w:noProof/>
              </w:rPr>
              <w:t>Приключване на проекти, отпуснати по поканите за представяне на проекти</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F1E692A" w14:textId="77777777" w:rsidR="00235E11" w:rsidRDefault="00F837E4">
            <w:pPr>
              <w:pStyle w:val="P68B1DB1-Normal9"/>
              <w:spacing w:after="0" w:line="240" w:lineRule="auto"/>
              <w:rPr>
                <w:rFonts w:eastAsia="Times New Roman"/>
                <w:noProof/>
                <w:color w:val="000000" w:themeColor="text1"/>
              </w:rPr>
            </w:pPr>
            <w:r>
              <w:rPr>
                <w:noProof/>
              </w:rPr>
              <w:t>Одобрен окончателен доклад за проекта</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0CB54CA6" w14:textId="77777777" w:rsidR="00235E11" w:rsidRDefault="00235E11">
            <w:pPr>
              <w:spacing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24A2E5C" w14:textId="77777777" w:rsidR="00235E11" w:rsidRDefault="00235E11">
            <w:pPr>
              <w:spacing w:line="240" w:lineRule="auto"/>
              <w:rPr>
                <w:rFonts w:ascii="Times New Roman" w:eastAsia="Times New Roman" w:hAnsi="Times New Roman" w:cs="Times New Roman"/>
                <w:noProof/>
                <w:color w:val="006100"/>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12E13FCA" w14:textId="77777777" w:rsidR="00235E11" w:rsidRDefault="00235E11">
            <w:pPr>
              <w:spacing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658DCFB" w14:textId="77777777" w:rsidR="00235E11" w:rsidRDefault="00F837E4">
            <w:pPr>
              <w:pStyle w:val="P68B1DB1-Normal10"/>
              <w:spacing w:line="240" w:lineRule="auto"/>
              <w:jc w:val="center"/>
              <w:rPr>
                <w:noProof/>
              </w:rPr>
            </w:pPr>
            <w:r>
              <w:rPr>
                <w:noProof/>
              </w:rPr>
              <w:t>Т2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7A2276A7" w14:textId="77777777" w:rsidR="00235E11" w:rsidRDefault="00F837E4">
            <w:pPr>
              <w:pStyle w:val="P68B1DB1-Normal10"/>
              <w:spacing w:line="240" w:lineRule="auto"/>
              <w:jc w:val="center"/>
              <w:rPr>
                <w:noProof/>
              </w:rPr>
            </w:pPr>
            <w:r>
              <w:rPr>
                <w:noProof/>
              </w:rPr>
              <w:t>2026</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172ECCF9" w14:textId="77777777" w:rsidR="00235E11" w:rsidRDefault="00F837E4">
            <w:pPr>
              <w:spacing w:after="0" w:line="240" w:lineRule="auto"/>
              <w:rPr>
                <w:rFonts w:ascii="Times New Roman" w:hAnsi="Times New Roman" w:cs="Times New Roman"/>
                <w:noProof/>
                <w:color w:val="006100"/>
              </w:rPr>
            </w:pPr>
            <w:r>
              <w:rPr>
                <w:rFonts w:ascii="Times New Roman" w:hAnsi="Times New Roman" w:cs="Times New Roman"/>
                <w:noProof/>
                <w:color w:val="006100"/>
              </w:rPr>
              <w:t>Приключване на проектите, възложени по поканите за представяне на предложения за проекти</w:t>
            </w:r>
            <w:r>
              <w:rPr>
                <w:noProof/>
              </w:rPr>
              <w:t xml:space="preserve"> за оптимизиране на инфраструктурата за внос на водород или електроенергия, като са изпълнени най-малко 12 000 000 EUR. </w:t>
            </w:r>
          </w:p>
        </w:tc>
      </w:tr>
      <w:tr w:rsidR="00235E11" w14:paraId="4CBD7566" w14:textId="77777777">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5C41EFD7" w14:textId="77777777" w:rsidR="00235E11" w:rsidRDefault="00F837E4">
            <w:pPr>
              <w:pStyle w:val="P68B1DB1-Normal10"/>
              <w:spacing w:line="240" w:lineRule="auto"/>
              <w:jc w:val="center"/>
              <w:rPr>
                <w:noProof/>
              </w:rPr>
            </w:pPr>
            <w:r>
              <w:rPr>
                <w:noProof/>
              </w:rPr>
              <w:t>223</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689AFB6C" w14:textId="77777777" w:rsidR="00235E11" w:rsidRDefault="00F837E4">
            <w:pPr>
              <w:pStyle w:val="P68B1DB1-Normal10"/>
              <w:spacing w:line="240" w:lineRule="auto"/>
              <w:rPr>
                <w:noProof/>
              </w:rPr>
            </w:pPr>
            <w:r>
              <w:rPr>
                <w:noProof/>
              </w:rPr>
              <w:t>Призив за декарбонизация на промишлеността (I-7—13)</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1CAC42CA" w14:textId="77777777" w:rsidR="00235E11" w:rsidRDefault="00F837E4">
            <w:pPr>
              <w:pStyle w:val="P68B1DB1-Normal10"/>
              <w:spacing w:line="240" w:lineRule="auto"/>
              <w:rPr>
                <w:noProof/>
              </w:rPr>
            </w:pPr>
            <w:r>
              <w:rPr>
                <w:noProof/>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178B1015" w14:textId="70582436" w:rsidR="00235E11" w:rsidRDefault="00F837E4">
            <w:pPr>
              <w:pStyle w:val="P68B1DB1-Normal10"/>
              <w:spacing w:line="240" w:lineRule="auto"/>
              <w:rPr>
                <w:noProof/>
              </w:rPr>
            </w:pPr>
            <w:r>
              <w:rPr>
                <w:noProof/>
              </w:rPr>
              <w:t>Възлагане на договори в рамките на поканата за представяне на проекти</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CF4C128" w14:textId="0072187E" w:rsidR="00235E11" w:rsidRDefault="00F837E4">
            <w:pPr>
              <w:pStyle w:val="P68B1DB1-Normal9"/>
              <w:spacing w:after="0" w:line="240" w:lineRule="auto"/>
              <w:rPr>
                <w:rFonts w:eastAsia="Times New Roman"/>
                <w:noProof/>
                <w:color w:val="000000" w:themeColor="text1"/>
              </w:rPr>
            </w:pPr>
            <w:r>
              <w:rPr>
                <w:noProof/>
              </w:rPr>
              <w:t xml:space="preserve">Писмено уведомление до успешно издържалите конкурса кандидати </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64A2F8F7" w14:textId="77777777" w:rsidR="00235E11" w:rsidRDefault="00235E11">
            <w:pPr>
              <w:spacing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5B3608F9" w14:textId="77777777" w:rsidR="00235E11" w:rsidRDefault="00235E11">
            <w:pPr>
              <w:spacing w:line="240" w:lineRule="auto"/>
              <w:rPr>
                <w:rFonts w:ascii="Times New Roman" w:eastAsia="Times New Roman" w:hAnsi="Times New Roman" w:cs="Times New Roman"/>
                <w:noProof/>
                <w:color w:val="006100"/>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3033237" w14:textId="77777777" w:rsidR="00235E11" w:rsidRDefault="00235E11">
            <w:pPr>
              <w:spacing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CAA4830" w14:textId="34224A67" w:rsidR="00235E11" w:rsidRDefault="00F837E4">
            <w:pPr>
              <w:pStyle w:val="P68B1DB1-Normal10"/>
              <w:spacing w:after="0" w:line="240" w:lineRule="auto"/>
              <w:jc w:val="center"/>
              <w:rPr>
                <w:noProof/>
              </w:rPr>
            </w:pPr>
            <w:r>
              <w:rPr>
                <w:noProof/>
              </w:rPr>
              <w:t>Т2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5BA03BF8" w14:textId="228D26D7" w:rsidR="00235E11" w:rsidRDefault="00F837E4">
            <w:pPr>
              <w:pStyle w:val="P68B1DB1-Normal10"/>
              <w:spacing w:after="0" w:line="240" w:lineRule="auto"/>
              <w:jc w:val="center"/>
              <w:rPr>
                <w:noProof/>
              </w:rPr>
            </w:pPr>
            <w:r>
              <w:rPr>
                <w:noProof/>
              </w:rPr>
              <w:t>2024</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295C15CF" w14:textId="788EA0B3" w:rsidR="00235E11" w:rsidRDefault="00F837E4">
            <w:pPr>
              <w:pStyle w:val="P68B1DB1-Normal10"/>
              <w:spacing w:after="0" w:line="240" w:lineRule="auto"/>
              <w:rPr>
                <w:noProof/>
              </w:rPr>
            </w:pPr>
            <w:r>
              <w:rPr>
                <w:noProof/>
              </w:rPr>
              <w:t>Възлагане на договори на проекти в съответствие с изискването за ненанасяне на значителни вреди, посочено в описанието на мярката, след поканата за представяне на проекти в областта на енергийната ефективност, по теми като управлението на промишлената топлинна енергия, улавянето и съхранението на въглероден диоксид (CCS), при които уловеният CO2 произтича от неизбежни технологични емисии, смяната на гориво, производството на енергия от възобновяеми източници или създаването на нови промишлени елементи от веригата за създаване на стойност на технологиите, свързани с екологичния преход, като например веригата за създаване на стойност в сектора на батериите (в производството или при управлението на материали от критично значение) и веригата за създаване на стойност на водорода от възобновяеми източници или без изкопаеми горива.</w:t>
            </w:r>
          </w:p>
        </w:tc>
      </w:tr>
      <w:tr w:rsidR="00235E11" w14:paraId="3FA6C167" w14:textId="77777777">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1B4DA3AC" w14:textId="77777777" w:rsidR="00235E11" w:rsidRDefault="00F837E4">
            <w:pPr>
              <w:pStyle w:val="P68B1DB1-Normal10"/>
              <w:spacing w:line="240" w:lineRule="auto"/>
              <w:jc w:val="center"/>
              <w:rPr>
                <w:noProof/>
              </w:rPr>
            </w:pPr>
            <w:r>
              <w:rPr>
                <w:noProof/>
              </w:rPr>
              <w:t>224</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0C8CBA41" w14:textId="77777777" w:rsidR="00235E11" w:rsidRDefault="00F837E4">
            <w:pPr>
              <w:pStyle w:val="P68B1DB1-Normal10"/>
              <w:spacing w:line="240" w:lineRule="auto"/>
              <w:rPr>
                <w:noProof/>
              </w:rPr>
            </w:pPr>
            <w:r>
              <w:rPr>
                <w:noProof/>
              </w:rPr>
              <w:t>Призив за декарбонизация на промишлеността (I-7.13)</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0DD20F02" w14:textId="77777777" w:rsidR="00235E11" w:rsidRDefault="00F837E4">
            <w:pPr>
              <w:pStyle w:val="P68B1DB1-Normal10"/>
              <w:spacing w:after="0" w:line="240" w:lineRule="auto"/>
              <w:rPr>
                <w:noProof/>
              </w:rPr>
            </w:pPr>
            <w:r>
              <w:rPr>
                <w:noProof/>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4E966677" w14:textId="77777777" w:rsidR="00235E11" w:rsidRDefault="00F837E4">
            <w:pPr>
              <w:pStyle w:val="P68B1DB1-Normal10"/>
              <w:spacing w:after="0" w:line="240" w:lineRule="auto"/>
              <w:rPr>
                <w:noProof/>
              </w:rPr>
            </w:pPr>
            <w:r>
              <w:rPr>
                <w:noProof/>
              </w:rPr>
              <w:t>Приключване на проекти, отпуснати по поканата за представяне на проекти</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AE5B98B" w14:textId="77777777" w:rsidR="00235E11" w:rsidRDefault="00F837E4">
            <w:pPr>
              <w:pStyle w:val="P68B1DB1-Normal10"/>
              <w:spacing w:line="240" w:lineRule="auto"/>
              <w:rPr>
                <w:noProof/>
              </w:rPr>
            </w:pPr>
            <w:r>
              <w:rPr>
                <w:noProof/>
              </w:rPr>
              <w:t>Одобрен окончателен доклад за проекта</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5A0C134A" w14:textId="77777777" w:rsidR="00235E11" w:rsidRDefault="00235E11">
            <w:pPr>
              <w:spacing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1C4CD939" w14:textId="77777777" w:rsidR="00235E11" w:rsidRDefault="00235E11">
            <w:pPr>
              <w:spacing w:line="240" w:lineRule="auto"/>
              <w:rPr>
                <w:rFonts w:ascii="Times New Roman" w:eastAsia="Times New Roman" w:hAnsi="Times New Roman" w:cs="Times New Roman"/>
                <w:noProof/>
                <w:color w:val="006100"/>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B36234B" w14:textId="77777777" w:rsidR="00235E11" w:rsidRDefault="00235E11">
            <w:pPr>
              <w:spacing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76F4C7F0" w14:textId="77777777" w:rsidR="00235E11" w:rsidRDefault="00F837E4">
            <w:pPr>
              <w:pStyle w:val="P68B1DB1-Normal10"/>
              <w:spacing w:line="240" w:lineRule="auto"/>
              <w:jc w:val="center"/>
              <w:rPr>
                <w:noProof/>
              </w:rPr>
            </w:pPr>
            <w:r>
              <w:rPr>
                <w:noProof/>
              </w:rPr>
              <w:t>Т2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7A73E45" w14:textId="77777777" w:rsidR="00235E11" w:rsidRDefault="00F837E4">
            <w:pPr>
              <w:pStyle w:val="P68B1DB1-Normal10"/>
              <w:spacing w:line="240" w:lineRule="auto"/>
              <w:jc w:val="center"/>
              <w:rPr>
                <w:noProof/>
              </w:rPr>
            </w:pPr>
            <w:r>
              <w:rPr>
                <w:noProof/>
              </w:rPr>
              <w:t>2026</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560CAF1D" w14:textId="77777777" w:rsidR="00235E11" w:rsidRDefault="00F837E4">
            <w:pPr>
              <w:pStyle w:val="P68B1DB1-Normal9"/>
              <w:spacing w:after="0" w:line="240" w:lineRule="auto"/>
              <w:rPr>
                <w:rFonts w:eastAsia="Times New Roman"/>
                <w:noProof/>
              </w:rPr>
            </w:pPr>
            <w:r>
              <w:rPr>
                <w:noProof/>
              </w:rPr>
              <w:t>Приключване на проектите, отпуснати по поканата за представяне на предложения за проекти „Декарбонизация на промишлеността“, като са изпълнени най-малко 64 000 000 EUR.</w:t>
            </w:r>
          </w:p>
        </w:tc>
      </w:tr>
      <w:tr w:rsidR="00235E11" w14:paraId="01A7C447" w14:textId="77777777">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7B566C66" w14:textId="77777777" w:rsidR="00235E11" w:rsidRDefault="00F837E4">
            <w:pPr>
              <w:pStyle w:val="P68B1DB1-Normal10"/>
              <w:spacing w:line="240" w:lineRule="auto"/>
              <w:jc w:val="center"/>
              <w:rPr>
                <w:noProof/>
              </w:rPr>
            </w:pPr>
            <w:r>
              <w:rPr>
                <w:noProof/>
              </w:rPr>
              <w:t>225</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3D89790B" w14:textId="77777777" w:rsidR="00235E11" w:rsidRDefault="00F837E4">
            <w:pPr>
              <w:pStyle w:val="P68B1DB1-Normal10"/>
              <w:spacing w:line="240" w:lineRule="auto"/>
              <w:rPr>
                <w:noProof/>
              </w:rPr>
            </w:pPr>
            <w:r>
              <w:rPr>
                <w:noProof/>
              </w:rPr>
              <w:t>Призив за мерки в областта на климата в селското стопанство (I-7.14)</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5DF57BBA" w14:textId="77777777" w:rsidR="00235E11" w:rsidRDefault="00F837E4">
            <w:pPr>
              <w:pStyle w:val="P68B1DB1-Normal10"/>
              <w:spacing w:line="240" w:lineRule="auto"/>
              <w:rPr>
                <w:noProof/>
              </w:rPr>
            </w:pPr>
            <w:r>
              <w:rPr>
                <w:noProof/>
              </w:rPr>
              <w:t>T</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2D987B84" w14:textId="77777777" w:rsidR="00235E11" w:rsidRDefault="00F837E4">
            <w:pPr>
              <w:pStyle w:val="P68B1DB1-Normal10"/>
              <w:spacing w:after="0" w:line="240" w:lineRule="auto"/>
              <w:rPr>
                <w:noProof/>
              </w:rPr>
            </w:pPr>
            <w:r>
              <w:rPr>
                <w:noProof/>
              </w:rPr>
              <w:t>Приключване на проекти, отпуснати по поканата за представяне на предложения</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DC754D6" w14:textId="77777777" w:rsidR="00235E11" w:rsidRDefault="00235E11">
            <w:pPr>
              <w:spacing w:line="240" w:lineRule="auto"/>
              <w:rPr>
                <w:rFonts w:ascii="Times New Roman" w:eastAsia="Times New Roman" w:hAnsi="Times New Roman" w:cs="Times New Roman"/>
                <w:noProof/>
                <w:color w:val="006100"/>
              </w:rPr>
            </w:pP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730E866E" w14:textId="5FB5F31B" w:rsidR="00235E11" w:rsidRDefault="00F837E4">
            <w:pPr>
              <w:pStyle w:val="P68B1DB1-Normal10"/>
              <w:spacing w:line="240" w:lineRule="auto"/>
              <w:rPr>
                <w:noProof/>
              </w:rPr>
            </w:pPr>
            <w:r>
              <w:rPr>
                <w:noProof/>
              </w:rPr>
              <w:t>Брой</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0F48315C" w14:textId="77777777" w:rsidR="00235E11" w:rsidRDefault="00F837E4">
            <w:pPr>
              <w:pStyle w:val="P68B1DB1-Normal10"/>
              <w:spacing w:line="240" w:lineRule="auto"/>
              <w:rPr>
                <w:noProof/>
              </w:rPr>
            </w:pPr>
            <w:r>
              <w:rPr>
                <w:noProof/>
              </w:rPr>
              <w:t>0</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F9A5296" w14:textId="77777777" w:rsidR="00235E11" w:rsidRDefault="00F837E4">
            <w:pPr>
              <w:pStyle w:val="P68B1DB1-Normal10"/>
              <w:spacing w:line="240" w:lineRule="auto"/>
              <w:rPr>
                <w:noProof/>
                <w:highlight w:val="yellow"/>
              </w:rPr>
            </w:pPr>
            <w:r>
              <w:rPr>
                <w:noProof/>
              </w:rPr>
              <w:t>270</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3E5F3F3A" w14:textId="77777777" w:rsidR="00235E11" w:rsidRDefault="00F837E4">
            <w:pPr>
              <w:pStyle w:val="P68B1DB1-Normal10"/>
              <w:spacing w:line="240" w:lineRule="auto"/>
              <w:jc w:val="center"/>
              <w:rPr>
                <w:noProof/>
              </w:rPr>
            </w:pPr>
            <w:r>
              <w:rPr>
                <w:noProof/>
              </w:rPr>
              <w:t>Т2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7095BC6" w14:textId="77777777" w:rsidR="00235E11" w:rsidRDefault="00F837E4">
            <w:pPr>
              <w:pStyle w:val="P68B1DB1-Normal10"/>
              <w:spacing w:line="240" w:lineRule="auto"/>
              <w:jc w:val="center"/>
              <w:rPr>
                <w:noProof/>
              </w:rPr>
            </w:pPr>
            <w:r>
              <w:rPr>
                <w:noProof/>
              </w:rPr>
              <w:t>2026</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6D12B49C" w14:textId="77777777" w:rsidR="00235E11" w:rsidRDefault="00F837E4">
            <w:pPr>
              <w:pStyle w:val="P68B1DB1-Normal9"/>
              <w:spacing w:after="0" w:line="240" w:lineRule="auto"/>
              <w:rPr>
                <w:rFonts w:eastAsia="Times New Roman"/>
                <w:noProof/>
                <w:color w:val="000000" w:themeColor="text1"/>
              </w:rPr>
            </w:pPr>
            <w:r>
              <w:rPr>
                <w:noProof/>
              </w:rPr>
              <w:t>Завършване на най-малко 270 проекта в селското стопанство за енергоспестяващи техники, зелена топлина или енергия от възобновяеми източници, насочени към намаляване на емисиите на парникови газове.</w:t>
            </w:r>
          </w:p>
        </w:tc>
      </w:tr>
    </w:tbl>
    <w:p w14:paraId="1C219829" w14:textId="77777777" w:rsidR="00235E11" w:rsidRDefault="00235E11">
      <w:pPr>
        <w:rPr>
          <w:noProof/>
        </w:rPr>
      </w:pPr>
    </w:p>
    <w:p w14:paraId="4FD7117F" w14:textId="77777777" w:rsidR="00235E11" w:rsidRDefault="00235E11">
      <w:pPr>
        <w:pStyle w:val="TitreComposante"/>
        <w:jc w:val="both"/>
        <w:rPr>
          <w:noProof/>
        </w:rPr>
        <w:sectPr w:rsidR="00235E11" w:rsidSect="007F56C3">
          <w:headerReference w:type="even" r:id="rId264"/>
          <w:headerReference w:type="default" r:id="rId265"/>
          <w:footerReference w:type="even" r:id="rId266"/>
          <w:footerReference w:type="default" r:id="rId267"/>
          <w:headerReference w:type="first" r:id="rId268"/>
          <w:footerReference w:type="first" r:id="rId269"/>
          <w:pgSz w:w="16838" w:h="11906" w:orient="landscape"/>
          <w:pgMar w:top="1417" w:right="1417" w:bottom="1417" w:left="1417" w:header="708" w:footer="708" w:gutter="0"/>
          <w:cols w:space="708"/>
          <w:docGrid w:linePitch="360"/>
        </w:sectPr>
      </w:pPr>
    </w:p>
    <w:p w14:paraId="08C707C0" w14:textId="5EA50B55" w:rsidR="00235E11" w:rsidRDefault="00617E7D">
      <w:pPr>
        <w:pStyle w:val="P68B1DB1-Jalonsetcibles37"/>
        <w:rPr>
          <w:noProof/>
        </w:rPr>
      </w:pPr>
      <w:r>
        <w:rPr>
          <w:noProof/>
          <w:lang w:val="bg-BG"/>
        </w:rPr>
        <w:t>У</w:t>
      </w:r>
      <w:r w:rsidR="00F837E4">
        <w:rPr>
          <w:noProof/>
        </w:rPr>
        <w:t>.3. Описание на реформите и инвестициите за заема</w:t>
      </w:r>
    </w:p>
    <w:p w14:paraId="5680FB02" w14:textId="77777777" w:rsidR="00235E11" w:rsidRDefault="00F837E4">
      <w:pPr>
        <w:pStyle w:val="P68B1DB1-Jalonsetcibles38"/>
        <w:rPr>
          <w:noProof/>
        </w:rPr>
      </w:pPr>
      <w:bookmarkStart w:id="7" w:name="_Hlk142319314"/>
      <w:r>
        <w:rPr>
          <w:noProof/>
        </w:rPr>
        <w:t xml:space="preserve">Инвестиция I-7.15 </w:t>
      </w:r>
      <w:bookmarkEnd w:id="7"/>
      <w:r>
        <w:rPr>
          <w:noProof/>
        </w:rPr>
        <w:t>„Горна за H</w:t>
      </w:r>
      <w:r>
        <w:rPr>
          <w:noProof/>
          <w:vertAlign w:val="subscript"/>
        </w:rPr>
        <w:t>2</w:t>
      </w:r>
      <w:r>
        <w:rPr>
          <w:noProof/>
        </w:rPr>
        <w:t>“ на федералната държава</w:t>
      </w:r>
    </w:p>
    <w:p w14:paraId="2D2A66A7" w14:textId="44BBCEB3" w:rsidR="00235E11" w:rsidRDefault="00F837E4">
      <w:pPr>
        <w:pStyle w:val="P68B1DB1-Jalonsetcibles39"/>
        <w:spacing w:before="120" w:after="120" w:line="240" w:lineRule="auto"/>
        <w:jc w:val="both"/>
        <w:rPr>
          <w:noProof/>
        </w:rPr>
      </w:pPr>
      <w:r>
        <w:rPr>
          <w:noProof/>
        </w:rPr>
        <w:t>Тази инвестиция се състои в развитието на водородна транспортна мрежа с основен акцент върху основните промишлени клъстери във Фландрия (Антверпен, Гент), Валония (Ено, Лиеж) и Брюксел. Проектите, които ще се изпълняват, се определят въз основа на валидиране на пазарните нужди и са част от планиран по-широк трансграничен важен проект от общоевропейски интерес (ВПОИ) в областта на водорода. Изпълнението на мярката трябва да приключи до 30 юни 2026 г.</w:t>
      </w:r>
    </w:p>
    <w:p w14:paraId="6AD79E60" w14:textId="77777777" w:rsidR="00235E11" w:rsidRDefault="00235E11">
      <w:pPr>
        <w:pStyle w:val="Jalonsetcibles"/>
        <w:spacing w:before="120" w:after="120" w:line="240" w:lineRule="auto"/>
        <w:jc w:val="both"/>
        <w:rPr>
          <w:rFonts w:eastAsia="Times New Roman"/>
          <w:b w:val="0"/>
          <w:noProof/>
          <w:color w:val="000000" w:themeColor="text1"/>
          <w:sz w:val="24"/>
        </w:rPr>
      </w:pPr>
    </w:p>
    <w:p w14:paraId="7830325C" w14:textId="1E2FFCB9" w:rsidR="00235E11" w:rsidRDefault="00617E7D">
      <w:pPr>
        <w:pStyle w:val="P68B1DB1-Jalonsetcibles37"/>
        <w:spacing w:before="120" w:after="120" w:line="240" w:lineRule="auto"/>
        <w:jc w:val="both"/>
        <w:rPr>
          <w:b w:val="0"/>
          <w:noProof/>
        </w:rPr>
      </w:pPr>
      <w:r>
        <w:rPr>
          <w:noProof/>
          <w:lang w:val="bg-BG"/>
        </w:rPr>
        <w:t>У</w:t>
      </w:r>
      <w:r w:rsidR="00F837E4">
        <w:rPr>
          <w:noProof/>
        </w:rPr>
        <w:t>.4. Ключови етапи, цели, показатели и график за мониторинг и изпълнение на заема</w:t>
      </w:r>
    </w:p>
    <w:p w14:paraId="4EB0CFDC" w14:textId="77777777" w:rsidR="00235E11" w:rsidRDefault="00235E11">
      <w:pPr>
        <w:pStyle w:val="Jalonsetcibles"/>
        <w:jc w:val="both"/>
        <w:rPr>
          <w:rFonts w:eastAsia="Times New Roman"/>
          <w:b w:val="0"/>
          <w:noProof/>
          <w:color w:val="000000" w:themeColor="text1"/>
          <w:sz w:val="24"/>
        </w:rPr>
      </w:pPr>
    </w:p>
    <w:p w14:paraId="702317CA" w14:textId="77777777" w:rsidR="00235E11" w:rsidRDefault="00235E11">
      <w:pPr>
        <w:pStyle w:val="TitreComposante"/>
        <w:jc w:val="both"/>
        <w:rPr>
          <w:noProof/>
        </w:rPr>
        <w:sectPr w:rsidR="00235E11" w:rsidSect="007F56C3">
          <w:headerReference w:type="even" r:id="rId270"/>
          <w:headerReference w:type="default" r:id="rId271"/>
          <w:footerReference w:type="even" r:id="rId272"/>
          <w:footerReference w:type="default" r:id="rId273"/>
          <w:headerReference w:type="first" r:id="rId274"/>
          <w:footerReference w:type="first" r:id="rId275"/>
          <w:pgSz w:w="11906" w:h="16838"/>
          <w:pgMar w:top="1417" w:right="1417" w:bottom="1417" w:left="1417" w:header="708" w:footer="708" w:gutter="0"/>
          <w:cols w:space="708"/>
          <w:docGrid w:linePitch="360"/>
        </w:sect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709"/>
        <w:gridCol w:w="1417"/>
        <w:gridCol w:w="1276"/>
        <w:gridCol w:w="992"/>
        <w:gridCol w:w="709"/>
        <w:gridCol w:w="850"/>
        <w:gridCol w:w="709"/>
        <w:gridCol w:w="709"/>
        <w:gridCol w:w="4642"/>
      </w:tblGrid>
      <w:tr w:rsidR="00235E11" w14:paraId="0F7A8410" w14:textId="77777777">
        <w:trPr>
          <w:trHeight w:val="915"/>
          <w:tblHeader/>
        </w:trPr>
        <w:tc>
          <w:tcPr>
            <w:tcW w:w="562" w:type="dxa"/>
            <w:vMerge w:val="restart"/>
            <w:shd w:val="clear" w:color="auto" w:fill="BDD7EE"/>
            <w:vAlign w:val="center"/>
          </w:tcPr>
          <w:p w14:paraId="02315136" w14:textId="7F1981F3" w:rsidR="00235E11" w:rsidRDefault="00F837E4">
            <w:pPr>
              <w:pStyle w:val="P68B1DB1-Normal7"/>
              <w:spacing w:after="0" w:line="240" w:lineRule="auto"/>
              <w:jc w:val="center"/>
              <w:rPr>
                <w:noProof/>
                <w:color w:val="006100"/>
              </w:rPr>
            </w:pPr>
            <w:r>
              <w:rPr>
                <w:noProof/>
              </w:rPr>
              <w:t>Сл. Нб.</w:t>
            </w:r>
          </w:p>
        </w:tc>
        <w:tc>
          <w:tcPr>
            <w:tcW w:w="1418" w:type="dxa"/>
            <w:vMerge w:val="restart"/>
            <w:shd w:val="clear" w:color="auto" w:fill="BDD7EE"/>
            <w:vAlign w:val="center"/>
          </w:tcPr>
          <w:p w14:paraId="39053EEA" w14:textId="77777777" w:rsidR="00235E11" w:rsidRDefault="00F837E4">
            <w:pPr>
              <w:pStyle w:val="P68B1DB1-Normal7"/>
              <w:spacing w:after="0" w:line="240" w:lineRule="auto"/>
              <w:jc w:val="center"/>
              <w:rPr>
                <w:noProof/>
                <w:color w:val="006100"/>
              </w:rPr>
            </w:pPr>
            <w:r>
              <w:rPr>
                <w:noProof/>
              </w:rPr>
              <w:t>Свързана мярка (реформа или инвестиции)</w:t>
            </w:r>
          </w:p>
        </w:tc>
        <w:tc>
          <w:tcPr>
            <w:tcW w:w="709" w:type="dxa"/>
            <w:vMerge w:val="restart"/>
            <w:shd w:val="clear" w:color="auto" w:fill="BDD7EE"/>
            <w:vAlign w:val="center"/>
          </w:tcPr>
          <w:p w14:paraId="194B56A1" w14:textId="77777777" w:rsidR="00235E11" w:rsidRDefault="00F837E4">
            <w:pPr>
              <w:pStyle w:val="P68B1DB1-Normal7"/>
              <w:spacing w:after="0" w:line="240" w:lineRule="auto"/>
              <w:jc w:val="center"/>
              <w:rPr>
                <w:noProof/>
                <w:color w:val="006100"/>
              </w:rPr>
            </w:pPr>
            <w:r>
              <w:rPr>
                <w:noProof/>
              </w:rPr>
              <w:t>M/T</w:t>
            </w:r>
          </w:p>
        </w:tc>
        <w:tc>
          <w:tcPr>
            <w:tcW w:w="1417" w:type="dxa"/>
            <w:vMerge w:val="restart"/>
            <w:shd w:val="clear" w:color="auto" w:fill="BDD7EE"/>
            <w:vAlign w:val="center"/>
          </w:tcPr>
          <w:p w14:paraId="7A470AC5" w14:textId="77777777" w:rsidR="00235E11" w:rsidRDefault="00F837E4">
            <w:pPr>
              <w:pStyle w:val="P68B1DB1-Normal7"/>
              <w:spacing w:after="0" w:line="240" w:lineRule="auto"/>
              <w:jc w:val="center"/>
              <w:rPr>
                <w:noProof/>
                <w:color w:val="006100"/>
              </w:rPr>
            </w:pPr>
            <w:r>
              <w:rPr>
                <w:noProof/>
              </w:rPr>
              <w:t>Име</w:t>
            </w:r>
          </w:p>
        </w:tc>
        <w:tc>
          <w:tcPr>
            <w:tcW w:w="1276" w:type="dxa"/>
            <w:vMerge w:val="restart"/>
            <w:shd w:val="clear" w:color="auto" w:fill="BDD7EE"/>
            <w:vAlign w:val="center"/>
          </w:tcPr>
          <w:p w14:paraId="12750ED2" w14:textId="77777777" w:rsidR="00235E11" w:rsidRDefault="00F837E4">
            <w:pPr>
              <w:pStyle w:val="P68B1DB1-Normal8"/>
              <w:spacing w:after="0" w:line="240" w:lineRule="auto"/>
              <w:jc w:val="center"/>
              <w:rPr>
                <w:rFonts w:ascii="Times New Roman" w:hAnsi="Times New Roman" w:cs="Times New Roman"/>
                <w:noProof/>
                <w:color w:val="006100"/>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551" w:type="dxa"/>
            <w:gridSpan w:val="3"/>
            <w:shd w:val="clear" w:color="auto" w:fill="BDD7EE"/>
            <w:vAlign w:val="center"/>
          </w:tcPr>
          <w:p w14:paraId="2FC64D74" w14:textId="77777777" w:rsidR="00235E11" w:rsidRDefault="00F837E4">
            <w:pPr>
              <w:pStyle w:val="P68B1DB1-Normal8"/>
              <w:spacing w:after="0" w:line="240" w:lineRule="auto"/>
              <w:jc w:val="center"/>
              <w:rPr>
                <w:rFonts w:ascii="Times New Roman" w:eastAsia="Times New Roman" w:hAnsi="Times New Roman" w:cs="Times New Roman"/>
                <w:noProof/>
                <w:color w:val="006100"/>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8" w:type="dxa"/>
            <w:gridSpan w:val="2"/>
            <w:shd w:val="clear" w:color="auto" w:fill="BDD7EE"/>
            <w:vAlign w:val="center"/>
          </w:tcPr>
          <w:p w14:paraId="659639B3" w14:textId="77777777" w:rsidR="00235E11" w:rsidRDefault="00F837E4">
            <w:pPr>
              <w:pStyle w:val="P68B1DB1-Normal7"/>
              <w:jc w:val="center"/>
              <w:rPr>
                <w:noProof/>
              </w:rPr>
            </w:pPr>
            <w:r>
              <w:rPr>
                <w:noProof/>
              </w:rPr>
              <w:t>Примерен график за приключване</w:t>
            </w:r>
          </w:p>
        </w:tc>
        <w:tc>
          <w:tcPr>
            <w:tcW w:w="4642" w:type="dxa"/>
            <w:vMerge w:val="restart"/>
            <w:shd w:val="clear" w:color="auto" w:fill="BDD7EE"/>
            <w:vAlign w:val="center"/>
          </w:tcPr>
          <w:p w14:paraId="4F306AB5" w14:textId="77777777" w:rsidR="00235E11" w:rsidRDefault="00F837E4">
            <w:pPr>
              <w:pStyle w:val="P68B1DB1-Normal7"/>
              <w:jc w:val="center"/>
              <w:rPr>
                <w:noProof/>
              </w:rPr>
            </w:pPr>
            <w:r>
              <w:rPr>
                <w:noProof/>
              </w:rPr>
              <w:t>Описание на всеки ключов етап и цел</w:t>
            </w:r>
          </w:p>
        </w:tc>
      </w:tr>
      <w:tr w:rsidR="00235E11" w14:paraId="11952FF7" w14:textId="77777777">
        <w:trPr>
          <w:trHeight w:val="154"/>
        </w:trPr>
        <w:tc>
          <w:tcPr>
            <w:tcW w:w="562" w:type="dxa"/>
            <w:vMerge/>
          </w:tcPr>
          <w:p w14:paraId="6A291946" w14:textId="77777777" w:rsidR="00235E11" w:rsidRDefault="00235E11">
            <w:pPr>
              <w:rPr>
                <w:rFonts w:ascii="Times New Roman" w:hAnsi="Times New Roman" w:cs="Times New Roman"/>
                <w:noProof/>
              </w:rPr>
            </w:pPr>
          </w:p>
        </w:tc>
        <w:tc>
          <w:tcPr>
            <w:tcW w:w="1418" w:type="dxa"/>
            <w:vMerge/>
          </w:tcPr>
          <w:p w14:paraId="45BB8CDD" w14:textId="77777777" w:rsidR="00235E11" w:rsidRDefault="00235E11">
            <w:pPr>
              <w:rPr>
                <w:rFonts w:ascii="Times New Roman" w:hAnsi="Times New Roman" w:cs="Times New Roman"/>
                <w:noProof/>
              </w:rPr>
            </w:pPr>
          </w:p>
        </w:tc>
        <w:tc>
          <w:tcPr>
            <w:tcW w:w="709" w:type="dxa"/>
            <w:vMerge/>
          </w:tcPr>
          <w:p w14:paraId="4717CC7B" w14:textId="77777777" w:rsidR="00235E11" w:rsidRDefault="00235E11">
            <w:pPr>
              <w:rPr>
                <w:rFonts w:ascii="Times New Roman" w:hAnsi="Times New Roman" w:cs="Times New Roman"/>
                <w:noProof/>
              </w:rPr>
            </w:pPr>
          </w:p>
        </w:tc>
        <w:tc>
          <w:tcPr>
            <w:tcW w:w="1417" w:type="dxa"/>
            <w:vMerge/>
          </w:tcPr>
          <w:p w14:paraId="770C6E7C" w14:textId="77777777" w:rsidR="00235E11" w:rsidRDefault="00235E11">
            <w:pPr>
              <w:rPr>
                <w:rFonts w:ascii="Times New Roman" w:hAnsi="Times New Roman" w:cs="Times New Roman"/>
                <w:noProof/>
              </w:rPr>
            </w:pPr>
          </w:p>
        </w:tc>
        <w:tc>
          <w:tcPr>
            <w:tcW w:w="1276" w:type="dxa"/>
            <w:vMerge/>
            <w:vAlign w:val="center"/>
          </w:tcPr>
          <w:p w14:paraId="32F78927" w14:textId="77777777" w:rsidR="00235E11" w:rsidRDefault="00235E11">
            <w:pPr>
              <w:spacing w:after="0" w:line="240" w:lineRule="auto"/>
              <w:rPr>
                <w:rFonts w:ascii="Times New Roman" w:hAnsi="Times New Roman" w:cs="Times New Roman"/>
                <w:noProof/>
                <w:color w:val="006100"/>
              </w:rPr>
            </w:pPr>
          </w:p>
        </w:tc>
        <w:tc>
          <w:tcPr>
            <w:tcW w:w="992" w:type="dxa"/>
            <w:shd w:val="clear" w:color="auto" w:fill="BDD7EE"/>
            <w:vAlign w:val="center"/>
          </w:tcPr>
          <w:p w14:paraId="5D556B9E" w14:textId="77777777" w:rsidR="00235E11" w:rsidRDefault="00F837E4">
            <w:pPr>
              <w:pStyle w:val="P68B1DB1-Normal7"/>
              <w:spacing w:after="0" w:line="240" w:lineRule="auto"/>
              <w:jc w:val="center"/>
              <w:rPr>
                <w:noProof/>
                <w:color w:val="006100"/>
              </w:rPr>
            </w:pPr>
            <w:r>
              <w:rPr>
                <w:noProof/>
              </w:rPr>
              <w:t>Единица мярка</w:t>
            </w:r>
          </w:p>
        </w:tc>
        <w:tc>
          <w:tcPr>
            <w:tcW w:w="709" w:type="dxa"/>
            <w:shd w:val="clear" w:color="auto" w:fill="BDD7EE"/>
            <w:vAlign w:val="center"/>
          </w:tcPr>
          <w:p w14:paraId="310E6D0F" w14:textId="77777777" w:rsidR="00235E11" w:rsidRDefault="00F837E4">
            <w:pPr>
              <w:pStyle w:val="P68B1DB1-Normal7"/>
              <w:spacing w:after="0" w:line="240" w:lineRule="auto"/>
              <w:jc w:val="center"/>
              <w:rPr>
                <w:noProof/>
                <w:color w:val="006100"/>
              </w:rPr>
            </w:pPr>
            <w:r>
              <w:rPr>
                <w:noProof/>
              </w:rPr>
              <w:t>Базова линия</w:t>
            </w:r>
          </w:p>
        </w:tc>
        <w:tc>
          <w:tcPr>
            <w:tcW w:w="850" w:type="dxa"/>
            <w:shd w:val="clear" w:color="auto" w:fill="BDD7EE"/>
            <w:vAlign w:val="center"/>
          </w:tcPr>
          <w:p w14:paraId="117A9811" w14:textId="77777777" w:rsidR="00235E11" w:rsidRDefault="00F837E4">
            <w:pPr>
              <w:pStyle w:val="P68B1DB1-Normal7"/>
              <w:spacing w:after="0" w:line="240" w:lineRule="auto"/>
              <w:jc w:val="center"/>
              <w:rPr>
                <w:noProof/>
              </w:rPr>
            </w:pPr>
            <w:r>
              <w:rPr>
                <w:noProof/>
              </w:rPr>
              <w:t>Цел</w:t>
            </w:r>
          </w:p>
        </w:tc>
        <w:tc>
          <w:tcPr>
            <w:tcW w:w="709" w:type="dxa"/>
            <w:shd w:val="clear" w:color="auto" w:fill="BDD7EE"/>
            <w:vAlign w:val="center"/>
          </w:tcPr>
          <w:p w14:paraId="27287FD2" w14:textId="77777777" w:rsidR="00235E11" w:rsidRDefault="00F837E4">
            <w:pPr>
              <w:pStyle w:val="P68B1DB1-Normal7"/>
              <w:spacing w:after="0" w:line="240" w:lineRule="auto"/>
              <w:jc w:val="center"/>
              <w:rPr>
                <w:noProof/>
                <w:color w:val="006100"/>
              </w:rPr>
            </w:pPr>
            <w:r>
              <w:rPr>
                <w:noProof/>
              </w:rPr>
              <w:t>Тримесечие</w:t>
            </w:r>
          </w:p>
        </w:tc>
        <w:tc>
          <w:tcPr>
            <w:tcW w:w="709" w:type="dxa"/>
            <w:shd w:val="clear" w:color="auto" w:fill="BDD7EE"/>
            <w:vAlign w:val="center"/>
          </w:tcPr>
          <w:p w14:paraId="57BC653E" w14:textId="77777777" w:rsidR="00235E11" w:rsidRDefault="00F837E4">
            <w:pPr>
              <w:pStyle w:val="P68B1DB1-Normal7"/>
              <w:spacing w:after="0" w:line="240" w:lineRule="auto"/>
              <w:jc w:val="center"/>
              <w:rPr>
                <w:noProof/>
                <w:color w:val="006100"/>
              </w:rPr>
            </w:pPr>
            <w:r>
              <w:rPr>
                <w:noProof/>
              </w:rPr>
              <w:t>Година</w:t>
            </w:r>
          </w:p>
        </w:tc>
        <w:tc>
          <w:tcPr>
            <w:tcW w:w="4642" w:type="dxa"/>
            <w:vMerge/>
            <w:vAlign w:val="center"/>
          </w:tcPr>
          <w:p w14:paraId="7184E013" w14:textId="77777777" w:rsidR="00235E11" w:rsidRDefault="00235E11">
            <w:pPr>
              <w:rPr>
                <w:rFonts w:ascii="Times New Roman" w:eastAsia="Times New Roman" w:hAnsi="Times New Roman" w:cs="Times New Roman"/>
                <w:b/>
                <w:noProof/>
              </w:rPr>
            </w:pPr>
          </w:p>
        </w:tc>
      </w:tr>
      <w:tr w:rsidR="00235E11" w14:paraId="00038EE2"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C6EFCE"/>
            <w:vAlign w:val="center"/>
          </w:tcPr>
          <w:p w14:paraId="235DE256" w14:textId="77777777" w:rsidR="00235E11" w:rsidRDefault="00F837E4">
            <w:pPr>
              <w:pStyle w:val="P68B1DB1-Normal9"/>
              <w:spacing w:after="0" w:line="240" w:lineRule="auto"/>
              <w:jc w:val="center"/>
              <w:rPr>
                <w:noProof/>
              </w:rPr>
            </w:pPr>
            <w:r>
              <w:rPr>
                <w:noProof/>
              </w:rPr>
              <w:t>226</w:t>
            </w:r>
          </w:p>
        </w:tc>
        <w:tc>
          <w:tcPr>
            <w:tcW w:w="1418" w:type="dxa"/>
            <w:tcBorders>
              <w:top w:val="single" w:sz="4" w:space="0" w:color="auto"/>
              <w:left w:val="single" w:sz="4" w:space="0" w:color="auto"/>
              <w:bottom w:val="single" w:sz="4" w:space="0" w:color="auto"/>
              <w:right w:val="single" w:sz="4" w:space="0" w:color="auto"/>
            </w:tcBorders>
            <w:shd w:val="clear" w:color="auto" w:fill="C6EFCE"/>
            <w:vAlign w:val="center"/>
          </w:tcPr>
          <w:p w14:paraId="63C0BB48" w14:textId="77777777" w:rsidR="00235E11" w:rsidRDefault="00F837E4">
            <w:pPr>
              <w:pStyle w:val="P68B1DB1-Normal9"/>
              <w:spacing w:after="0" w:line="240" w:lineRule="auto"/>
              <w:rPr>
                <w:noProof/>
              </w:rPr>
            </w:pPr>
            <w:r>
              <w:rPr>
                <w:noProof/>
              </w:rPr>
              <w:t>Гръбнак на H2 (I-7.15)</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73DDA247" w14:textId="77777777" w:rsidR="00235E11" w:rsidRDefault="00F837E4">
            <w:pPr>
              <w:pStyle w:val="P68B1DB1-Normal9"/>
              <w:spacing w:after="0" w:line="240" w:lineRule="auto"/>
              <w:rPr>
                <w:noProof/>
              </w:rPr>
            </w:pPr>
            <w:r>
              <w:rPr>
                <w:noProof/>
              </w:rPr>
              <w:t>M</w:t>
            </w:r>
          </w:p>
        </w:tc>
        <w:tc>
          <w:tcPr>
            <w:tcW w:w="1417" w:type="dxa"/>
            <w:tcBorders>
              <w:top w:val="single" w:sz="4" w:space="0" w:color="auto"/>
              <w:left w:val="single" w:sz="4" w:space="0" w:color="auto"/>
              <w:bottom w:val="single" w:sz="4" w:space="0" w:color="auto"/>
              <w:right w:val="single" w:sz="4" w:space="0" w:color="auto"/>
            </w:tcBorders>
            <w:shd w:val="clear" w:color="auto" w:fill="C6EFCE"/>
            <w:vAlign w:val="center"/>
          </w:tcPr>
          <w:p w14:paraId="18A777EE" w14:textId="77777777" w:rsidR="00235E11" w:rsidRDefault="00F837E4">
            <w:pPr>
              <w:pStyle w:val="P68B1DB1-Normal9"/>
              <w:spacing w:after="0" w:line="240" w:lineRule="auto"/>
              <w:rPr>
                <w:noProof/>
              </w:rPr>
            </w:pPr>
            <w:r>
              <w:rPr>
                <w:noProof/>
              </w:rPr>
              <w:t>Приемане на инвестиционния план за опорната инфраструктура на „Хоризонт 2“</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BB09BEE" w14:textId="73855E13" w:rsidR="00235E11" w:rsidRDefault="00F837E4">
            <w:pPr>
              <w:pStyle w:val="P68B1DB1-Normal9"/>
              <w:spacing w:after="0" w:line="240" w:lineRule="auto"/>
              <w:rPr>
                <w:noProof/>
              </w:rPr>
            </w:pPr>
            <w:r>
              <w:rPr>
                <w:noProof/>
              </w:rPr>
              <w:t>Приемане от федералното правителство на инвестиционния план „Горна кост за H2“</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715AFBAF" w14:textId="77777777" w:rsidR="00235E11" w:rsidRDefault="00235E11">
            <w:pPr>
              <w:spacing w:after="0"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4A765D16" w14:textId="77777777" w:rsidR="00235E11" w:rsidRDefault="00235E11">
            <w:pPr>
              <w:spacing w:after="0" w:line="240" w:lineRule="auto"/>
              <w:rPr>
                <w:rFonts w:ascii="Times New Roman" w:eastAsia="Times New Roman" w:hAnsi="Times New Roman" w:cs="Times New Roman"/>
                <w:noProof/>
                <w:color w:val="006100"/>
              </w:rPr>
            </w:pPr>
          </w:p>
        </w:tc>
        <w:tc>
          <w:tcPr>
            <w:tcW w:w="850" w:type="dxa"/>
            <w:tcBorders>
              <w:top w:val="single" w:sz="4" w:space="0" w:color="auto"/>
              <w:left w:val="single" w:sz="4" w:space="0" w:color="auto"/>
              <w:bottom w:val="single" w:sz="4" w:space="0" w:color="auto"/>
              <w:right w:val="single" w:sz="4" w:space="0" w:color="auto"/>
            </w:tcBorders>
            <w:shd w:val="clear" w:color="auto" w:fill="C6EFCE"/>
            <w:vAlign w:val="center"/>
          </w:tcPr>
          <w:p w14:paraId="39DE0037" w14:textId="77777777" w:rsidR="00235E11" w:rsidRDefault="00235E11">
            <w:pPr>
              <w:spacing w:after="0" w:line="240" w:lineRule="auto"/>
              <w:rPr>
                <w:rFonts w:ascii="Times New Roman" w:eastAsia="Times New Roman" w:hAnsi="Times New Roman" w:cs="Times New Roman"/>
                <w:noProof/>
                <w:color w:val="006100"/>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14BB150D" w14:textId="77777777" w:rsidR="00235E11" w:rsidRDefault="00F837E4">
            <w:pPr>
              <w:pStyle w:val="P68B1DB1-Normal9"/>
              <w:spacing w:after="0" w:line="240" w:lineRule="auto"/>
              <w:jc w:val="center"/>
              <w:rPr>
                <w:noProof/>
              </w:rPr>
            </w:pPr>
            <w:r>
              <w:rPr>
                <w:noProof/>
              </w:rPr>
              <w:t>Т4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82349BE" w14:textId="15EF6E45" w:rsidR="00235E11" w:rsidRDefault="00F837E4">
            <w:pPr>
              <w:pStyle w:val="P68B1DB1-Normal9"/>
              <w:spacing w:after="0" w:line="240" w:lineRule="auto"/>
              <w:jc w:val="center"/>
              <w:rPr>
                <w:noProof/>
                <w:color w:val="4472C4" w:themeColor="accent1"/>
              </w:rPr>
            </w:pPr>
            <w:r>
              <w:rPr>
                <w:noProof/>
              </w:rPr>
              <w:t>2023</w:t>
            </w:r>
          </w:p>
        </w:tc>
        <w:tc>
          <w:tcPr>
            <w:tcW w:w="4642" w:type="dxa"/>
            <w:tcBorders>
              <w:top w:val="single" w:sz="4" w:space="0" w:color="auto"/>
              <w:left w:val="single" w:sz="4" w:space="0" w:color="auto"/>
              <w:bottom w:val="single" w:sz="4" w:space="0" w:color="auto"/>
              <w:right w:val="single" w:sz="4" w:space="0" w:color="auto"/>
            </w:tcBorders>
            <w:shd w:val="clear" w:color="auto" w:fill="C6EFCE"/>
            <w:vAlign w:val="center"/>
          </w:tcPr>
          <w:p w14:paraId="2CD0FCCE" w14:textId="77777777" w:rsidR="00235E11" w:rsidRDefault="00F837E4">
            <w:pPr>
              <w:pStyle w:val="P68B1DB1-Default40"/>
              <w:rPr>
                <w:noProof/>
              </w:rPr>
            </w:pPr>
            <w:r>
              <w:rPr>
                <w:noProof/>
              </w:rPr>
              <w:t>Приемане от федералното правителство на инвестиционния план „Backbone for H2 „за разработване на първите клъстери за опорни проекти по „Хоризонт 2“, след консултация с компетентния регулаторен орган (CREG).</w:t>
            </w:r>
          </w:p>
          <w:p w14:paraId="687F2B32" w14:textId="77777777" w:rsidR="00235E11" w:rsidRDefault="00F837E4">
            <w:pPr>
              <w:pStyle w:val="P68B1DB1-Default40"/>
              <w:rPr>
                <w:noProof/>
              </w:rPr>
            </w:pPr>
            <w:r>
              <w:rPr>
                <w:noProof/>
              </w:rPr>
              <w:t xml:space="preserve">Инвестиционният план съдържа предложен подбор на проекти, които отговарят на следните условия </w:t>
            </w:r>
            <w:r>
              <w:rPr>
                <w:i/>
                <w:noProof/>
              </w:rPr>
              <w:t>(условия за ненанасяне на значителни вреди)</w:t>
            </w:r>
            <w:r>
              <w:rPr>
                <w:noProof/>
              </w:rPr>
              <w:t>:</w:t>
            </w:r>
          </w:p>
          <w:p w14:paraId="081E82AF" w14:textId="77777777" w:rsidR="00235E11" w:rsidRDefault="00F837E4">
            <w:pPr>
              <w:pStyle w:val="P68B1DB1-Default40"/>
              <w:rPr>
                <w:noProof/>
              </w:rPr>
            </w:pPr>
            <w:r>
              <w:rPr>
                <w:noProof/>
              </w:rPr>
              <w:t>1. Изграждането или експлоатацията на нови транспортни мрежи, предназначени за водород (в рамките на настоящата точка също така попада в обхвата на разширяването на съществуващите специални тръбопроводи за водород и промените, направени в тези тръбопроводи, за да се осигурят повече точки на свързване и методика за отворен достъп);</w:t>
            </w:r>
          </w:p>
          <w:p w14:paraId="71A91E7D" w14:textId="1588179E" w:rsidR="00235E11" w:rsidRDefault="00F837E4">
            <w:pPr>
              <w:pStyle w:val="P68B1DB1-Default40"/>
              <w:rPr>
                <w:noProof/>
              </w:rPr>
            </w:pPr>
            <w:r>
              <w:rPr>
                <w:noProof/>
              </w:rPr>
              <w:t>2. Преобразуване/промяна на предназначението на съществуващите мрежи за природен газ на 100 % водород.</w:t>
            </w:r>
          </w:p>
        </w:tc>
      </w:tr>
      <w:tr w:rsidR="00235E11" w14:paraId="00C1037A"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C6EFCE"/>
            <w:vAlign w:val="center"/>
          </w:tcPr>
          <w:p w14:paraId="238D361E" w14:textId="77777777" w:rsidR="00235E11" w:rsidRDefault="00F837E4">
            <w:pPr>
              <w:pStyle w:val="P68B1DB1-Normal9"/>
              <w:spacing w:after="0" w:line="240" w:lineRule="auto"/>
              <w:jc w:val="center"/>
              <w:rPr>
                <w:noProof/>
              </w:rPr>
            </w:pPr>
            <w:r>
              <w:rPr>
                <w:noProof/>
              </w:rPr>
              <w:t>227</w:t>
            </w:r>
          </w:p>
        </w:tc>
        <w:tc>
          <w:tcPr>
            <w:tcW w:w="1418" w:type="dxa"/>
            <w:tcBorders>
              <w:top w:val="single" w:sz="4" w:space="0" w:color="auto"/>
              <w:left w:val="single" w:sz="4" w:space="0" w:color="auto"/>
              <w:bottom w:val="single" w:sz="4" w:space="0" w:color="auto"/>
              <w:right w:val="single" w:sz="4" w:space="0" w:color="auto"/>
            </w:tcBorders>
            <w:shd w:val="clear" w:color="auto" w:fill="C6EFCE"/>
            <w:vAlign w:val="center"/>
          </w:tcPr>
          <w:p w14:paraId="7B61D159" w14:textId="77777777" w:rsidR="00235E11" w:rsidRDefault="00F837E4">
            <w:pPr>
              <w:pStyle w:val="P68B1DB1-Normal9"/>
              <w:spacing w:after="0" w:line="240" w:lineRule="auto"/>
              <w:rPr>
                <w:noProof/>
              </w:rPr>
            </w:pPr>
            <w:r>
              <w:rPr>
                <w:noProof/>
              </w:rPr>
              <w:t>Гръбнак на H2 (I-7.15)</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72A930B0" w14:textId="77777777" w:rsidR="00235E11" w:rsidRDefault="00F837E4">
            <w:pPr>
              <w:pStyle w:val="P68B1DB1-Normal9"/>
              <w:spacing w:after="0" w:line="240" w:lineRule="auto"/>
              <w:rPr>
                <w:noProof/>
              </w:rPr>
            </w:pPr>
            <w:r>
              <w:rPr>
                <w:noProof/>
              </w:rPr>
              <w:t>T</w:t>
            </w:r>
          </w:p>
        </w:tc>
        <w:tc>
          <w:tcPr>
            <w:tcW w:w="1417" w:type="dxa"/>
            <w:tcBorders>
              <w:top w:val="single" w:sz="4" w:space="0" w:color="auto"/>
              <w:left w:val="single" w:sz="4" w:space="0" w:color="auto"/>
              <w:bottom w:val="single" w:sz="4" w:space="0" w:color="auto"/>
              <w:right w:val="single" w:sz="4" w:space="0" w:color="auto"/>
            </w:tcBorders>
            <w:shd w:val="clear" w:color="auto" w:fill="C6EFCE"/>
            <w:vAlign w:val="center"/>
          </w:tcPr>
          <w:p w14:paraId="5FBDC101" w14:textId="77777777" w:rsidR="00235E11" w:rsidRDefault="00F837E4">
            <w:pPr>
              <w:pStyle w:val="P68B1DB1-Normal9"/>
              <w:spacing w:after="0" w:line="240" w:lineRule="auto"/>
              <w:rPr>
                <w:noProof/>
              </w:rPr>
            </w:pPr>
            <w:r>
              <w:rPr>
                <w:noProof/>
              </w:rPr>
              <w:t>Изграждане и експлоатация на 150 км тръбопровод за H2</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DA220F4" w14:textId="77777777" w:rsidR="00235E11" w:rsidRDefault="00235E11">
            <w:pPr>
              <w:spacing w:after="0" w:line="240" w:lineRule="auto"/>
              <w:rPr>
                <w:rFonts w:ascii="Times New Roman" w:hAnsi="Times New Roman" w:cs="Times New Roman"/>
                <w:noProof/>
                <w:color w:val="006100"/>
              </w:rPr>
            </w:pP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1FD6DF19" w14:textId="77777777" w:rsidR="00235E11" w:rsidRDefault="00F837E4">
            <w:pPr>
              <w:pStyle w:val="P68B1DB1-Normal9"/>
              <w:spacing w:after="0" w:line="240" w:lineRule="auto"/>
              <w:rPr>
                <w:rFonts w:eastAsia="Times New Roman"/>
                <w:noProof/>
              </w:rPr>
            </w:pPr>
            <w:r>
              <w:rPr>
                <w:noProof/>
              </w:rPr>
              <w:t>километър</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11398D3D" w14:textId="77777777" w:rsidR="00235E11" w:rsidRDefault="00F837E4">
            <w:pPr>
              <w:pStyle w:val="P68B1DB1-Normal9"/>
              <w:spacing w:after="0" w:line="240" w:lineRule="auto"/>
              <w:rPr>
                <w:rFonts w:eastAsia="Times New Roman"/>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vAlign w:val="center"/>
          </w:tcPr>
          <w:p w14:paraId="67EC17C1" w14:textId="77777777" w:rsidR="00235E11" w:rsidRDefault="00F837E4">
            <w:pPr>
              <w:pStyle w:val="P68B1DB1-Normal9"/>
              <w:spacing w:after="0" w:line="240" w:lineRule="auto"/>
              <w:rPr>
                <w:rFonts w:eastAsia="Times New Roman"/>
                <w:noProof/>
              </w:rPr>
            </w:pPr>
            <w:r>
              <w:rPr>
                <w:noProof/>
              </w:rPr>
              <w:t>150</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7582299" w14:textId="77777777" w:rsidR="00235E11" w:rsidRDefault="00F837E4">
            <w:pPr>
              <w:pStyle w:val="P68B1DB1-Normal9"/>
              <w:spacing w:after="0" w:line="240" w:lineRule="auto"/>
              <w:jc w:val="center"/>
              <w:rPr>
                <w:noProof/>
              </w:rPr>
            </w:pPr>
            <w:r>
              <w:rPr>
                <w:noProof/>
              </w:rPr>
              <w:t>Т2 Г.</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3B343F78" w14:textId="77777777" w:rsidR="00235E11" w:rsidRDefault="00F837E4">
            <w:pPr>
              <w:pStyle w:val="P68B1DB1-Normal9"/>
              <w:spacing w:after="0" w:line="240" w:lineRule="auto"/>
              <w:jc w:val="center"/>
              <w:rPr>
                <w:noProof/>
                <w:color w:val="4472C4" w:themeColor="accent1"/>
              </w:rPr>
            </w:pPr>
            <w:r>
              <w:rPr>
                <w:noProof/>
              </w:rPr>
              <w:t>2026</w:t>
            </w:r>
          </w:p>
        </w:tc>
        <w:tc>
          <w:tcPr>
            <w:tcW w:w="4642" w:type="dxa"/>
            <w:tcBorders>
              <w:top w:val="single" w:sz="4" w:space="0" w:color="auto"/>
              <w:left w:val="single" w:sz="4" w:space="0" w:color="auto"/>
              <w:bottom w:val="single" w:sz="4" w:space="0" w:color="auto"/>
              <w:right w:val="single" w:sz="4" w:space="0" w:color="auto"/>
            </w:tcBorders>
            <w:shd w:val="clear" w:color="auto" w:fill="C6EFCE"/>
            <w:vAlign w:val="center"/>
          </w:tcPr>
          <w:p w14:paraId="5E73AA0C" w14:textId="77777777" w:rsidR="00235E11" w:rsidRDefault="00F837E4">
            <w:pPr>
              <w:pStyle w:val="P68B1DB1-Default40"/>
              <w:rPr>
                <w:noProof/>
              </w:rPr>
            </w:pPr>
            <w:r>
              <w:rPr>
                <w:noProof/>
              </w:rPr>
              <w:t>Изграждане и експлоатация на 150 km тръбопровод за H2 (или реализиран чрез промяна на предназначението на газопроводи, използвани досега за транспортиране на други газове).</w:t>
            </w:r>
          </w:p>
          <w:p w14:paraId="164F64D4" w14:textId="77777777" w:rsidR="00235E11" w:rsidRDefault="00F837E4">
            <w:pPr>
              <w:pStyle w:val="P68B1DB1-Default40"/>
              <w:rPr>
                <w:noProof/>
              </w:rPr>
            </w:pPr>
            <w:r>
              <w:rPr>
                <w:noProof/>
              </w:rPr>
              <w:t xml:space="preserve">Трябва да бъдат изпълнени следните условия </w:t>
            </w:r>
            <w:r>
              <w:rPr>
                <w:i/>
                <w:noProof/>
              </w:rPr>
              <w:t>(условия за ненанасяне на значителни вреди)</w:t>
            </w:r>
            <w:r>
              <w:rPr>
                <w:noProof/>
              </w:rPr>
              <w:t xml:space="preserve">: </w:t>
            </w:r>
          </w:p>
          <w:p w14:paraId="7EDBE404" w14:textId="7A06D263" w:rsidR="00235E11" w:rsidRDefault="00F837E4">
            <w:pPr>
              <w:pStyle w:val="P68B1DB1-Default40"/>
              <w:rPr>
                <w:noProof/>
              </w:rPr>
            </w:pPr>
            <w:r>
              <w:rPr>
                <w:noProof/>
              </w:rPr>
              <w:t xml:space="preserve">1. Изграждането или експлоатацията на нови транспортни мрежи, предназначени за водород (в рамките на настоящата точка също така попада в обхвата на разширяването на съществуващите специални тръбопроводи за водород и промените, направени в тези тръбопроводи, за да се осигурят повече точки на свързване и методика за отворен достъп); </w:t>
            </w:r>
          </w:p>
          <w:p w14:paraId="54C766D6" w14:textId="429957D0" w:rsidR="00235E11" w:rsidRDefault="00F837E4">
            <w:pPr>
              <w:pStyle w:val="P68B1DB1-Default40"/>
              <w:rPr>
                <w:noProof/>
              </w:rPr>
            </w:pPr>
            <w:r>
              <w:rPr>
                <w:noProof/>
              </w:rPr>
              <w:t>2. Преобразуване/промяна на предназначението на съществуващите мрежи за природен газ на 100 % водород.</w:t>
            </w:r>
          </w:p>
        </w:tc>
      </w:tr>
    </w:tbl>
    <w:p w14:paraId="07AF09BC" w14:textId="77777777" w:rsidR="00235E11" w:rsidRDefault="00235E11">
      <w:pPr>
        <w:pStyle w:val="TitreComposante"/>
        <w:jc w:val="both"/>
        <w:rPr>
          <w:noProof/>
        </w:rPr>
        <w:sectPr w:rsidR="00235E11" w:rsidSect="007F56C3">
          <w:headerReference w:type="even" r:id="rId276"/>
          <w:headerReference w:type="default" r:id="rId277"/>
          <w:footerReference w:type="even" r:id="rId278"/>
          <w:footerReference w:type="default" r:id="rId279"/>
          <w:headerReference w:type="first" r:id="rId280"/>
          <w:footerReference w:type="first" r:id="rId281"/>
          <w:pgSz w:w="16838" w:h="11906" w:orient="landscape"/>
          <w:pgMar w:top="1417" w:right="1417" w:bottom="1417" w:left="1417" w:header="708" w:footer="708" w:gutter="0"/>
          <w:cols w:space="708"/>
          <w:docGrid w:linePitch="360"/>
        </w:sectPr>
      </w:pPr>
    </w:p>
    <w:p w14:paraId="61151D6E" w14:textId="36C74C9C" w:rsidR="00235E11" w:rsidRDefault="00F837E4">
      <w:pPr>
        <w:pStyle w:val="ManualHeading1"/>
        <w:spacing w:before="120"/>
        <w:ind w:left="0" w:hanging="130"/>
        <w:rPr>
          <w:noProof/>
        </w:rPr>
      </w:pPr>
      <w:r>
        <w:rPr>
          <w:noProof/>
          <w:lang w:val="bg-BG"/>
        </w:rPr>
        <w:t>У</w:t>
      </w:r>
      <w:r>
        <w:rPr>
          <w:noProof/>
        </w:rPr>
        <w:t xml:space="preserve">. </w:t>
      </w:r>
      <w:r>
        <w:rPr>
          <w:caps/>
          <w:smallCaps w:val="0"/>
          <w:noProof/>
        </w:rPr>
        <w:t>КОМПОНЕНТ</w:t>
      </w:r>
      <w:r>
        <w:rPr>
          <w:noProof/>
        </w:rPr>
        <w:t xml:space="preserve"> 7.3: Възобновяема енергия</w:t>
      </w:r>
    </w:p>
    <w:p w14:paraId="0216E9C8" w14:textId="77777777" w:rsidR="00235E11" w:rsidRDefault="00F837E4">
      <w:pPr>
        <w:pStyle w:val="P68B1DB1-Normal16"/>
        <w:spacing w:before="120" w:after="120" w:line="240" w:lineRule="auto"/>
        <w:jc w:val="both"/>
        <w:rPr>
          <w:noProof/>
        </w:rPr>
      </w:pPr>
      <w:r>
        <w:rPr>
          <w:noProof/>
        </w:rPr>
        <w:t>Целта на този компонент е да се намали зависимостта от изкопаеми горива чрез подпомагане на производството на електроенергия от възобновяеми източници, осигуряване на по-голяма взаимосвързаност и гъвкавост на електроенергийната система, както и ускоряване на интеграцията на възобновяемите енергийни източници. По-специално мерките по този компонент подкрепят капацитета за производство на енергия от възобновяеми източници чрез инвестиции в разположени в морето вятърни и слънчеви инсталации, по-специално чрез реформиране на регулаторната рамка, за да се стимулира инсталирането на вятърни турбини и фотоволтаични панели, и да се съкрати времето, необходимо за съдебни производства, свързани с проекти за енергиен преход.</w:t>
      </w:r>
    </w:p>
    <w:p w14:paraId="44134D29" w14:textId="77777777" w:rsidR="00235E11" w:rsidRDefault="00F837E4">
      <w:pPr>
        <w:pStyle w:val="NormalLeft"/>
        <w:jc w:val="both"/>
        <w:rPr>
          <w:noProof/>
        </w:rPr>
      </w:pPr>
      <w:r>
        <w:rPr>
          <w:noProof/>
        </w:rPr>
        <w:t xml:space="preserve">Компонентът допринася за изпълнението на специфични за всяка държава препоръки 2022.4 и 2023.4, в които Белгия се призовава да намали цялостната зависимост от изкопаеми горива чрез </w:t>
      </w:r>
      <w:r>
        <w:rPr>
          <w:i/>
          <w:noProof/>
        </w:rPr>
        <w:t>„ускоряване на внедряването на енергия от възобновяеми източници и свързаната с нея мрежова инфраструктура чрез допълнително рационализиране на процедурите за издаване на разрешения, включително чрез намаляване на продължителността на процедурите за обжалване, и чрез приемане на правни рамки за допълнително стимулиране на инвестициите в инсталации за енергия от възобновяеми източници и улесняване на споделянето на енергия.“</w:t>
      </w:r>
    </w:p>
    <w:p w14:paraId="3383FDE2"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69AF855D" w14:textId="30F23778" w:rsidR="00235E11" w:rsidRDefault="00F837E4">
      <w:pPr>
        <w:pStyle w:val="P68B1DB1-Text141"/>
        <w:ind w:left="0"/>
        <w:rPr>
          <w:noProof/>
        </w:rPr>
      </w:pPr>
      <w:r>
        <w:rPr>
          <w:noProof/>
          <w:lang w:val="bg-BG"/>
        </w:rPr>
        <w:t>У</w:t>
      </w:r>
      <w:r>
        <w:rPr>
          <w:noProof/>
        </w:rPr>
        <w:t>.1. Описание на реформите и инвестициите за безвъзмездна финансова подкрепа</w:t>
      </w:r>
    </w:p>
    <w:p w14:paraId="0D9C3ED1" w14:textId="77777777" w:rsidR="00235E11" w:rsidRDefault="00F837E4">
      <w:pPr>
        <w:pStyle w:val="P68B1DB1-Text142"/>
        <w:ind w:left="0"/>
        <w:rPr>
          <w:noProof/>
        </w:rPr>
      </w:pPr>
      <w:r>
        <w:rPr>
          <w:noProof/>
        </w:rPr>
        <w:t>Реформа R-7.02: „Реформа на процедурите за обжалване на Държавния съвет“ на федералната държава</w:t>
      </w:r>
    </w:p>
    <w:p w14:paraId="3E229F55" w14:textId="7A13E074" w:rsidR="00235E11" w:rsidRDefault="00F837E4">
      <w:pPr>
        <w:pStyle w:val="Text1"/>
        <w:ind w:left="0"/>
        <w:rPr>
          <w:rFonts w:eastAsia="Times New Roman"/>
          <w:noProof/>
          <w:shd w:val="clear" w:color="auto" w:fill="E6E6E6"/>
        </w:rPr>
      </w:pPr>
      <w:r>
        <w:rPr>
          <w:rFonts w:eastAsia="Times New Roman"/>
          <w:noProof/>
          <w:color w:val="000000" w:themeColor="text1"/>
        </w:rPr>
        <w:t>Тази реформа на Държавния съвет се състои в (1) съкращаване на времето, необходимо за разглеждане на</w:t>
      </w:r>
      <w:r w:rsidR="00617E7D">
        <w:rPr>
          <w:rFonts w:eastAsia="Times New Roman"/>
          <w:noProof/>
          <w:color w:val="000000" w:themeColor="text1"/>
          <w:lang w:val="bg-BG"/>
        </w:rPr>
        <w:t xml:space="preserve"> </w:t>
      </w:r>
      <w:r>
        <w:rPr>
          <w:rFonts w:eastAsia="Times New Roman"/>
          <w:noProof/>
        </w:rPr>
        <w:t>процедурите по обжалване, свързани с</w:t>
      </w:r>
      <w:r>
        <w:rPr>
          <w:rFonts w:eastAsia="Times New Roman"/>
          <w:noProof/>
          <w:color w:val="000000" w:themeColor="text1"/>
        </w:rPr>
        <w:t>решения за инвестиции в енергетиката и проекти за енергия от възобновяеми източници (доколкото Държавният съвет е компетентният орган</w:t>
      </w:r>
      <w:r>
        <w:rPr>
          <w:rFonts w:ascii="Calibri" w:eastAsia="Calibri" w:hAnsi="Calibri" w:cs="Calibri"/>
          <w:noProof/>
          <w:sz w:val="22"/>
        </w:rPr>
        <w:t>)</w:t>
      </w:r>
      <w:r>
        <w:rPr>
          <w:rFonts w:eastAsia="Times New Roman"/>
          <w:noProof/>
        </w:rPr>
        <w:t xml:space="preserve">, (2) даване на приоритет на разглеждането на досиетата за енергийния преход. Тази мярка има за цел </w:t>
      </w:r>
      <w:r>
        <w:rPr>
          <w:noProof/>
        </w:rPr>
        <w:t xml:space="preserve">увеличаване на дела и ускоряване на внедряването на енергия от възобновяеми източници в Белгия чрез премахване на административните пречки, свързани с процедурите за обжалване в процеса на осъществяване на инвестициите в енергия от възобновяеми източници. </w:t>
      </w:r>
      <w:r>
        <w:rPr>
          <w:rFonts w:eastAsia="Times New Roman"/>
          <w:noProof/>
        </w:rPr>
        <w:t xml:space="preserve">Изпълнението на мярката трябва да приключи до 30 </w:t>
      </w:r>
      <w:r>
        <w:rPr>
          <w:rFonts w:eastAsia="Times New Roman"/>
          <w:noProof/>
          <w:color w:val="000000" w:themeColor="text1"/>
        </w:rPr>
        <w:t>юни 2024 г.</w:t>
      </w:r>
    </w:p>
    <w:p w14:paraId="51475DB0" w14:textId="77777777" w:rsidR="00235E11" w:rsidRDefault="00F837E4">
      <w:pPr>
        <w:pStyle w:val="P68B1DB1-Text143"/>
        <w:ind w:left="0"/>
        <w:rPr>
          <w:noProof/>
        </w:rPr>
      </w:pPr>
      <w:r>
        <w:rPr>
          <w:noProof/>
        </w:rPr>
        <w:t>Реформа R-7.03: „Задължение за големите потребители във Фламандския регион“</w:t>
      </w:r>
    </w:p>
    <w:p w14:paraId="39E212A9" w14:textId="77777777" w:rsidR="00235E11" w:rsidRDefault="00F837E4">
      <w:pPr>
        <w:pStyle w:val="Text1"/>
        <w:ind w:left="0"/>
        <w:rPr>
          <w:rFonts w:eastAsia="Times New Roman"/>
          <w:noProof/>
          <w:color w:val="000000" w:themeColor="text1"/>
        </w:rPr>
      </w:pPr>
      <w:r>
        <w:rPr>
          <w:rFonts w:eastAsia="Times New Roman"/>
          <w:noProof/>
        </w:rPr>
        <w:t>С тази реформа се въвежда задължение за инсталиране на слънчеви фотоволтаични панели за частните сгради, разположени във Фландрия, които са свързани към пунктове за отвеждане на електроенергия, при които от календарната 2021 г. нататък се извършва изтегляне на повече от 1 GWh годишно, а сградите на обществени организации, разположени във Фландрия, които са свързани към пунктове за отвеждане на електроенергия</w:t>
      </w:r>
      <w:r>
        <w:rPr>
          <w:noProof/>
        </w:rPr>
        <w:t xml:space="preserve">, </w:t>
      </w:r>
      <w:r>
        <w:rPr>
          <w:rFonts w:eastAsia="Times New Roman"/>
          <w:noProof/>
        </w:rPr>
        <w:t xml:space="preserve">при които от календарната 2021 г. нататък има повече от 250 MWh годишно. Изпълнението на мярката трябва да приключи до 30 юни </w:t>
      </w:r>
      <w:r>
        <w:rPr>
          <w:rFonts w:eastAsia="Times New Roman"/>
          <w:noProof/>
          <w:color w:val="000000" w:themeColor="text1"/>
        </w:rPr>
        <w:t>2023 г.</w:t>
      </w:r>
    </w:p>
    <w:p w14:paraId="30F2C28D" w14:textId="77777777" w:rsidR="00235E11" w:rsidRDefault="00F837E4">
      <w:pPr>
        <w:pStyle w:val="P68B1DB1-Text111"/>
        <w:ind w:left="0"/>
        <w:rPr>
          <w:rFonts w:eastAsia="Times New Roman"/>
          <w:noProof/>
        </w:rPr>
      </w:pPr>
      <w:r>
        <w:rPr>
          <w:noProof/>
        </w:rPr>
        <w:t>Реформа R-7.04: „Ускоряване на енергийния преход“ на Валонския регион</w:t>
      </w:r>
    </w:p>
    <w:p w14:paraId="6C1E56F0" w14:textId="52DE6713" w:rsidR="00235E11" w:rsidRDefault="00F837E4">
      <w:pPr>
        <w:pStyle w:val="P68B1DB1-Normal16"/>
        <w:spacing w:before="120" w:after="120" w:line="240" w:lineRule="auto"/>
        <w:jc w:val="both"/>
        <w:rPr>
          <w:noProof/>
        </w:rPr>
      </w:pPr>
      <w:r>
        <w:rPr>
          <w:noProof/>
          <w:color w:val="000000" w:themeColor="text1"/>
        </w:rPr>
        <w:t xml:space="preserve">Тази реформа се състои в съкращаване на процедурите за издаване на разрешения за проекти за енергия от възобновяеми източници и в по-общ план в улесняване на разработването на такива проекти чрез: </w:t>
      </w:r>
      <w:r>
        <w:rPr>
          <w:noProof/>
        </w:rPr>
        <w:t>(1) реформиране на Закона за опазване на природата, (2) преразглеждане на Референтната рамка за вятърната енергия от 2013 г., (3) преразглеждане на рамката за разработване и издаване на разрешения за енергия от възобновяеми източници, (4) забрана на въглищата и мазут за отопление и топла вода за битови нужди в сградите. Изпълнението на мярката трябва да приключи до 30 юни 2025 г.</w:t>
      </w:r>
    </w:p>
    <w:p w14:paraId="62FA2C79" w14:textId="77777777" w:rsidR="00235E11" w:rsidRDefault="00F837E4">
      <w:pPr>
        <w:pStyle w:val="P68B1DB1-Text111"/>
        <w:ind w:left="0"/>
        <w:rPr>
          <w:noProof/>
        </w:rPr>
      </w:pPr>
      <w:r>
        <w:rPr>
          <w:noProof/>
        </w:rPr>
        <w:t>Инвестиция I-7.16: „Плаваща слънчева енергия“ на федералната държава</w:t>
      </w:r>
    </w:p>
    <w:p w14:paraId="3288FE64" w14:textId="147653F5" w:rsidR="00235E11" w:rsidRDefault="00F837E4">
      <w:pPr>
        <w:pStyle w:val="P68B1DB1-Normal16"/>
        <w:spacing w:before="120" w:after="120" w:line="240" w:lineRule="auto"/>
        <w:jc w:val="both"/>
        <w:rPr>
          <w:noProof/>
        </w:rPr>
      </w:pPr>
      <w:r>
        <w:rPr>
          <w:noProof/>
        </w:rPr>
        <w:t>Тази инвестиция се състои в НИРД за постигане на напредък по отношение на техническата, икономическата и финансовата осъществимост на плаващите слънчеви панели в Северно море и увеличаване на равнището на технологична готовност на тази технология от четири на седем (по деветстепенна скала) и в резултат на това ще доведе до инсталирането и привеждането в действие на напълно мащабен демонстратор на плаващи слънчеви панели с капацитет между 1 и 5 MW. Изпълнението на мярката трябва да приключи до 31 декември 2025 г.</w:t>
      </w:r>
    </w:p>
    <w:p w14:paraId="4C941366" w14:textId="77777777" w:rsidR="00235E11" w:rsidRDefault="00F837E4">
      <w:pPr>
        <w:pStyle w:val="P68B1DB1-Text111"/>
        <w:ind w:left="0"/>
        <w:rPr>
          <w:noProof/>
        </w:rPr>
      </w:pPr>
      <w:r>
        <w:rPr>
          <w:noProof/>
        </w:rPr>
        <w:t>Инвестиция I- 7.17: „Оптимизиране на разпределението на енергия“ на Валонския регион</w:t>
      </w:r>
    </w:p>
    <w:p w14:paraId="67B91E6C" w14:textId="77777777" w:rsidR="00235E11" w:rsidRDefault="00F837E4">
      <w:pPr>
        <w:pStyle w:val="Text1"/>
        <w:ind w:left="0"/>
        <w:rPr>
          <w:noProof/>
        </w:rPr>
      </w:pPr>
      <w:r>
        <w:rPr>
          <w:noProof/>
        </w:rPr>
        <w:t xml:space="preserve">Тази инвестиция се състои в предоставяне на субсидии на двата основни оператора на електроенергийната мрежа във Валонския регион (ORES и RESA), за да се направят мрежите по-интелигентни и да </w:t>
      </w:r>
      <w:r>
        <w:rPr>
          <w:rFonts w:eastAsia="Times New Roman"/>
          <w:noProof/>
        </w:rPr>
        <w:t>се осъществи укрепването на мрежата</w:t>
      </w:r>
      <w:r>
        <w:rPr>
          <w:noProof/>
        </w:rPr>
        <w:t>. Субсидиите, отпуснати на всеки от операторите, са пропорционални на техния дял в общия брой ползватели на мрежата. Изпълнението на мярката трябва да приключи до 30 юни 2026 г.</w:t>
      </w:r>
    </w:p>
    <w:p w14:paraId="43D1046E" w14:textId="77777777" w:rsidR="00235E11" w:rsidRDefault="00F837E4">
      <w:pPr>
        <w:pStyle w:val="P68B1DB1-Text111"/>
        <w:ind w:left="0"/>
        <w:rPr>
          <w:noProof/>
        </w:rPr>
      </w:pPr>
      <w:r>
        <w:rPr>
          <w:noProof/>
        </w:rPr>
        <w:t>Инвестиция I-7.18: „Иновативни инициативи за производство на енергия от възобновяеми източници“ на Фламандския регион</w:t>
      </w:r>
    </w:p>
    <w:p w14:paraId="44A3B8B7" w14:textId="4B2A343E" w:rsidR="00235E11" w:rsidRDefault="00F837E4">
      <w:pPr>
        <w:pStyle w:val="Text1"/>
        <w:ind w:left="0"/>
        <w:rPr>
          <w:noProof/>
        </w:rPr>
      </w:pPr>
      <w:r>
        <w:rPr>
          <w:noProof/>
        </w:rPr>
        <w:t xml:space="preserve">Тази мярка се състои в предоставяне на субсидии на дружества, инвестиращи в научноизследователски и развойни дейности, свързани с производството на иновативни технологии в областта на слънчевата енергия (фотоволтаични клетки, слънчеви топлинни системи, съхранение на енергия и включване в енергийни мрежи (електроенергия или топлинна енергия)), както и на дружества, инвестиращи в електрификацията на пристанищната инфраструктура във Фландрия (наземно електроснабдяване). За тази цел се отправя покана за представяне на проекти, насочена към проекти в тези две области. </w:t>
      </w:r>
      <w:r>
        <w:rPr>
          <w:rFonts w:eastAsia="Times New Roman"/>
          <w:noProof/>
          <w:color w:val="000000" w:themeColor="text1"/>
        </w:rPr>
        <w:t xml:space="preserve">Изпълнението на </w:t>
      </w:r>
      <w:r>
        <w:rPr>
          <w:rFonts w:eastAsia="Times New Roman"/>
          <w:noProof/>
        </w:rPr>
        <w:t xml:space="preserve">мярката </w:t>
      </w:r>
      <w:r>
        <w:rPr>
          <w:rFonts w:eastAsia="Times New Roman"/>
          <w:noProof/>
          <w:color w:val="000000" w:themeColor="text1"/>
        </w:rPr>
        <w:t>трябва да приключи до 30 юни 2026 г.</w:t>
      </w:r>
    </w:p>
    <w:p w14:paraId="57F22CA1" w14:textId="77777777" w:rsidR="00235E11" w:rsidRDefault="00F837E4">
      <w:pPr>
        <w:pStyle w:val="P68B1DB1-Text111"/>
        <w:ind w:left="0"/>
        <w:rPr>
          <w:noProof/>
        </w:rPr>
      </w:pPr>
      <w:r>
        <w:rPr>
          <w:noProof/>
        </w:rPr>
        <w:t>Инвестиция I-7.19: „Премахване на пречките пред енергията от възобновяеми източници“ на федералната държава</w:t>
      </w:r>
    </w:p>
    <w:p w14:paraId="00A708C4" w14:textId="77777777" w:rsidR="00235E11" w:rsidRDefault="00F837E4">
      <w:pPr>
        <w:spacing w:before="120" w:after="120" w:line="240" w:lineRule="auto"/>
        <w:jc w:val="both"/>
        <w:rPr>
          <w:rFonts w:ascii="Times New Roman" w:hAnsi="Times New Roman" w:cs="Times New Roman"/>
          <w:noProof/>
          <w:sz w:val="24"/>
        </w:rPr>
      </w:pPr>
      <w:r>
        <w:rPr>
          <w:rStyle w:val="normaltextrun"/>
          <w:rFonts w:ascii="Times New Roman" w:hAnsi="Times New Roman" w:cs="Times New Roman"/>
          <w:noProof/>
          <w:sz w:val="24"/>
        </w:rPr>
        <w:t>Тази мярка е насочена към намаляване на ограниченията в квартала на летищата (напр. разстояние от радарите, ограничения по отношение на височината, площ и местоположение на изключените зони), наложени от службите по контрол на въздушното движение върху изграждането на вятърни турбини, с оглед увеличаване на дела и ускоряване на внедряването на енергия от възобновяеми източници. Тази мярка се състои в рационализиране на аеронавигационните системи, въвеждане на нови технологии и оптимизиране на оперативните процедури, което ще допринесе за намаляване на защитените зони около летищата, като по този начин се освободи допълнително пространство за изграждане на нови вятърни паркове, като по този начин се увеличи делът и се ускори внедряването на енергия от възобновяеми източници. Изпълнението на мярката трябва да приключи до 30 юни 2026 г.</w:t>
      </w:r>
    </w:p>
    <w:p w14:paraId="2307E660" w14:textId="77777777" w:rsidR="00235E11" w:rsidRDefault="00235E11">
      <w:pPr>
        <w:pStyle w:val="Text1"/>
        <w:spacing w:before="0" w:after="0"/>
        <w:ind w:left="0"/>
        <w:rPr>
          <w:noProof/>
          <w:color w:val="000000" w:themeColor="text1"/>
        </w:rPr>
      </w:pPr>
    </w:p>
    <w:p w14:paraId="011DB9EF" w14:textId="538BBA6D" w:rsidR="00235E11" w:rsidRDefault="00F837E4">
      <w:pPr>
        <w:pStyle w:val="P68B1DB1-Jalonsetcibles37"/>
        <w:spacing w:before="120" w:after="120" w:line="240" w:lineRule="auto"/>
        <w:rPr>
          <w:noProof/>
        </w:rPr>
      </w:pPr>
      <w:r>
        <w:rPr>
          <w:noProof/>
          <w:lang w:val="bg-BG"/>
        </w:rPr>
        <w:t>У</w:t>
      </w:r>
      <w:r>
        <w:rPr>
          <w:noProof/>
        </w:rPr>
        <w:t>.2 Етапни</w:t>
      </w:r>
      <w:r w:rsidR="00617E7D">
        <w:rPr>
          <w:noProof/>
          <w:lang w:val="en-US"/>
        </w:rPr>
        <w:t xml:space="preserve"> </w:t>
      </w:r>
      <w:r w:rsidR="00617E7D">
        <w:rPr>
          <w:noProof/>
          <w:lang w:val="bg-BG"/>
        </w:rPr>
        <w:t>етапи</w:t>
      </w:r>
      <w:r>
        <w:rPr>
          <w:noProof/>
        </w:rPr>
        <w:t>, цели, показатели и график за мониторинг и изпълнение на безвъзмездната финансова подкрепа</w:t>
      </w:r>
    </w:p>
    <w:p w14:paraId="6C72C89F" w14:textId="77777777" w:rsidR="00235E11" w:rsidRDefault="00235E11">
      <w:pPr>
        <w:pStyle w:val="Jalonsetcibles"/>
        <w:spacing w:before="120" w:after="120" w:line="240" w:lineRule="auto"/>
        <w:rPr>
          <w:rFonts w:eastAsia="Times New Roman"/>
          <w:noProof/>
          <w:color w:val="000000" w:themeColor="text1"/>
          <w:sz w:val="24"/>
          <w:u w:val="single"/>
        </w:rPr>
      </w:pPr>
    </w:p>
    <w:p w14:paraId="0A876634" w14:textId="77777777" w:rsidR="00235E11" w:rsidRDefault="00235E11">
      <w:pPr>
        <w:pStyle w:val="Text1"/>
        <w:ind w:left="0"/>
        <w:rPr>
          <w:noProof/>
        </w:rPr>
      </w:pPr>
    </w:p>
    <w:p w14:paraId="0768857A" w14:textId="77777777" w:rsidR="00235E11" w:rsidRDefault="00235E11">
      <w:pPr>
        <w:pStyle w:val="Text1"/>
        <w:ind w:left="0"/>
        <w:rPr>
          <w:noProof/>
        </w:rPr>
        <w:sectPr w:rsidR="00235E11" w:rsidSect="007F56C3">
          <w:headerReference w:type="even" r:id="rId282"/>
          <w:headerReference w:type="default" r:id="rId283"/>
          <w:footerReference w:type="even" r:id="rId284"/>
          <w:footerReference w:type="default" r:id="rId285"/>
          <w:headerReference w:type="first" r:id="rId286"/>
          <w:footerReference w:type="first" r:id="rId287"/>
          <w:pgSz w:w="11907" w:h="16839"/>
          <w:pgMar w:top="1134" w:right="1134" w:bottom="1134" w:left="1134" w:header="567" w:footer="567" w:gutter="0"/>
          <w:cols w:space="720"/>
          <w:docGrid w:linePitch="360"/>
        </w:sectPr>
      </w:pPr>
    </w:p>
    <w:tbl>
      <w:tblPr>
        <w:tblStyle w:val="TableGrid"/>
        <w:tblW w:w="14175" w:type="dxa"/>
        <w:tblLayout w:type="fixed"/>
        <w:tblLook w:val="06A0" w:firstRow="1" w:lastRow="0" w:firstColumn="1" w:lastColumn="0" w:noHBand="1" w:noVBand="1"/>
      </w:tblPr>
      <w:tblGrid>
        <w:gridCol w:w="711"/>
        <w:gridCol w:w="1269"/>
        <w:gridCol w:w="851"/>
        <w:gridCol w:w="1133"/>
        <w:gridCol w:w="1843"/>
        <w:gridCol w:w="709"/>
        <w:gridCol w:w="709"/>
        <w:gridCol w:w="708"/>
        <w:gridCol w:w="709"/>
        <w:gridCol w:w="709"/>
        <w:gridCol w:w="4824"/>
      </w:tblGrid>
      <w:tr w:rsidR="00235E11" w14:paraId="673E67A3" w14:textId="77777777">
        <w:trPr>
          <w:trHeight w:val="720"/>
          <w:tblHeader/>
        </w:trPr>
        <w:tc>
          <w:tcPr>
            <w:tcW w:w="711" w:type="dxa"/>
            <w:vMerge w:val="restart"/>
            <w:shd w:val="clear" w:color="auto" w:fill="BDD7EE"/>
            <w:vAlign w:val="center"/>
          </w:tcPr>
          <w:p w14:paraId="4FD54FB8" w14:textId="25B2BCA3" w:rsidR="00235E11" w:rsidRDefault="00F837E4">
            <w:pPr>
              <w:pStyle w:val="P68B1DB1-Normal44"/>
              <w:jc w:val="both"/>
              <w:rPr>
                <w:noProof/>
              </w:rPr>
            </w:pPr>
            <w:r>
              <w:rPr>
                <w:noProof/>
              </w:rPr>
              <w:t>Следващи Забележка:</w:t>
            </w:r>
          </w:p>
        </w:tc>
        <w:tc>
          <w:tcPr>
            <w:tcW w:w="1269" w:type="dxa"/>
            <w:vMerge w:val="restart"/>
            <w:shd w:val="clear" w:color="auto" w:fill="BDD7EE"/>
            <w:vAlign w:val="center"/>
          </w:tcPr>
          <w:p w14:paraId="45601ABD" w14:textId="77777777" w:rsidR="00235E11" w:rsidRDefault="00F837E4">
            <w:pPr>
              <w:pStyle w:val="P68B1DB1-Normal44"/>
              <w:jc w:val="both"/>
              <w:rPr>
                <w:noProof/>
              </w:rPr>
            </w:pPr>
            <w:r>
              <w:rPr>
                <w:noProof/>
              </w:rPr>
              <w:t>Свързана мярка (реформа или инвестиции)</w:t>
            </w:r>
          </w:p>
        </w:tc>
        <w:tc>
          <w:tcPr>
            <w:tcW w:w="851" w:type="dxa"/>
            <w:vMerge w:val="restart"/>
            <w:shd w:val="clear" w:color="auto" w:fill="BDD7EE"/>
            <w:vAlign w:val="center"/>
          </w:tcPr>
          <w:p w14:paraId="12EE96C9" w14:textId="77777777" w:rsidR="00235E11" w:rsidRDefault="00F837E4">
            <w:pPr>
              <w:pStyle w:val="P68B1DB1-Normal44"/>
              <w:jc w:val="both"/>
              <w:rPr>
                <w:noProof/>
              </w:rPr>
            </w:pPr>
            <w:r>
              <w:rPr>
                <w:noProof/>
              </w:rPr>
              <w:t>M/T</w:t>
            </w:r>
          </w:p>
        </w:tc>
        <w:tc>
          <w:tcPr>
            <w:tcW w:w="1133" w:type="dxa"/>
            <w:vMerge w:val="restart"/>
            <w:shd w:val="clear" w:color="auto" w:fill="BDD7EE"/>
            <w:vAlign w:val="center"/>
          </w:tcPr>
          <w:p w14:paraId="661B537E" w14:textId="77777777" w:rsidR="00235E11" w:rsidRDefault="00F837E4">
            <w:pPr>
              <w:pStyle w:val="P68B1DB1-Normal44"/>
              <w:jc w:val="center"/>
              <w:rPr>
                <w:noProof/>
              </w:rPr>
            </w:pPr>
            <w:r>
              <w:rPr>
                <w:noProof/>
              </w:rPr>
              <w:t>Име</w:t>
            </w:r>
          </w:p>
        </w:tc>
        <w:tc>
          <w:tcPr>
            <w:tcW w:w="1843" w:type="dxa"/>
            <w:vMerge w:val="restart"/>
            <w:shd w:val="clear" w:color="auto" w:fill="BDD7EE"/>
            <w:vAlign w:val="center"/>
          </w:tcPr>
          <w:p w14:paraId="415EE4A3" w14:textId="77777777" w:rsidR="00235E11" w:rsidRDefault="00F837E4">
            <w:pPr>
              <w:pStyle w:val="P68B1DB1-Normal44"/>
              <w:jc w:val="center"/>
              <w:rPr>
                <w:noProof/>
              </w:rPr>
            </w:pPr>
            <w:r>
              <w:rPr>
                <w:noProof/>
              </w:rPr>
              <w:t>Качествени индикатори</w:t>
            </w:r>
          </w:p>
          <w:p w14:paraId="70760F36" w14:textId="77777777" w:rsidR="00235E11" w:rsidRDefault="00F837E4">
            <w:pPr>
              <w:pStyle w:val="P68B1DB1-Normal44"/>
              <w:jc w:val="center"/>
              <w:rPr>
                <w:noProof/>
              </w:rPr>
            </w:pPr>
            <w:r>
              <w:rPr>
                <w:noProof/>
              </w:rPr>
              <w:t>(за ключовите етапи)</w:t>
            </w:r>
          </w:p>
        </w:tc>
        <w:tc>
          <w:tcPr>
            <w:tcW w:w="2126" w:type="dxa"/>
            <w:gridSpan w:val="3"/>
            <w:shd w:val="clear" w:color="auto" w:fill="BDD7EE"/>
            <w:vAlign w:val="center"/>
          </w:tcPr>
          <w:p w14:paraId="7C328E30" w14:textId="77777777" w:rsidR="00235E11" w:rsidRDefault="00F837E4">
            <w:pPr>
              <w:pStyle w:val="P68B1DB1-Normal44"/>
              <w:jc w:val="center"/>
              <w:rPr>
                <w:noProof/>
              </w:rPr>
            </w:pPr>
            <w:r>
              <w:rPr>
                <w:noProof/>
              </w:rPr>
              <w:t>Количествени индикатори</w:t>
            </w:r>
          </w:p>
          <w:p w14:paraId="3A85C624" w14:textId="77777777" w:rsidR="00235E11" w:rsidRDefault="00F837E4">
            <w:pPr>
              <w:pStyle w:val="P68B1DB1-Normal44"/>
              <w:jc w:val="center"/>
              <w:rPr>
                <w:noProof/>
              </w:rPr>
            </w:pPr>
            <w:r>
              <w:rPr>
                <w:noProof/>
              </w:rPr>
              <w:t>(за целите)</w:t>
            </w:r>
          </w:p>
        </w:tc>
        <w:tc>
          <w:tcPr>
            <w:tcW w:w="1418" w:type="dxa"/>
            <w:gridSpan w:val="2"/>
            <w:shd w:val="clear" w:color="auto" w:fill="BDD7EE"/>
            <w:vAlign w:val="center"/>
          </w:tcPr>
          <w:p w14:paraId="390F32EA" w14:textId="77777777" w:rsidR="00235E11" w:rsidRDefault="00F837E4">
            <w:pPr>
              <w:pStyle w:val="P68B1DB1-Normal44"/>
              <w:jc w:val="center"/>
              <w:rPr>
                <w:noProof/>
              </w:rPr>
            </w:pPr>
            <w:r>
              <w:rPr>
                <w:noProof/>
              </w:rPr>
              <w:t>Примерен график за приключване</w:t>
            </w:r>
          </w:p>
        </w:tc>
        <w:tc>
          <w:tcPr>
            <w:tcW w:w="4824" w:type="dxa"/>
            <w:vMerge w:val="restart"/>
            <w:shd w:val="clear" w:color="auto" w:fill="BDD7EE"/>
            <w:vAlign w:val="center"/>
          </w:tcPr>
          <w:p w14:paraId="1720FAB3" w14:textId="77777777" w:rsidR="00235E11" w:rsidRDefault="00F837E4">
            <w:pPr>
              <w:pStyle w:val="P68B1DB1-Normal44"/>
              <w:jc w:val="center"/>
              <w:rPr>
                <w:noProof/>
              </w:rPr>
            </w:pPr>
            <w:r>
              <w:rPr>
                <w:noProof/>
              </w:rPr>
              <w:t>Описание на всеки ключов етап и цел</w:t>
            </w:r>
          </w:p>
        </w:tc>
      </w:tr>
      <w:tr w:rsidR="00235E11" w14:paraId="25EE97B4" w14:textId="77777777">
        <w:trPr>
          <w:trHeight w:val="378"/>
        </w:trPr>
        <w:tc>
          <w:tcPr>
            <w:tcW w:w="711" w:type="dxa"/>
            <w:vMerge/>
            <w:vAlign w:val="center"/>
          </w:tcPr>
          <w:p w14:paraId="601AC469" w14:textId="77777777" w:rsidR="00235E11" w:rsidRDefault="00235E11">
            <w:pPr>
              <w:rPr>
                <w:rFonts w:ascii="Times New Roman" w:eastAsia="Times New Roman" w:hAnsi="Times New Roman"/>
                <w:b/>
                <w:noProof/>
              </w:rPr>
            </w:pPr>
          </w:p>
        </w:tc>
        <w:tc>
          <w:tcPr>
            <w:tcW w:w="1269" w:type="dxa"/>
            <w:vMerge/>
            <w:vAlign w:val="center"/>
          </w:tcPr>
          <w:p w14:paraId="7DEDD512" w14:textId="77777777" w:rsidR="00235E11" w:rsidRDefault="00235E11">
            <w:pPr>
              <w:rPr>
                <w:rFonts w:ascii="Times New Roman" w:eastAsia="Times New Roman" w:hAnsi="Times New Roman"/>
                <w:b/>
                <w:noProof/>
              </w:rPr>
            </w:pPr>
          </w:p>
        </w:tc>
        <w:tc>
          <w:tcPr>
            <w:tcW w:w="851" w:type="dxa"/>
            <w:vMerge/>
            <w:vAlign w:val="center"/>
          </w:tcPr>
          <w:p w14:paraId="28140715" w14:textId="77777777" w:rsidR="00235E11" w:rsidRDefault="00235E11">
            <w:pPr>
              <w:rPr>
                <w:rFonts w:ascii="Times New Roman" w:eastAsia="Times New Roman" w:hAnsi="Times New Roman"/>
                <w:b/>
                <w:noProof/>
              </w:rPr>
            </w:pPr>
          </w:p>
        </w:tc>
        <w:tc>
          <w:tcPr>
            <w:tcW w:w="1133" w:type="dxa"/>
            <w:vMerge/>
            <w:vAlign w:val="center"/>
          </w:tcPr>
          <w:p w14:paraId="236067B4" w14:textId="77777777" w:rsidR="00235E11" w:rsidRDefault="00235E11">
            <w:pPr>
              <w:rPr>
                <w:rFonts w:ascii="Times New Roman" w:eastAsia="Times New Roman" w:hAnsi="Times New Roman"/>
                <w:b/>
                <w:noProof/>
              </w:rPr>
            </w:pPr>
          </w:p>
        </w:tc>
        <w:tc>
          <w:tcPr>
            <w:tcW w:w="1843" w:type="dxa"/>
            <w:vMerge/>
            <w:vAlign w:val="center"/>
          </w:tcPr>
          <w:p w14:paraId="44772B46" w14:textId="77777777" w:rsidR="00235E11" w:rsidRDefault="00235E11">
            <w:pPr>
              <w:rPr>
                <w:rFonts w:ascii="Times New Roman" w:eastAsia="Times New Roman" w:hAnsi="Times New Roman"/>
                <w:b/>
                <w:noProof/>
              </w:rPr>
            </w:pPr>
          </w:p>
        </w:tc>
        <w:tc>
          <w:tcPr>
            <w:tcW w:w="709" w:type="dxa"/>
            <w:shd w:val="clear" w:color="auto" w:fill="BDD7EE"/>
            <w:vAlign w:val="center"/>
          </w:tcPr>
          <w:p w14:paraId="2AC3EFD4" w14:textId="77777777" w:rsidR="00235E11" w:rsidRDefault="00F837E4">
            <w:pPr>
              <w:pStyle w:val="P68B1DB1-Normal44"/>
              <w:jc w:val="center"/>
              <w:rPr>
                <w:noProof/>
              </w:rPr>
            </w:pPr>
            <w:r>
              <w:rPr>
                <w:noProof/>
              </w:rPr>
              <w:t>Единица мярка</w:t>
            </w:r>
          </w:p>
        </w:tc>
        <w:tc>
          <w:tcPr>
            <w:tcW w:w="709" w:type="dxa"/>
            <w:shd w:val="clear" w:color="auto" w:fill="BDD7EE"/>
            <w:vAlign w:val="center"/>
          </w:tcPr>
          <w:p w14:paraId="39D451DC" w14:textId="77777777" w:rsidR="00235E11" w:rsidRDefault="00F837E4">
            <w:pPr>
              <w:pStyle w:val="P68B1DB1-Normal44"/>
              <w:jc w:val="both"/>
              <w:rPr>
                <w:noProof/>
              </w:rPr>
            </w:pPr>
            <w:r>
              <w:rPr>
                <w:noProof/>
              </w:rPr>
              <w:t>Базова линия</w:t>
            </w:r>
          </w:p>
        </w:tc>
        <w:tc>
          <w:tcPr>
            <w:tcW w:w="708" w:type="dxa"/>
            <w:shd w:val="clear" w:color="auto" w:fill="BDD7EE"/>
            <w:vAlign w:val="center"/>
          </w:tcPr>
          <w:p w14:paraId="21554774" w14:textId="77777777" w:rsidR="00235E11" w:rsidRDefault="00F837E4">
            <w:pPr>
              <w:pStyle w:val="P68B1DB1-Normal44"/>
              <w:jc w:val="both"/>
              <w:rPr>
                <w:noProof/>
              </w:rPr>
            </w:pPr>
            <w:r>
              <w:rPr>
                <w:noProof/>
              </w:rPr>
              <w:t>Цел</w:t>
            </w:r>
          </w:p>
        </w:tc>
        <w:tc>
          <w:tcPr>
            <w:tcW w:w="709" w:type="dxa"/>
            <w:shd w:val="clear" w:color="auto" w:fill="BDD7EE"/>
            <w:vAlign w:val="center"/>
          </w:tcPr>
          <w:p w14:paraId="5FA30182" w14:textId="77777777" w:rsidR="00235E11" w:rsidRDefault="00F837E4">
            <w:pPr>
              <w:pStyle w:val="P68B1DB1-Normal44"/>
              <w:jc w:val="both"/>
              <w:rPr>
                <w:noProof/>
              </w:rPr>
            </w:pPr>
            <w:r>
              <w:rPr>
                <w:noProof/>
              </w:rPr>
              <w:t>Тримесечие</w:t>
            </w:r>
          </w:p>
        </w:tc>
        <w:tc>
          <w:tcPr>
            <w:tcW w:w="709" w:type="dxa"/>
            <w:shd w:val="clear" w:color="auto" w:fill="BDD7EE"/>
            <w:vAlign w:val="center"/>
          </w:tcPr>
          <w:p w14:paraId="0B7DC64D" w14:textId="77777777" w:rsidR="00235E11" w:rsidRDefault="00F837E4">
            <w:pPr>
              <w:pStyle w:val="P68B1DB1-Normal44"/>
              <w:jc w:val="both"/>
              <w:rPr>
                <w:noProof/>
              </w:rPr>
            </w:pPr>
            <w:r>
              <w:rPr>
                <w:noProof/>
              </w:rPr>
              <w:t>Година</w:t>
            </w:r>
          </w:p>
        </w:tc>
        <w:tc>
          <w:tcPr>
            <w:tcW w:w="4824" w:type="dxa"/>
            <w:vMerge/>
            <w:vAlign w:val="center"/>
          </w:tcPr>
          <w:p w14:paraId="732D24ED" w14:textId="77777777" w:rsidR="00235E11" w:rsidRDefault="00235E11">
            <w:pPr>
              <w:rPr>
                <w:rFonts w:ascii="Times New Roman" w:eastAsia="Times New Roman" w:hAnsi="Times New Roman"/>
                <w:b/>
                <w:noProof/>
              </w:rPr>
            </w:pPr>
          </w:p>
        </w:tc>
      </w:tr>
      <w:tr w:rsidR="00235E11" w14:paraId="615E3649" w14:textId="77777777">
        <w:trPr>
          <w:trHeight w:val="300"/>
        </w:trPr>
        <w:tc>
          <w:tcPr>
            <w:tcW w:w="711" w:type="dxa"/>
            <w:shd w:val="clear" w:color="auto" w:fill="C6EFCE"/>
            <w:vAlign w:val="center"/>
          </w:tcPr>
          <w:p w14:paraId="4D3E94C1" w14:textId="77777777" w:rsidR="00235E11" w:rsidRDefault="00F837E4">
            <w:pPr>
              <w:pStyle w:val="P68B1DB1-Normal45"/>
              <w:jc w:val="center"/>
              <w:rPr>
                <w:noProof/>
              </w:rPr>
            </w:pPr>
            <w:r>
              <w:rPr>
                <w:noProof/>
              </w:rPr>
              <w:t>228</w:t>
            </w:r>
          </w:p>
        </w:tc>
        <w:tc>
          <w:tcPr>
            <w:tcW w:w="1269" w:type="dxa"/>
            <w:shd w:val="clear" w:color="auto" w:fill="C6EFCE"/>
            <w:vAlign w:val="center"/>
          </w:tcPr>
          <w:p w14:paraId="74DD8B13" w14:textId="77777777" w:rsidR="00235E11" w:rsidRDefault="00F837E4">
            <w:pPr>
              <w:pStyle w:val="P68B1DB1-Normal45"/>
              <w:rPr>
                <w:noProof/>
              </w:rPr>
            </w:pPr>
            <w:r>
              <w:rPr>
                <w:noProof/>
              </w:rPr>
              <w:t>Процедура за обжалване пред Държавния съвет (R-7.02)</w:t>
            </w:r>
          </w:p>
        </w:tc>
        <w:tc>
          <w:tcPr>
            <w:tcW w:w="851" w:type="dxa"/>
            <w:shd w:val="clear" w:color="auto" w:fill="C6EFCE"/>
            <w:vAlign w:val="center"/>
          </w:tcPr>
          <w:p w14:paraId="722D455F" w14:textId="77777777" w:rsidR="00235E11" w:rsidRDefault="00F837E4">
            <w:pPr>
              <w:pStyle w:val="P68B1DB1-Normal45"/>
              <w:rPr>
                <w:noProof/>
              </w:rPr>
            </w:pPr>
            <w:r>
              <w:rPr>
                <w:noProof/>
              </w:rPr>
              <w:t>M</w:t>
            </w:r>
          </w:p>
        </w:tc>
        <w:tc>
          <w:tcPr>
            <w:tcW w:w="1133" w:type="dxa"/>
            <w:shd w:val="clear" w:color="auto" w:fill="C6EFCE"/>
            <w:vAlign w:val="center"/>
          </w:tcPr>
          <w:p w14:paraId="4DCB35E3" w14:textId="77777777" w:rsidR="00235E11" w:rsidRDefault="00F837E4">
            <w:pPr>
              <w:pStyle w:val="P68B1DB1-Normal45"/>
              <w:spacing w:line="259" w:lineRule="auto"/>
              <w:rPr>
                <w:noProof/>
              </w:rPr>
            </w:pPr>
            <w:r>
              <w:rPr>
                <w:noProof/>
              </w:rPr>
              <w:t xml:space="preserve">Влизане в сила на законодателството </w:t>
            </w:r>
          </w:p>
        </w:tc>
        <w:tc>
          <w:tcPr>
            <w:tcW w:w="1843" w:type="dxa"/>
            <w:shd w:val="clear" w:color="auto" w:fill="C6EFCE"/>
            <w:vAlign w:val="center"/>
          </w:tcPr>
          <w:p w14:paraId="07DF205B" w14:textId="607937B0" w:rsidR="00235E11" w:rsidRDefault="00F837E4">
            <w:pPr>
              <w:pStyle w:val="P68B1DB1-Normal45"/>
              <w:spacing w:line="259" w:lineRule="auto"/>
              <w:rPr>
                <w:noProof/>
              </w:rPr>
            </w:pPr>
            <w:r>
              <w:rPr>
                <w:noProof/>
              </w:rPr>
              <w:t>Законова разпоредба, указваща влизането в сила на закона за съкращаване на процедурите за получаване на разрешения за енергия от възобновяеми източници</w:t>
            </w:r>
          </w:p>
        </w:tc>
        <w:tc>
          <w:tcPr>
            <w:tcW w:w="709" w:type="dxa"/>
            <w:shd w:val="clear" w:color="auto" w:fill="C6EFCE"/>
            <w:vAlign w:val="center"/>
          </w:tcPr>
          <w:p w14:paraId="15E90333"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272C8196"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71742AF6"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10A1068C" w14:textId="77777777" w:rsidR="00235E11" w:rsidRDefault="00F837E4">
            <w:pPr>
              <w:pStyle w:val="P68B1DB1-Normal45"/>
              <w:jc w:val="center"/>
              <w:rPr>
                <w:noProof/>
              </w:rPr>
            </w:pPr>
            <w:r>
              <w:rPr>
                <w:noProof/>
              </w:rPr>
              <w:t>Т2 Г.</w:t>
            </w:r>
          </w:p>
        </w:tc>
        <w:tc>
          <w:tcPr>
            <w:tcW w:w="709" w:type="dxa"/>
            <w:shd w:val="clear" w:color="auto" w:fill="C6EFCE"/>
            <w:vAlign w:val="center"/>
          </w:tcPr>
          <w:p w14:paraId="0C84E0FC" w14:textId="77777777" w:rsidR="00235E11" w:rsidRDefault="00F837E4">
            <w:pPr>
              <w:pStyle w:val="P68B1DB1-Normal45"/>
              <w:jc w:val="center"/>
              <w:rPr>
                <w:noProof/>
              </w:rPr>
            </w:pPr>
            <w:r>
              <w:rPr>
                <w:noProof/>
              </w:rPr>
              <w:t>2024</w:t>
            </w:r>
          </w:p>
        </w:tc>
        <w:tc>
          <w:tcPr>
            <w:tcW w:w="4824" w:type="dxa"/>
            <w:shd w:val="clear" w:color="auto" w:fill="C6EFCE"/>
            <w:vAlign w:val="center"/>
          </w:tcPr>
          <w:p w14:paraId="60B7D8E5" w14:textId="08CE34BB" w:rsidR="00235E11" w:rsidRDefault="00F837E4">
            <w:pPr>
              <w:pStyle w:val="P68B1DB1-Normal45"/>
              <w:widowControl w:val="0"/>
              <w:spacing w:after="120"/>
              <w:rPr>
                <w:noProof/>
              </w:rPr>
            </w:pPr>
            <w:r>
              <w:rPr>
                <w:noProof/>
              </w:rPr>
              <w:t>(1) Влизане в сила на закона за реформиране на процедурите за обжалване на решения, свързани с инсталации за енергия от възобновяеми източници и енергийни инвестиции, пред Отдела за административни спорове на Държавния съвет.</w:t>
            </w:r>
          </w:p>
          <w:p w14:paraId="504625DA" w14:textId="77777777" w:rsidR="00235E11" w:rsidRDefault="00F837E4">
            <w:pPr>
              <w:pStyle w:val="P68B1DB1-Normal45"/>
              <w:widowControl w:val="0"/>
              <w:rPr>
                <w:noProof/>
              </w:rPr>
            </w:pPr>
            <w:r>
              <w:rPr>
                <w:noProof/>
              </w:rPr>
              <w:t xml:space="preserve">Този закон има за цел да съкрати процедурите за получаване на разрешения за енергия от възобновяеми източници чрез: </w:t>
            </w:r>
          </w:p>
          <w:p w14:paraId="2E26F3CA" w14:textId="77777777" w:rsidR="00235E11" w:rsidRDefault="00F837E4">
            <w:pPr>
              <w:pStyle w:val="P68B1DB1-ListParagraph46"/>
              <w:widowControl w:val="0"/>
              <w:numPr>
                <w:ilvl w:val="0"/>
                <w:numId w:val="43"/>
              </w:numPr>
              <w:rPr>
                <w:noProof/>
              </w:rPr>
            </w:pPr>
            <w:r>
              <w:rPr>
                <w:noProof/>
              </w:rPr>
              <w:t xml:space="preserve">премахване на разпореждането за временна намеса, </w:t>
            </w:r>
          </w:p>
          <w:p w14:paraId="27634CD3" w14:textId="77777777" w:rsidR="00235E11" w:rsidRDefault="00F837E4">
            <w:pPr>
              <w:pStyle w:val="P68B1DB1-ListParagraph46"/>
              <w:widowControl w:val="0"/>
              <w:numPr>
                <w:ilvl w:val="0"/>
                <w:numId w:val="43"/>
              </w:numPr>
              <w:rPr>
                <w:noProof/>
              </w:rPr>
            </w:pPr>
            <w:r>
              <w:rPr>
                <w:noProof/>
              </w:rPr>
              <w:t>ограничаване на срока, в който одитиращият орган представя своя доклад по случая, до 6 месеца,</w:t>
            </w:r>
          </w:p>
          <w:p w14:paraId="2786F639" w14:textId="77777777" w:rsidR="00235E11" w:rsidRDefault="00F837E4">
            <w:pPr>
              <w:pStyle w:val="P68B1DB1-ListParagraph46"/>
              <w:widowControl w:val="0"/>
              <w:numPr>
                <w:ilvl w:val="0"/>
                <w:numId w:val="43"/>
              </w:numPr>
              <w:rPr>
                <w:noProof/>
              </w:rPr>
            </w:pPr>
            <w:r>
              <w:rPr>
                <w:noProof/>
              </w:rPr>
              <w:t xml:space="preserve">изменение на процедурите за спиране, </w:t>
            </w:r>
          </w:p>
          <w:p w14:paraId="7FA0ABB0" w14:textId="77777777" w:rsidR="00235E11" w:rsidRDefault="00F837E4">
            <w:pPr>
              <w:pStyle w:val="P68B1DB1-ListParagraph46"/>
              <w:widowControl w:val="0"/>
              <w:numPr>
                <w:ilvl w:val="0"/>
                <w:numId w:val="43"/>
              </w:numPr>
              <w:rPr>
                <w:noProof/>
              </w:rPr>
            </w:pPr>
            <w:r>
              <w:rPr>
                <w:noProof/>
              </w:rPr>
              <w:t xml:space="preserve">даване на приоритет на случаите на енергиен преход, </w:t>
            </w:r>
          </w:p>
          <w:p w14:paraId="51E78DFA" w14:textId="77777777" w:rsidR="00235E11" w:rsidRDefault="00F837E4">
            <w:pPr>
              <w:pStyle w:val="P68B1DB1-ListParagraph46"/>
              <w:widowControl w:val="0"/>
              <w:numPr>
                <w:ilvl w:val="0"/>
                <w:numId w:val="43"/>
              </w:numPr>
              <w:rPr>
                <w:noProof/>
              </w:rPr>
            </w:pPr>
            <w:r>
              <w:rPr>
                <w:noProof/>
              </w:rPr>
              <w:t xml:space="preserve">съкращаване на времето, необходимо за разглеждане на производствата пред отделението за административно съдопроизводство, и </w:t>
            </w:r>
          </w:p>
          <w:p w14:paraId="3B3E8038" w14:textId="77777777" w:rsidR="00235E11" w:rsidRDefault="00F837E4">
            <w:pPr>
              <w:pStyle w:val="P68B1DB1-ListParagraph46"/>
              <w:widowControl w:val="0"/>
              <w:numPr>
                <w:ilvl w:val="0"/>
                <w:numId w:val="43"/>
              </w:numPr>
              <w:spacing w:after="120"/>
              <w:ind w:left="714" w:hanging="357"/>
              <w:contextualSpacing w:val="0"/>
              <w:rPr>
                <w:noProof/>
              </w:rPr>
            </w:pPr>
            <w:r>
              <w:rPr>
                <w:noProof/>
              </w:rPr>
              <w:t>съкращаване на времето, необходимо за разглеждане на обикновен иск за отмяна, освен в случай на процесуален инцидент, до максимум 18 месеца.</w:t>
            </w:r>
          </w:p>
          <w:p w14:paraId="40FF4958" w14:textId="77777777" w:rsidR="00235E11" w:rsidRDefault="00F837E4">
            <w:pPr>
              <w:pStyle w:val="P68B1DB1-Normal45"/>
              <w:widowControl w:val="0"/>
              <w:rPr>
                <w:noProof/>
              </w:rPr>
            </w:pPr>
            <w:r>
              <w:rPr>
                <w:noProof/>
              </w:rPr>
              <w:t>(2) Влизане в сила на кралския указ, който</w:t>
            </w:r>
          </w:p>
          <w:p w14:paraId="1CAD7A5B" w14:textId="77777777" w:rsidR="00235E11" w:rsidRDefault="00F837E4">
            <w:pPr>
              <w:pStyle w:val="P68B1DB1-ListParagraph46"/>
              <w:widowControl w:val="0"/>
              <w:numPr>
                <w:ilvl w:val="0"/>
                <w:numId w:val="42"/>
              </w:numPr>
              <w:rPr>
                <w:noProof/>
              </w:rPr>
            </w:pPr>
            <w:r>
              <w:rPr>
                <w:noProof/>
              </w:rPr>
              <w:t xml:space="preserve">разглежда приоритетно жалбите, свързани с внедряването на енергия от възобновяеми източници и с досиетата за енергийния преход, </w:t>
            </w:r>
          </w:p>
          <w:p w14:paraId="463BB02D" w14:textId="77777777" w:rsidR="00235E11" w:rsidRDefault="00F837E4">
            <w:pPr>
              <w:pStyle w:val="P68B1DB1-ListParagraph46"/>
              <w:widowControl w:val="0"/>
              <w:numPr>
                <w:ilvl w:val="0"/>
                <w:numId w:val="42"/>
              </w:numPr>
              <w:ind w:left="714" w:hanging="357"/>
              <w:rPr>
                <w:noProof/>
              </w:rPr>
            </w:pPr>
            <w:r>
              <w:rPr>
                <w:noProof/>
              </w:rPr>
              <w:t xml:space="preserve">определя ясно приоритетните решения за разглеждане на случаи, вътрешна организация и укрепване на камерите или секциите, за да се гарантира по-бързото третиране на процедурите за разглеждане на случаите на енергиен преход, </w:t>
            </w:r>
          </w:p>
          <w:p w14:paraId="7AE2943F" w14:textId="77777777" w:rsidR="00235E11" w:rsidRDefault="00F837E4">
            <w:pPr>
              <w:pStyle w:val="P68B1DB1-ListParagraph46"/>
              <w:widowControl w:val="0"/>
              <w:numPr>
                <w:ilvl w:val="0"/>
                <w:numId w:val="42"/>
              </w:numPr>
              <w:ind w:left="714" w:hanging="357"/>
              <w:rPr>
                <w:noProof/>
              </w:rPr>
            </w:pPr>
            <w:r>
              <w:rPr>
                <w:noProof/>
              </w:rPr>
              <w:t>намалява времето, необходимо за разглеждане на жалби в тези случаи, на 15 месеца (с изключение на случаите на процедурни инциденти).</w:t>
            </w:r>
          </w:p>
        </w:tc>
      </w:tr>
      <w:tr w:rsidR="00235E11" w14:paraId="3DD9AA8C" w14:textId="77777777">
        <w:trPr>
          <w:trHeight w:val="660"/>
        </w:trPr>
        <w:tc>
          <w:tcPr>
            <w:tcW w:w="711" w:type="dxa"/>
            <w:shd w:val="clear" w:color="auto" w:fill="C6EFCE"/>
            <w:vAlign w:val="center"/>
          </w:tcPr>
          <w:p w14:paraId="76558308" w14:textId="77777777" w:rsidR="00235E11" w:rsidRDefault="00F837E4">
            <w:pPr>
              <w:pStyle w:val="P68B1DB1-Normal45"/>
              <w:jc w:val="center"/>
              <w:rPr>
                <w:noProof/>
              </w:rPr>
            </w:pPr>
            <w:r>
              <w:rPr>
                <w:noProof/>
              </w:rPr>
              <w:t>229</w:t>
            </w:r>
          </w:p>
        </w:tc>
        <w:tc>
          <w:tcPr>
            <w:tcW w:w="1269" w:type="dxa"/>
            <w:shd w:val="clear" w:color="auto" w:fill="C6EFCE"/>
            <w:vAlign w:val="center"/>
          </w:tcPr>
          <w:p w14:paraId="4990B50E" w14:textId="77777777" w:rsidR="00235E11" w:rsidRDefault="00F837E4">
            <w:pPr>
              <w:pStyle w:val="P68B1DB1-Normal45"/>
              <w:rPr>
                <w:noProof/>
              </w:rPr>
            </w:pPr>
            <w:r>
              <w:rPr>
                <w:noProof/>
              </w:rPr>
              <w:t>Задължение за големите потребители (R-7.03)</w:t>
            </w:r>
          </w:p>
        </w:tc>
        <w:tc>
          <w:tcPr>
            <w:tcW w:w="851" w:type="dxa"/>
            <w:shd w:val="clear" w:color="auto" w:fill="C6EFCE"/>
            <w:vAlign w:val="center"/>
          </w:tcPr>
          <w:p w14:paraId="4F7EAA55" w14:textId="77777777" w:rsidR="00235E11" w:rsidRDefault="00F837E4">
            <w:pPr>
              <w:pStyle w:val="P68B1DB1-Normal45"/>
              <w:rPr>
                <w:noProof/>
              </w:rPr>
            </w:pPr>
            <w:r>
              <w:rPr>
                <w:noProof/>
              </w:rPr>
              <w:t>M</w:t>
            </w:r>
          </w:p>
        </w:tc>
        <w:tc>
          <w:tcPr>
            <w:tcW w:w="1133" w:type="dxa"/>
            <w:shd w:val="clear" w:color="auto" w:fill="C6EFCE"/>
            <w:vAlign w:val="center"/>
          </w:tcPr>
          <w:p w14:paraId="49596D53" w14:textId="77777777" w:rsidR="00235E11" w:rsidRDefault="00F837E4">
            <w:pPr>
              <w:pStyle w:val="P68B1DB1-Normal45"/>
              <w:rPr>
                <w:noProof/>
              </w:rPr>
            </w:pPr>
            <w:r>
              <w:rPr>
                <w:noProof/>
              </w:rPr>
              <w:t>Влизане в сила на законодателството</w:t>
            </w:r>
          </w:p>
        </w:tc>
        <w:tc>
          <w:tcPr>
            <w:tcW w:w="1843" w:type="dxa"/>
            <w:shd w:val="clear" w:color="auto" w:fill="C6EFCE"/>
            <w:vAlign w:val="center"/>
          </w:tcPr>
          <w:p w14:paraId="06C3D8F4" w14:textId="77777777" w:rsidR="00235E11" w:rsidRDefault="00F837E4">
            <w:pPr>
              <w:pStyle w:val="P68B1DB1-Normal45"/>
              <w:spacing w:line="259" w:lineRule="auto"/>
              <w:rPr>
                <w:noProof/>
              </w:rPr>
            </w:pPr>
            <w:r>
              <w:rPr>
                <w:noProof/>
              </w:rPr>
              <w:t>Разпоредба в правния акт, указваща влизането в сила на разпоредби, въвеждащи задължението за монтиране на слънчеви панели за някои сгради</w:t>
            </w:r>
          </w:p>
        </w:tc>
        <w:tc>
          <w:tcPr>
            <w:tcW w:w="709" w:type="dxa"/>
            <w:shd w:val="clear" w:color="auto" w:fill="C6EFCE"/>
            <w:vAlign w:val="center"/>
          </w:tcPr>
          <w:p w14:paraId="2266CD47"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5CDDDEF4"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46BF1F64"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2D24169F" w14:textId="77777777" w:rsidR="00235E11" w:rsidRDefault="00F837E4">
            <w:pPr>
              <w:pStyle w:val="P68B1DB1-Normal45"/>
              <w:jc w:val="center"/>
              <w:rPr>
                <w:noProof/>
              </w:rPr>
            </w:pPr>
            <w:r>
              <w:rPr>
                <w:noProof/>
              </w:rPr>
              <w:t>Т2 Г.</w:t>
            </w:r>
          </w:p>
        </w:tc>
        <w:tc>
          <w:tcPr>
            <w:tcW w:w="709" w:type="dxa"/>
            <w:shd w:val="clear" w:color="auto" w:fill="C6EFCE"/>
            <w:vAlign w:val="center"/>
          </w:tcPr>
          <w:p w14:paraId="5C849CB0" w14:textId="7963B61B" w:rsidR="00235E11" w:rsidRDefault="00F837E4">
            <w:pPr>
              <w:pStyle w:val="P68B1DB1-Normal45"/>
              <w:jc w:val="center"/>
              <w:rPr>
                <w:noProof/>
              </w:rPr>
            </w:pPr>
            <w:r>
              <w:rPr>
                <w:noProof/>
              </w:rPr>
              <w:t>2023</w:t>
            </w:r>
          </w:p>
        </w:tc>
        <w:tc>
          <w:tcPr>
            <w:tcW w:w="4824" w:type="dxa"/>
            <w:shd w:val="clear" w:color="auto" w:fill="C6EFCE"/>
            <w:vAlign w:val="center"/>
          </w:tcPr>
          <w:p w14:paraId="667BFE5A" w14:textId="77777777" w:rsidR="00235E11" w:rsidRDefault="00F837E4">
            <w:pPr>
              <w:rPr>
                <w:rFonts w:ascii="Times New Roman" w:eastAsia="Times New Roman" w:hAnsi="Times New Roman"/>
                <w:noProof/>
                <w:color w:val="006100"/>
              </w:rPr>
            </w:pPr>
            <w:r>
              <w:rPr>
                <w:rFonts w:ascii="Times New Roman" w:eastAsia="Times New Roman" w:hAnsi="Times New Roman"/>
                <w:noProof/>
                <w:color w:val="006100"/>
              </w:rPr>
              <w:t>Влизане в сила на постановлението, с което се въвежда задължение за инсталиране на фотоволтаични слънчеви панели за: (1) разположени във Фландрия сгради, които са свързани към пунктове за отвеждане на електроенергия, при които от календарната 2021 г. нататък се извършва изтегляне на повече от 1 GWh годишно, и (2) сградите на обществени организации, разположени във Фландрия, които са свързани към пунктове за отвеждане на електроенергия, при които от календарната 2021 г. нататък има над 250 MWh годишно.</w:t>
            </w:r>
          </w:p>
        </w:tc>
      </w:tr>
      <w:tr w:rsidR="00235E11" w14:paraId="1E7A4249" w14:textId="77777777">
        <w:trPr>
          <w:trHeight w:val="660"/>
        </w:trPr>
        <w:tc>
          <w:tcPr>
            <w:tcW w:w="711" w:type="dxa"/>
            <w:shd w:val="clear" w:color="auto" w:fill="C6EFCE"/>
            <w:vAlign w:val="center"/>
          </w:tcPr>
          <w:p w14:paraId="62708D41" w14:textId="77777777" w:rsidR="00235E11" w:rsidRDefault="00F837E4">
            <w:pPr>
              <w:pStyle w:val="P68B1DB1-Normal45"/>
              <w:jc w:val="center"/>
              <w:rPr>
                <w:noProof/>
              </w:rPr>
            </w:pPr>
            <w:r>
              <w:rPr>
                <w:noProof/>
              </w:rPr>
              <w:t>230</w:t>
            </w:r>
          </w:p>
        </w:tc>
        <w:tc>
          <w:tcPr>
            <w:tcW w:w="1269" w:type="dxa"/>
            <w:shd w:val="clear" w:color="auto" w:fill="C6EFCE"/>
            <w:vAlign w:val="center"/>
          </w:tcPr>
          <w:p w14:paraId="12E7F2FF" w14:textId="77777777" w:rsidR="00235E11" w:rsidRDefault="00F837E4">
            <w:pPr>
              <w:pStyle w:val="P68B1DB1-Normal45"/>
              <w:rPr>
                <w:noProof/>
              </w:rPr>
            </w:pPr>
            <w:r>
              <w:rPr>
                <w:noProof/>
              </w:rPr>
              <w:t>Ускоряване на енергийния преход (R-7.04)</w:t>
            </w:r>
          </w:p>
        </w:tc>
        <w:tc>
          <w:tcPr>
            <w:tcW w:w="851" w:type="dxa"/>
            <w:shd w:val="clear" w:color="auto" w:fill="C6EFCE"/>
            <w:vAlign w:val="center"/>
          </w:tcPr>
          <w:p w14:paraId="6761E831" w14:textId="77777777" w:rsidR="00235E11" w:rsidRDefault="00F837E4">
            <w:pPr>
              <w:pStyle w:val="P68B1DB1-Normal45"/>
              <w:rPr>
                <w:noProof/>
              </w:rPr>
            </w:pPr>
            <w:r>
              <w:rPr>
                <w:noProof/>
              </w:rPr>
              <w:t>M</w:t>
            </w:r>
          </w:p>
        </w:tc>
        <w:tc>
          <w:tcPr>
            <w:tcW w:w="1133" w:type="dxa"/>
            <w:shd w:val="clear" w:color="auto" w:fill="C6EFCE"/>
            <w:vAlign w:val="center"/>
          </w:tcPr>
          <w:p w14:paraId="32158B8D" w14:textId="77777777" w:rsidR="00235E11" w:rsidRDefault="00F837E4">
            <w:pPr>
              <w:pStyle w:val="P68B1DB1-Normal45"/>
              <w:rPr>
                <w:noProof/>
              </w:rPr>
            </w:pPr>
            <w:r>
              <w:rPr>
                <w:noProof/>
              </w:rPr>
              <w:t>Влизане в сила на законодателството</w:t>
            </w:r>
          </w:p>
        </w:tc>
        <w:tc>
          <w:tcPr>
            <w:tcW w:w="1843" w:type="dxa"/>
            <w:shd w:val="clear" w:color="auto" w:fill="C6EFCE"/>
            <w:vAlign w:val="center"/>
          </w:tcPr>
          <w:p w14:paraId="7F975B56" w14:textId="2BB904D5" w:rsidR="00235E11" w:rsidRDefault="00F837E4">
            <w:pPr>
              <w:pStyle w:val="P68B1DB1-Normal45"/>
              <w:rPr>
                <w:noProof/>
              </w:rPr>
            </w:pPr>
            <w:r>
              <w:rPr>
                <w:noProof/>
              </w:rPr>
              <w:t>Разпоредба в закона, указваща влизането в сила на разпоредбите за преразглеждане на Закона за опазване на природата и преразгледаната референтна рамка за вятърната енергия</w:t>
            </w:r>
          </w:p>
        </w:tc>
        <w:tc>
          <w:tcPr>
            <w:tcW w:w="709" w:type="dxa"/>
            <w:shd w:val="clear" w:color="auto" w:fill="C6EFCE"/>
            <w:vAlign w:val="center"/>
          </w:tcPr>
          <w:p w14:paraId="6C97FE81"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1E0B9C44"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3E76AADB"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69855857" w14:textId="77777777" w:rsidR="00235E11" w:rsidRDefault="00F837E4">
            <w:pPr>
              <w:pStyle w:val="P68B1DB1-Normal45"/>
              <w:jc w:val="center"/>
              <w:rPr>
                <w:noProof/>
              </w:rPr>
            </w:pPr>
            <w:r>
              <w:rPr>
                <w:noProof/>
              </w:rPr>
              <w:t>Т4 Г.</w:t>
            </w:r>
          </w:p>
        </w:tc>
        <w:tc>
          <w:tcPr>
            <w:tcW w:w="709" w:type="dxa"/>
            <w:shd w:val="clear" w:color="auto" w:fill="C6EFCE"/>
            <w:vAlign w:val="center"/>
          </w:tcPr>
          <w:p w14:paraId="3B9AF811" w14:textId="77777777" w:rsidR="00235E11" w:rsidRDefault="00F837E4">
            <w:pPr>
              <w:pStyle w:val="P68B1DB1-Normal45"/>
              <w:jc w:val="center"/>
              <w:rPr>
                <w:noProof/>
              </w:rPr>
            </w:pPr>
            <w:r>
              <w:rPr>
                <w:noProof/>
              </w:rPr>
              <w:t>2024</w:t>
            </w:r>
          </w:p>
        </w:tc>
        <w:tc>
          <w:tcPr>
            <w:tcW w:w="4824" w:type="dxa"/>
            <w:shd w:val="clear" w:color="auto" w:fill="C6EFCE"/>
            <w:vAlign w:val="center"/>
          </w:tcPr>
          <w:p w14:paraId="432B84AF" w14:textId="77777777" w:rsidR="00235E11" w:rsidRDefault="00F837E4">
            <w:pPr>
              <w:pStyle w:val="P68B1DB1-Normal45"/>
              <w:spacing w:after="120"/>
              <w:rPr>
                <w:noProof/>
              </w:rPr>
            </w:pPr>
            <w:r>
              <w:rPr>
                <w:noProof/>
              </w:rPr>
              <w:t>(1) Влизане в сила на реформата на Закона за опазване на природата, с която се опростяват процедурите за оценка на въздействието на проектите за съоръжения за производство на електроенергия от възобновяеми източници върху биологичното разнообразие в зони, които се определят като „зони за ускорено внедряване на енергия от възобновяеми източници“.</w:t>
            </w:r>
          </w:p>
          <w:p w14:paraId="778E059D" w14:textId="3BAB6A5A" w:rsidR="00235E11" w:rsidRDefault="00F837E4">
            <w:pPr>
              <w:pStyle w:val="P68B1DB1-paragraph47"/>
              <w:spacing w:before="0" w:beforeAutospacing="0" w:after="120" w:afterAutospacing="0"/>
              <w:jc w:val="both"/>
              <w:textAlignment w:val="baseline"/>
              <w:rPr>
                <w:noProof/>
              </w:rPr>
            </w:pPr>
            <w:r>
              <w:rPr>
                <w:noProof/>
              </w:rPr>
              <w:t>(</w:t>
            </w:r>
            <w:r>
              <w:rPr>
                <w:noProof/>
                <w:sz w:val="22"/>
              </w:rPr>
              <w:t>2) Влизане в сила на преразгледаната референтна рамка за вятърната енергия с оглед на утвърждаването на по-висшия обществен интерес в областта на енергията от възобновяеми източници; адаптиране на разстоянието от мачтите до местообитанията, като се модулира задължението за монтиране на минимален брой мачти; адаптиране на амбициите на инсталациите за енергия от възобновяеми източници към най-добрите налични технологии.</w:t>
            </w:r>
          </w:p>
        </w:tc>
      </w:tr>
      <w:tr w:rsidR="00235E11" w14:paraId="549466D9" w14:textId="77777777">
        <w:trPr>
          <w:trHeight w:val="3420"/>
        </w:trPr>
        <w:tc>
          <w:tcPr>
            <w:tcW w:w="711" w:type="dxa"/>
            <w:shd w:val="clear" w:color="auto" w:fill="C6EFCE"/>
            <w:vAlign w:val="center"/>
          </w:tcPr>
          <w:p w14:paraId="534DB3E0" w14:textId="77777777" w:rsidR="00235E11" w:rsidRDefault="00F837E4">
            <w:pPr>
              <w:pStyle w:val="P68B1DB1-Normal45"/>
              <w:jc w:val="center"/>
              <w:rPr>
                <w:noProof/>
              </w:rPr>
            </w:pPr>
            <w:r>
              <w:rPr>
                <w:noProof/>
              </w:rPr>
              <w:t>231</w:t>
            </w:r>
          </w:p>
        </w:tc>
        <w:tc>
          <w:tcPr>
            <w:tcW w:w="1269" w:type="dxa"/>
            <w:shd w:val="clear" w:color="auto" w:fill="C6EFCE"/>
            <w:vAlign w:val="center"/>
          </w:tcPr>
          <w:p w14:paraId="66FA6B8B" w14:textId="77777777" w:rsidR="00235E11" w:rsidRDefault="00F837E4">
            <w:pPr>
              <w:pStyle w:val="P68B1DB1-Normal45"/>
              <w:rPr>
                <w:noProof/>
              </w:rPr>
            </w:pPr>
            <w:r>
              <w:rPr>
                <w:noProof/>
              </w:rPr>
              <w:t>Ускоряване на енергийния преход (R-7.04)</w:t>
            </w:r>
          </w:p>
        </w:tc>
        <w:tc>
          <w:tcPr>
            <w:tcW w:w="851" w:type="dxa"/>
            <w:shd w:val="clear" w:color="auto" w:fill="C6EFCE"/>
            <w:vAlign w:val="center"/>
          </w:tcPr>
          <w:p w14:paraId="2FFCA52A" w14:textId="77777777" w:rsidR="00235E11" w:rsidRDefault="00F837E4">
            <w:pPr>
              <w:pStyle w:val="P68B1DB1-Normal45"/>
              <w:rPr>
                <w:noProof/>
              </w:rPr>
            </w:pPr>
            <w:r>
              <w:rPr>
                <w:noProof/>
              </w:rPr>
              <w:t>M</w:t>
            </w:r>
          </w:p>
        </w:tc>
        <w:tc>
          <w:tcPr>
            <w:tcW w:w="1133" w:type="dxa"/>
            <w:shd w:val="clear" w:color="auto" w:fill="C6EFCE"/>
            <w:vAlign w:val="center"/>
          </w:tcPr>
          <w:p w14:paraId="0A5904CB" w14:textId="77777777" w:rsidR="00235E11" w:rsidRDefault="00F837E4">
            <w:pPr>
              <w:pStyle w:val="P68B1DB1-Normal45"/>
              <w:rPr>
                <w:noProof/>
              </w:rPr>
            </w:pPr>
            <w:r>
              <w:rPr>
                <w:noProof/>
              </w:rPr>
              <w:t>Влизане в сила на законодателството</w:t>
            </w:r>
          </w:p>
        </w:tc>
        <w:tc>
          <w:tcPr>
            <w:tcW w:w="1843" w:type="dxa"/>
            <w:shd w:val="clear" w:color="auto" w:fill="C6EFCE"/>
            <w:vAlign w:val="center"/>
          </w:tcPr>
          <w:p w14:paraId="14198CA2" w14:textId="084084FA" w:rsidR="00235E11" w:rsidRDefault="00F837E4">
            <w:pPr>
              <w:pStyle w:val="P68B1DB1-Normal45"/>
              <w:rPr>
                <w:noProof/>
              </w:rPr>
            </w:pPr>
            <w:r>
              <w:rPr>
                <w:noProof/>
              </w:rPr>
              <w:t>Законова разпоредба, указваща влизането в сила на разпоредби, забраняващи използването на въглища и мазут за отопление</w:t>
            </w:r>
          </w:p>
        </w:tc>
        <w:tc>
          <w:tcPr>
            <w:tcW w:w="709" w:type="dxa"/>
            <w:shd w:val="clear" w:color="auto" w:fill="C6EFCE"/>
            <w:vAlign w:val="center"/>
          </w:tcPr>
          <w:p w14:paraId="3334CEC3"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0BECD341"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177111DF"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67C766C2" w14:textId="77777777" w:rsidR="00235E11" w:rsidRDefault="00F837E4">
            <w:pPr>
              <w:pStyle w:val="P68B1DB1-Normal45"/>
              <w:jc w:val="center"/>
              <w:rPr>
                <w:noProof/>
              </w:rPr>
            </w:pPr>
            <w:r>
              <w:rPr>
                <w:noProof/>
              </w:rPr>
              <w:t>Т2 Г.</w:t>
            </w:r>
          </w:p>
        </w:tc>
        <w:tc>
          <w:tcPr>
            <w:tcW w:w="709" w:type="dxa"/>
            <w:shd w:val="clear" w:color="auto" w:fill="C6EFCE"/>
            <w:vAlign w:val="center"/>
          </w:tcPr>
          <w:p w14:paraId="67BE1D01" w14:textId="77777777" w:rsidR="00235E11" w:rsidRDefault="00F837E4">
            <w:pPr>
              <w:pStyle w:val="P68B1DB1-Normal45"/>
              <w:jc w:val="center"/>
              <w:rPr>
                <w:noProof/>
              </w:rPr>
            </w:pPr>
            <w:r>
              <w:rPr>
                <w:noProof/>
              </w:rPr>
              <w:t>2025</w:t>
            </w:r>
          </w:p>
        </w:tc>
        <w:tc>
          <w:tcPr>
            <w:tcW w:w="4824" w:type="dxa"/>
            <w:shd w:val="clear" w:color="auto" w:fill="C6EFCE"/>
            <w:vAlign w:val="center"/>
          </w:tcPr>
          <w:p w14:paraId="036BAB39" w14:textId="5304B07B" w:rsidR="00235E11" w:rsidRDefault="00F837E4">
            <w:pPr>
              <w:pStyle w:val="P68B1DB1-Normal45"/>
              <w:rPr>
                <w:noProof/>
              </w:rPr>
            </w:pPr>
            <w:r>
              <w:rPr>
                <w:noProof/>
              </w:rPr>
              <w:t>Влизане в сила на преразглеждането на Постановлението на валонското правителство относно енергийните характеристики на сградите, забрана на въглищата и мазут за отопление и топла вода за битови нужди в нови сгради, считано от 1 март 2025 г., и в съществуващи сгради от 1 януари 2026 г.</w:t>
            </w:r>
          </w:p>
        </w:tc>
      </w:tr>
      <w:tr w:rsidR="00235E11" w14:paraId="3BBFDF7C" w14:textId="77777777">
        <w:trPr>
          <w:trHeight w:val="660"/>
        </w:trPr>
        <w:tc>
          <w:tcPr>
            <w:tcW w:w="711" w:type="dxa"/>
            <w:shd w:val="clear" w:color="auto" w:fill="C6EFCE"/>
            <w:vAlign w:val="center"/>
          </w:tcPr>
          <w:p w14:paraId="5C3A7510" w14:textId="77777777" w:rsidR="00235E11" w:rsidRDefault="00F837E4">
            <w:pPr>
              <w:pStyle w:val="P68B1DB1-Normal45"/>
              <w:jc w:val="center"/>
              <w:rPr>
                <w:noProof/>
              </w:rPr>
            </w:pPr>
            <w:r>
              <w:rPr>
                <w:noProof/>
              </w:rPr>
              <w:t>232</w:t>
            </w:r>
          </w:p>
        </w:tc>
        <w:tc>
          <w:tcPr>
            <w:tcW w:w="1269" w:type="dxa"/>
            <w:shd w:val="clear" w:color="auto" w:fill="C6EFCE"/>
            <w:vAlign w:val="center"/>
          </w:tcPr>
          <w:p w14:paraId="49A9C5AC" w14:textId="77777777" w:rsidR="00235E11" w:rsidRDefault="00F837E4">
            <w:pPr>
              <w:pStyle w:val="P68B1DB1-Normal45"/>
              <w:rPr>
                <w:noProof/>
              </w:rPr>
            </w:pPr>
            <w:r>
              <w:rPr>
                <w:noProof/>
              </w:rPr>
              <w:t>Плаваща слънчева енергия (I-7.16)</w:t>
            </w:r>
          </w:p>
        </w:tc>
        <w:tc>
          <w:tcPr>
            <w:tcW w:w="851" w:type="dxa"/>
            <w:shd w:val="clear" w:color="auto" w:fill="C6EFCE"/>
            <w:vAlign w:val="center"/>
          </w:tcPr>
          <w:p w14:paraId="11112FAE" w14:textId="77777777" w:rsidR="00235E11" w:rsidRDefault="00F837E4">
            <w:pPr>
              <w:pStyle w:val="P68B1DB1-Normal45"/>
              <w:rPr>
                <w:noProof/>
              </w:rPr>
            </w:pPr>
            <w:r>
              <w:rPr>
                <w:noProof/>
              </w:rPr>
              <w:t>M</w:t>
            </w:r>
          </w:p>
        </w:tc>
        <w:tc>
          <w:tcPr>
            <w:tcW w:w="1133" w:type="dxa"/>
            <w:shd w:val="clear" w:color="auto" w:fill="C6EFCE"/>
            <w:vAlign w:val="center"/>
          </w:tcPr>
          <w:p w14:paraId="5B5ED1AB" w14:textId="77777777" w:rsidR="00235E11" w:rsidRDefault="00F837E4">
            <w:pPr>
              <w:pStyle w:val="P68B1DB1-Normal45"/>
              <w:rPr>
                <w:noProof/>
              </w:rPr>
            </w:pPr>
            <w:r>
              <w:rPr>
                <w:noProof/>
              </w:rPr>
              <w:t>Пълномащабен демонстратор в експлоатация</w:t>
            </w:r>
          </w:p>
        </w:tc>
        <w:tc>
          <w:tcPr>
            <w:tcW w:w="1843" w:type="dxa"/>
            <w:shd w:val="clear" w:color="auto" w:fill="C6EFCE"/>
            <w:vAlign w:val="center"/>
          </w:tcPr>
          <w:p w14:paraId="5F9E7472" w14:textId="77777777" w:rsidR="00235E11" w:rsidRDefault="00F837E4">
            <w:pPr>
              <w:pStyle w:val="P68B1DB1-Normal45"/>
              <w:rPr>
                <w:noProof/>
              </w:rPr>
            </w:pPr>
            <w:r>
              <w:rPr>
                <w:noProof/>
              </w:rPr>
              <w:t>Инсталиране и привеждане в действие</w:t>
            </w:r>
          </w:p>
        </w:tc>
        <w:tc>
          <w:tcPr>
            <w:tcW w:w="709" w:type="dxa"/>
            <w:shd w:val="clear" w:color="auto" w:fill="C6EFCE"/>
            <w:vAlign w:val="center"/>
          </w:tcPr>
          <w:p w14:paraId="5CE625C2"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04437658"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2B1FD2E8"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7EEAC5F3" w14:textId="77777777" w:rsidR="00235E11" w:rsidRDefault="00F837E4">
            <w:pPr>
              <w:pStyle w:val="P68B1DB1-Normal45"/>
              <w:jc w:val="center"/>
              <w:rPr>
                <w:noProof/>
              </w:rPr>
            </w:pPr>
            <w:r>
              <w:rPr>
                <w:noProof/>
              </w:rPr>
              <w:t>Т4 Г.</w:t>
            </w:r>
          </w:p>
        </w:tc>
        <w:tc>
          <w:tcPr>
            <w:tcW w:w="709" w:type="dxa"/>
            <w:shd w:val="clear" w:color="auto" w:fill="C6EFCE"/>
            <w:vAlign w:val="center"/>
          </w:tcPr>
          <w:p w14:paraId="0FB8F9E9" w14:textId="77777777" w:rsidR="00235E11" w:rsidRDefault="00F837E4">
            <w:pPr>
              <w:pStyle w:val="P68B1DB1-Normal45"/>
              <w:jc w:val="center"/>
              <w:rPr>
                <w:noProof/>
              </w:rPr>
            </w:pPr>
            <w:r>
              <w:rPr>
                <w:noProof/>
              </w:rPr>
              <w:t>2025</w:t>
            </w:r>
          </w:p>
        </w:tc>
        <w:tc>
          <w:tcPr>
            <w:tcW w:w="4824" w:type="dxa"/>
            <w:shd w:val="clear" w:color="auto" w:fill="C6EFCE"/>
            <w:vAlign w:val="center"/>
          </w:tcPr>
          <w:p w14:paraId="46581239" w14:textId="77777777" w:rsidR="00235E11" w:rsidRDefault="00F837E4">
            <w:pPr>
              <w:pStyle w:val="P68B1DB1-Normal45"/>
              <w:rPr>
                <w:noProof/>
              </w:rPr>
            </w:pPr>
            <w:r>
              <w:rPr>
                <w:noProof/>
              </w:rPr>
              <w:t>Инсталиран и действащ демонстратор с плаващ слънчев панел с пълна мощност между 1 и 5 MW.</w:t>
            </w:r>
          </w:p>
        </w:tc>
      </w:tr>
      <w:tr w:rsidR="00235E11" w14:paraId="40DE8D49" w14:textId="77777777">
        <w:trPr>
          <w:trHeight w:val="660"/>
        </w:trPr>
        <w:tc>
          <w:tcPr>
            <w:tcW w:w="711" w:type="dxa"/>
            <w:shd w:val="clear" w:color="auto" w:fill="C6EFCE"/>
            <w:vAlign w:val="center"/>
          </w:tcPr>
          <w:p w14:paraId="4AED7C86" w14:textId="77777777" w:rsidR="00235E11" w:rsidRDefault="00F837E4">
            <w:pPr>
              <w:pStyle w:val="P68B1DB1-Normal45"/>
              <w:jc w:val="center"/>
              <w:rPr>
                <w:noProof/>
              </w:rPr>
            </w:pPr>
            <w:r>
              <w:rPr>
                <w:noProof/>
              </w:rPr>
              <w:t>233</w:t>
            </w:r>
          </w:p>
        </w:tc>
        <w:tc>
          <w:tcPr>
            <w:tcW w:w="1269" w:type="dxa"/>
            <w:shd w:val="clear" w:color="auto" w:fill="C6EFCE"/>
            <w:vAlign w:val="center"/>
          </w:tcPr>
          <w:p w14:paraId="13CF10C7" w14:textId="77777777" w:rsidR="00235E11" w:rsidRDefault="00F837E4">
            <w:pPr>
              <w:pStyle w:val="P68B1DB1-Normal45"/>
              <w:rPr>
                <w:noProof/>
              </w:rPr>
            </w:pPr>
            <w:r>
              <w:rPr>
                <w:noProof/>
              </w:rPr>
              <w:t>Оптимизиране на разпределението на енергията (I-7.17)</w:t>
            </w:r>
          </w:p>
        </w:tc>
        <w:tc>
          <w:tcPr>
            <w:tcW w:w="851" w:type="dxa"/>
            <w:shd w:val="clear" w:color="auto" w:fill="C6EFCE"/>
            <w:vAlign w:val="center"/>
          </w:tcPr>
          <w:p w14:paraId="09C34B95" w14:textId="77777777" w:rsidR="00235E11" w:rsidRDefault="00F837E4">
            <w:pPr>
              <w:pStyle w:val="P68B1DB1-Normal45"/>
              <w:rPr>
                <w:noProof/>
              </w:rPr>
            </w:pPr>
            <w:r>
              <w:rPr>
                <w:noProof/>
              </w:rPr>
              <w:t>M</w:t>
            </w:r>
          </w:p>
        </w:tc>
        <w:tc>
          <w:tcPr>
            <w:tcW w:w="1133" w:type="dxa"/>
            <w:shd w:val="clear" w:color="auto" w:fill="C6EFCE"/>
            <w:vAlign w:val="center"/>
          </w:tcPr>
          <w:p w14:paraId="243749D4" w14:textId="77777777" w:rsidR="00235E11" w:rsidRDefault="00F837E4">
            <w:pPr>
              <w:pStyle w:val="P68B1DB1-Normal25"/>
              <w:spacing w:line="259" w:lineRule="auto"/>
              <w:rPr>
                <w:rFonts w:eastAsia="Times New Roman"/>
                <w:noProof/>
              </w:rPr>
            </w:pPr>
            <w:r>
              <w:rPr>
                <w:noProof/>
              </w:rPr>
              <w:t>Предоставяне на субсидии на двата основни оператора на електроенергийната мрежа във Валонския регион</w:t>
            </w:r>
          </w:p>
        </w:tc>
        <w:tc>
          <w:tcPr>
            <w:tcW w:w="1843" w:type="dxa"/>
            <w:shd w:val="clear" w:color="auto" w:fill="C6EFCE"/>
            <w:vAlign w:val="center"/>
          </w:tcPr>
          <w:p w14:paraId="7818146B" w14:textId="77777777" w:rsidR="00235E11" w:rsidRDefault="00F837E4">
            <w:pPr>
              <w:pStyle w:val="P68B1DB1-Normal45"/>
              <w:spacing w:line="259" w:lineRule="auto"/>
              <w:rPr>
                <w:noProof/>
              </w:rPr>
            </w:pPr>
            <w:r>
              <w:rPr>
                <w:noProof/>
              </w:rPr>
              <w:t>Писмено уведомление за предоставяне на субсидии от правителството на Валония</w:t>
            </w:r>
          </w:p>
        </w:tc>
        <w:tc>
          <w:tcPr>
            <w:tcW w:w="709" w:type="dxa"/>
            <w:shd w:val="clear" w:color="auto" w:fill="C6EFCE"/>
            <w:vAlign w:val="center"/>
          </w:tcPr>
          <w:p w14:paraId="4ED434DF"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3DFD2D59"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34C17D1C"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7DE96379" w14:textId="4E71A6E0" w:rsidR="00235E11" w:rsidRDefault="00F837E4">
            <w:pPr>
              <w:pStyle w:val="P68B1DB1-Normal45"/>
              <w:jc w:val="center"/>
              <w:rPr>
                <w:noProof/>
              </w:rPr>
            </w:pPr>
            <w:r>
              <w:rPr>
                <w:noProof/>
              </w:rPr>
              <w:t>Т1 Г.</w:t>
            </w:r>
          </w:p>
        </w:tc>
        <w:tc>
          <w:tcPr>
            <w:tcW w:w="709" w:type="dxa"/>
            <w:shd w:val="clear" w:color="auto" w:fill="C6EFCE"/>
            <w:vAlign w:val="center"/>
          </w:tcPr>
          <w:p w14:paraId="7D9A2405" w14:textId="4077C3DD" w:rsidR="00235E11" w:rsidRDefault="00F837E4">
            <w:pPr>
              <w:pStyle w:val="P68B1DB1-Normal45"/>
              <w:jc w:val="center"/>
              <w:rPr>
                <w:noProof/>
              </w:rPr>
            </w:pPr>
            <w:r>
              <w:rPr>
                <w:noProof/>
              </w:rPr>
              <w:t>2024</w:t>
            </w:r>
          </w:p>
        </w:tc>
        <w:tc>
          <w:tcPr>
            <w:tcW w:w="4824" w:type="dxa"/>
            <w:shd w:val="clear" w:color="auto" w:fill="C6EFCE"/>
            <w:vAlign w:val="center"/>
          </w:tcPr>
          <w:p w14:paraId="1D64D8D1" w14:textId="73292CD6" w:rsidR="00235E11" w:rsidRDefault="00F837E4">
            <w:pPr>
              <w:pStyle w:val="P68B1DB1-Text148"/>
              <w:ind w:left="0"/>
              <w:jc w:val="left"/>
              <w:rPr>
                <w:rFonts w:eastAsia="Times New Roman"/>
                <w:noProof/>
              </w:rPr>
            </w:pPr>
            <w:r>
              <w:rPr>
                <w:noProof/>
                <w:sz w:val="22"/>
              </w:rPr>
              <w:t>Отпускане на субсидии на</w:t>
            </w:r>
            <w:r>
              <w:rPr>
                <w:noProof/>
              </w:rPr>
              <w:t xml:space="preserve"> </w:t>
            </w:r>
            <w:r>
              <w:rPr>
                <w:noProof/>
                <w:sz w:val="22"/>
              </w:rPr>
              <w:t>двамата основни оператори на електроенергийни мрежи във Валонския регион (пропорционално на дела им в общия брой ползватели на мрежата) с оглед на инсталирането на интелигентни измервателни уреди, внедряването на ИТ решения за управление на интелигентни мрежи или осъществяването на инвестиции за укрепване на мрежата.</w:t>
            </w:r>
          </w:p>
        </w:tc>
      </w:tr>
      <w:tr w:rsidR="00235E11" w14:paraId="05691A8F" w14:textId="77777777">
        <w:trPr>
          <w:trHeight w:val="660"/>
        </w:trPr>
        <w:tc>
          <w:tcPr>
            <w:tcW w:w="711" w:type="dxa"/>
            <w:shd w:val="clear" w:color="auto" w:fill="C6EFCE"/>
            <w:vAlign w:val="center"/>
          </w:tcPr>
          <w:p w14:paraId="34DF0EAC" w14:textId="77777777" w:rsidR="00235E11" w:rsidRDefault="00F837E4">
            <w:pPr>
              <w:pStyle w:val="P68B1DB1-Normal45"/>
              <w:jc w:val="center"/>
              <w:rPr>
                <w:noProof/>
              </w:rPr>
            </w:pPr>
            <w:r>
              <w:rPr>
                <w:noProof/>
              </w:rPr>
              <w:t>234</w:t>
            </w:r>
          </w:p>
        </w:tc>
        <w:tc>
          <w:tcPr>
            <w:tcW w:w="1269" w:type="dxa"/>
            <w:shd w:val="clear" w:color="auto" w:fill="C6EFCE"/>
            <w:vAlign w:val="center"/>
          </w:tcPr>
          <w:p w14:paraId="6C42BE90" w14:textId="77777777" w:rsidR="00235E11" w:rsidRDefault="00F837E4">
            <w:pPr>
              <w:pStyle w:val="P68B1DB1-Normal45"/>
              <w:rPr>
                <w:noProof/>
              </w:rPr>
            </w:pPr>
            <w:r>
              <w:rPr>
                <w:noProof/>
              </w:rPr>
              <w:t>Оптимизиране на разпределението на енергията (I-7.17)</w:t>
            </w:r>
          </w:p>
        </w:tc>
        <w:tc>
          <w:tcPr>
            <w:tcW w:w="851" w:type="dxa"/>
            <w:shd w:val="clear" w:color="auto" w:fill="C6EFCE"/>
            <w:vAlign w:val="center"/>
          </w:tcPr>
          <w:p w14:paraId="57959199" w14:textId="77777777" w:rsidR="00235E11" w:rsidRDefault="00F837E4">
            <w:pPr>
              <w:pStyle w:val="P68B1DB1-Normal45"/>
              <w:spacing w:line="259" w:lineRule="auto"/>
              <w:rPr>
                <w:noProof/>
              </w:rPr>
            </w:pPr>
            <w:r>
              <w:rPr>
                <w:noProof/>
              </w:rPr>
              <w:t>M</w:t>
            </w:r>
          </w:p>
        </w:tc>
        <w:tc>
          <w:tcPr>
            <w:tcW w:w="1133" w:type="dxa"/>
            <w:shd w:val="clear" w:color="auto" w:fill="C6EFCE"/>
            <w:vAlign w:val="center"/>
          </w:tcPr>
          <w:p w14:paraId="1FFF7B04" w14:textId="77777777" w:rsidR="00235E11" w:rsidRDefault="00F837E4">
            <w:pPr>
              <w:pStyle w:val="P68B1DB1-Normal45"/>
              <w:rPr>
                <w:noProof/>
              </w:rPr>
            </w:pPr>
            <w:r>
              <w:rPr>
                <w:noProof/>
              </w:rPr>
              <w:t>Приключване на проекти</w:t>
            </w:r>
          </w:p>
        </w:tc>
        <w:tc>
          <w:tcPr>
            <w:tcW w:w="1843" w:type="dxa"/>
            <w:shd w:val="clear" w:color="auto" w:fill="C6EFCE"/>
            <w:vAlign w:val="center"/>
          </w:tcPr>
          <w:p w14:paraId="271F1987" w14:textId="77777777" w:rsidR="00235E11" w:rsidRDefault="00F837E4">
            <w:pPr>
              <w:pStyle w:val="P68B1DB1-Normal45"/>
              <w:rPr>
                <w:noProof/>
              </w:rPr>
            </w:pPr>
            <w:r>
              <w:rPr>
                <w:noProof/>
              </w:rPr>
              <w:t>Одобрен окончателен доклад за проекта</w:t>
            </w:r>
          </w:p>
        </w:tc>
        <w:tc>
          <w:tcPr>
            <w:tcW w:w="709" w:type="dxa"/>
            <w:shd w:val="clear" w:color="auto" w:fill="C6EFCE"/>
            <w:vAlign w:val="center"/>
          </w:tcPr>
          <w:p w14:paraId="6F23180C" w14:textId="77777777" w:rsidR="00235E11" w:rsidRDefault="00235E11">
            <w:pPr>
              <w:widowControl w:val="0"/>
              <w:rPr>
                <w:rFonts w:ascii="Times New Roman" w:eastAsia="Times New Roman" w:hAnsi="Times New Roman"/>
                <w:noProof/>
                <w:color w:val="006100"/>
                <w:highlight w:val="yellow"/>
              </w:rPr>
            </w:pPr>
          </w:p>
        </w:tc>
        <w:tc>
          <w:tcPr>
            <w:tcW w:w="709" w:type="dxa"/>
            <w:shd w:val="clear" w:color="auto" w:fill="C6EFCE"/>
            <w:vAlign w:val="center"/>
          </w:tcPr>
          <w:p w14:paraId="305E738E"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3283D758"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06E90CC2" w14:textId="77777777" w:rsidR="00235E11" w:rsidRDefault="00F837E4">
            <w:pPr>
              <w:pStyle w:val="P68B1DB1-Normal45"/>
              <w:jc w:val="center"/>
              <w:rPr>
                <w:noProof/>
              </w:rPr>
            </w:pPr>
            <w:r>
              <w:rPr>
                <w:noProof/>
              </w:rPr>
              <w:t>Т2 Г.</w:t>
            </w:r>
          </w:p>
        </w:tc>
        <w:tc>
          <w:tcPr>
            <w:tcW w:w="709" w:type="dxa"/>
            <w:shd w:val="clear" w:color="auto" w:fill="C6EFCE"/>
            <w:vAlign w:val="center"/>
          </w:tcPr>
          <w:p w14:paraId="359B3463" w14:textId="77777777" w:rsidR="00235E11" w:rsidRDefault="00F837E4">
            <w:pPr>
              <w:pStyle w:val="P68B1DB1-Normal45"/>
              <w:jc w:val="center"/>
              <w:rPr>
                <w:noProof/>
              </w:rPr>
            </w:pPr>
            <w:r>
              <w:rPr>
                <w:noProof/>
              </w:rPr>
              <w:t>2026</w:t>
            </w:r>
          </w:p>
        </w:tc>
        <w:tc>
          <w:tcPr>
            <w:tcW w:w="4824" w:type="dxa"/>
            <w:shd w:val="clear" w:color="auto" w:fill="C6EFCE"/>
            <w:vAlign w:val="center"/>
          </w:tcPr>
          <w:p w14:paraId="1E357F80" w14:textId="0725433C" w:rsidR="00235E11" w:rsidRDefault="00F837E4">
            <w:pPr>
              <w:pStyle w:val="P68B1DB1-Normal25"/>
              <w:rPr>
                <w:noProof/>
              </w:rPr>
            </w:pPr>
            <w:r>
              <w:rPr>
                <w:noProof/>
              </w:rPr>
              <w:t>Завършване на инсталирането на интелигентни измервателни уреди, както и внедряване на ИТ решения за управление на интелигентни мрежи или инвестиции за укрепване на мрежата с най-малко 68 400 000 EUR.</w:t>
            </w:r>
          </w:p>
        </w:tc>
      </w:tr>
      <w:tr w:rsidR="00235E11" w14:paraId="57945C49" w14:textId="77777777">
        <w:trPr>
          <w:trHeight w:val="660"/>
        </w:trPr>
        <w:tc>
          <w:tcPr>
            <w:tcW w:w="711" w:type="dxa"/>
            <w:shd w:val="clear" w:color="auto" w:fill="C6EFCE"/>
            <w:vAlign w:val="center"/>
          </w:tcPr>
          <w:p w14:paraId="2C2C973F" w14:textId="77777777" w:rsidR="00235E11" w:rsidRDefault="00F837E4">
            <w:pPr>
              <w:pStyle w:val="P68B1DB1-Normal45"/>
              <w:jc w:val="center"/>
              <w:rPr>
                <w:noProof/>
              </w:rPr>
            </w:pPr>
            <w:r>
              <w:rPr>
                <w:noProof/>
              </w:rPr>
              <w:t>235</w:t>
            </w:r>
          </w:p>
        </w:tc>
        <w:tc>
          <w:tcPr>
            <w:tcW w:w="1269" w:type="dxa"/>
            <w:shd w:val="clear" w:color="auto" w:fill="C6EFCE"/>
            <w:vAlign w:val="center"/>
          </w:tcPr>
          <w:p w14:paraId="45B327AD" w14:textId="77777777" w:rsidR="00235E11" w:rsidRDefault="00F837E4">
            <w:pPr>
              <w:pStyle w:val="P68B1DB1-Normal45"/>
              <w:rPr>
                <w:noProof/>
              </w:rPr>
            </w:pPr>
            <w:r>
              <w:rPr>
                <w:noProof/>
              </w:rPr>
              <w:t>Покана за иновативни инициативи за производство на енергия от възобновяеми източници (I-7.18)</w:t>
            </w:r>
          </w:p>
        </w:tc>
        <w:tc>
          <w:tcPr>
            <w:tcW w:w="851" w:type="dxa"/>
            <w:shd w:val="clear" w:color="auto" w:fill="C6EFCE"/>
            <w:vAlign w:val="center"/>
          </w:tcPr>
          <w:p w14:paraId="0505DEE2" w14:textId="77777777" w:rsidR="00235E11" w:rsidRDefault="00F837E4">
            <w:pPr>
              <w:pStyle w:val="P68B1DB1-Normal45"/>
              <w:rPr>
                <w:noProof/>
              </w:rPr>
            </w:pPr>
            <w:r>
              <w:rPr>
                <w:noProof/>
              </w:rPr>
              <w:t>M</w:t>
            </w:r>
          </w:p>
        </w:tc>
        <w:tc>
          <w:tcPr>
            <w:tcW w:w="1133" w:type="dxa"/>
            <w:shd w:val="clear" w:color="auto" w:fill="C6EFCE"/>
            <w:vAlign w:val="center"/>
          </w:tcPr>
          <w:p w14:paraId="4D443F12" w14:textId="2E36F1FD" w:rsidR="00235E11" w:rsidRDefault="00F837E4">
            <w:pPr>
              <w:pStyle w:val="P68B1DB1-Normal25"/>
              <w:rPr>
                <w:rFonts w:eastAsia="Times New Roman"/>
                <w:noProof/>
              </w:rPr>
            </w:pPr>
            <w:r>
              <w:rPr>
                <w:noProof/>
              </w:rPr>
              <w:t>Възлагане на поръчки по покани за представяне на проекти</w:t>
            </w:r>
          </w:p>
        </w:tc>
        <w:tc>
          <w:tcPr>
            <w:tcW w:w="1843" w:type="dxa"/>
            <w:shd w:val="clear" w:color="auto" w:fill="C6EFCE"/>
            <w:vAlign w:val="center"/>
          </w:tcPr>
          <w:p w14:paraId="4E346D81" w14:textId="130FAD09" w:rsidR="00235E11" w:rsidRDefault="00F837E4">
            <w:pPr>
              <w:pStyle w:val="P68B1DB1-Normal25"/>
              <w:rPr>
                <w:rFonts w:eastAsia="Times New Roman"/>
                <w:noProof/>
              </w:rPr>
            </w:pPr>
            <w:r>
              <w:rPr>
                <w:noProof/>
              </w:rPr>
              <w:t>Писмено уведомление за възлагане на обществена поръчка на успелите кандидати</w:t>
            </w:r>
          </w:p>
        </w:tc>
        <w:tc>
          <w:tcPr>
            <w:tcW w:w="709" w:type="dxa"/>
            <w:shd w:val="clear" w:color="auto" w:fill="C6EFCE"/>
            <w:vAlign w:val="center"/>
          </w:tcPr>
          <w:p w14:paraId="4C59D125"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2CB945C5"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5AB65B6D"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20DE3BAB" w14:textId="77777777" w:rsidR="00235E11" w:rsidRDefault="00F837E4">
            <w:pPr>
              <w:pStyle w:val="P68B1DB1-Normal45"/>
              <w:jc w:val="center"/>
              <w:rPr>
                <w:noProof/>
              </w:rPr>
            </w:pPr>
            <w:r>
              <w:rPr>
                <w:noProof/>
              </w:rPr>
              <w:t>Т2 Г.</w:t>
            </w:r>
          </w:p>
        </w:tc>
        <w:tc>
          <w:tcPr>
            <w:tcW w:w="709" w:type="dxa"/>
            <w:shd w:val="clear" w:color="auto" w:fill="C6EFCE"/>
            <w:vAlign w:val="center"/>
          </w:tcPr>
          <w:p w14:paraId="08A3C526" w14:textId="77777777" w:rsidR="00235E11" w:rsidRDefault="00F837E4">
            <w:pPr>
              <w:pStyle w:val="P68B1DB1-Normal45"/>
              <w:jc w:val="center"/>
              <w:rPr>
                <w:noProof/>
              </w:rPr>
            </w:pPr>
            <w:r>
              <w:rPr>
                <w:noProof/>
              </w:rPr>
              <w:t>2024</w:t>
            </w:r>
          </w:p>
        </w:tc>
        <w:tc>
          <w:tcPr>
            <w:tcW w:w="4824" w:type="dxa"/>
            <w:shd w:val="clear" w:color="auto" w:fill="C6EFCE"/>
            <w:vAlign w:val="center"/>
          </w:tcPr>
          <w:p w14:paraId="0DCEF4DC" w14:textId="77777777" w:rsidR="00235E11" w:rsidRDefault="00F837E4">
            <w:pPr>
              <w:pStyle w:val="P68B1DB1-Normal25"/>
              <w:rPr>
                <w:rFonts w:eastAsia="Times New Roman"/>
                <w:noProof/>
              </w:rPr>
            </w:pPr>
            <w:r>
              <w:rPr>
                <w:noProof/>
              </w:rPr>
              <w:t>Възлагане на договори за проекти, насочени към инвестиции в брегово електрозахранване и РД за инициативи за производство на слънчева енергия, избрани чрез покана за представяне на проекти.</w:t>
            </w:r>
          </w:p>
        </w:tc>
      </w:tr>
      <w:tr w:rsidR="00235E11" w14:paraId="6D2481C6" w14:textId="77777777">
        <w:trPr>
          <w:trHeight w:val="660"/>
        </w:trPr>
        <w:tc>
          <w:tcPr>
            <w:tcW w:w="711" w:type="dxa"/>
            <w:shd w:val="clear" w:color="auto" w:fill="C6EFCE"/>
            <w:vAlign w:val="center"/>
          </w:tcPr>
          <w:p w14:paraId="71A5377B" w14:textId="77777777" w:rsidR="00235E11" w:rsidRDefault="00F837E4">
            <w:pPr>
              <w:pStyle w:val="P68B1DB1-Normal45"/>
              <w:jc w:val="center"/>
              <w:rPr>
                <w:noProof/>
              </w:rPr>
            </w:pPr>
            <w:r>
              <w:rPr>
                <w:noProof/>
              </w:rPr>
              <w:t>236</w:t>
            </w:r>
          </w:p>
        </w:tc>
        <w:tc>
          <w:tcPr>
            <w:tcW w:w="1269" w:type="dxa"/>
            <w:shd w:val="clear" w:color="auto" w:fill="C6EFCE"/>
            <w:vAlign w:val="center"/>
          </w:tcPr>
          <w:p w14:paraId="6A4E5727" w14:textId="77777777" w:rsidR="00235E11" w:rsidRDefault="00F837E4">
            <w:pPr>
              <w:pStyle w:val="P68B1DB1-Normal45"/>
              <w:rPr>
                <w:noProof/>
              </w:rPr>
            </w:pPr>
            <w:r>
              <w:rPr>
                <w:noProof/>
              </w:rPr>
              <w:t>Покана за иновативни инициативи за производство на енергия от възобновяеми източници (I-7.18)</w:t>
            </w:r>
          </w:p>
        </w:tc>
        <w:tc>
          <w:tcPr>
            <w:tcW w:w="851" w:type="dxa"/>
            <w:shd w:val="clear" w:color="auto" w:fill="C6EFCE"/>
            <w:vAlign w:val="center"/>
          </w:tcPr>
          <w:p w14:paraId="5A725B8B" w14:textId="77777777" w:rsidR="00235E11" w:rsidRDefault="00F837E4">
            <w:pPr>
              <w:pStyle w:val="P68B1DB1-Normal45"/>
              <w:rPr>
                <w:noProof/>
              </w:rPr>
            </w:pPr>
            <w:r>
              <w:rPr>
                <w:noProof/>
              </w:rPr>
              <w:t>M</w:t>
            </w:r>
          </w:p>
        </w:tc>
        <w:tc>
          <w:tcPr>
            <w:tcW w:w="1133" w:type="dxa"/>
            <w:shd w:val="clear" w:color="auto" w:fill="C6EFCE"/>
            <w:vAlign w:val="center"/>
          </w:tcPr>
          <w:p w14:paraId="702EBE4E" w14:textId="77777777" w:rsidR="00235E11" w:rsidRDefault="00F837E4">
            <w:pPr>
              <w:pStyle w:val="P68B1DB1-Normal45"/>
              <w:rPr>
                <w:noProof/>
              </w:rPr>
            </w:pPr>
            <w:r>
              <w:rPr>
                <w:noProof/>
              </w:rPr>
              <w:t xml:space="preserve">Приключване на проекти </w:t>
            </w:r>
          </w:p>
        </w:tc>
        <w:tc>
          <w:tcPr>
            <w:tcW w:w="1843" w:type="dxa"/>
            <w:shd w:val="clear" w:color="auto" w:fill="C6EFCE"/>
            <w:vAlign w:val="center"/>
          </w:tcPr>
          <w:p w14:paraId="4C47BC3B" w14:textId="77777777" w:rsidR="00235E11" w:rsidRDefault="00F837E4">
            <w:pPr>
              <w:pStyle w:val="P68B1DB1-Normal45"/>
              <w:rPr>
                <w:noProof/>
              </w:rPr>
            </w:pPr>
            <w:r>
              <w:rPr>
                <w:noProof/>
              </w:rPr>
              <w:t>Избрани проекти, които са завършени и оперативни</w:t>
            </w:r>
          </w:p>
        </w:tc>
        <w:tc>
          <w:tcPr>
            <w:tcW w:w="709" w:type="dxa"/>
            <w:shd w:val="clear" w:color="auto" w:fill="C6EFCE"/>
            <w:vAlign w:val="center"/>
          </w:tcPr>
          <w:p w14:paraId="770D140C"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4BC710C9"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2EDBD5BF"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42A3DB5A" w14:textId="77777777" w:rsidR="00235E11" w:rsidRDefault="00F837E4">
            <w:pPr>
              <w:pStyle w:val="P68B1DB1-Normal45"/>
              <w:jc w:val="center"/>
              <w:rPr>
                <w:noProof/>
              </w:rPr>
            </w:pPr>
            <w:r>
              <w:rPr>
                <w:noProof/>
              </w:rPr>
              <w:t>Т2 Г.</w:t>
            </w:r>
          </w:p>
        </w:tc>
        <w:tc>
          <w:tcPr>
            <w:tcW w:w="709" w:type="dxa"/>
            <w:shd w:val="clear" w:color="auto" w:fill="C6EFCE"/>
            <w:vAlign w:val="center"/>
          </w:tcPr>
          <w:p w14:paraId="2322D2CE" w14:textId="77777777" w:rsidR="00235E11" w:rsidRDefault="00F837E4">
            <w:pPr>
              <w:pStyle w:val="P68B1DB1-Normal45"/>
              <w:jc w:val="center"/>
              <w:rPr>
                <w:noProof/>
              </w:rPr>
            </w:pPr>
            <w:r>
              <w:rPr>
                <w:noProof/>
              </w:rPr>
              <w:t>2026</w:t>
            </w:r>
          </w:p>
        </w:tc>
        <w:tc>
          <w:tcPr>
            <w:tcW w:w="4824" w:type="dxa"/>
            <w:shd w:val="clear" w:color="auto" w:fill="C6EFCE"/>
            <w:vAlign w:val="center"/>
          </w:tcPr>
          <w:p w14:paraId="09FDEAC7" w14:textId="77777777" w:rsidR="00235E11" w:rsidRDefault="00F837E4">
            <w:pPr>
              <w:pStyle w:val="P68B1DB1-Normal45"/>
              <w:rPr>
                <w:noProof/>
              </w:rPr>
            </w:pPr>
            <w:r>
              <w:rPr>
                <w:noProof/>
              </w:rPr>
              <w:t>Приключиха проектите, избрани чрез покана за представяне на проекти и съответните инвестиции в брегово електрозахранване и НИРД за инициативи за производство на слънчева енергия.</w:t>
            </w:r>
          </w:p>
        </w:tc>
      </w:tr>
      <w:tr w:rsidR="00235E11" w14:paraId="7218BA4D" w14:textId="77777777">
        <w:trPr>
          <w:trHeight w:val="660"/>
        </w:trPr>
        <w:tc>
          <w:tcPr>
            <w:tcW w:w="711" w:type="dxa"/>
            <w:shd w:val="clear" w:color="auto" w:fill="C6EFCE"/>
            <w:vAlign w:val="center"/>
          </w:tcPr>
          <w:p w14:paraId="2C936C96" w14:textId="77777777" w:rsidR="00235E11" w:rsidRDefault="00F837E4">
            <w:pPr>
              <w:pStyle w:val="P68B1DB1-Normal45"/>
              <w:jc w:val="center"/>
              <w:rPr>
                <w:noProof/>
              </w:rPr>
            </w:pPr>
            <w:r>
              <w:rPr>
                <w:noProof/>
              </w:rPr>
              <w:t>237</w:t>
            </w:r>
          </w:p>
        </w:tc>
        <w:tc>
          <w:tcPr>
            <w:tcW w:w="1269" w:type="dxa"/>
            <w:shd w:val="clear" w:color="auto" w:fill="C6EFCE"/>
            <w:vAlign w:val="center"/>
          </w:tcPr>
          <w:p w14:paraId="2EB98073" w14:textId="77777777" w:rsidR="00235E11" w:rsidRDefault="00F837E4">
            <w:pPr>
              <w:pStyle w:val="P68B1DB1-Normal45"/>
              <w:rPr>
                <w:noProof/>
              </w:rPr>
            </w:pPr>
            <w:r>
              <w:rPr>
                <w:noProof/>
              </w:rPr>
              <w:t>Премахване на пречките пред енергията от възобновяеми източници (I-7.19)</w:t>
            </w:r>
          </w:p>
        </w:tc>
        <w:tc>
          <w:tcPr>
            <w:tcW w:w="851" w:type="dxa"/>
            <w:shd w:val="clear" w:color="auto" w:fill="C6EFCE"/>
            <w:vAlign w:val="center"/>
          </w:tcPr>
          <w:p w14:paraId="1D8179F8" w14:textId="77777777" w:rsidR="00235E11" w:rsidRDefault="00F837E4">
            <w:pPr>
              <w:pStyle w:val="P68B1DB1-Normal45"/>
              <w:rPr>
                <w:noProof/>
              </w:rPr>
            </w:pPr>
            <w:r>
              <w:rPr>
                <w:noProof/>
              </w:rPr>
              <w:t>M</w:t>
            </w:r>
          </w:p>
        </w:tc>
        <w:tc>
          <w:tcPr>
            <w:tcW w:w="1133" w:type="dxa"/>
            <w:shd w:val="clear" w:color="auto" w:fill="C6EFCE"/>
            <w:vAlign w:val="center"/>
          </w:tcPr>
          <w:p w14:paraId="0B30EFCC" w14:textId="77777777" w:rsidR="00235E11" w:rsidRDefault="00F837E4">
            <w:pPr>
              <w:pStyle w:val="P68B1DB1-Normal45"/>
              <w:rPr>
                <w:noProof/>
              </w:rPr>
            </w:pPr>
            <w:r>
              <w:rPr>
                <w:noProof/>
              </w:rPr>
              <w:t xml:space="preserve">Приключване на проекти </w:t>
            </w:r>
          </w:p>
        </w:tc>
        <w:tc>
          <w:tcPr>
            <w:tcW w:w="1843" w:type="dxa"/>
            <w:shd w:val="clear" w:color="auto" w:fill="C6EFCE"/>
            <w:vAlign w:val="center"/>
          </w:tcPr>
          <w:p w14:paraId="6F6C0A45" w14:textId="77777777" w:rsidR="00235E11" w:rsidRDefault="00F837E4">
            <w:pPr>
              <w:pStyle w:val="P68B1DB1-Normal45"/>
              <w:rPr>
                <w:noProof/>
              </w:rPr>
            </w:pPr>
            <w:r>
              <w:rPr>
                <w:noProof/>
              </w:rPr>
              <w:t>Приключване на проекти от Skeyes и Defense</w:t>
            </w:r>
          </w:p>
        </w:tc>
        <w:tc>
          <w:tcPr>
            <w:tcW w:w="709" w:type="dxa"/>
            <w:shd w:val="clear" w:color="auto" w:fill="C6EFCE"/>
            <w:vAlign w:val="center"/>
          </w:tcPr>
          <w:p w14:paraId="1ED2FCDE"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1F3B979C"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4C33EFAC"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7F7E7591" w14:textId="77777777" w:rsidR="00235E11" w:rsidRDefault="00F837E4">
            <w:pPr>
              <w:pStyle w:val="P68B1DB1-Normal45"/>
              <w:jc w:val="center"/>
              <w:rPr>
                <w:noProof/>
              </w:rPr>
            </w:pPr>
            <w:r>
              <w:rPr>
                <w:noProof/>
              </w:rPr>
              <w:t>Т2 Г.</w:t>
            </w:r>
          </w:p>
        </w:tc>
        <w:tc>
          <w:tcPr>
            <w:tcW w:w="709" w:type="dxa"/>
            <w:shd w:val="clear" w:color="auto" w:fill="C6EFCE"/>
            <w:vAlign w:val="center"/>
          </w:tcPr>
          <w:p w14:paraId="317144F2" w14:textId="77777777" w:rsidR="00235E11" w:rsidRDefault="00F837E4">
            <w:pPr>
              <w:pStyle w:val="P68B1DB1-Normal45"/>
              <w:jc w:val="center"/>
              <w:rPr>
                <w:noProof/>
              </w:rPr>
            </w:pPr>
            <w:r>
              <w:rPr>
                <w:noProof/>
              </w:rPr>
              <w:t>2026</w:t>
            </w:r>
          </w:p>
        </w:tc>
        <w:tc>
          <w:tcPr>
            <w:tcW w:w="4824" w:type="dxa"/>
            <w:shd w:val="clear" w:color="auto" w:fill="C6EFCE"/>
            <w:vAlign w:val="center"/>
          </w:tcPr>
          <w:p w14:paraId="616EC8C3" w14:textId="77777777" w:rsidR="00235E11" w:rsidRDefault="00F837E4">
            <w:pPr>
              <w:pStyle w:val="P68B1DB1-Normal49"/>
              <w:spacing w:line="259" w:lineRule="auto"/>
              <w:rPr>
                <w:rFonts w:ascii="Times New Roman" w:eastAsia="Times New Roman" w:hAnsi="Times New Roman"/>
                <w:noProof/>
              </w:rPr>
            </w:pPr>
            <w:r>
              <w:rPr>
                <w:rFonts w:ascii="Times New Roman" w:eastAsia="Times New Roman" w:hAnsi="Times New Roman"/>
                <w:noProof/>
              </w:rPr>
              <w:t>Придобиване и инсталиране на 4 рентгенови радара от отбраната и новата технология за наблюдение — 40 модула за многослойни зони (WAM) от Skeye</w:t>
            </w:r>
            <w:r>
              <w:rPr>
                <w:noProof/>
              </w:rPr>
              <w:t>s.</w:t>
            </w:r>
          </w:p>
        </w:tc>
      </w:tr>
      <w:tr w:rsidR="00235E11" w14:paraId="151A7410" w14:textId="77777777">
        <w:trPr>
          <w:trHeight w:val="660"/>
        </w:trPr>
        <w:tc>
          <w:tcPr>
            <w:tcW w:w="711" w:type="dxa"/>
            <w:shd w:val="clear" w:color="auto" w:fill="C6EFCE"/>
            <w:vAlign w:val="center"/>
          </w:tcPr>
          <w:p w14:paraId="39B01788" w14:textId="77777777" w:rsidR="00235E11" w:rsidRDefault="00F837E4">
            <w:pPr>
              <w:pStyle w:val="P68B1DB1-Normal45"/>
              <w:jc w:val="center"/>
              <w:rPr>
                <w:noProof/>
              </w:rPr>
            </w:pPr>
            <w:r>
              <w:rPr>
                <w:noProof/>
              </w:rPr>
              <w:t>238</w:t>
            </w:r>
          </w:p>
        </w:tc>
        <w:tc>
          <w:tcPr>
            <w:tcW w:w="1269" w:type="dxa"/>
            <w:shd w:val="clear" w:color="auto" w:fill="C6EFCE"/>
            <w:vAlign w:val="center"/>
          </w:tcPr>
          <w:p w14:paraId="3383841D" w14:textId="77777777" w:rsidR="00235E11" w:rsidRDefault="00F837E4">
            <w:pPr>
              <w:pStyle w:val="P68B1DB1-Normal45"/>
              <w:rPr>
                <w:noProof/>
              </w:rPr>
            </w:pPr>
            <w:r>
              <w:rPr>
                <w:noProof/>
              </w:rPr>
              <w:t>Премахване на пречките пред енергията от възобновяеми източници (I-7.19)</w:t>
            </w:r>
          </w:p>
        </w:tc>
        <w:tc>
          <w:tcPr>
            <w:tcW w:w="851" w:type="dxa"/>
            <w:shd w:val="clear" w:color="auto" w:fill="C6EFCE"/>
            <w:vAlign w:val="center"/>
          </w:tcPr>
          <w:p w14:paraId="57701FDB" w14:textId="77777777" w:rsidR="00235E11" w:rsidRDefault="00F837E4">
            <w:pPr>
              <w:pStyle w:val="P68B1DB1-Normal45"/>
              <w:rPr>
                <w:noProof/>
              </w:rPr>
            </w:pPr>
            <w:r>
              <w:rPr>
                <w:noProof/>
              </w:rPr>
              <w:t>M</w:t>
            </w:r>
          </w:p>
        </w:tc>
        <w:tc>
          <w:tcPr>
            <w:tcW w:w="1133" w:type="dxa"/>
            <w:shd w:val="clear" w:color="auto" w:fill="C6EFCE"/>
            <w:vAlign w:val="center"/>
          </w:tcPr>
          <w:p w14:paraId="0382EDCD" w14:textId="77777777" w:rsidR="00235E11" w:rsidRDefault="00F837E4">
            <w:pPr>
              <w:pStyle w:val="P68B1DB1-Normal45"/>
              <w:rPr>
                <w:noProof/>
              </w:rPr>
            </w:pPr>
            <w:r>
              <w:rPr>
                <w:noProof/>
              </w:rPr>
              <w:t>Влизане в сила на регламента</w:t>
            </w:r>
          </w:p>
        </w:tc>
        <w:tc>
          <w:tcPr>
            <w:tcW w:w="1843" w:type="dxa"/>
            <w:shd w:val="clear" w:color="auto" w:fill="C6EFCE"/>
            <w:vAlign w:val="center"/>
          </w:tcPr>
          <w:p w14:paraId="50E991C3" w14:textId="66695AE1" w:rsidR="00235E11" w:rsidRDefault="00F837E4">
            <w:pPr>
              <w:pStyle w:val="P68B1DB1-Normal45"/>
              <w:rPr>
                <w:noProof/>
              </w:rPr>
            </w:pPr>
            <w:r>
              <w:rPr>
                <w:noProof/>
              </w:rPr>
              <w:t>Законова разпоредба, указваща влизането в сила на регламента</w:t>
            </w:r>
          </w:p>
        </w:tc>
        <w:tc>
          <w:tcPr>
            <w:tcW w:w="709" w:type="dxa"/>
            <w:shd w:val="clear" w:color="auto" w:fill="C6EFCE"/>
            <w:vAlign w:val="center"/>
          </w:tcPr>
          <w:p w14:paraId="2B89B9D6"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5DAB11F8" w14:textId="77777777" w:rsidR="00235E11" w:rsidRDefault="00235E11">
            <w:pPr>
              <w:rPr>
                <w:rFonts w:ascii="Times New Roman" w:eastAsia="Times New Roman" w:hAnsi="Times New Roman"/>
                <w:noProof/>
                <w:color w:val="006100"/>
              </w:rPr>
            </w:pPr>
          </w:p>
        </w:tc>
        <w:tc>
          <w:tcPr>
            <w:tcW w:w="708" w:type="dxa"/>
            <w:shd w:val="clear" w:color="auto" w:fill="C6EFCE"/>
            <w:vAlign w:val="center"/>
          </w:tcPr>
          <w:p w14:paraId="06DD3F06" w14:textId="77777777" w:rsidR="00235E11" w:rsidRDefault="00235E11">
            <w:pPr>
              <w:rPr>
                <w:rFonts w:ascii="Times New Roman" w:eastAsia="Times New Roman" w:hAnsi="Times New Roman"/>
                <w:noProof/>
                <w:color w:val="006100"/>
              </w:rPr>
            </w:pPr>
          </w:p>
        </w:tc>
        <w:tc>
          <w:tcPr>
            <w:tcW w:w="709" w:type="dxa"/>
            <w:shd w:val="clear" w:color="auto" w:fill="C6EFCE"/>
            <w:vAlign w:val="center"/>
          </w:tcPr>
          <w:p w14:paraId="70C77A2E" w14:textId="77777777" w:rsidR="00235E11" w:rsidRDefault="00F837E4">
            <w:pPr>
              <w:pStyle w:val="P68B1DB1-Normal45"/>
              <w:jc w:val="center"/>
              <w:rPr>
                <w:noProof/>
              </w:rPr>
            </w:pPr>
            <w:r>
              <w:rPr>
                <w:noProof/>
              </w:rPr>
              <w:t>Т2 Г.</w:t>
            </w:r>
          </w:p>
        </w:tc>
        <w:tc>
          <w:tcPr>
            <w:tcW w:w="709" w:type="dxa"/>
            <w:shd w:val="clear" w:color="auto" w:fill="C6EFCE"/>
            <w:vAlign w:val="center"/>
          </w:tcPr>
          <w:p w14:paraId="2FA72EF9" w14:textId="77777777" w:rsidR="00235E11" w:rsidRDefault="00F837E4">
            <w:pPr>
              <w:pStyle w:val="P68B1DB1-Normal45"/>
              <w:jc w:val="center"/>
              <w:rPr>
                <w:noProof/>
              </w:rPr>
            </w:pPr>
            <w:r>
              <w:rPr>
                <w:noProof/>
              </w:rPr>
              <w:t>2026</w:t>
            </w:r>
          </w:p>
        </w:tc>
        <w:tc>
          <w:tcPr>
            <w:tcW w:w="4824" w:type="dxa"/>
            <w:shd w:val="clear" w:color="auto" w:fill="C6EFCE"/>
            <w:vAlign w:val="center"/>
          </w:tcPr>
          <w:p w14:paraId="3BC1CE77" w14:textId="77777777" w:rsidR="00235E11" w:rsidRDefault="00F837E4">
            <w:pPr>
              <w:pStyle w:val="P68B1DB1-Normal45"/>
              <w:rPr>
                <w:noProof/>
                <w:color w:val="000000" w:themeColor="text1"/>
              </w:rPr>
            </w:pPr>
            <w:r>
              <w:rPr>
                <w:noProof/>
              </w:rPr>
              <w:t>Влизане в сила на нов регламент за намаляване на ограниченията за граждански и военен контрол на въздушното движение около летищата по отношение на изграждането на вятърни турбини.</w:t>
            </w:r>
          </w:p>
        </w:tc>
      </w:tr>
    </w:tbl>
    <w:p w14:paraId="32E35292" w14:textId="77777777" w:rsidR="00235E11" w:rsidRDefault="00235E11">
      <w:pPr>
        <w:pStyle w:val="Text1"/>
        <w:rPr>
          <w:noProof/>
        </w:rPr>
      </w:pPr>
    </w:p>
    <w:p w14:paraId="55E36CD3" w14:textId="77777777" w:rsidR="00235E11" w:rsidRDefault="00235E11">
      <w:pPr>
        <w:pStyle w:val="Text1"/>
        <w:ind w:left="0"/>
        <w:rPr>
          <w:noProof/>
        </w:rPr>
        <w:sectPr w:rsidR="00235E11" w:rsidSect="007F56C3">
          <w:headerReference w:type="even" r:id="rId288"/>
          <w:headerReference w:type="default" r:id="rId289"/>
          <w:footerReference w:type="even" r:id="rId290"/>
          <w:footerReference w:type="default" r:id="rId291"/>
          <w:headerReference w:type="first" r:id="rId292"/>
          <w:footerReference w:type="first" r:id="rId293"/>
          <w:pgSz w:w="16839" w:h="11907" w:orient="landscape"/>
          <w:pgMar w:top="1134" w:right="1134" w:bottom="1134" w:left="1134" w:header="567" w:footer="567" w:gutter="0"/>
          <w:cols w:space="720"/>
          <w:docGrid w:linePitch="360"/>
        </w:sectPr>
      </w:pPr>
    </w:p>
    <w:p w14:paraId="10D2C6ED" w14:textId="50F234C6" w:rsidR="00235E11" w:rsidRDefault="00F837E4">
      <w:pPr>
        <w:pStyle w:val="P68B1DB1-Jalonsetcibles37"/>
        <w:spacing w:before="120" w:after="120" w:line="240" w:lineRule="auto"/>
        <w:rPr>
          <w:noProof/>
        </w:rPr>
      </w:pPr>
      <w:r>
        <w:rPr>
          <w:noProof/>
          <w:lang w:val="bg-BG"/>
        </w:rPr>
        <w:t>Ф</w:t>
      </w:r>
      <w:r>
        <w:rPr>
          <w:noProof/>
        </w:rPr>
        <w:t>.3. Описание на реформите и инвестициите за заема</w:t>
      </w:r>
    </w:p>
    <w:p w14:paraId="012637A3" w14:textId="0B7EF26E" w:rsidR="00235E11" w:rsidRDefault="00F837E4">
      <w:pPr>
        <w:pStyle w:val="P68B1DB1-Jalonsetcibles38"/>
        <w:spacing w:before="120" w:after="120" w:line="240" w:lineRule="auto"/>
        <w:jc w:val="both"/>
        <w:rPr>
          <w:noProof/>
        </w:rPr>
      </w:pPr>
      <w:r>
        <w:rPr>
          <w:noProof/>
        </w:rPr>
        <w:t>Инвестиция I-7.20: „Офшорен енергиен остров“ на федералната държава</w:t>
      </w:r>
    </w:p>
    <w:p w14:paraId="32310AE8" w14:textId="77777777" w:rsidR="00235E11" w:rsidRDefault="00F837E4">
      <w:pPr>
        <w:pStyle w:val="P68B1DB1-Jalonsetcibles36"/>
        <w:spacing w:before="120" w:after="120" w:line="240" w:lineRule="auto"/>
        <w:jc w:val="both"/>
        <w:rPr>
          <w:noProof/>
          <w:color w:val="000000" w:themeColor="text1"/>
        </w:rPr>
      </w:pPr>
      <w:r>
        <w:rPr>
          <w:noProof/>
          <w:color w:val="000000" w:themeColor="text1"/>
        </w:rPr>
        <w:t xml:space="preserve">Тази инвестиционна мярка има за цел разработването на офшорен енергиен център („енергиен остров“) в белгийската част на Северно море. Изграждането на този енергиен център има две основни цели. Първо, тя позволява свързването на най-малко 3,15 GW бъдеща вятърна енергия от разположени в морето инсталации към електроенергийната мрежа на сушата. Второ, тя улеснява интеграцията и вноса на повече енергия от възобновяеми източници във и около Северно море чрез свързване с други държави или региони. </w:t>
      </w:r>
      <w:r>
        <w:rPr>
          <w:noProof/>
          <w:color w:val="auto"/>
        </w:rPr>
        <w:t>Изпълнението на мярката трябва да приключи до 30 юни 2026 г.</w:t>
      </w:r>
    </w:p>
    <w:p w14:paraId="1E7C43F2" w14:textId="72FDC6D7" w:rsidR="00235E11" w:rsidRDefault="00F837E4">
      <w:pPr>
        <w:pStyle w:val="P68B1DB1-Jalonsetcibles37"/>
        <w:spacing w:before="120" w:after="120" w:line="240" w:lineRule="auto"/>
        <w:jc w:val="both"/>
        <w:rPr>
          <w:noProof/>
        </w:rPr>
      </w:pPr>
      <w:r>
        <w:rPr>
          <w:noProof/>
          <w:lang w:val="bg-BG"/>
        </w:rPr>
        <w:t>Ф</w:t>
      </w:r>
      <w:r>
        <w:rPr>
          <w:noProof/>
        </w:rPr>
        <w:t>.4. Ключови етапи, цели, показатели и график за мониторинг и изпълнение на заема</w:t>
      </w:r>
    </w:p>
    <w:p w14:paraId="613CEFD8" w14:textId="77777777" w:rsidR="00235E11" w:rsidRDefault="00235E11">
      <w:pPr>
        <w:rPr>
          <w:noProof/>
        </w:rPr>
      </w:pPr>
    </w:p>
    <w:p w14:paraId="5C424C45" w14:textId="159B34DE" w:rsidR="00235E11" w:rsidRDefault="00F837E4">
      <w:pPr>
        <w:tabs>
          <w:tab w:val="left" w:pos="5295"/>
        </w:tabs>
        <w:rPr>
          <w:noProof/>
        </w:rPr>
      </w:pPr>
      <w:r>
        <w:rPr>
          <w:noProof/>
        </w:rPr>
        <w:tab/>
      </w:r>
    </w:p>
    <w:p w14:paraId="795038AD" w14:textId="77777777" w:rsidR="00235E11" w:rsidRDefault="00235E11">
      <w:pPr>
        <w:rPr>
          <w:rFonts w:ascii="Times New Roman" w:hAnsi="Times New Roman" w:cs="Times New Roman"/>
          <w:noProof/>
          <w:sz w:val="24"/>
        </w:rPr>
      </w:pPr>
    </w:p>
    <w:p w14:paraId="6C9B1CC9" w14:textId="7674C902" w:rsidR="00235E11" w:rsidRDefault="00235E11">
      <w:pPr>
        <w:rPr>
          <w:noProof/>
        </w:rPr>
        <w:sectPr w:rsidR="00235E11" w:rsidSect="007F56C3">
          <w:headerReference w:type="even" r:id="rId294"/>
          <w:headerReference w:type="default" r:id="rId295"/>
          <w:footerReference w:type="even" r:id="rId296"/>
          <w:footerReference w:type="default" r:id="rId297"/>
          <w:headerReference w:type="first" r:id="rId298"/>
          <w:footerReference w:type="first" r:id="rId299"/>
          <w:pgSz w:w="11907" w:h="16839"/>
          <w:pgMar w:top="1134" w:right="1134" w:bottom="1134" w:left="1134" w:header="567" w:footer="567" w:gutter="0"/>
          <w:cols w:space="720"/>
          <w:docGrid w:linePitch="360"/>
        </w:sectPr>
      </w:pPr>
    </w:p>
    <w:tbl>
      <w:tblPr>
        <w:tblW w:w="147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522"/>
        <w:gridCol w:w="756"/>
        <w:gridCol w:w="1370"/>
        <w:gridCol w:w="1417"/>
        <w:gridCol w:w="1134"/>
        <w:gridCol w:w="1134"/>
        <w:gridCol w:w="709"/>
        <w:gridCol w:w="992"/>
        <w:gridCol w:w="1276"/>
        <w:gridCol w:w="3719"/>
      </w:tblGrid>
      <w:tr w:rsidR="00235E11" w14:paraId="7DC3C9D6" w14:textId="77777777">
        <w:trPr>
          <w:trHeight w:val="915"/>
        </w:trPr>
        <w:tc>
          <w:tcPr>
            <w:tcW w:w="713" w:type="dxa"/>
            <w:vMerge w:val="restart"/>
            <w:shd w:val="clear" w:color="auto" w:fill="BDD7EE"/>
            <w:tcMar>
              <w:left w:w="108" w:type="dxa"/>
              <w:right w:w="108" w:type="dxa"/>
            </w:tcMar>
            <w:vAlign w:val="center"/>
          </w:tcPr>
          <w:p w14:paraId="15AC2CC4" w14:textId="77777777" w:rsidR="00235E11" w:rsidRDefault="00F837E4">
            <w:pPr>
              <w:pStyle w:val="P68B1DB1-Normal50"/>
              <w:spacing w:after="0"/>
              <w:jc w:val="center"/>
              <w:rPr>
                <w:noProof/>
              </w:rPr>
            </w:pPr>
            <w:r>
              <w:rPr>
                <w:noProof/>
              </w:rPr>
              <w:t>Следващи Брой</w:t>
            </w:r>
          </w:p>
        </w:tc>
        <w:tc>
          <w:tcPr>
            <w:tcW w:w="1522" w:type="dxa"/>
            <w:vMerge w:val="restart"/>
            <w:shd w:val="clear" w:color="auto" w:fill="BDD7EE"/>
            <w:tcMar>
              <w:left w:w="108" w:type="dxa"/>
              <w:right w:w="108" w:type="dxa"/>
            </w:tcMar>
            <w:vAlign w:val="center"/>
          </w:tcPr>
          <w:p w14:paraId="093E2011" w14:textId="77777777" w:rsidR="00235E11" w:rsidRDefault="00F837E4">
            <w:pPr>
              <w:pStyle w:val="P68B1DB1-Normal50"/>
              <w:spacing w:after="0"/>
              <w:jc w:val="center"/>
              <w:rPr>
                <w:noProof/>
              </w:rPr>
            </w:pPr>
            <w:r>
              <w:rPr>
                <w:noProof/>
              </w:rPr>
              <w:t>Свързана мярка (реформа или инвестиции)</w:t>
            </w:r>
          </w:p>
        </w:tc>
        <w:tc>
          <w:tcPr>
            <w:tcW w:w="756" w:type="dxa"/>
            <w:vMerge w:val="restart"/>
            <w:shd w:val="clear" w:color="auto" w:fill="BDD7EE"/>
            <w:tcMar>
              <w:left w:w="108" w:type="dxa"/>
              <w:right w:w="108" w:type="dxa"/>
            </w:tcMar>
            <w:vAlign w:val="center"/>
          </w:tcPr>
          <w:p w14:paraId="2F60DCE1" w14:textId="77777777" w:rsidR="00235E11" w:rsidRDefault="00F837E4">
            <w:pPr>
              <w:pStyle w:val="P68B1DB1-Normal50"/>
              <w:spacing w:after="0"/>
              <w:jc w:val="center"/>
              <w:rPr>
                <w:noProof/>
              </w:rPr>
            </w:pPr>
            <w:r>
              <w:rPr>
                <w:noProof/>
              </w:rPr>
              <w:t>M/T</w:t>
            </w:r>
          </w:p>
        </w:tc>
        <w:tc>
          <w:tcPr>
            <w:tcW w:w="1370" w:type="dxa"/>
            <w:vMerge w:val="restart"/>
            <w:shd w:val="clear" w:color="auto" w:fill="BDD7EE"/>
            <w:tcMar>
              <w:left w:w="108" w:type="dxa"/>
              <w:right w:w="108" w:type="dxa"/>
            </w:tcMar>
            <w:vAlign w:val="center"/>
          </w:tcPr>
          <w:p w14:paraId="32068020" w14:textId="77777777" w:rsidR="00235E11" w:rsidRDefault="00F837E4">
            <w:pPr>
              <w:pStyle w:val="P68B1DB1-Normal50"/>
              <w:spacing w:after="0"/>
              <w:jc w:val="center"/>
              <w:rPr>
                <w:noProof/>
              </w:rPr>
            </w:pPr>
            <w:r>
              <w:rPr>
                <w:noProof/>
              </w:rPr>
              <w:t>Име</w:t>
            </w:r>
          </w:p>
        </w:tc>
        <w:tc>
          <w:tcPr>
            <w:tcW w:w="1417" w:type="dxa"/>
            <w:vMerge w:val="restart"/>
            <w:shd w:val="clear" w:color="auto" w:fill="BDD7EE"/>
            <w:tcMar>
              <w:left w:w="108" w:type="dxa"/>
              <w:right w:w="108" w:type="dxa"/>
            </w:tcMar>
            <w:vAlign w:val="center"/>
          </w:tcPr>
          <w:p w14:paraId="3E6E240A" w14:textId="77777777" w:rsidR="00235E11" w:rsidRDefault="00F837E4">
            <w:pPr>
              <w:spacing w:after="0"/>
              <w:jc w:val="center"/>
              <w:rPr>
                <w:rFonts w:ascii="Times New Roman" w:eastAsia="Times New Roman" w:hAnsi="Times New Roman" w:cs="Times New Roman"/>
                <w:b/>
                <w:noProof/>
                <w:color w:val="000000" w:themeColor="text1"/>
              </w:rPr>
            </w:pPr>
            <w:r>
              <w:rPr>
                <w:rFonts w:ascii="Times New Roman" w:eastAsia="Times New Roman" w:hAnsi="Times New Roman" w:cs="Times New Roman"/>
                <w:b/>
                <w:noProof/>
                <w:color w:val="000000" w:themeColor="text1"/>
              </w:rPr>
              <w:t>Качествени индикатори</w:t>
            </w:r>
            <w:r>
              <w:rPr>
                <w:rFonts w:ascii="Times New Roman" w:hAnsi="Times New Roman" w:cs="Times New Roman"/>
                <w:noProof/>
              </w:rPr>
              <w:br/>
            </w:r>
            <w:r>
              <w:rPr>
                <w:rFonts w:ascii="Times New Roman" w:eastAsia="Times New Roman" w:hAnsi="Times New Roman" w:cs="Times New Roman"/>
                <w:b/>
                <w:noProof/>
                <w:color w:val="000000" w:themeColor="text1"/>
              </w:rPr>
              <w:t>(за ключов етап)</w:t>
            </w:r>
          </w:p>
        </w:tc>
        <w:tc>
          <w:tcPr>
            <w:tcW w:w="2977" w:type="dxa"/>
            <w:gridSpan w:val="3"/>
            <w:shd w:val="clear" w:color="auto" w:fill="BDD7EE"/>
            <w:tcMar>
              <w:left w:w="108" w:type="dxa"/>
              <w:right w:w="108" w:type="dxa"/>
            </w:tcMar>
            <w:vAlign w:val="center"/>
          </w:tcPr>
          <w:p w14:paraId="22697A5D" w14:textId="77777777" w:rsidR="00235E11" w:rsidRDefault="00F837E4">
            <w:pPr>
              <w:spacing w:after="0"/>
              <w:jc w:val="center"/>
              <w:rPr>
                <w:rFonts w:ascii="Times New Roman" w:hAnsi="Times New Roman" w:cs="Times New Roman"/>
                <w:noProof/>
              </w:rPr>
            </w:pPr>
            <w:r>
              <w:rPr>
                <w:rFonts w:ascii="Times New Roman" w:eastAsia="Times New Roman" w:hAnsi="Times New Roman" w:cs="Times New Roman"/>
                <w:b/>
                <w:noProof/>
                <w:color w:val="000000" w:themeColor="text1"/>
              </w:rPr>
              <w:t>Количествени индикатори</w:t>
            </w:r>
            <w:r>
              <w:rPr>
                <w:rFonts w:ascii="Times New Roman" w:hAnsi="Times New Roman" w:cs="Times New Roman"/>
                <w:noProof/>
              </w:rPr>
              <w:br/>
            </w:r>
            <w:r>
              <w:rPr>
                <w:rFonts w:ascii="Times New Roman" w:eastAsia="Times New Roman" w:hAnsi="Times New Roman" w:cs="Times New Roman"/>
                <w:b/>
                <w:noProof/>
                <w:color w:val="000000" w:themeColor="text1"/>
              </w:rPr>
              <w:t>(за целите)</w:t>
            </w:r>
          </w:p>
        </w:tc>
        <w:tc>
          <w:tcPr>
            <w:tcW w:w="2268" w:type="dxa"/>
            <w:gridSpan w:val="2"/>
            <w:shd w:val="clear" w:color="auto" w:fill="BDD7EE"/>
            <w:tcMar>
              <w:left w:w="108" w:type="dxa"/>
              <w:right w:w="108" w:type="dxa"/>
            </w:tcMar>
            <w:vAlign w:val="center"/>
          </w:tcPr>
          <w:p w14:paraId="4387F663" w14:textId="77777777" w:rsidR="00235E11" w:rsidRDefault="00F837E4">
            <w:pPr>
              <w:pStyle w:val="P68B1DB1-Normal50"/>
              <w:spacing w:line="257" w:lineRule="auto"/>
              <w:jc w:val="center"/>
              <w:rPr>
                <w:noProof/>
              </w:rPr>
            </w:pPr>
            <w:r>
              <w:rPr>
                <w:noProof/>
              </w:rPr>
              <w:t>Примерен график за приключване</w:t>
            </w:r>
          </w:p>
        </w:tc>
        <w:tc>
          <w:tcPr>
            <w:tcW w:w="3719" w:type="dxa"/>
            <w:vMerge w:val="restart"/>
            <w:shd w:val="clear" w:color="auto" w:fill="BDD7EE"/>
            <w:tcMar>
              <w:left w:w="108" w:type="dxa"/>
              <w:right w:w="108" w:type="dxa"/>
            </w:tcMar>
            <w:vAlign w:val="center"/>
          </w:tcPr>
          <w:p w14:paraId="5203FB12" w14:textId="77777777" w:rsidR="00235E11" w:rsidRDefault="00F837E4">
            <w:pPr>
              <w:pStyle w:val="P68B1DB1-Normal50"/>
              <w:spacing w:line="257" w:lineRule="auto"/>
              <w:jc w:val="center"/>
              <w:rPr>
                <w:noProof/>
              </w:rPr>
            </w:pPr>
            <w:r>
              <w:rPr>
                <w:noProof/>
              </w:rPr>
              <w:t>Описание на всеки ключов етап и цел</w:t>
            </w:r>
          </w:p>
        </w:tc>
      </w:tr>
      <w:tr w:rsidR="00235E11" w14:paraId="2452897B" w14:textId="77777777">
        <w:trPr>
          <w:trHeight w:val="150"/>
        </w:trPr>
        <w:tc>
          <w:tcPr>
            <w:tcW w:w="713" w:type="dxa"/>
            <w:vMerge/>
            <w:vAlign w:val="center"/>
          </w:tcPr>
          <w:p w14:paraId="5B2310F3" w14:textId="77777777" w:rsidR="00235E11" w:rsidRDefault="00235E11">
            <w:pPr>
              <w:rPr>
                <w:rFonts w:ascii="Times New Roman" w:hAnsi="Times New Roman" w:cs="Times New Roman"/>
                <w:noProof/>
              </w:rPr>
            </w:pPr>
          </w:p>
        </w:tc>
        <w:tc>
          <w:tcPr>
            <w:tcW w:w="1522" w:type="dxa"/>
            <w:vMerge/>
            <w:vAlign w:val="center"/>
          </w:tcPr>
          <w:p w14:paraId="6B4E1E01" w14:textId="77777777" w:rsidR="00235E11" w:rsidRDefault="00235E11">
            <w:pPr>
              <w:rPr>
                <w:rFonts w:ascii="Times New Roman" w:hAnsi="Times New Roman" w:cs="Times New Roman"/>
                <w:noProof/>
              </w:rPr>
            </w:pPr>
          </w:p>
        </w:tc>
        <w:tc>
          <w:tcPr>
            <w:tcW w:w="756" w:type="dxa"/>
            <w:vMerge/>
            <w:vAlign w:val="center"/>
          </w:tcPr>
          <w:p w14:paraId="2EE20380" w14:textId="77777777" w:rsidR="00235E11" w:rsidRDefault="00235E11">
            <w:pPr>
              <w:rPr>
                <w:rFonts w:ascii="Times New Roman" w:hAnsi="Times New Roman" w:cs="Times New Roman"/>
                <w:noProof/>
              </w:rPr>
            </w:pPr>
          </w:p>
        </w:tc>
        <w:tc>
          <w:tcPr>
            <w:tcW w:w="1370" w:type="dxa"/>
            <w:vMerge/>
            <w:vAlign w:val="center"/>
          </w:tcPr>
          <w:p w14:paraId="2FAD1826" w14:textId="77777777" w:rsidR="00235E11" w:rsidRDefault="00235E11">
            <w:pPr>
              <w:rPr>
                <w:rFonts w:ascii="Times New Roman" w:hAnsi="Times New Roman" w:cs="Times New Roman"/>
                <w:noProof/>
              </w:rPr>
            </w:pPr>
          </w:p>
        </w:tc>
        <w:tc>
          <w:tcPr>
            <w:tcW w:w="1417" w:type="dxa"/>
            <w:vMerge/>
            <w:vAlign w:val="center"/>
          </w:tcPr>
          <w:p w14:paraId="1E842AB2" w14:textId="77777777" w:rsidR="00235E11" w:rsidRDefault="00235E11">
            <w:pPr>
              <w:rPr>
                <w:rFonts w:ascii="Times New Roman" w:hAnsi="Times New Roman" w:cs="Times New Roman"/>
                <w:noProof/>
              </w:rPr>
            </w:pPr>
          </w:p>
        </w:tc>
        <w:tc>
          <w:tcPr>
            <w:tcW w:w="1134" w:type="dxa"/>
            <w:shd w:val="clear" w:color="auto" w:fill="BDD7EE"/>
            <w:tcMar>
              <w:left w:w="108" w:type="dxa"/>
              <w:right w:w="108" w:type="dxa"/>
            </w:tcMar>
            <w:vAlign w:val="center"/>
          </w:tcPr>
          <w:p w14:paraId="4F66ADAE" w14:textId="77777777" w:rsidR="00235E11" w:rsidRDefault="00F837E4">
            <w:pPr>
              <w:pStyle w:val="P68B1DB1-Normal50"/>
              <w:spacing w:after="0"/>
              <w:jc w:val="center"/>
              <w:rPr>
                <w:noProof/>
              </w:rPr>
            </w:pPr>
            <w:r>
              <w:rPr>
                <w:noProof/>
              </w:rPr>
              <w:t>Единица мярка</w:t>
            </w:r>
          </w:p>
        </w:tc>
        <w:tc>
          <w:tcPr>
            <w:tcW w:w="1134" w:type="dxa"/>
            <w:shd w:val="clear" w:color="auto" w:fill="BDD7EE"/>
            <w:tcMar>
              <w:left w:w="108" w:type="dxa"/>
              <w:right w:w="108" w:type="dxa"/>
            </w:tcMar>
            <w:vAlign w:val="center"/>
          </w:tcPr>
          <w:p w14:paraId="3121BCD6" w14:textId="77777777" w:rsidR="00235E11" w:rsidRDefault="00F837E4">
            <w:pPr>
              <w:pStyle w:val="P68B1DB1-Normal50"/>
              <w:spacing w:after="0"/>
              <w:jc w:val="center"/>
              <w:rPr>
                <w:noProof/>
              </w:rPr>
            </w:pPr>
            <w:r>
              <w:rPr>
                <w:noProof/>
              </w:rPr>
              <w:t>Базова линия</w:t>
            </w:r>
          </w:p>
        </w:tc>
        <w:tc>
          <w:tcPr>
            <w:tcW w:w="709" w:type="dxa"/>
            <w:shd w:val="clear" w:color="auto" w:fill="BDD7EE"/>
            <w:tcMar>
              <w:left w:w="108" w:type="dxa"/>
              <w:right w:w="108" w:type="dxa"/>
            </w:tcMar>
            <w:vAlign w:val="center"/>
          </w:tcPr>
          <w:p w14:paraId="7656224C" w14:textId="77777777" w:rsidR="00235E11" w:rsidRDefault="00F837E4">
            <w:pPr>
              <w:pStyle w:val="P68B1DB1-Normal50"/>
              <w:spacing w:after="0"/>
              <w:jc w:val="center"/>
              <w:rPr>
                <w:noProof/>
              </w:rPr>
            </w:pPr>
            <w:r>
              <w:rPr>
                <w:noProof/>
              </w:rPr>
              <w:t>Цел</w:t>
            </w:r>
          </w:p>
        </w:tc>
        <w:tc>
          <w:tcPr>
            <w:tcW w:w="992" w:type="dxa"/>
            <w:shd w:val="clear" w:color="auto" w:fill="BDD7EE"/>
            <w:tcMar>
              <w:left w:w="108" w:type="dxa"/>
              <w:right w:w="108" w:type="dxa"/>
            </w:tcMar>
            <w:vAlign w:val="center"/>
          </w:tcPr>
          <w:p w14:paraId="616EC587" w14:textId="77777777" w:rsidR="00235E11" w:rsidRDefault="00F837E4">
            <w:pPr>
              <w:pStyle w:val="P68B1DB1-Normal50"/>
              <w:spacing w:after="0"/>
              <w:jc w:val="center"/>
              <w:rPr>
                <w:noProof/>
              </w:rPr>
            </w:pPr>
            <w:r>
              <w:rPr>
                <w:noProof/>
              </w:rPr>
              <w:t>Тримесечие</w:t>
            </w:r>
          </w:p>
        </w:tc>
        <w:tc>
          <w:tcPr>
            <w:tcW w:w="1276" w:type="dxa"/>
            <w:shd w:val="clear" w:color="auto" w:fill="BDD7EE"/>
            <w:tcMar>
              <w:left w:w="108" w:type="dxa"/>
              <w:right w:w="108" w:type="dxa"/>
            </w:tcMar>
            <w:vAlign w:val="center"/>
          </w:tcPr>
          <w:p w14:paraId="719CB910" w14:textId="77777777" w:rsidR="00235E11" w:rsidRDefault="00F837E4">
            <w:pPr>
              <w:pStyle w:val="P68B1DB1-Normal50"/>
              <w:spacing w:after="0"/>
              <w:jc w:val="center"/>
              <w:rPr>
                <w:noProof/>
              </w:rPr>
            </w:pPr>
            <w:r>
              <w:rPr>
                <w:noProof/>
              </w:rPr>
              <w:t>Година</w:t>
            </w:r>
          </w:p>
        </w:tc>
        <w:tc>
          <w:tcPr>
            <w:tcW w:w="3719" w:type="dxa"/>
            <w:vMerge/>
            <w:vAlign w:val="center"/>
          </w:tcPr>
          <w:p w14:paraId="24747FAB" w14:textId="77777777" w:rsidR="00235E11" w:rsidRDefault="00235E11">
            <w:pPr>
              <w:rPr>
                <w:rFonts w:ascii="Times New Roman" w:hAnsi="Times New Roman" w:cs="Times New Roman"/>
                <w:noProof/>
              </w:rPr>
            </w:pPr>
          </w:p>
        </w:tc>
      </w:tr>
      <w:tr w:rsidR="00235E11" w14:paraId="5825DBBC" w14:textId="77777777">
        <w:trPr>
          <w:trHeight w:val="300"/>
        </w:trPr>
        <w:tc>
          <w:tcPr>
            <w:tcW w:w="713" w:type="dxa"/>
            <w:shd w:val="clear" w:color="auto" w:fill="C6EFCE"/>
            <w:tcMar>
              <w:left w:w="108" w:type="dxa"/>
              <w:right w:w="108" w:type="dxa"/>
            </w:tcMar>
            <w:vAlign w:val="center"/>
          </w:tcPr>
          <w:p w14:paraId="0D70FCAB" w14:textId="77777777" w:rsidR="00235E11" w:rsidRDefault="00F837E4">
            <w:pPr>
              <w:pStyle w:val="P68B1DB1-Normal10"/>
              <w:spacing w:after="0"/>
              <w:jc w:val="center"/>
              <w:rPr>
                <w:noProof/>
              </w:rPr>
            </w:pPr>
            <w:r>
              <w:rPr>
                <w:noProof/>
              </w:rPr>
              <w:t>239</w:t>
            </w:r>
          </w:p>
        </w:tc>
        <w:tc>
          <w:tcPr>
            <w:tcW w:w="1522" w:type="dxa"/>
            <w:shd w:val="clear" w:color="auto" w:fill="C6EFCE"/>
            <w:tcMar>
              <w:left w:w="108" w:type="dxa"/>
              <w:right w:w="108" w:type="dxa"/>
            </w:tcMar>
            <w:vAlign w:val="center"/>
          </w:tcPr>
          <w:p w14:paraId="4299DC73" w14:textId="77777777" w:rsidR="00235E11" w:rsidRDefault="00F837E4">
            <w:pPr>
              <w:pStyle w:val="P68B1DB1-Normal10"/>
              <w:spacing w:after="0"/>
              <w:rPr>
                <w:noProof/>
              </w:rPr>
            </w:pPr>
            <w:r>
              <w:rPr>
                <w:noProof/>
              </w:rPr>
              <w:t>Офшорен енергиен остров (I-7.20)</w:t>
            </w:r>
          </w:p>
        </w:tc>
        <w:tc>
          <w:tcPr>
            <w:tcW w:w="756" w:type="dxa"/>
            <w:shd w:val="clear" w:color="auto" w:fill="C6EFCE"/>
            <w:tcMar>
              <w:left w:w="108" w:type="dxa"/>
              <w:right w:w="108" w:type="dxa"/>
            </w:tcMar>
            <w:vAlign w:val="center"/>
          </w:tcPr>
          <w:p w14:paraId="23AB07B0" w14:textId="77777777" w:rsidR="00235E11" w:rsidRDefault="00F837E4">
            <w:pPr>
              <w:pStyle w:val="P68B1DB1-Normal10"/>
              <w:spacing w:after="0"/>
              <w:jc w:val="center"/>
              <w:rPr>
                <w:noProof/>
              </w:rPr>
            </w:pPr>
            <w:r>
              <w:rPr>
                <w:noProof/>
              </w:rPr>
              <w:t>M</w:t>
            </w:r>
          </w:p>
        </w:tc>
        <w:tc>
          <w:tcPr>
            <w:tcW w:w="1370" w:type="dxa"/>
            <w:shd w:val="clear" w:color="auto" w:fill="C6EFCE"/>
            <w:tcMar>
              <w:left w:w="108" w:type="dxa"/>
              <w:right w:w="108" w:type="dxa"/>
            </w:tcMar>
            <w:vAlign w:val="center"/>
          </w:tcPr>
          <w:p w14:paraId="7352B198" w14:textId="77777777" w:rsidR="00235E11" w:rsidRDefault="00F837E4">
            <w:pPr>
              <w:pStyle w:val="P68B1DB1-Normal10"/>
              <w:spacing w:after="0"/>
              <w:rPr>
                <w:noProof/>
              </w:rPr>
            </w:pPr>
            <w:r>
              <w:rPr>
                <w:noProof/>
              </w:rPr>
              <w:t>Финализиране на проучванията на FEED и околната среда</w:t>
            </w:r>
          </w:p>
        </w:tc>
        <w:tc>
          <w:tcPr>
            <w:tcW w:w="1417" w:type="dxa"/>
            <w:shd w:val="clear" w:color="auto" w:fill="C6EFCE"/>
            <w:tcMar>
              <w:left w:w="108" w:type="dxa"/>
              <w:right w:w="108" w:type="dxa"/>
            </w:tcMar>
            <w:vAlign w:val="center"/>
          </w:tcPr>
          <w:p w14:paraId="4673F912" w14:textId="77777777" w:rsidR="00235E11" w:rsidRDefault="00F837E4">
            <w:pPr>
              <w:pStyle w:val="P68B1DB1-Normal10"/>
              <w:spacing w:after="0"/>
              <w:rPr>
                <w:noProof/>
              </w:rPr>
            </w:pPr>
            <w:r>
              <w:rPr>
                <w:noProof/>
              </w:rPr>
              <w:t>Публикуване на FEED и проучвания в областта на околната среда</w:t>
            </w:r>
          </w:p>
        </w:tc>
        <w:tc>
          <w:tcPr>
            <w:tcW w:w="1134" w:type="dxa"/>
            <w:shd w:val="clear" w:color="auto" w:fill="C6EFCE"/>
            <w:tcMar>
              <w:left w:w="108" w:type="dxa"/>
              <w:right w:w="108" w:type="dxa"/>
            </w:tcMar>
            <w:vAlign w:val="center"/>
          </w:tcPr>
          <w:p w14:paraId="6A271442" w14:textId="77777777" w:rsidR="00235E11" w:rsidRDefault="00235E11">
            <w:pPr>
              <w:spacing w:after="0"/>
              <w:rPr>
                <w:rFonts w:ascii="Times New Roman" w:hAnsi="Times New Roman" w:cs="Times New Roman"/>
                <w:noProof/>
              </w:rPr>
            </w:pPr>
          </w:p>
        </w:tc>
        <w:tc>
          <w:tcPr>
            <w:tcW w:w="1134" w:type="dxa"/>
            <w:shd w:val="clear" w:color="auto" w:fill="C6EFCE"/>
            <w:tcMar>
              <w:left w:w="108" w:type="dxa"/>
              <w:right w:w="108" w:type="dxa"/>
            </w:tcMar>
            <w:vAlign w:val="center"/>
          </w:tcPr>
          <w:p w14:paraId="78411751" w14:textId="77777777" w:rsidR="00235E11" w:rsidRDefault="00235E11">
            <w:pPr>
              <w:spacing w:after="0"/>
              <w:rPr>
                <w:rFonts w:ascii="Times New Roman" w:hAnsi="Times New Roman" w:cs="Times New Roman"/>
                <w:noProof/>
              </w:rPr>
            </w:pPr>
          </w:p>
        </w:tc>
        <w:tc>
          <w:tcPr>
            <w:tcW w:w="709" w:type="dxa"/>
            <w:shd w:val="clear" w:color="auto" w:fill="C6EFCE"/>
            <w:tcMar>
              <w:left w:w="108" w:type="dxa"/>
              <w:right w:w="108" w:type="dxa"/>
            </w:tcMar>
            <w:vAlign w:val="center"/>
          </w:tcPr>
          <w:p w14:paraId="74287B7A" w14:textId="77777777" w:rsidR="00235E11" w:rsidRDefault="00235E11">
            <w:pPr>
              <w:spacing w:after="0"/>
              <w:rPr>
                <w:rFonts w:ascii="Times New Roman" w:hAnsi="Times New Roman" w:cs="Times New Roman"/>
                <w:noProof/>
              </w:rPr>
            </w:pPr>
          </w:p>
        </w:tc>
        <w:tc>
          <w:tcPr>
            <w:tcW w:w="992" w:type="dxa"/>
            <w:shd w:val="clear" w:color="auto" w:fill="C6EFCE"/>
            <w:tcMar>
              <w:left w:w="108" w:type="dxa"/>
              <w:right w:w="108" w:type="dxa"/>
            </w:tcMar>
            <w:vAlign w:val="center"/>
          </w:tcPr>
          <w:p w14:paraId="5015FDAB" w14:textId="77777777" w:rsidR="00235E11" w:rsidRDefault="00F837E4">
            <w:pPr>
              <w:pStyle w:val="P68B1DB1-Normal10"/>
              <w:spacing w:after="0"/>
              <w:jc w:val="center"/>
              <w:rPr>
                <w:noProof/>
              </w:rPr>
            </w:pPr>
            <w:r>
              <w:rPr>
                <w:noProof/>
              </w:rPr>
              <w:t>Т4 Г.</w:t>
            </w:r>
          </w:p>
        </w:tc>
        <w:tc>
          <w:tcPr>
            <w:tcW w:w="1276" w:type="dxa"/>
            <w:shd w:val="clear" w:color="auto" w:fill="C6EFCE"/>
            <w:tcMar>
              <w:left w:w="108" w:type="dxa"/>
              <w:right w:w="108" w:type="dxa"/>
            </w:tcMar>
            <w:vAlign w:val="center"/>
          </w:tcPr>
          <w:p w14:paraId="76B156D2" w14:textId="77777777" w:rsidR="00235E11" w:rsidRDefault="00F837E4">
            <w:pPr>
              <w:pStyle w:val="P68B1DB1-Normal10"/>
              <w:spacing w:after="0"/>
              <w:jc w:val="center"/>
              <w:rPr>
                <w:noProof/>
              </w:rPr>
            </w:pPr>
            <w:r>
              <w:rPr>
                <w:noProof/>
              </w:rPr>
              <w:t>2022</w:t>
            </w:r>
          </w:p>
        </w:tc>
        <w:tc>
          <w:tcPr>
            <w:tcW w:w="3719" w:type="dxa"/>
            <w:shd w:val="clear" w:color="auto" w:fill="C6EFCE"/>
            <w:tcMar>
              <w:left w:w="108" w:type="dxa"/>
              <w:right w:w="108" w:type="dxa"/>
            </w:tcMar>
            <w:vAlign w:val="center"/>
          </w:tcPr>
          <w:p w14:paraId="0C5C9DFE" w14:textId="4F1F83BC" w:rsidR="00235E11" w:rsidRDefault="00F837E4">
            <w:pPr>
              <w:pStyle w:val="P68B1DB1-Normal10"/>
              <w:spacing w:after="0"/>
              <w:rPr>
                <w:noProof/>
              </w:rPr>
            </w:pPr>
            <w:r>
              <w:rPr>
                <w:noProof/>
              </w:rPr>
              <w:t>Финализиране на FEED (предварителен инженерен проект) и екологични проучвания за мярката „Морски енергиен остров“. Островът трябва да бъде готов за кабели за връзка в морето между брега и енергийния остров. Островът дава възможност за взаимосвързаност с друга (и) държава (и).</w:t>
            </w:r>
          </w:p>
        </w:tc>
      </w:tr>
      <w:tr w:rsidR="00235E11" w14:paraId="419E0569" w14:textId="77777777">
        <w:trPr>
          <w:trHeight w:val="300"/>
        </w:trPr>
        <w:tc>
          <w:tcPr>
            <w:tcW w:w="713" w:type="dxa"/>
            <w:shd w:val="clear" w:color="auto" w:fill="C6EFCE"/>
            <w:tcMar>
              <w:left w:w="108" w:type="dxa"/>
              <w:right w:w="108" w:type="dxa"/>
            </w:tcMar>
            <w:vAlign w:val="center"/>
          </w:tcPr>
          <w:p w14:paraId="3F6B998F" w14:textId="77777777" w:rsidR="00235E11" w:rsidRDefault="00F837E4">
            <w:pPr>
              <w:pStyle w:val="P68B1DB1-Normal10"/>
              <w:spacing w:after="0"/>
              <w:jc w:val="center"/>
              <w:rPr>
                <w:noProof/>
              </w:rPr>
            </w:pPr>
            <w:r>
              <w:rPr>
                <w:noProof/>
              </w:rPr>
              <w:t>240</w:t>
            </w:r>
          </w:p>
        </w:tc>
        <w:tc>
          <w:tcPr>
            <w:tcW w:w="1522" w:type="dxa"/>
            <w:shd w:val="clear" w:color="auto" w:fill="C6EFCE"/>
            <w:tcMar>
              <w:left w:w="108" w:type="dxa"/>
              <w:right w:w="108" w:type="dxa"/>
            </w:tcMar>
            <w:vAlign w:val="center"/>
          </w:tcPr>
          <w:p w14:paraId="1DEEC9C2" w14:textId="77777777" w:rsidR="00235E11" w:rsidRDefault="00F837E4">
            <w:pPr>
              <w:pStyle w:val="P68B1DB1-Normal10"/>
              <w:spacing w:after="0"/>
              <w:rPr>
                <w:noProof/>
              </w:rPr>
            </w:pPr>
            <w:r>
              <w:rPr>
                <w:noProof/>
              </w:rPr>
              <w:t>Офшорен енергиен остров (I-1.7.20)</w:t>
            </w:r>
          </w:p>
        </w:tc>
        <w:tc>
          <w:tcPr>
            <w:tcW w:w="756" w:type="dxa"/>
            <w:shd w:val="clear" w:color="auto" w:fill="C6EFCE"/>
            <w:tcMar>
              <w:left w:w="108" w:type="dxa"/>
              <w:right w:w="108" w:type="dxa"/>
            </w:tcMar>
            <w:vAlign w:val="center"/>
          </w:tcPr>
          <w:p w14:paraId="6CBEE3E7" w14:textId="77777777" w:rsidR="00235E11" w:rsidRDefault="00F837E4">
            <w:pPr>
              <w:pStyle w:val="P68B1DB1-Normal10"/>
              <w:spacing w:after="0"/>
              <w:jc w:val="center"/>
              <w:rPr>
                <w:noProof/>
              </w:rPr>
            </w:pPr>
            <w:r>
              <w:rPr>
                <w:noProof/>
              </w:rPr>
              <w:t>M</w:t>
            </w:r>
          </w:p>
        </w:tc>
        <w:tc>
          <w:tcPr>
            <w:tcW w:w="1370" w:type="dxa"/>
            <w:shd w:val="clear" w:color="auto" w:fill="C6EFCE"/>
            <w:tcMar>
              <w:left w:w="108" w:type="dxa"/>
              <w:right w:w="108" w:type="dxa"/>
            </w:tcMar>
            <w:vAlign w:val="center"/>
          </w:tcPr>
          <w:p w14:paraId="7239F93F" w14:textId="77777777" w:rsidR="00235E11" w:rsidRDefault="00F837E4">
            <w:pPr>
              <w:pStyle w:val="P68B1DB1-Normal10"/>
              <w:spacing w:after="0"/>
              <w:rPr>
                <w:noProof/>
              </w:rPr>
            </w:pPr>
            <w:r>
              <w:rPr>
                <w:noProof/>
              </w:rPr>
              <w:t>Получени екологични разрешителни за енергиен остров</w:t>
            </w:r>
          </w:p>
        </w:tc>
        <w:tc>
          <w:tcPr>
            <w:tcW w:w="1417" w:type="dxa"/>
            <w:shd w:val="clear" w:color="auto" w:fill="C6EFCE"/>
            <w:tcMar>
              <w:left w:w="108" w:type="dxa"/>
              <w:right w:w="108" w:type="dxa"/>
            </w:tcMar>
            <w:vAlign w:val="center"/>
          </w:tcPr>
          <w:p w14:paraId="351BC81E" w14:textId="77777777" w:rsidR="00235E11" w:rsidRDefault="00F837E4">
            <w:pPr>
              <w:pStyle w:val="P68B1DB1-Normal10"/>
              <w:spacing w:after="0"/>
              <w:rPr>
                <w:noProof/>
              </w:rPr>
            </w:pPr>
            <w:r>
              <w:rPr>
                <w:noProof/>
              </w:rPr>
              <w:t>Получени екологични разрешителни за енергиен остров</w:t>
            </w:r>
          </w:p>
        </w:tc>
        <w:tc>
          <w:tcPr>
            <w:tcW w:w="1134" w:type="dxa"/>
            <w:shd w:val="clear" w:color="auto" w:fill="C6EFCE"/>
            <w:tcMar>
              <w:left w:w="108" w:type="dxa"/>
              <w:right w:w="108" w:type="dxa"/>
            </w:tcMar>
            <w:vAlign w:val="center"/>
          </w:tcPr>
          <w:p w14:paraId="05D905D6" w14:textId="77777777" w:rsidR="00235E11" w:rsidRDefault="00235E11">
            <w:pPr>
              <w:spacing w:after="0"/>
              <w:rPr>
                <w:rFonts w:ascii="Times New Roman" w:hAnsi="Times New Roman" w:cs="Times New Roman"/>
                <w:noProof/>
              </w:rPr>
            </w:pPr>
          </w:p>
        </w:tc>
        <w:tc>
          <w:tcPr>
            <w:tcW w:w="1134" w:type="dxa"/>
            <w:shd w:val="clear" w:color="auto" w:fill="C6EFCE"/>
            <w:tcMar>
              <w:left w:w="108" w:type="dxa"/>
              <w:right w:w="108" w:type="dxa"/>
            </w:tcMar>
            <w:vAlign w:val="center"/>
          </w:tcPr>
          <w:p w14:paraId="71C19B89" w14:textId="77777777" w:rsidR="00235E11" w:rsidRDefault="00235E11">
            <w:pPr>
              <w:spacing w:after="0"/>
              <w:rPr>
                <w:rFonts w:ascii="Times New Roman" w:hAnsi="Times New Roman" w:cs="Times New Roman"/>
                <w:noProof/>
              </w:rPr>
            </w:pPr>
          </w:p>
        </w:tc>
        <w:tc>
          <w:tcPr>
            <w:tcW w:w="709" w:type="dxa"/>
            <w:shd w:val="clear" w:color="auto" w:fill="C6EFCE"/>
            <w:tcMar>
              <w:left w:w="108" w:type="dxa"/>
              <w:right w:w="108" w:type="dxa"/>
            </w:tcMar>
            <w:vAlign w:val="center"/>
          </w:tcPr>
          <w:p w14:paraId="2B78CAD6" w14:textId="77777777" w:rsidR="00235E11" w:rsidRDefault="00235E11">
            <w:pPr>
              <w:spacing w:after="0"/>
              <w:rPr>
                <w:rFonts w:ascii="Times New Roman" w:hAnsi="Times New Roman" w:cs="Times New Roman"/>
                <w:noProof/>
              </w:rPr>
            </w:pPr>
          </w:p>
        </w:tc>
        <w:tc>
          <w:tcPr>
            <w:tcW w:w="992" w:type="dxa"/>
            <w:shd w:val="clear" w:color="auto" w:fill="C6EFCE"/>
            <w:tcMar>
              <w:left w:w="108" w:type="dxa"/>
              <w:right w:w="108" w:type="dxa"/>
            </w:tcMar>
            <w:vAlign w:val="center"/>
          </w:tcPr>
          <w:p w14:paraId="540A3527" w14:textId="77777777" w:rsidR="00235E11" w:rsidRDefault="00F837E4">
            <w:pPr>
              <w:pStyle w:val="P68B1DB1-Normal10"/>
              <w:spacing w:after="0"/>
              <w:jc w:val="center"/>
              <w:rPr>
                <w:noProof/>
              </w:rPr>
            </w:pPr>
            <w:r>
              <w:rPr>
                <w:noProof/>
              </w:rPr>
              <w:t>Т3 Г.</w:t>
            </w:r>
          </w:p>
        </w:tc>
        <w:tc>
          <w:tcPr>
            <w:tcW w:w="1276" w:type="dxa"/>
            <w:shd w:val="clear" w:color="auto" w:fill="C6EFCE"/>
            <w:tcMar>
              <w:left w:w="108" w:type="dxa"/>
              <w:right w:w="108" w:type="dxa"/>
            </w:tcMar>
            <w:vAlign w:val="center"/>
          </w:tcPr>
          <w:p w14:paraId="26A608F6" w14:textId="77777777" w:rsidR="00235E11" w:rsidRDefault="00F837E4">
            <w:pPr>
              <w:pStyle w:val="P68B1DB1-Normal10"/>
              <w:spacing w:after="0"/>
              <w:jc w:val="center"/>
              <w:rPr>
                <w:noProof/>
              </w:rPr>
            </w:pPr>
            <w:r>
              <w:rPr>
                <w:noProof/>
              </w:rPr>
              <w:t>2023</w:t>
            </w:r>
          </w:p>
        </w:tc>
        <w:tc>
          <w:tcPr>
            <w:tcW w:w="3719" w:type="dxa"/>
            <w:shd w:val="clear" w:color="auto" w:fill="C6EFCE"/>
            <w:tcMar>
              <w:left w:w="108" w:type="dxa"/>
              <w:right w:w="108" w:type="dxa"/>
            </w:tcMar>
            <w:vAlign w:val="center"/>
          </w:tcPr>
          <w:p w14:paraId="4AB29F81" w14:textId="77777777" w:rsidR="00235E11" w:rsidRDefault="00F837E4">
            <w:pPr>
              <w:pStyle w:val="P68B1DB1-Normal10"/>
              <w:spacing w:after="0"/>
              <w:rPr>
                <w:noProof/>
              </w:rPr>
            </w:pPr>
            <w:r>
              <w:rPr>
                <w:noProof/>
              </w:rPr>
              <w:t>Екологични разрешителни, получени от оператора на преносната система за енергиен остров в Северно море, които се състоят от пет хектара полезна площ и екологични разрешителни за разполагането на кабели за свързване в морето между брега и енергийния остров.</w:t>
            </w:r>
          </w:p>
        </w:tc>
      </w:tr>
      <w:tr w:rsidR="00235E11" w14:paraId="59616321" w14:textId="77777777">
        <w:trPr>
          <w:trHeight w:val="300"/>
        </w:trPr>
        <w:tc>
          <w:tcPr>
            <w:tcW w:w="713" w:type="dxa"/>
            <w:shd w:val="clear" w:color="auto" w:fill="C6EFCE"/>
            <w:tcMar>
              <w:left w:w="108" w:type="dxa"/>
              <w:right w:w="108" w:type="dxa"/>
            </w:tcMar>
            <w:vAlign w:val="center"/>
          </w:tcPr>
          <w:p w14:paraId="6642560C" w14:textId="77777777" w:rsidR="00235E11" w:rsidRDefault="00F837E4">
            <w:pPr>
              <w:pStyle w:val="P68B1DB1-Normal10"/>
              <w:spacing w:after="0"/>
              <w:jc w:val="center"/>
              <w:rPr>
                <w:noProof/>
              </w:rPr>
            </w:pPr>
            <w:r>
              <w:rPr>
                <w:noProof/>
              </w:rPr>
              <w:t>241</w:t>
            </w:r>
          </w:p>
        </w:tc>
        <w:tc>
          <w:tcPr>
            <w:tcW w:w="1522" w:type="dxa"/>
            <w:shd w:val="clear" w:color="auto" w:fill="C6EFCE"/>
            <w:tcMar>
              <w:left w:w="108" w:type="dxa"/>
              <w:right w:w="108" w:type="dxa"/>
            </w:tcMar>
            <w:vAlign w:val="center"/>
          </w:tcPr>
          <w:p w14:paraId="19EC0073" w14:textId="77777777" w:rsidR="00235E11" w:rsidRDefault="00F837E4">
            <w:pPr>
              <w:pStyle w:val="P68B1DB1-Normal10"/>
              <w:spacing w:after="0"/>
              <w:rPr>
                <w:noProof/>
              </w:rPr>
            </w:pPr>
            <w:r>
              <w:rPr>
                <w:noProof/>
              </w:rPr>
              <w:t>Офшорен енергиен остров (I-7.20)</w:t>
            </w:r>
          </w:p>
        </w:tc>
        <w:tc>
          <w:tcPr>
            <w:tcW w:w="756" w:type="dxa"/>
            <w:shd w:val="clear" w:color="auto" w:fill="C6EFCE"/>
            <w:tcMar>
              <w:left w:w="108" w:type="dxa"/>
              <w:right w:w="108" w:type="dxa"/>
            </w:tcMar>
            <w:vAlign w:val="center"/>
          </w:tcPr>
          <w:p w14:paraId="0DD9F972" w14:textId="77777777" w:rsidR="00235E11" w:rsidRDefault="00F837E4">
            <w:pPr>
              <w:pStyle w:val="P68B1DB1-Normal10"/>
              <w:spacing w:after="0"/>
              <w:jc w:val="center"/>
              <w:rPr>
                <w:noProof/>
              </w:rPr>
            </w:pPr>
            <w:r>
              <w:rPr>
                <w:noProof/>
              </w:rPr>
              <w:t>M</w:t>
            </w:r>
          </w:p>
        </w:tc>
        <w:tc>
          <w:tcPr>
            <w:tcW w:w="1370" w:type="dxa"/>
            <w:shd w:val="clear" w:color="auto" w:fill="C6EFCE"/>
            <w:tcMar>
              <w:left w:w="108" w:type="dxa"/>
              <w:right w:w="108" w:type="dxa"/>
            </w:tcMar>
            <w:vAlign w:val="center"/>
          </w:tcPr>
          <w:p w14:paraId="7E4350B1" w14:textId="77777777" w:rsidR="00235E11" w:rsidRDefault="00F837E4">
            <w:pPr>
              <w:pStyle w:val="P68B1DB1-Normal10"/>
              <w:spacing w:after="0"/>
              <w:rPr>
                <w:noProof/>
              </w:rPr>
            </w:pPr>
            <w:r>
              <w:rPr>
                <w:noProof/>
              </w:rPr>
              <w:t>Приключване на работите, свързани с енергийния остров</w:t>
            </w:r>
          </w:p>
        </w:tc>
        <w:tc>
          <w:tcPr>
            <w:tcW w:w="1417" w:type="dxa"/>
            <w:shd w:val="clear" w:color="auto" w:fill="C6EFCE"/>
            <w:tcMar>
              <w:left w:w="108" w:type="dxa"/>
              <w:right w:w="108" w:type="dxa"/>
            </w:tcMar>
            <w:vAlign w:val="center"/>
          </w:tcPr>
          <w:p w14:paraId="777BA509" w14:textId="77777777" w:rsidR="00235E11" w:rsidRDefault="00F837E4">
            <w:pPr>
              <w:pStyle w:val="P68B1DB1-Normal10"/>
              <w:spacing w:after="0"/>
              <w:rPr>
                <w:noProof/>
              </w:rPr>
            </w:pPr>
            <w:r>
              <w:rPr>
                <w:noProof/>
              </w:rPr>
              <w:t>Приключване на строителните работи</w:t>
            </w:r>
          </w:p>
        </w:tc>
        <w:tc>
          <w:tcPr>
            <w:tcW w:w="1134" w:type="dxa"/>
            <w:shd w:val="clear" w:color="auto" w:fill="C6EFCE"/>
            <w:tcMar>
              <w:left w:w="108" w:type="dxa"/>
              <w:right w:w="108" w:type="dxa"/>
            </w:tcMar>
            <w:vAlign w:val="center"/>
          </w:tcPr>
          <w:p w14:paraId="5D774B85" w14:textId="77777777" w:rsidR="00235E11" w:rsidRDefault="00235E11">
            <w:pPr>
              <w:spacing w:after="0"/>
              <w:rPr>
                <w:rFonts w:ascii="Times New Roman" w:hAnsi="Times New Roman" w:cs="Times New Roman"/>
                <w:noProof/>
              </w:rPr>
            </w:pPr>
          </w:p>
        </w:tc>
        <w:tc>
          <w:tcPr>
            <w:tcW w:w="1134" w:type="dxa"/>
            <w:shd w:val="clear" w:color="auto" w:fill="C6EFCE"/>
            <w:tcMar>
              <w:left w:w="108" w:type="dxa"/>
              <w:right w:w="108" w:type="dxa"/>
            </w:tcMar>
            <w:vAlign w:val="center"/>
          </w:tcPr>
          <w:p w14:paraId="449913E5" w14:textId="77777777" w:rsidR="00235E11" w:rsidRDefault="00235E11">
            <w:pPr>
              <w:spacing w:after="0"/>
              <w:rPr>
                <w:rFonts w:ascii="Times New Roman" w:hAnsi="Times New Roman" w:cs="Times New Roman"/>
                <w:noProof/>
              </w:rPr>
            </w:pPr>
          </w:p>
        </w:tc>
        <w:tc>
          <w:tcPr>
            <w:tcW w:w="709" w:type="dxa"/>
            <w:shd w:val="clear" w:color="auto" w:fill="C6EFCE"/>
            <w:tcMar>
              <w:left w:w="108" w:type="dxa"/>
              <w:right w:w="108" w:type="dxa"/>
            </w:tcMar>
            <w:vAlign w:val="center"/>
          </w:tcPr>
          <w:p w14:paraId="3F9D0538" w14:textId="77777777" w:rsidR="00235E11" w:rsidRDefault="00235E11">
            <w:pPr>
              <w:spacing w:after="0"/>
              <w:rPr>
                <w:rFonts w:ascii="Times New Roman" w:hAnsi="Times New Roman" w:cs="Times New Roman"/>
                <w:noProof/>
              </w:rPr>
            </w:pPr>
          </w:p>
        </w:tc>
        <w:tc>
          <w:tcPr>
            <w:tcW w:w="992" w:type="dxa"/>
            <w:shd w:val="clear" w:color="auto" w:fill="C6EFCE"/>
            <w:tcMar>
              <w:left w:w="108" w:type="dxa"/>
              <w:right w:w="108" w:type="dxa"/>
            </w:tcMar>
            <w:vAlign w:val="center"/>
          </w:tcPr>
          <w:p w14:paraId="05DE04B2" w14:textId="77777777" w:rsidR="00235E11" w:rsidRDefault="00F837E4">
            <w:pPr>
              <w:pStyle w:val="P68B1DB1-Normal10"/>
              <w:spacing w:after="0"/>
              <w:jc w:val="center"/>
              <w:rPr>
                <w:noProof/>
              </w:rPr>
            </w:pPr>
            <w:r>
              <w:rPr>
                <w:noProof/>
              </w:rPr>
              <w:t>Т2 Г.</w:t>
            </w:r>
          </w:p>
        </w:tc>
        <w:tc>
          <w:tcPr>
            <w:tcW w:w="1276" w:type="dxa"/>
            <w:shd w:val="clear" w:color="auto" w:fill="C6EFCE"/>
            <w:tcMar>
              <w:left w:w="108" w:type="dxa"/>
              <w:right w:w="108" w:type="dxa"/>
            </w:tcMar>
            <w:vAlign w:val="center"/>
          </w:tcPr>
          <w:p w14:paraId="3166E1DA" w14:textId="77777777" w:rsidR="00235E11" w:rsidRDefault="00F837E4">
            <w:pPr>
              <w:pStyle w:val="P68B1DB1-Normal10"/>
              <w:spacing w:after="0"/>
              <w:jc w:val="center"/>
              <w:rPr>
                <w:noProof/>
              </w:rPr>
            </w:pPr>
            <w:r>
              <w:rPr>
                <w:noProof/>
              </w:rPr>
              <w:t>2026</w:t>
            </w:r>
          </w:p>
        </w:tc>
        <w:tc>
          <w:tcPr>
            <w:tcW w:w="3719" w:type="dxa"/>
            <w:shd w:val="clear" w:color="auto" w:fill="C6EFCE"/>
            <w:tcMar>
              <w:left w:w="108" w:type="dxa"/>
              <w:right w:w="108" w:type="dxa"/>
            </w:tcMar>
            <w:vAlign w:val="center"/>
          </w:tcPr>
          <w:p w14:paraId="52F34315" w14:textId="77777777" w:rsidR="00235E11" w:rsidRDefault="00F837E4">
            <w:pPr>
              <w:pStyle w:val="P68B1DB1-Normal10"/>
              <w:spacing w:after="0"/>
              <w:rPr>
                <w:noProof/>
              </w:rPr>
            </w:pPr>
            <w:r>
              <w:rPr>
                <w:noProof/>
              </w:rPr>
              <w:t>Завършване на строителните работи, свързани с енергийния остров, които включват пет хектара полезна площ и са готови за кабели за свързване в морето между брега и енергийния остров. Островният остров дава възможност за бъдеща връзка с друга (и) държава (и).</w:t>
            </w:r>
          </w:p>
        </w:tc>
      </w:tr>
    </w:tbl>
    <w:p w14:paraId="0824D56A" w14:textId="77777777" w:rsidR="00235E11" w:rsidRDefault="00235E11">
      <w:pPr>
        <w:rPr>
          <w:noProof/>
        </w:rPr>
      </w:pPr>
    </w:p>
    <w:p w14:paraId="081BF09E" w14:textId="77777777" w:rsidR="00235E11" w:rsidRDefault="00235E11">
      <w:pPr>
        <w:rPr>
          <w:noProof/>
        </w:rPr>
        <w:sectPr w:rsidR="00235E11" w:rsidSect="007F56C3">
          <w:headerReference w:type="even" r:id="rId300"/>
          <w:headerReference w:type="default" r:id="rId301"/>
          <w:footerReference w:type="even" r:id="rId302"/>
          <w:footerReference w:type="default" r:id="rId303"/>
          <w:headerReference w:type="first" r:id="rId304"/>
          <w:footerReference w:type="first" r:id="rId305"/>
          <w:pgSz w:w="16839" w:h="11907" w:orient="landscape"/>
          <w:pgMar w:top="1134" w:right="1134" w:bottom="1134" w:left="1134" w:header="567" w:footer="567" w:gutter="0"/>
          <w:cols w:space="720"/>
          <w:docGrid w:linePitch="360"/>
        </w:sectPr>
      </w:pPr>
    </w:p>
    <w:p w14:paraId="32EA9E36" w14:textId="0E1983E6" w:rsidR="00235E11" w:rsidRDefault="00F837E4">
      <w:pPr>
        <w:pStyle w:val="ManualHeading1"/>
        <w:spacing w:before="120"/>
        <w:ind w:left="0" w:hanging="130"/>
        <w:rPr>
          <w:smallCaps w:val="0"/>
          <w:noProof/>
        </w:rPr>
      </w:pPr>
      <w:r>
        <w:rPr>
          <w:noProof/>
          <w:lang w:val="bg-BG"/>
        </w:rPr>
        <w:t>Ф</w:t>
      </w:r>
      <w:r>
        <w:rPr>
          <w:noProof/>
        </w:rPr>
        <w:t>. КОМПОНЕНТ 7.4: Мобилност</w:t>
      </w:r>
    </w:p>
    <w:p w14:paraId="6DC45C06" w14:textId="77777777" w:rsidR="00235E11" w:rsidRDefault="00F837E4">
      <w:pPr>
        <w:pStyle w:val="P68B1DB1-Normal16"/>
        <w:spacing w:before="120" w:after="120" w:line="240" w:lineRule="auto"/>
        <w:jc w:val="both"/>
        <w:rPr>
          <w:noProof/>
        </w:rPr>
      </w:pPr>
      <w:r>
        <w:rPr>
          <w:noProof/>
        </w:rPr>
        <w:t>Мерките, предложени в рамките на този компонент от белгийския план за възстановяване и устойчивост, имат за цел да подкрепят автомобилния транспорт с ниски емисии и да подпомогнат преминаването към други видове транспорт чрез инвестиции в железопътния транспорт.</w:t>
      </w:r>
    </w:p>
    <w:p w14:paraId="210B4D4A" w14:textId="77777777" w:rsidR="00235E11" w:rsidRDefault="00F837E4">
      <w:pPr>
        <w:pStyle w:val="P68B1DB1-Normal16"/>
        <w:spacing w:before="120" w:after="120" w:line="240" w:lineRule="auto"/>
        <w:jc w:val="both"/>
        <w:rPr>
          <w:noProof/>
        </w:rPr>
      </w:pPr>
      <w:r>
        <w:rPr>
          <w:noProof/>
        </w:rPr>
        <w:t xml:space="preserve">Компонентът допринася за изпълнението на специфични за всяка държава препоръки 2022.4 и 2023.4 за </w:t>
      </w:r>
      <w:r>
        <w:rPr>
          <w:i/>
          <w:noProof/>
        </w:rPr>
        <w:t>намаляване на цялостната зависимост от изкопаеми горива чрез насърчаване на използването и доставките на обществен транспорт, както и на екологосъобразната мобилност</w:t>
      </w:r>
      <w:r>
        <w:rPr>
          <w:noProof/>
        </w:rPr>
        <w:t>.</w:t>
      </w:r>
    </w:p>
    <w:p w14:paraId="49A0D424" w14:textId="77777777" w:rsidR="00235E11" w:rsidRDefault="00F837E4">
      <w:pPr>
        <w:pStyle w:val="NormalLeft"/>
        <w:jc w:val="both"/>
        <w:rPr>
          <w:noProof/>
        </w:rPr>
      </w:pPr>
      <w:r>
        <w:rPr>
          <w:noProof/>
        </w:rPr>
        <w:t>Очаква се, че нито една мярка в този компонент не нанася значителни вреди на екологичните цели по смисъла на член 17 от Регламент (ЕС) 2020/852, като се вземе предвид описанието на мерките и стъпките за смекчаване, определени в плана за възстановяване и устойчивост в съответствие с Техническите насоки съгласно принципа за ненанасяне на значителни вреди (2021/C58/01).</w:t>
      </w:r>
    </w:p>
    <w:p w14:paraId="39F75520" w14:textId="224887F3" w:rsidR="00235E11" w:rsidRDefault="00F837E4">
      <w:pPr>
        <w:pStyle w:val="P68B1DB1-Jalonsetcibles35"/>
        <w:spacing w:before="120" w:after="120" w:line="240" w:lineRule="auto"/>
        <w:rPr>
          <w:noProof/>
        </w:rPr>
      </w:pPr>
      <w:r>
        <w:rPr>
          <w:noProof/>
          <w:lang w:val="bg-BG"/>
        </w:rPr>
        <w:t>Ф</w:t>
      </w:r>
      <w:r>
        <w:rPr>
          <w:noProof/>
        </w:rPr>
        <w:t>.1. Описание на реформите и инвестициите за безвъзмездна финансова подкрепа</w:t>
      </w:r>
    </w:p>
    <w:p w14:paraId="6089839D" w14:textId="75180DFB" w:rsidR="00235E11" w:rsidRDefault="00F837E4">
      <w:pPr>
        <w:pStyle w:val="P68B1DB1-Jalonsetcibles28"/>
        <w:spacing w:before="120" w:after="120" w:line="240" w:lineRule="auto"/>
        <w:rPr>
          <w:noProof/>
        </w:rPr>
      </w:pPr>
      <w:r>
        <w:rPr>
          <w:noProof/>
        </w:rPr>
        <w:t>Инвестиция I-7.21: „Екологизиране на автобусния парк — RBC“ на регион Брюксел-столица</w:t>
      </w:r>
    </w:p>
    <w:p w14:paraId="168B19D2" w14:textId="7A849E2A" w:rsidR="00235E11" w:rsidRDefault="00F837E4">
      <w:pPr>
        <w:pStyle w:val="P68B1DB1-Jalonsetcibles29"/>
        <w:spacing w:before="120" w:after="120" w:line="240" w:lineRule="auto"/>
        <w:jc w:val="both"/>
        <w:rPr>
          <w:noProof/>
        </w:rPr>
      </w:pPr>
      <w:r>
        <w:rPr>
          <w:noProof/>
        </w:rPr>
        <w:t>Тази мярка е била част от инвестиция I-3.17: „Екологизиране на автобусния парк — RBC“</w:t>
      </w:r>
      <w:r>
        <w:rPr>
          <w:i/>
          <w:noProof/>
        </w:rPr>
        <w:t xml:space="preserve">, </w:t>
      </w:r>
      <w:r>
        <w:rPr>
          <w:noProof/>
        </w:rPr>
        <w:t>по компонент 3.3: Екологизиране на автомобилния транспорт. Мярката се състои в придобиването на допълнителни електрически автобуси: 23 M3 съчленени подови настилки и 24 стандартни електрически автобуса. Изпълнението на мярката трябва да приключи до 30 юни 2026 г.</w:t>
      </w:r>
    </w:p>
    <w:p w14:paraId="716A4376" w14:textId="13DCED87" w:rsidR="00235E11" w:rsidRDefault="00F837E4">
      <w:pPr>
        <w:pStyle w:val="P68B1DB1-Jalonsetcibles28"/>
        <w:spacing w:before="120" w:after="120" w:line="240" w:lineRule="auto"/>
        <w:rPr>
          <w:noProof/>
        </w:rPr>
      </w:pPr>
      <w:r>
        <w:rPr>
          <w:noProof/>
        </w:rPr>
        <w:t>Инвестиция I-7.22: „Зарядни станции — FED“ на федералната държава</w:t>
      </w:r>
    </w:p>
    <w:p w14:paraId="14AAEC39" w14:textId="66BCD301" w:rsidR="00235E11" w:rsidRDefault="00F837E4">
      <w:pPr>
        <w:pStyle w:val="P68B1DB1-Jalonsetcibles51"/>
        <w:spacing w:before="120" w:after="120" w:line="240" w:lineRule="auto"/>
        <w:jc w:val="both"/>
        <w:rPr>
          <w:b w:val="0"/>
          <w:noProof/>
          <w:color w:val="auto"/>
        </w:rPr>
      </w:pPr>
      <w:r>
        <w:rPr>
          <w:b w:val="0"/>
          <w:noProof/>
          <w:color w:val="auto"/>
        </w:rPr>
        <w:t>Тази мярка е била част от инвестиция I-3.18: „Зарядни станции — FED“</w:t>
      </w:r>
      <w:r>
        <w:rPr>
          <w:b w:val="0"/>
          <w:i/>
          <w:noProof/>
          <w:color w:val="auto"/>
        </w:rPr>
        <w:t xml:space="preserve">, </w:t>
      </w:r>
      <w:r>
        <w:rPr>
          <w:b w:val="0"/>
          <w:noProof/>
          <w:color w:val="auto"/>
        </w:rPr>
        <w:t>в компонент 3.3: Екологизиране на автомобилния транспорт. Инвестицията ще позволи разгръщането на 1</w:t>
      </w:r>
      <w:r>
        <w:rPr>
          <w:noProof/>
        </w:rPr>
        <w:t xml:space="preserve"> </w:t>
      </w:r>
      <w:r>
        <w:rPr>
          <w:b w:val="0"/>
          <w:noProof/>
          <w:color w:val="auto"/>
        </w:rPr>
        <w:t>832 двупосочни зарядни станции за електрически автомобили след преразглеждането на данъчния стимул, посочен в инвестиция I-3—18 „Станции за зареждане — FED“, за да се включи възможността за приспадане на разходите за тези двупосочни станции за зареждане. Изпълнението на мярката трябва да приключи до 30 юни 2026 г.</w:t>
      </w:r>
    </w:p>
    <w:p w14:paraId="7C34FEFA" w14:textId="77777777" w:rsidR="00235E11" w:rsidRDefault="00F837E4">
      <w:pPr>
        <w:pStyle w:val="P68B1DB1-Normal52"/>
        <w:spacing w:before="120" w:after="120" w:line="240" w:lineRule="auto"/>
        <w:rPr>
          <w:noProof/>
        </w:rPr>
      </w:pPr>
      <w:r>
        <w:rPr>
          <w:noProof/>
        </w:rPr>
        <w:t>Инвестиция I-7.23: „Обществено светодиодно осветление“ на Фламандския регион</w:t>
      </w:r>
    </w:p>
    <w:p w14:paraId="1826A679" w14:textId="36A5914B" w:rsidR="00235E11" w:rsidRDefault="00F837E4">
      <w:pPr>
        <w:pStyle w:val="NormalLeft"/>
        <w:jc w:val="both"/>
        <w:rPr>
          <w:rFonts w:eastAsia="Yu Gothic"/>
          <w:noProof/>
        </w:rPr>
      </w:pPr>
      <w:r>
        <w:rPr>
          <w:noProof/>
        </w:rPr>
        <w:t>Тази инвестиция се състои в замяна на стари осветители (оборудвани с натриеви лампи с високо и ниско налягане) със светодиодни осветители на автомагистрали и в тунели във Фламандския регион. Тази инвестиция включва инсталирането на 18 500 светодиодни осветителя на автомагистрали и 4 250 светодиодни осветители в пет тунела. Изпълнението на мярката трябва да приключи до 30 юни 2026 г.</w:t>
      </w:r>
    </w:p>
    <w:p w14:paraId="1DCD27EE" w14:textId="77777777" w:rsidR="00235E11" w:rsidRDefault="00F837E4">
      <w:pPr>
        <w:pStyle w:val="P68B1DB1-Jalonsetcibles28"/>
        <w:spacing w:before="120" w:after="120" w:line="240" w:lineRule="auto"/>
        <w:rPr>
          <w:noProof/>
        </w:rPr>
      </w:pPr>
      <w:r>
        <w:rPr>
          <w:noProof/>
        </w:rPr>
        <w:t>Инвестиция I-7.24: „Железопътна — ефективна мрежа“ на федералната държава</w:t>
      </w:r>
    </w:p>
    <w:p w14:paraId="6281A33C" w14:textId="18ADF7BA" w:rsidR="00235E11" w:rsidRDefault="00F837E4">
      <w:pPr>
        <w:pStyle w:val="P68B1DB1-TitreComposante53"/>
        <w:spacing w:before="120" w:after="120" w:line="240" w:lineRule="auto"/>
        <w:jc w:val="both"/>
        <w:rPr>
          <w:noProof/>
        </w:rPr>
      </w:pPr>
      <w:r>
        <w:rPr>
          <w:noProof/>
        </w:rPr>
        <w:t>Тази мярка е била част от инвестиция I-3.10: „Железопътна — ефективна мрежа“ на федералната държава</w:t>
      </w:r>
      <w:r>
        <w:rPr>
          <w:i/>
          <w:noProof/>
        </w:rPr>
        <w:t>,</w:t>
      </w:r>
      <w:r>
        <w:rPr>
          <w:noProof/>
        </w:rPr>
        <w:t xml:space="preserve"> в раздел 3.2: Прехвърляне на товари. Мярката се състои от електрификация на железопътна линия 11. Изпълнението на мярката трябва да приключи до 30 юни 2026 г.</w:t>
      </w:r>
    </w:p>
    <w:p w14:paraId="22602378" w14:textId="77777777" w:rsidR="00235E11" w:rsidRDefault="00235E11">
      <w:pPr>
        <w:pStyle w:val="Jalonsetcibles"/>
        <w:spacing w:before="120" w:after="120" w:line="240" w:lineRule="auto"/>
        <w:rPr>
          <w:b w:val="0"/>
          <w:noProof/>
          <w:color w:val="auto"/>
          <w:sz w:val="24"/>
        </w:rPr>
      </w:pPr>
    </w:p>
    <w:p w14:paraId="5D3D70EF" w14:textId="7703193D" w:rsidR="00235E11" w:rsidRDefault="00F837E4">
      <w:pPr>
        <w:pStyle w:val="P68B1DB1-Jalonsetcibles37"/>
        <w:spacing w:before="120" w:after="120" w:line="240" w:lineRule="auto"/>
        <w:rPr>
          <w:noProof/>
        </w:rPr>
      </w:pPr>
      <w:r>
        <w:rPr>
          <w:noProof/>
          <w:lang w:val="bg-BG"/>
        </w:rPr>
        <w:t>Ф</w:t>
      </w:r>
      <w:r>
        <w:rPr>
          <w:noProof/>
        </w:rPr>
        <w:t>.2 Етапни етапи, цели, показатели и график за мониторинг и изпълнение на безвъзмездната финансова подкрепа</w:t>
      </w:r>
    </w:p>
    <w:p w14:paraId="19225F76" w14:textId="77777777" w:rsidR="00235E11" w:rsidRDefault="00235E11">
      <w:pPr>
        <w:pStyle w:val="Text1"/>
        <w:ind w:left="0"/>
        <w:rPr>
          <w:noProof/>
        </w:rPr>
      </w:pPr>
    </w:p>
    <w:p w14:paraId="56B4F527" w14:textId="77777777" w:rsidR="00235E11" w:rsidRDefault="00235E11">
      <w:pPr>
        <w:pStyle w:val="Text1"/>
        <w:ind w:left="0"/>
        <w:rPr>
          <w:noProof/>
        </w:rPr>
        <w:sectPr w:rsidR="00235E11" w:rsidSect="007F56C3">
          <w:headerReference w:type="even" r:id="rId306"/>
          <w:headerReference w:type="default" r:id="rId307"/>
          <w:footerReference w:type="even" r:id="rId308"/>
          <w:footerReference w:type="default" r:id="rId309"/>
          <w:headerReference w:type="first" r:id="rId310"/>
          <w:footerReference w:type="first" r:id="rId311"/>
          <w:pgSz w:w="11907" w:h="16839"/>
          <w:pgMar w:top="1134" w:right="1134" w:bottom="1134" w:left="1134" w:header="567" w:footer="567" w:gutter="0"/>
          <w:cols w:space="720"/>
          <w:docGrid w:linePitch="360"/>
        </w:sectPr>
      </w:pPr>
    </w:p>
    <w:tbl>
      <w:tblPr>
        <w:tblW w:w="154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993"/>
        <w:gridCol w:w="1559"/>
        <w:gridCol w:w="1276"/>
        <w:gridCol w:w="992"/>
        <w:gridCol w:w="992"/>
        <w:gridCol w:w="851"/>
        <w:gridCol w:w="992"/>
        <w:gridCol w:w="709"/>
        <w:gridCol w:w="4932"/>
      </w:tblGrid>
      <w:tr w:rsidR="00235E11" w14:paraId="6F90191A" w14:textId="77777777">
        <w:trPr>
          <w:trHeight w:val="927"/>
        </w:trPr>
        <w:tc>
          <w:tcPr>
            <w:tcW w:w="710" w:type="dxa"/>
            <w:vMerge w:val="restart"/>
            <w:shd w:val="clear" w:color="auto" w:fill="BDD7EE"/>
            <w:vAlign w:val="center"/>
            <w:hideMark/>
          </w:tcPr>
          <w:p w14:paraId="772DB75A" w14:textId="77777777" w:rsidR="00235E11" w:rsidRDefault="00F837E4">
            <w:pPr>
              <w:pStyle w:val="P68B1DB1-Normal7"/>
              <w:spacing w:after="0"/>
              <w:jc w:val="center"/>
              <w:rPr>
                <w:noProof/>
              </w:rPr>
            </w:pPr>
            <w:r>
              <w:rPr>
                <w:noProof/>
              </w:rPr>
              <w:t>Следващи Забележка:</w:t>
            </w:r>
          </w:p>
        </w:tc>
        <w:tc>
          <w:tcPr>
            <w:tcW w:w="1417" w:type="dxa"/>
            <w:vMerge w:val="restart"/>
            <w:shd w:val="clear" w:color="auto" w:fill="BDD7EE"/>
            <w:vAlign w:val="center"/>
            <w:hideMark/>
          </w:tcPr>
          <w:p w14:paraId="2FDFDDE6" w14:textId="77777777" w:rsidR="00235E11" w:rsidRDefault="00F837E4">
            <w:pPr>
              <w:pStyle w:val="P68B1DB1-Normal7"/>
              <w:spacing w:after="0"/>
              <w:jc w:val="center"/>
              <w:rPr>
                <w:noProof/>
              </w:rPr>
            </w:pPr>
            <w:r>
              <w:rPr>
                <w:noProof/>
              </w:rPr>
              <w:t>Свързана мярка (реформа или инвестиции)</w:t>
            </w:r>
          </w:p>
        </w:tc>
        <w:tc>
          <w:tcPr>
            <w:tcW w:w="993" w:type="dxa"/>
            <w:vMerge w:val="restart"/>
            <w:shd w:val="clear" w:color="auto" w:fill="BDD7EE"/>
            <w:vAlign w:val="center"/>
            <w:hideMark/>
          </w:tcPr>
          <w:p w14:paraId="3A50911A" w14:textId="77777777" w:rsidR="00235E11" w:rsidRDefault="00F837E4">
            <w:pPr>
              <w:pStyle w:val="P68B1DB1-Normal7"/>
              <w:spacing w:after="0"/>
              <w:jc w:val="center"/>
              <w:rPr>
                <w:noProof/>
              </w:rPr>
            </w:pPr>
            <w:r>
              <w:rPr>
                <w:noProof/>
              </w:rPr>
              <w:t>M/T</w:t>
            </w:r>
          </w:p>
        </w:tc>
        <w:tc>
          <w:tcPr>
            <w:tcW w:w="1559" w:type="dxa"/>
            <w:vMerge w:val="restart"/>
            <w:shd w:val="clear" w:color="auto" w:fill="BDD7EE"/>
            <w:vAlign w:val="center"/>
            <w:hideMark/>
          </w:tcPr>
          <w:p w14:paraId="3FDB7666" w14:textId="77777777" w:rsidR="00235E11" w:rsidRDefault="00F837E4">
            <w:pPr>
              <w:pStyle w:val="P68B1DB1-Normal7"/>
              <w:spacing w:after="0"/>
              <w:jc w:val="center"/>
              <w:rPr>
                <w:noProof/>
              </w:rPr>
            </w:pPr>
            <w:r>
              <w:rPr>
                <w:noProof/>
              </w:rPr>
              <w:t>Име</w:t>
            </w:r>
          </w:p>
        </w:tc>
        <w:tc>
          <w:tcPr>
            <w:tcW w:w="1276" w:type="dxa"/>
            <w:vMerge w:val="restart"/>
            <w:shd w:val="clear" w:color="auto" w:fill="BDD7EE"/>
            <w:vAlign w:val="center"/>
            <w:hideMark/>
          </w:tcPr>
          <w:p w14:paraId="615A0CBB"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835" w:type="dxa"/>
            <w:gridSpan w:val="3"/>
            <w:shd w:val="clear" w:color="auto" w:fill="BDD7EE"/>
            <w:vAlign w:val="center"/>
            <w:hideMark/>
          </w:tcPr>
          <w:p w14:paraId="56A74E6E"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701" w:type="dxa"/>
            <w:gridSpan w:val="2"/>
            <w:shd w:val="clear" w:color="auto" w:fill="BDD7EE"/>
            <w:vAlign w:val="center"/>
            <w:hideMark/>
          </w:tcPr>
          <w:p w14:paraId="6B78AC66" w14:textId="77777777" w:rsidR="00235E11" w:rsidRDefault="00F837E4">
            <w:pPr>
              <w:pStyle w:val="P68B1DB1-Normal7"/>
              <w:spacing w:after="0"/>
              <w:jc w:val="center"/>
              <w:rPr>
                <w:noProof/>
              </w:rPr>
            </w:pPr>
            <w:r>
              <w:rPr>
                <w:noProof/>
              </w:rPr>
              <w:t xml:space="preserve">Примерен график за приключване </w:t>
            </w:r>
          </w:p>
        </w:tc>
        <w:tc>
          <w:tcPr>
            <w:tcW w:w="4932" w:type="dxa"/>
            <w:vMerge w:val="restart"/>
            <w:shd w:val="clear" w:color="auto" w:fill="BDD7EE"/>
            <w:vAlign w:val="center"/>
            <w:hideMark/>
          </w:tcPr>
          <w:p w14:paraId="0F7AA81D" w14:textId="77777777" w:rsidR="00235E11" w:rsidRDefault="00F837E4">
            <w:pPr>
              <w:pStyle w:val="P68B1DB1-Normal7"/>
              <w:spacing w:after="0"/>
              <w:jc w:val="center"/>
              <w:rPr>
                <w:noProof/>
              </w:rPr>
            </w:pPr>
            <w:r>
              <w:rPr>
                <w:noProof/>
              </w:rPr>
              <w:t>Описание на всеки ключов етап и цел</w:t>
            </w:r>
          </w:p>
        </w:tc>
      </w:tr>
      <w:tr w:rsidR="00235E11" w14:paraId="409C4F16" w14:textId="77777777">
        <w:trPr>
          <w:trHeight w:val="410"/>
        </w:trPr>
        <w:tc>
          <w:tcPr>
            <w:tcW w:w="710" w:type="dxa"/>
            <w:vMerge/>
            <w:vAlign w:val="center"/>
            <w:hideMark/>
          </w:tcPr>
          <w:p w14:paraId="061FFFF9" w14:textId="77777777" w:rsidR="00235E11" w:rsidRDefault="00235E11">
            <w:pPr>
              <w:spacing w:after="0"/>
              <w:rPr>
                <w:rFonts w:ascii="Times New Roman" w:eastAsia="Times New Roman" w:hAnsi="Times New Roman" w:cs="Times New Roman"/>
                <w:b/>
                <w:noProof/>
              </w:rPr>
            </w:pPr>
          </w:p>
        </w:tc>
        <w:tc>
          <w:tcPr>
            <w:tcW w:w="1417" w:type="dxa"/>
            <w:vMerge/>
            <w:vAlign w:val="center"/>
            <w:hideMark/>
          </w:tcPr>
          <w:p w14:paraId="14AB9AF2" w14:textId="77777777" w:rsidR="00235E11" w:rsidRDefault="00235E11">
            <w:pPr>
              <w:spacing w:after="0"/>
              <w:rPr>
                <w:rFonts w:ascii="Times New Roman" w:eastAsia="Times New Roman" w:hAnsi="Times New Roman" w:cs="Times New Roman"/>
                <w:b/>
                <w:noProof/>
              </w:rPr>
            </w:pPr>
          </w:p>
        </w:tc>
        <w:tc>
          <w:tcPr>
            <w:tcW w:w="993" w:type="dxa"/>
            <w:vMerge/>
            <w:vAlign w:val="center"/>
            <w:hideMark/>
          </w:tcPr>
          <w:p w14:paraId="16640531" w14:textId="77777777" w:rsidR="00235E11" w:rsidRDefault="00235E11">
            <w:pPr>
              <w:spacing w:after="0"/>
              <w:rPr>
                <w:rFonts w:ascii="Times New Roman" w:eastAsia="Times New Roman" w:hAnsi="Times New Roman" w:cs="Times New Roman"/>
                <w:b/>
                <w:noProof/>
              </w:rPr>
            </w:pPr>
          </w:p>
        </w:tc>
        <w:tc>
          <w:tcPr>
            <w:tcW w:w="1559" w:type="dxa"/>
            <w:vMerge/>
            <w:vAlign w:val="center"/>
            <w:hideMark/>
          </w:tcPr>
          <w:p w14:paraId="1627E306" w14:textId="77777777" w:rsidR="00235E11" w:rsidRDefault="00235E11">
            <w:pPr>
              <w:spacing w:after="0"/>
              <w:rPr>
                <w:rFonts w:ascii="Times New Roman" w:eastAsia="Times New Roman" w:hAnsi="Times New Roman" w:cs="Times New Roman"/>
                <w:b/>
                <w:noProof/>
              </w:rPr>
            </w:pPr>
          </w:p>
        </w:tc>
        <w:tc>
          <w:tcPr>
            <w:tcW w:w="1276" w:type="dxa"/>
            <w:vMerge/>
            <w:vAlign w:val="center"/>
            <w:hideMark/>
          </w:tcPr>
          <w:p w14:paraId="133D15D4" w14:textId="77777777" w:rsidR="00235E11" w:rsidRDefault="00235E11">
            <w:pPr>
              <w:spacing w:after="0"/>
              <w:rPr>
                <w:rFonts w:ascii="Times New Roman" w:eastAsia="Times New Roman" w:hAnsi="Times New Roman" w:cs="Times New Roman"/>
                <w:b/>
                <w:noProof/>
              </w:rPr>
            </w:pPr>
          </w:p>
        </w:tc>
        <w:tc>
          <w:tcPr>
            <w:tcW w:w="992" w:type="dxa"/>
            <w:shd w:val="clear" w:color="auto" w:fill="BDD7EE"/>
            <w:vAlign w:val="center"/>
            <w:hideMark/>
          </w:tcPr>
          <w:p w14:paraId="297B25C8" w14:textId="77777777" w:rsidR="00235E11" w:rsidRDefault="00F837E4">
            <w:pPr>
              <w:pStyle w:val="P68B1DB1-Normal7"/>
              <w:spacing w:after="0"/>
              <w:jc w:val="center"/>
              <w:rPr>
                <w:noProof/>
              </w:rPr>
            </w:pPr>
            <w:r>
              <w:rPr>
                <w:noProof/>
              </w:rPr>
              <w:t>Единица мярка</w:t>
            </w:r>
          </w:p>
        </w:tc>
        <w:tc>
          <w:tcPr>
            <w:tcW w:w="992" w:type="dxa"/>
            <w:shd w:val="clear" w:color="auto" w:fill="BDD7EE"/>
            <w:vAlign w:val="center"/>
            <w:hideMark/>
          </w:tcPr>
          <w:p w14:paraId="7465333C" w14:textId="77777777" w:rsidR="00235E11" w:rsidRDefault="00F837E4">
            <w:pPr>
              <w:pStyle w:val="P68B1DB1-Normal7"/>
              <w:spacing w:after="0"/>
              <w:jc w:val="center"/>
              <w:rPr>
                <w:noProof/>
              </w:rPr>
            </w:pPr>
            <w:r>
              <w:rPr>
                <w:noProof/>
              </w:rPr>
              <w:t xml:space="preserve">Базова линия </w:t>
            </w:r>
          </w:p>
        </w:tc>
        <w:tc>
          <w:tcPr>
            <w:tcW w:w="851" w:type="dxa"/>
            <w:shd w:val="clear" w:color="auto" w:fill="BDD7EE"/>
            <w:vAlign w:val="center"/>
            <w:hideMark/>
          </w:tcPr>
          <w:p w14:paraId="696B6CDF" w14:textId="77777777" w:rsidR="00235E11" w:rsidRDefault="00F837E4">
            <w:pPr>
              <w:pStyle w:val="P68B1DB1-Normal7"/>
              <w:spacing w:after="0"/>
              <w:jc w:val="center"/>
              <w:rPr>
                <w:noProof/>
              </w:rPr>
            </w:pPr>
            <w:r>
              <w:rPr>
                <w:noProof/>
              </w:rPr>
              <w:t xml:space="preserve">Цел </w:t>
            </w:r>
          </w:p>
        </w:tc>
        <w:tc>
          <w:tcPr>
            <w:tcW w:w="992" w:type="dxa"/>
            <w:shd w:val="clear" w:color="auto" w:fill="BDD7EE"/>
            <w:vAlign w:val="center"/>
            <w:hideMark/>
          </w:tcPr>
          <w:p w14:paraId="593C8C63" w14:textId="77777777" w:rsidR="00235E11" w:rsidRDefault="00F837E4">
            <w:pPr>
              <w:pStyle w:val="P68B1DB1-Normal7"/>
              <w:spacing w:after="0"/>
              <w:jc w:val="center"/>
              <w:rPr>
                <w:noProof/>
              </w:rPr>
            </w:pPr>
            <w:r>
              <w:rPr>
                <w:noProof/>
              </w:rPr>
              <w:t>Тримесечие</w:t>
            </w:r>
          </w:p>
        </w:tc>
        <w:tc>
          <w:tcPr>
            <w:tcW w:w="709" w:type="dxa"/>
            <w:shd w:val="clear" w:color="auto" w:fill="BDD7EE"/>
            <w:vAlign w:val="center"/>
            <w:hideMark/>
          </w:tcPr>
          <w:p w14:paraId="02E2A8F4" w14:textId="77777777" w:rsidR="00235E11" w:rsidRDefault="00F837E4">
            <w:pPr>
              <w:pStyle w:val="P68B1DB1-Normal7"/>
              <w:spacing w:after="0"/>
              <w:jc w:val="center"/>
              <w:rPr>
                <w:noProof/>
              </w:rPr>
            </w:pPr>
            <w:r>
              <w:rPr>
                <w:noProof/>
              </w:rPr>
              <w:t>Година</w:t>
            </w:r>
          </w:p>
        </w:tc>
        <w:tc>
          <w:tcPr>
            <w:tcW w:w="4932" w:type="dxa"/>
            <w:vMerge/>
            <w:vAlign w:val="center"/>
            <w:hideMark/>
          </w:tcPr>
          <w:p w14:paraId="4C785D33" w14:textId="77777777" w:rsidR="00235E11" w:rsidRDefault="00235E11">
            <w:pPr>
              <w:spacing w:after="0"/>
              <w:rPr>
                <w:rFonts w:ascii="Times New Roman" w:eastAsia="Times New Roman" w:hAnsi="Times New Roman" w:cs="Times New Roman"/>
                <w:b/>
                <w:noProof/>
              </w:rPr>
            </w:pPr>
          </w:p>
        </w:tc>
      </w:tr>
      <w:tr w:rsidR="00235E11" w14:paraId="3217907F" w14:textId="77777777">
        <w:trPr>
          <w:trHeight w:val="309"/>
        </w:trPr>
        <w:tc>
          <w:tcPr>
            <w:tcW w:w="710" w:type="dxa"/>
            <w:shd w:val="clear" w:color="auto" w:fill="C6EFCE"/>
            <w:noWrap/>
            <w:vAlign w:val="center"/>
          </w:tcPr>
          <w:p w14:paraId="4792DC81" w14:textId="77777777" w:rsidR="00235E11" w:rsidRDefault="00F837E4">
            <w:pPr>
              <w:pStyle w:val="P68B1DB1-Normal10"/>
              <w:spacing w:after="0" w:line="240" w:lineRule="auto"/>
              <w:jc w:val="center"/>
              <w:rPr>
                <w:noProof/>
              </w:rPr>
            </w:pPr>
            <w:r>
              <w:rPr>
                <w:noProof/>
              </w:rPr>
              <w:t>242</w:t>
            </w:r>
          </w:p>
        </w:tc>
        <w:tc>
          <w:tcPr>
            <w:tcW w:w="1417" w:type="dxa"/>
            <w:shd w:val="clear" w:color="auto" w:fill="C6EFCE"/>
            <w:noWrap/>
            <w:vAlign w:val="center"/>
          </w:tcPr>
          <w:p w14:paraId="68220EB6" w14:textId="491B8C2D" w:rsidR="00235E11" w:rsidRDefault="00F837E4">
            <w:pPr>
              <w:pStyle w:val="P68B1DB1-Normal10"/>
              <w:spacing w:after="0" w:line="240" w:lineRule="auto"/>
              <w:rPr>
                <w:noProof/>
              </w:rPr>
            </w:pPr>
            <w:r>
              <w:rPr>
                <w:noProof/>
              </w:rPr>
              <w:t>Екологизиране на автобусния парк — ЗФП (I-7.21)</w:t>
            </w:r>
          </w:p>
        </w:tc>
        <w:tc>
          <w:tcPr>
            <w:tcW w:w="993" w:type="dxa"/>
            <w:shd w:val="clear" w:color="auto" w:fill="C6EFCE"/>
            <w:noWrap/>
            <w:vAlign w:val="center"/>
          </w:tcPr>
          <w:p w14:paraId="7D9B51C0" w14:textId="77777777" w:rsidR="00235E11" w:rsidRDefault="00F837E4">
            <w:pPr>
              <w:pStyle w:val="P68B1DB1-Normal10"/>
              <w:spacing w:after="0" w:line="240" w:lineRule="auto"/>
              <w:jc w:val="center"/>
              <w:rPr>
                <w:noProof/>
              </w:rPr>
            </w:pPr>
            <w:r>
              <w:rPr>
                <w:noProof/>
              </w:rPr>
              <w:t>T</w:t>
            </w:r>
          </w:p>
        </w:tc>
        <w:tc>
          <w:tcPr>
            <w:tcW w:w="1559" w:type="dxa"/>
            <w:shd w:val="clear" w:color="auto" w:fill="C6EFCE"/>
            <w:noWrap/>
            <w:vAlign w:val="center"/>
          </w:tcPr>
          <w:p w14:paraId="4A9C39B2" w14:textId="77777777" w:rsidR="00235E11" w:rsidRDefault="00F837E4">
            <w:pPr>
              <w:pStyle w:val="P68B1DB1-Normal10"/>
              <w:spacing w:after="0" w:line="240" w:lineRule="auto"/>
              <w:rPr>
                <w:noProof/>
              </w:rPr>
            </w:pPr>
            <w:r>
              <w:rPr>
                <w:noProof/>
              </w:rPr>
              <w:t>Електрически автобуси в експлоатация</w:t>
            </w:r>
          </w:p>
        </w:tc>
        <w:tc>
          <w:tcPr>
            <w:tcW w:w="1276" w:type="dxa"/>
            <w:shd w:val="clear" w:color="auto" w:fill="C6EFCE"/>
            <w:noWrap/>
            <w:vAlign w:val="center"/>
          </w:tcPr>
          <w:p w14:paraId="665E40BF" w14:textId="77777777" w:rsidR="00235E11" w:rsidRDefault="00235E11">
            <w:pPr>
              <w:spacing w:after="0" w:line="240" w:lineRule="auto"/>
              <w:rPr>
                <w:rFonts w:ascii="Times New Roman" w:eastAsia="Times New Roman" w:hAnsi="Times New Roman" w:cs="Times New Roman"/>
                <w:noProof/>
                <w:color w:val="006100"/>
              </w:rPr>
            </w:pPr>
          </w:p>
        </w:tc>
        <w:tc>
          <w:tcPr>
            <w:tcW w:w="992" w:type="dxa"/>
            <w:shd w:val="clear" w:color="auto" w:fill="C6EFCE"/>
            <w:noWrap/>
            <w:vAlign w:val="center"/>
          </w:tcPr>
          <w:p w14:paraId="48E6CC7B" w14:textId="77777777" w:rsidR="00235E11" w:rsidRDefault="00F837E4">
            <w:pPr>
              <w:pStyle w:val="P68B1DB1-Normal10"/>
              <w:spacing w:after="0" w:line="240" w:lineRule="auto"/>
              <w:rPr>
                <w:noProof/>
              </w:rPr>
            </w:pPr>
            <w:r>
              <w:rPr>
                <w:noProof/>
              </w:rPr>
              <w:t>Брой</w:t>
            </w:r>
          </w:p>
        </w:tc>
        <w:tc>
          <w:tcPr>
            <w:tcW w:w="992" w:type="dxa"/>
            <w:shd w:val="clear" w:color="auto" w:fill="C6EFCE"/>
            <w:noWrap/>
            <w:vAlign w:val="center"/>
          </w:tcPr>
          <w:p w14:paraId="593F7681" w14:textId="09894A86" w:rsidR="00235E11" w:rsidRDefault="00F837E4">
            <w:pPr>
              <w:pStyle w:val="P68B1DB1-Normal10"/>
              <w:spacing w:after="0" w:line="240" w:lineRule="auto"/>
              <w:jc w:val="center"/>
              <w:rPr>
                <w:noProof/>
              </w:rPr>
            </w:pPr>
            <w:r>
              <w:rPr>
                <w:noProof/>
              </w:rPr>
              <w:t>12</w:t>
            </w:r>
          </w:p>
        </w:tc>
        <w:tc>
          <w:tcPr>
            <w:tcW w:w="851" w:type="dxa"/>
            <w:shd w:val="clear" w:color="auto" w:fill="C6EFCE"/>
            <w:noWrap/>
            <w:vAlign w:val="center"/>
          </w:tcPr>
          <w:p w14:paraId="72B21B50" w14:textId="77777777" w:rsidR="00235E11" w:rsidRDefault="00F837E4">
            <w:pPr>
              <w:pStyle w:val="P68B1DB1-Normal10"/>
              <w:spacing w:after="0" w:line="240" w:lineRule="auto"/>
              <w:jc w:val="center"/>
              <w:rPr>
                <w:noProof/>
              </w:rPr>
            </w:pPr>
            <w:r>
              <w:rPr>
                <w:noProof/>
              </w:rPr>
              <w:t>59</w:t>
            </w:r>
          </w:p>
        </w:tc>
        <w:tc>
          <w:tcPr>
            <w:tcW w:w="992" w:type="dxa"/>
            <w:shd w:val="clear" w:color="auto" w:fill="C6EFCE"/>
            <w:noWrap/>
            <w:vAlign w:val="center"/>
          </w:tcPr>
          <w:p w14:paraId="35CEADD8" w14:textId="77777777" w:rsidR="00235E11" w:rsidRDefault="00F837E4">
            <w:pPr>
              <w:pStyle w:val="P68B1DB1-Normal10"/>
              <w:spacing w:after="0" w:line="240" w:lineRule="auto"/>
              <w:jc w:val="center"/>
              <w:rPr>
                <w:noProof/>
              </w:rPr>
            </w:pPr>
            <w:r>
              <w:rPr>
                <w:noProof/>
              </w:rPr>
              <w:t>Т2 Г.</w:t>
            </w:r>
          </w:p>
        </w:tc>
        <w:tc>
          <w:tcPr>
            <w:tcW w:w="709" w:type="dxa"/>
            <w:shd w:val="clear" w:color="auto" w:fill="C6EFCE"/>
            <w:noWrap/>
            <w:vAlign w:val="center"/>
          </w:tcPr>
          <w:p w14:paraId="54F012F5" w14:textId="77777777" w:rsidR="00235E11" w:rsidRDefault="00F837E4">
            <w:pPr>
              <w:pStyle w:val="P68B1DB1-Normal10"/>
              <w:spacing w:after="0" w:line="240" w:lineRule="auto"/>
              <w:jc w:val="center"/>
              <w:rPr>
                <w:noProof/>
              </w:rPr>
            </w:pPr>
            <w:r>
              <w:rPr>
                <w:noProof/>
              </w:rPr>
              <w:t>2026</w:t>
            </w:r>
          </w:p>
        </w:tc>
        <w:tc>
          <w:tcPr>
            <w:tcW w:w="4932" w:type="dxa"/>
            <w:shd w:val="clear" w:color="auto" w:fill="C6EFCE"/>
            <w:noWrap/>
            <w:vAlign w:val="center"/>
          </w:tcPr>
          <w:p w14:paraId="19141287" w14:textId="284FCB69" w:rsidR="00235E11" w:rsidRDefault="00F837E4">
            <w:pPr>
              <w:pStyle w:val="P68B1DB1-Normal10"/>
              <w:spacing w:after="0" w:line="240" w:lineRule="auto"/>
              <w:rPr>
                <w:noProof/>
              </w:rPr>
            </w:pPr>
            <w:r>
              <w:rPr>
                <w:noProof/>
              </w:rPr>
              <w:t>23 M3 съчленени електрически автобуси с нисък под и 24 стандартни електрически автобуса се доставят и въвеждат в експлоатация.</w:t>
            </w:r>
          </w:p>
        </w:tc>
      </w:tr>
      <w:tr w:rsidR="00235E11" w14:paraId="59246F35" w14:textId="77777777">
        <w:trPr>
          <w:trHeight w:val="309"/>
        </w:trPr>
        <w:tc>
          <w:tcPr>
            <w:tcW w:w="710" w:type="dxa"/>
            <w:shd w:val="clear" w:color="auto" w:fill="C6EFCE"/>
            <w:noWrap/>
            <w:vAlign w:val="center"/>
          </w:tcPr>
          <w:p w14:paraId="4D0F2E9A" w14:textId="77777777" w:rsidR="00235E11" w:rsidRDefault="00F837E4">
            <w:pPr>
              <w:pStyle w:val="P68B1DB1-Normal10"/>
              <w:spacing w:after="0" w:line="240" w:lineRule="auto"/>
              <w:jc w:val="center"/>
              <w:rPr>
                <w:noProof/>
              </w:rPr>
            </w:pPr>
            <w:r>
              <w:rPr>
                <w:noProof/>
              </w:rPr>
              <w:t>243</w:t>
            </w:r>
          </w:p>
        </w:tc>
        <w:tc>
          <w:tcPr>
            <w:tcW w:w="1417" w:type="dxa"/>
            <w:shd w:val="clear" w:color="auto" w:fill="C6EFCE"/>
            <w:noWrap/>
            <w:vAlign w:val="center"/>
          </w:tcPr>
          <w:p w14:paraId="5A7BBB4F" w14:textId="77777777" w:rsidR="00235E11" w:rsidRDefault="00F837E4">
            <w:pPr>
              <w:pStyle w:val="P68B1DB1-Normal10"/>
              <w:spacing w:after="0" w:line="240" w:lineRule="auto"/>
              <w:rPr>
                <w:noProof/>
              </w:rPr>
            </w:pPr>
            <w:r>
              <w:rPr>
                <w:noProof/>
              </w:rPr>
              <w:t>Зарядни станции — FED (I-7.22)</w:t>
            </w:r>
          </w:p>
        </w:tc>
        <w:tc>
          <w:tcPr>
            <w:tcW w:w="993" w:type="dxa"/>
            <w:shd w:val="clear" w:color="auto" w:fill="C6EFCE"/>
            <w:noWrap/>
            <w:vAlign w:val="center"/>
          </w:tcPr>
          <w:p w14:paraId="57CDBF15" w14:textId="55DB5C06" w:rsidR="00235E11" w:rsidRDefault="00F837E4">
            <w:pPr>
              <w:pStyle w:val="P68B1DB1-Normal10"/>
              <w:spacing w:after="0" w:line="240" w:lineRule="auto"/>
              <w:jc w:val="center"/>
              <w:rPr>
                <w:noProof/>
              </w:rPr>
            </w:pPr>
            <w:r>
              <w:rPr>
                <w:noProof/>
              </w:rPr>
              <w:t>T</w:t>
            </w:r>
          </w:p>
        </w:tc>
        <w:tc>
          <w:tcPr>
            <w:tcW w:w="1559" w:type="dxa"/>
            <w:shd w:val="clear" w:color="auto" w:fill="C6EFCE"/>
            <w:noWrap/>
            <w:vAlign w:val="center"/>
          </w:tcPr>
          <w:p w14:paraId="0B286C5D" w14:textId="77777777" w:rsidR="00235E11" w:rsidRDefault="00F837E4">
            <w:pPr>
              <w:pStyle w:val="P68B1DB1-Normal10"/>
              <w:spacing w:after="0" w:line="240" w:lineRule="auto"/>
              <w:rPr>
                <w:noProof/>
              </w:rPr>
            </w:pPr>
            <w:r>
              <w:rPr>
                <w:noProof/>
              </w:rPr>
              <w:t>Разполагане на двупосочни зарядни станции</w:t>
            </w:r>
          </w:p>
        </w:tc>
        <w:tc>
          <w:tcPr>
            <w:tcW w:w="1276" w:type="dxa"/>
            <w:shd w:val="clear" w:color="auto" w:fill="C6EFCE"/>
            <w:noWrap/>
            <w:vAlign w:val="center"/>
          </w:tcPr>
          <w:p w14:paraId="28D1D632" w14:textId="77777777" w:rsidR="00235E11" w:rsidRDefault="00235E11">
            <w:pPr>
              <w:spacing w:after="0" w:line="240" w:lineRule="auto"/>
              <w:rPr>
                <w:rFonts w:ascii="Times New Roman" w:eastAsia="Times New Roman" w:hAnsi="Times New Roman" w:cs="Times New Roman"/>
                <w:noProof/>
                <w:color w:val="006100"/>
              </w:rPr>
            </w:pPr>
          </w:p>
        </w:tc>
        <w:tc>
          <w:tcPr>
            <w:tcW w:w="992" w:type="dxa"/>
            <w:shd w:val="clear" w:color="auto" w:fill="C6EFCE"/>
            <w:noWrap/>
            <w:vAlign w:val="center"/>
          </w:tcPr>
          <w:p w14:paraId="15130EAA" w14:textId="77777777" w:rsidR="00235E11" w:rsidRDefault="00F837E4">
            <w:pPr>
              <w:pStyle w:val="P68B1DB1-Normal10"/>
              <w:spacing w:after="0" w:line="240" w:lineRule="auto"/>
              <w:rPr>
                <w:noProof/>
              </w:rPr>
            </w:pPr>
            <w:r>
              <w:rPr>
                <w:noProof/>
              </w:rPr>
              <w:t>Брой</w:t>
            </w:r>
          </w:p>
        </w:tc>
        <w:tc>
          <w:tcPr>
            <w:tcW w:w="992" w:type="dxa"/>
            <w:shd w:val="clear" w:color="auto" w:fill="C6EFCE"/>
            <w:noWrap/>
            <w:vAlign w:val="center"/>
          </w:tcPr>
          <w:p w14:paraId="172642B6" w14:textId="77777777" w:rsidR="00235E11" w:rsidRDefault="00F837E4">
            <w:pPr>
              <w:pStyle w:val="P68B1DB1-Normal10"/>
              <w:spacing w:after="0" w:line="240" w:lineRule="auto"/>
              <w:jc w:val="center"/>
              <w:rPr>
                <w:noProof/>
              </w:rPr>
            </w:pPr>
            <w:r>
              <w:rPr>
                <w:noProof/>
              </w:rPr>
              <w:t>0</w:t>
            </w:r>
          </w:p>
        </w:tc>
        <w:tc>
          <w:tcPr>
            <w:tcW w:w="851" w:type="dxa"/>
            <w:shd w:val="clear" w:color="auto" w:fill="C6EFCE"/>
            <w:noWrap/>
            <w:vAlign w:val="center"/>
          </w:tcPr>
          <w:p w14:paraId="31DA0760" w14:textId="77777777" w:rsidR="00235E11" w:rsidRDefault="00F837E4">
            <w:pPr>
              <w:pStyle w:val="P68B1DB1-Normal9"/>
              <w:spacing w:after="0" w:line="240" w:lineRule="auto"/>
              <w:jc w:val="center"/>
              <w:rPr>
                <w:rFonts w:eastAsia="Times New Roman"/>
                <w:noProof/>
              </w:rPr>
            </w:pPr>
            <w:r>
              <w:rPr>
                <w:noProof/>
              </w:rPr>
              <w:t>1 832</w:t>
            </w:r>
          </w:p>
        </w:tc>
        <w:tc>
          <w:tcPr>
            <w:tcW w:w="992" w:type="dxa"/>
            <w:shd w:val="clear" w:color="auto" w:fill="C6EFCE"/>
            <w:noWrap/>
            <w:vAlign w:val="center"/>
          </w:tcPr>
          <w:p w14:paraId="1459BDC0" w14:textId="5FD5F456" w:rsidR="00235E11" w:rsidRDefault="00F837E4">
            <w:pPr>
              <w:pStyle w:val="P68B1DB1-Normal10"/>
              <w:spacing w:after="0" w:line="240" w:lineRule="auto"/>
              <w:jc w:val="center"/>
              <w:rPr>
                <w:noProof/>
              </w:rPr>
            </w:pPr>
            <w:r>
              <w:rPr>
                <w:noProof/>
              </w:rPr>
              <w:t>Т2 Г.</w:t>
            </w:r>
          </w:p>
        </w:tc>
        <w:tc>
          <w:tcPr>
            <w:tcW w:w="709" w:type="dxa"/>
            <w:shd w:val="clear" w:color="auto" w:fill="C6EFCE"/>
            <w:noWrap/>
            <w:vAlign w:val="center"/>
          </w:tcPr>
          <w:p w14:paraId="51D13A5A" w14:textId="77777777" w:rsidR="00235E11" w:rsidRDefault="00F837E4">
            <w:pPr>
              <w:pStyle w:val="P68B1DB1-Normal10"/>
              <w:spacing w:after="0" w:line="240" w:lineRule="auto"/>
              <w:jc w:val="center"/>
              <w:rPr>
                <w:noProof/>
              </w:rPr>
            </w:pPr>
            <w:r>
              <w:rPr>
                <w:noProof/>
              </w:rPr>
              <w:t>2026</w:t>
            </w:r>
          </w:p>
        </w:tc>
        <w:tc>
          <w:tcPr>
            <w:tcW w:w="4932" w:type="dxa"/>
            <w:shd w:val="clear" w:color="auto" w:fill="C6EFCE"/>
            <w:noWrap/>
            <w:vAlign w:val="center"/>
          </w:tcPr>
          <w:p w14:paraId="62B87319" w14:textId="5DCD5DC8" w:rsidR="00235E11" w:rsidRDefault="00F837E4">
            <w:pPr>
              <w:pStyle w:val="P68B1DB1-Normal9"/>
              <w:spacing w:after="0" w:line="240" w:lineRule="auto"/>
              <w:rPr>
                <w:rFonts w:eastAsia="Times New Roman"/>
                <w:noProof/>
              </w:rPr>
            </w:pPr>
            <w:r>
              <w:rPr>
                <w:noProof/>
              </w:rPr>
              <w:t>Внедряване на 1 832 двупосочни станции за зареждане.</w:t>
            </w:r>
          </w:p>
        </w:tc>
      </w:tr>
      <w:tr w:rsidR="00235E11" w14:paraId="35178A11" w14:textId="77777777">
        <w:trPr>
          <w:trHeight w:val="309"/>
        </w:trPr>
        <w:tc>
          <w:tcPr>
            <w:tcW w:w="710" w:type="dxa"/>
            <w:shd w:val="clear" w:color="auto" w:fill="C6EFCE"/>
            <w:noWrap/>
            <w:vAlign w:val="center"/>
          </w:tcPr>
          <w:p w14:paraId="65CB1806" w14:textId="77777777" w:rsidR="00235E11" w:rsidRDefault="00F837E4">
            <w:pPr>
              <w:pStyle w:val="P68B1DB1-Normal10"/>
              <w:spacing w:after="0" w:line="240" w:lineRule="auto"/>
              <w:jc w:val="center"/>
              <w:rPr>
                <w:noProof/>
              </w:rPr>
            </w:pPr>
            <w:r>
              <w:rPr>
                <w:noProof/>
              </w:rPr>
              <w:t>244</w:t>
            </w:r>
          </w:p>
        </w:tc>
        <w:tc>
          <w:tcPr>
            <w:tcW w:w="1417" w:type="dxa"/>
            <w:shd w:val="clear" w:color="auto" w:fill="C6EFCE"/>
            <w:noWrap/>
            <w:vAlign w:val="center"/>
          </w:tcPr>
          <w:p w14:paraId="3B657ADE" w14:textId="77777777" w:rsidR="00235E11" w:rsidRDefault="00F837E4">
            <w:pPr>
              <w:pStyle w:val="P68B1DB1-Normal10"/>
              <w:spacing w:after="0" w:line="240" w:lineRule="auto"/>
              <w:rPr>
                <w:noProof/>
              </w:rPr>
            </w:pPr>
            <w:r>
              <w:rPr>
                <w:noProof/>
              </w:rPr>
              <w:t>Обществено светодиодно осветление — VLA (I-7.23)</w:t>
            </w:r>
          </w:p>
        </w:tc>
        <w:tc>
          <w:tcPr>
            <w:tcW w:w="993" w:type="dxa"/>
            <w:shd w:val="clear" w:color="auto" w:fill="C6EFCE"/>
            <w:noWrap/>
            <w:vAlign w:val="center"/>
          </w:tcPr>
          <w:p w14:paraId="3F276493" w14:textId="77777777" w:rsidR="00235E11" w:rsidRDefault="00F837E4">
            <w:pPr>
              <w:pStyle w:val="P68B1DB1-Normal10"/>
              <w:spacing w:after="0" w:line="240" w:lineRule="auto"/>
              <w:jc w:val="center"/>
              <w:rPr>
                <w:noProof/>
              </w:rPr>
            </w:pPr>
            <w:r>
              <w:rPr>
                <w:noProof/>
              </w:rPr>
              <w:t>T</w:t>
            </w:r>
          </w:p>
        </w:tc>
        <w:tc>
          <w:tcPr>
            <w:tcW w:w="1559" w:type="dxa"/>
            <w:shd w:val="clear" w:color="auto" w:fill="C6EFCE"/>
            <w:noWrap/>
            <w:vAlign w:val="center"/>
          </w:tcPr>
          <w:p w14:paraId="654A31A5" w14:textId="77777777" w:rsidR="00235E11" w:rsidRDefault="00F837E4">
            <w:pPr>
              <w:pStyle w:val="P68B1DB1-Normal10"/>
              <w:spacing w:after="0" w:line="240" w:lineRule="auto"/>
              <w:rPr>
                <w:noProof/>
              </w:rPr>
            </w:pPr>
            <w:r>
              <w:rPr>
                <w:noProof/>
              </w:rPr>
              <w:t>Монтирано светодиодно осветление</w:t>
            </w:r>
          </w:p>
        </w:tc>
        <w:tc>
          <w:tcPr>
            <w:tcW w:w="1276" w:type="dxa"/>
            <w:shd w:val="clear" w:color="auto" w:fill="C6EFCE"/>
            <w:noWrap/>
            <w:vAlign w:val="center"/>
          </w:tcPr>
          <w:p w14:paraId="6A5F6367" w14:textId="77777777" w:rsidR="00235E11" w:rsidRDefault="00235E11">
            <w:pPr>
              <w:spacing w:after="0" w:line="240" w:lineRule="auto"/>
              <w:rPr>
                <w:rFonts w:ascii="Times New Roman" w:eastAsia="Times New Roman" w:hAnsi="Times New Roman" w:cs="Times New Roman"/>
                <w:noProof/>
                <w:color w:val="006100"/>
              </w:rPr>
            </w:pPr>
          </w:p>
        </w:tc>
        <w:tc>
          <w:tcPr>
            <w:tcW w:w="992" w:type="dxa"/>
            <w:shd w:val="clear" w:color="auto" w:fill="C6EFCE"/>
            <w:noWrap/>
            <w:vAlign w:val="center"/>
          </w:tcPr>
          <w:p w14:paraId="687545CD" w14:textId="77777777" w:rsidR="00235E11" w:rsidRDefault="00F837E4">
            <w:pPr>
              <w:pStyle w:val="P68B1DB1-Normal10"/>
              <w:spacing w:after="0" w:line="240" w:lineRule="auto"/>
              <w:rPr>
                <w:noProof/>
              </w:rPr>
            </w:pPr>
            <w:r>
              <w:rPr>
                <w:noProof/>
              </w:rPr>
              <w:t>Брой</w:t>
            </w:r>
          </w:p>
        </w:tc>
        <w:tc>
          <w:tcPr>
            <w:tcW w:w="992" w:type="dxa"/>
            <w:shd w:val="clear" w:color="auto" w:fill="C6EFCE"/>
            <w:noWrap/>
            <w:vAlign w:val="center"/>
          </w:tcPr>
          <w:p w14:paraId="7603AC13" w14:textId="77777777" w:rsidR="00235E11" w:rsidRDefault="00F837E4">
            <w:pPr>
              <w:pStyle w:val="P68B1DB1-Normal10"/>
              <w:spacing w:after="0" w:line="240" w:lineRule="auto"/>
              <w:jc w:val="center"/>
              <w:rPr>
                <w:noProof/>
              </w:rPr>
            </w:pPr>
            <w:r>
              <w:rPr>
                <w:noProof/>
              </w:rPr>
              <w:t>0</w:t>
            </w:r>
          </w:p>
        </w:tc>
        <w:tc>
          <w:tcPr>
            <w:tcW w:w="851" w:type="dxa"/>
            <w:shd w:val="clear" w:color="auto" w:fill="C6EFCE"/>
            <w:noWrap/>
            <w:vAlign w:val="center"/>
          </w:tcPr>
          <w:p w14:paraId="05ED569B" w14:textId="77777777" w:rsidR="00235E11" w:rsidRDefault="00F837E4">
            <w:pPr>
              <w:pStyle w:val="P68B1DB1-Normal9"/>
              <w:spacing w:after="0" w:line="240" w:lineRule="auto"/>
              <w:jc w:val="center"/>
              <w:rPr>
                <w:rFonts w:eastAsia="Times New Roman"/>
                <w:noProof/>
              </w:rPr>
            </w:pPr>
            <w:r>
              <w:rPr>
                <w:noProof/>
              </w:rPr>
              <w:t>22 750</w:t>
            </w:r>
          </w:p>
        </w:tc>
        <w:tc>
          <w:tcPr>
            <w:tcW w:w="992" w:type="dxa"/>
            <w:shd w:val="clear" w:color="auto" w:fill="C6EFCE"/>
            <w:noWrap/>
            <w:vAlign w:val="center"/>
          </w:tcPr>
          <w:p w14:paraId="7D203BF7" w14:textId="77777777" w:rsidR="00235E11" w:rsidRDefault="00F837E4">
            <w:pPr>
              <w:pStyle w:val="P68B1DB1-Normal10"/>
              <w:spacing w:after="0" w:line="240" w:lineRule="auto"/>
              <w:jc w:val="center"/>
              <w:rPr>
                <w:noProof/>
              </w:rPr>
            </w:pPr>
            <w:r>
              <w:rPr>
                <w:noProof/>
              </w:rPr>
              <w:t>Т2 Г.</w:t>
            </w:r>
          </w:p>
        </w:tc>
        <w:tc>
          <w:tcPr>
            <w:tcW w:w="709" w:type="dxa"/>
            <w:shd w:val="clear" w:color="auto" w:fill="C6EFCE"/>
            <w:noWrap/>
            <w:vAlign w:val="center"/>
          </w:tcPr>
          <w:p w14:paraId="58A973C1" w14:textId="77777777" w:rsidR="00235E11" w:rsidRDefault="00F837E4">
            <w:pPr>
              <w:pStyle w:val="P68B1DB1-Normal10"/>
              <w:spacing w:after="0" w:line="240" w:lineRule="auto"/>
              <w:jc w:val="center"/>
              <w:rPr>
                <w:noProof/>
              </w:rPr>
            </w:pPr>
            <w:r>
              <w:rPr>
                <w:noProof/>
              </w:rPr>
              <w:t>2026</w:t>
            </w:r>
          </w:p>
        </w:tc>
        <w:tc>
          <w:tcPr>
            <w:tcW w:w="4932" w:type="dxa"/>
            <w:shd w:val="clear" w:color="auto" w:fill="C6EFCE"/>
            <w:noWrap/>
            <w:vAlign w:val="center"/>
          </w:tcPr>
          <w:p w14:paraId="77CAAB38" w14:textId="06A1AEBE" w:rsidR="00235E11" w:rsidRDefault="00F837E4">
            <w:pPr>
              <w:pStyle w:val="P68B1DB1-Normal9"/>
              <w:spacing w:after="0" w:line="240" w:lineRule="auto"/>
              <w:rPr>
                <w:rFonts w:eastAsia="Times New Roman"/>
                <w:noProof/>
              </w:rPr>
            </w:pPr>
            <w:r>
              <w:rPr>
                <w:noProof/>
              </w:rPr>
              <w:t>18 500 светодиодни осветителя, монтирани на автомагистрали, и 4 250 светодиодни лампи, монтирани в пет тунела.</w:t>
            </w:r>
          </w:p>
        </w:tc>
      </w:tr>
      <w:tr w:rsidR="00235E11" w14:paraId="526635AD" w14:textId="77777777">
        <w:trPr>
          <w:trHeight w:val="309"/>
        </w:trPr>
        <w:tc>
          <w:tcPr>
            <w:tcW w:w="710" w:type="dxa"/>
            <w:shd w:val="clear" w:color="auto" w:fill="C6EFCE"/>
            <w:noWrap/>
            <w:vAlign w:val="center"/>
          </w:tcPr>
          <w:p w14:paraId="6318786E" w14:textId="77777777" w:rsidR="00235E11" w:rsidRDefault="00F837E4">
            <w:pPr>
              <w:spacing w:after="0" w:line="240" w:lineRule="auto"/>
              <w:jc w:val="center"/>
              <w:rPr>
                <w:rFonts w:ascii="Times New Roman" w:eastAsia="Times New Roman" w:hAnsi="Times New Roman" w:cs="Times New Roman"/>
                <w:noProof/>
                <w:color w:val="006100"/>
              </w:rPr>
            </w:pPr>
            <w:r>
              <w:rPr>
                <w:rStyle w:val="normaltextrun"/>
                <w:rFonts w:ascii="Times New Roman" w:hAnsi="Times New Roman" w:cs="Times New Roman"/>
                <w:noProof/>
                <w:color w:val="006100"/>
              </w:rPr>
              <w:t>245</w:t>
            </w:r>
          </w:p>
        </w:tc>
        <w:tc>
          <w:tcPr>
            <w:tcW w:w="1417" w:type="dxa"/>
            <w:shd w:val="clear" w:color="auto" w:fill="C6EFCE"/>
            <w:noWrap/>
            <w:vAlign w:val="center"/>
          </w:tcPr>
          <w:p w14:paraId="3CD0EE06" w14:textId="77777777" w:rsidR="00235E11" w:rsidRDefault="00F837E4">
            <w:pPr>
              <w:spacing w:after="0" w:line="240" w:lineRule="auto"/>
              <w:rPr>
                <w:rFonts w:ascii="Times New Roman" w:eastAsia="Times New Roman" w:hAnsi="Times New Roman" w:cs="Times New Roman"/>
                <w:noProof/>
                <w:color w:val="006100"/>
              </w:rPr>
            </w:pPr>
            <w:r>
              <w:rPr>
                <w:rStyle w:val="normaltextrun"/>
                <w:rFonts w:ascii="Times New Roman" w:hAnsi="Times New Roman" w:cs="Times New Roman"/>
                <w:noProof/>
                <w:color w:val="006100"/>
              </w:rPr>
              <w:t xml:space="preserve">Ефективна железопътна мрежа — FED (I-7.24) </w:t>
            </w:r>
          </w:p>
        </w:tc>
        <w:tc>
          <w:tcPr>
            <w:tcW w:w="993" w:type="dxa"/>
            <w:shd w:val="clear" w:color="auto" w:fill="C6EFCE"/>
            <w:noWrap/>
            <w:vAlign w:val="center"/>
          </w:tcPr>
          <w:p w14:paraId="364842C2" w14:textId="77777777" w:rsidR="00235E11" w:rsidRDefault="00F837E4">
            <w:pPr>
              <w:spacing w:after="0" w:line="240" w:lineRule="auto"/>
              <w:jc w:val="center"/>
              <w:rPr>
                <w:rFonts w:ascii="Times New Roman" w:eastAsia="Times New Roman" w:hAnsi="Times New Roman" w:cs="Times New Roman"/>
                <w:noProof/>
                <w:color w:val="006100"/>
              </w:rPr>
            </w:pPr>
            <w:r>
              <w:rPr>
                <w:rStyle w:val="normaltextrun"/>
                <w:rFonts w:ascii="Times New Roman" w:hAnsi="Times New Roman" w:cs="Times New Roman"/>
                <w:noProof/>
                <w:color w:val="006100"/>
              </w:rPr>
              <w:t>T</w:t>
            </w:r>
          </w:p>
        </w:tc>
        <w:tc>
          <w:tcPr>
            <w:tcW w:w="1559" w:type="dxa"/>
            <w:shd w:val="clear" w:color="auto" w:fill="C6EFCE"/>
            <w:noWrap/>
            <w:vAlign w:val="center"/>
          </w:tcPr>
          <w:p w14:paraId="0D35D982" w14:textId="77777777" w:rsidR="00235E11" w:rsidRDefault="00F837E4">
            <w:pPr>
              <w:spacing w:after="0" w:line="240" w:lineRule="auto"/>
              <w:rPr>
                <w:rFonts w:ascii="Times New Roman" w:eastAsia="Times New Roman" w:hAnsi="Times New Roman" w:cs="Times New Roman"/>
                <w:noProof/>
                <w:color w:val="006100"/>
              </w:rPr>
            </w:pPr>
            <w:r>
              <w:rPr>
                <w:rStyle w:val="normaltextrun"/>
                <w:rFonts w:ascii="Times New Roman" w:hAnsi="Times New Roman" w:cs="Times New Roman"/>
                <w:noProof/>
                <w:color w:val="006100"/>
              </w:rPr>
              <w:t>Електрификация на железопътните линии</w:t>
            </w:r>
          </w:p>
        </w:tc>
        <w:tc>
          <w:tcPr>
            <w:tcW w:w="1276" w:type="dxa"/>
            <w:shd w:val="clear" w:color="auto" w:fill="C6EFCE"/>
            <w:noWrap/>
            <w:vAlign w:val="center"/>
          </w:tcPr>
          <w:p w14:paraId="65E5F936" w14:textId="77777777" w:rsidR="00235E11" w:rsidRDefault="00235E11">
            <w:pPr>
              <w:spacing w:after="0" w:line="240" w:lineRule="auto"/>
              <w:rPr>
                <w:rFonts w:ascii="Times New Roman" w:eastAsia="Times New Roman" w:hAnsi="Times New Roman" w:cs="Times New Roman"/>
                <w:noProof/>
                <w:color w:val="006100"/>
              </w:rPr>
            </w:pPr>
          </w:p>
        </w:tc>
        <w:tc>
          <w:tcPr>
            <w:tcW w:w="992" w:type="dxa"/>
            <w:shd w:val="clear" w:color="auto" w:fill="C6EFCE"/>
            <w:noWrap/>
            <w:vAlign w:val="center"/>
          </w:tcPr>
          <w:p w14:paraId="4296742B" w14:textId="719D136B" w:rsidR="00235E11" w:rsidRDefault="00F837E4">
            <w:pPr>
              <w:spacing w:after="0" w:line="240" w:lineRule="auto"/>
              <w:rPr>
                <w:rFonts w:ascii="Times New Roman" w:eastAsia="Times New Roman" w:hAnsi="Times New Roman" w:cs="Times New Roman"/>
                <w:noProof/>
                <w:color w:val="006100"/>
              </w:rPr>
            </w:pPr>
            <w:r>
              <w:rPr>
                <w:rStyle w:val="normaltextrun"/>
                <w:rFonts w:ascii="Times New Roman" w:hAnsi="Times New Roman" w:cs="Times New Roman"/>
                <w:noProof/>
                <w:color w:val="006100"/>
              </w:rPr>
              <w:t>Брой (или km)</w:t>
            </w:r>
          </w:p>
        </w:tc>
        <w:tc>
          <w:tcPr>
            <w:tcW w:w="992" w:type="dxa"/>
            <w:shd w:val="clear" w:color="auto" w:fill="C6EFCE"/>
            <w:noWrap/>
            <w:vAlign w:val="center"/>
          </w:tcPr>
          <w:p w14:paraId="20F37083" w14:textId="77777777" w:rsidR="00235E11" w:rsidRDefault="00F837E4">
            <w:pPr>
              <w:spacing w:after="0" w:line="240" w:lineRule="auto"/>
              <w:jc w:val="center"/>
              <w:rPr>
                <w:rFonts w:ascii="Times New Roman" w:eastAsia="Times New Roman" w:hAnsi="Times New Roman" w:cs="Times New Roman"/>
                <w:noProof/>
                <w:color w:val="006100"/>
              </w:rPr>
            </w:pPr>
            <w:r>
              <w:rPr>
                <w:rStyle w:val="normaltextrun"/>
                <w:rFonts w:ascii="Times New Roman" w:hAnsi="Times New Roman" w:cs="Times New Roman"/>
                <w:noProof/>
                <w:color w:val="006100"/>
              </w:rPr>
              <w:t>0</w:t>
            </w:r>
          </w:p>
        </w:tc>
        <w:tc>
          <w:tcPr>
            <w:tcW w:w="851" w:type="dxa"/>
            <w:shd w:val="clear" w:color="auto" w:fill="C6EFCE"/>
            <w:noWrap/>
            <w:vAlign w:val="center"/>
          </w:tcPr>
          <w:p w14:paraId="363011BB" w14:textId="03B95577" w:rsidR="00235E11" w:rsidRDefault="00F837E4">
            <w:pPr>
              <w:spacing w:after="0" w:line="240" w:lineRule="auto"/>
              <w:jc w:val="center"/>
              <w:rPr>
                <w:rFonts w:ascii="Times New Roman" w:eastAsia="Times New Roman" w:hAnsi="Times New Roman" w:cs="Times New Roman"/>
                <w:noProof/>
                <w:color w:val="006100"/>
              </w:rPr>
            </w:pPr>
            <w:r>
              <w:rPr>
                <w:rStyle w:val="normaltextrun"/>
                <w:rFonts w:ascii="Times New Roman" w:hAnsi="Times New Roman" w:cs="Times New Roman"/>
                <w:noProof/>
                <w:color w:val="006100"/>
              </w:rPr>
              <w:t>13</w:t>
            </w:r>
          </w:p>
        </w:tc>
        <w:tc>
          <w:tcPr>
            <w:tcW w:w="992" w:type="dxa"/>
            <w:shd w:val="clear" w:color="auto" w:fill="C6EFCE"/>
            <w:noWrap/>
            <w:vAlign w:val="center"/>
          </w:tcPr>
          <w:p w14:paraId="6D24F8FD" w14:textId="77777777" w:rsidR="00235E11" w:rsidRDefault="00F837E4">
            <w:pPr>
              <w:spacing w:after="0" w:line="240" w:lineRule="auto"/>
              <w:jc w:val="center"/>
              <w:rPr>
                <w:rFonts w:ascii="Times New Roman" w:eastAsia="Times New Roman" w:hAnsi="Times New Roman" w:cs="Times New Roman"/>
                <w:noProof/>
                <w:color w:val="006100"/>
              </w:rPr>
            </w:pPr>
            <w:r>
              <w:rPr>
                <w:rStyle w:val="normaltextrun"/>
                <w:rFonts w:ascii="Times New Roman" w:hAnsi="Times New Roman" w:cs="Times New Roman"/>
                <w:noProof/>
                <w:color w:val="006100"/>
              </w:rPr>
              <w:t>Т2 Г.</w:t>
            </w:r>
          </w:p>
        </w:tc>
        <w:tc>
          <w:tcPr>
            <w:tcW w:w="709" w:type="dxa"/>
            <w:shd w:val="clear" w:color="auto" w:fill="C6EFCE"/>
            <w:noWrap/>
            <w:vAlign w:val="center"/>
          </w:tcPr>
          <w:p w14:paraId="3E70FBBE" w14:textId="77777777" w:rsidR="00235E11" w:rsidRDefault="00F837E4">
            <w:pPr>
              <w:spacing w:after="0" w:line="240" w:lineRule="auto"/>
              <w:jc w:val="center"/>
              <w:rPr>
                <w:rFonts w:ascii="Times New Roman" w:eastAsia="Times New Roman" w:hAnsi="Times New Roman" w:cs="Times New Roman"/>
                <w:noProof/>
                <w:color w:val="006100"/>
              </w:rPr>
            </w:pPr>
            <w:r>
              <w:rPr>
                <w:rStyle w:val="normaltextrun"/>
                <w:rFonts w:ascii="Times New Roman" w:hAnsi="Times New Roman" w:cs="Times New Roman"/>
                <w:noProof/>
                <w:color w:val="006100"/>
              </w:rPr>
              <w:t>2026</w:t>
            </w:r>
          </w:p>
        </w:tc>
        <w:tc>
          <w:tcPr>
            <w:tcW w:w="4932" w:type="dxa"/>
            <w:shd w:val="clear" w:color="auto" w:fill="C6EFCE"/>
            <w:noWrap/>
            <w:vAlign w:val="center"/>
          </w:tcPr>
          <w:p w14:paraId="0F768F5A" w14:textId="255A015C" w:rsidR="00235E11" w:rsidRDefault="00F837E4">
            <w:pPr>
              <w:spacing w:after="0" w:line="240" w:lineRule="auto"/>
              <w:rPr>
                <w:rFonts w:ascii="Times New Roman" w:eastAsia="Times New Roman" w:hAnsi="Times New Roman" w:cs="Times New Roman"/>
                <w:noProof/>
                <w:color w:val="006100"/>
              </w:rPr>
            </w:pPr>
            <w:r>
              <w:rPr>
                <w:rStyle w:val="normaltextrun"/>
                <w:rFonts w:ascii="Times New Roman" w:hAnsi="Times New Roman" w:cs="Times New Roman"/>
                <w:noProof/>
                <w:color w:val="006100"/>
              </w:rPr>
              <w:t>Завършена е електрификацията на 13 км релсов път (в двете посоки) на линия 11.</w:t>
            </w:r>
          </w:p>
        </w:tc>
      </w:tr>
    </w:tbl>
    <w:p w14:paraId="362620B7" w14:textId="77777777" w:rsidR="00235E11" w:rsidRDefault="00235E11">
      <w:pPr>
        <w:rPr>
          <w:rFonts w:ascii="Times New Roman" w:eastAsia="Yu Gothic Light" w:hAnsi="Times New Roman" w:cs="Times New Roman"/>
          <w:b/>
          <w:noProof/>
          <w:sz w:val="24"/>
        </w:rPr>
      </w:pPr>
    </w:p>
    <w:p w14:paraId="6FC1D169" w14:textId="77777777" w:rsidR="00235E11" w:rsidRDefault="00235E11">
      <w:pPr>
        <w:pStyle w:val="Text1"/>
        <w:ind w:left="0"/>
        <w:rPr>
          <w:noProof/>
        </w:rPr>
      </w:pPr>
    </w:p>
    <w:p w14:paraId="798BAD8A" w14:textId="77777777" w:rsidR="00235E11" w:rsidRDefault="00235E11">
      <w:pPr>
        <w:pStyle w:val="Text1"/>
        <w:ind w:left="0"/>
        <w:rPr>
          <w:noProof/>
        </w:rPr>
        <w:sectPr w:rsidR="00235E11" w:rsidSect="007F56C3">
          <w:headerReference w:type="even" r:id="rId312"/>
          <w:headerReference w:type="default" r:id="rId313"/>
          <w:footerReference w:type="even" r:id="rId314"/>
          <w:footerReference w:type="default" r:id="rId315"/>
          <w:headerReference w:type="first" r:id="rId316"/>
          <w:footerReference w:type="first" r:id="rId317"/>
          <w:pgSz w:w="16839" w:h="11907" w:orient="landscape"/>
          <w:pgMar w:top="1134" w:right="1134" w:bottom="1134" w:left="1134" w:header="567" w:footer="567" w:gutter="0"/>
          <w:cols w:space="720"/>
          <w:docGrid w:linePitch="360"/>
        </w:sectPr>
      </w:pPr>
    </w:p>
    <w:p w14:paraId="16544294" w14:textId="1AE63331" w:rsidR="00235E11" w:rsidRDefault="00F837E4">
      <w:pPr>
        <w:pStyle w:val="P68B1DB1-Jalonsetcibles35"/>
        <w:spacing w:before="120" w:after="120" w:line="240" w:lineRule="auto"/>
        <w:rPr>
          <w:noProof/>
        </w:rPr>
      </w:pPr>
      <w:r>
        <w:rPr>
          <w:noProof/>
          <w:lang w:val="bg-BG"/>
        </w:rPr>
        <w:t>Х</w:t>
      </w:r>
      <w:r>
        <w:rPr>
          <w:noProof/>
        </w:rPr>
        <w:t>.3. Описание на реформите и инвестициите за заема</w:t>
      </w:r>
    </w:p>
    <w:p w14:paraId="398AE788" w14:textId="77777777" w:rsidR="00235E11" w:rsidRDefault="00F837E4">
      <w:pPr>
        <w:pStyle w:val="P68B1DB1-Normal54"/>
        <w:rPr>
          <w:noProof/>
        </w:rPr>
      </w:pPr>
      <w:r>
        <w:rPr>
          <w:noProof/>
        </w:rPr>
        <w:t>Инвестиция I-7.25: „Инфраструктура за зареждане на автобуси“ на регион Брюксел-столица</w:t>
      </w:r>
    </w:p>
    <w:p w14:paraId="20E115FD" w14:textId="77777777" w:rsidR="00235E11" w:rsidRDefault="00F837E4">
      <w:pPr>
        <w:pStyle w:val="P68B1DB1-Normal55"/>
        <w:jc w:val="both"/>
        <w:rPr>
          <w:noProof/>
        </w:rPr>
      </w:pPr>
      <w:r>
        <w:rPr>
          <w:noProof/>
        </w:rPr>
        <w:t>Тази инвестиция се състои в изграждането на инфраструктура за зареждане на електрически автобуси в регион Брюксел-столица. Инфраструктурата за зареждане включва станции за зареждане за нощта и възможности за зареждане със съответната електрическа инфраструктура в едно автобусно депо, както и алтернативни станции за зареждане със съответната електрическа инфраструктура в пет автогара на автобусни линии. Изпълнението на мярката трябва да приключи до 30 юни 2026 г.</w:t>
      </w:r>
    </w:p>
    <w:p w14:paraId="76154C9F" w14:textId="0AED9964" w:rsidR="00235E11" w:rsidRDefault="00F837E4">
      <w:pPr>
        <w:pStyle w:val="P68B1DB1-Jalonsetcibles37"/>
        <w:jc w:val="both"/>
        <w:rPr>
          <w:noProof/>
        </w:rPr>
      </w:pPr>
      <w:r>
        <w:rPr>
          <w:noProof/>
          <w:lang w:val="bg-BG"/>
        </w:rPr>
        <w:t>Х</w:t>
      </w:r>
      <w:r>
        <w:rPr>
          <w:noProof/>
        </w:rPr>
        <w:t>.4. Ключови етапи, цели, показатели и график за мониторинг и изпълнение на заема</w:t>
      </w:r>
    </w:p>
    <w:p w14:paraId="2A295511" w14:textId="77777777" w:rsidR="00235E11" w:rsidRDefault="00235E11">
      <w:pPr>
        <w:pStyle w:val="Text1"/>
        <w:ind w:left="0"/>
        <w:rPr>
          <w:noProof/>
        </w:rPr>
      </w:pPr>
    </w:p>
    <w:p w14:paraId="0EB136D5" w14:textId="77777777" w:rsidR="00235E11" w:rsidRDefault="00235E11">
      <w:pPr>
        <w:pStyle w:val="Text1"/>
        <w:ind w:left="0"/>
        <w:rPr>
          <w:noProof/>
        </w:rPr>
        <w:sectPr w:rsidR="00235E11" w:rsidSect="007F56C3">
          <w:headerReference w:type="even" r:id="rId318"/>
          <w:headerReference w:type="default" r:id="rId319"/>
          <w:footerReference w:type="even" r:id="rId320"/>
          <w:footerReference w:type="default" r:id="rId321"/>
          <w:headerReference w:type="first" r:id="rId322"/>
          <w:footerReference w:type="first" r:id="rId323"/>
          <w:pgSz w:w="11907" w:h="16839"/>
          <w:pgMar w:top="1134" w:right="1134" w:bottom="1134" w:left="1134" w:header="567" w:footer="567" w:gutter="0"/>
          <w:cols w:space="720"/>
          <w:docGrid w:linePitch="360"/>
        </w:sectPr>
      </w:pPr>
    </w:p>
    <w:tbl>
      <w:tblPr>
        <w:tblW w:w="1487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94"/>
        <w:gridCol w:w="719"/>
        <w:gridCol w:w="1555"/>
        <w:gridCol w:w="1276"/>
        <w:gridCol w:w="1130"/>
        <w:gridCol w:w="709"/>
        <w:gridCol w:w="709"/>
        <w:gridCol w:w="708"/>
        <w:gridCol w:w="709"/>
        <w:gridCol w:w="4812"/>
        <w:gridCol w:w="6"/>
      </w:tblGrid>
      <w:tr w:rsidR="00235E11" w14:paraId="1CCF1E27" w14:textId="77777777">
        <w:trPr>
          <w:gridAfter w:val="1"/>
          <w:wAfter w:w="6" w:type="dxa"/>
          <w:trHeight w:val="927"/>
        </w:trPr>
        <w:tc>
          <w:tcPr>
            <w:tcW w:w="851" w:type="dxa"/>
            <w:vMerge w:val="restart"/>
            <w:shd w:val="clear" w:color="auto" w:fill="BDD7EE"/>
            <w:vAlign w:val="center"/>
            <w:hideMark/>
          </w:tcPr>
          <w:p w14:paraId="4505EAA2" w14:textId="77777777" w:rsidR="00235E11" w:rsidRDefault="00F837E4">
            <w:pPr>
              <w:pStyle w:val="P68B1DB1-Normal7"/>
              <w:spacing w:after="0"/>
              <w:jc w:val="center"/>
              <w:rPr>
                <w:noProof/>
              </w:rPr>
            </w:pPr>
            <w:r>
              <w:rPr>
                <w:noProof/>
              </w:rPr>
              <w:t>Следващи Забележка:</w:t>
            </w:r>
          </w:p>
        </w:tc>
        <w:tc>
          <w:tcPr>
            <w:tcW w:w="1694" w:type="dxa"/>
            <w:vMerge w:val="restart"/>
            <w:shd w:val="clear" w:color="auto" w:fill="BDD7EE"/>
            <w:vAlign w:val="center"/>
            <w:hideMark/>
          </w:tcPr>
          <w:p w14:paraId="0F0712E2" w14:textId="77777777" w:rsidR="00235E11" w:rsidRDefault="00F837E4">
            <w:pPr>
              <w:pStyle w:val="P68B1DB1-Normal7"/>
              <w:spacing w:after="0"/>
              <w:jc w:val="center"/>
              <w:rPr>
                <w:noProof/>
              </w:rPr>
            </w:pPr>
            <w:r>
              <w:rPr>
                <w:noProof/>
              </w:rPr>
              <w:t>Свързана мярка (реформа или инвестиции)</w:t>
            </w:r>
          </w:p>
        </w:tc>
        <w:tc>
          <w:tcPr>
            <w:tcW w:w="719" w:type="dxa"/>
            <w:vMerge w:val="restart"/>
            <w:shd w:val="clear" w:color="auto" w:fill="BDD7EE"/>
            <w:vAlign w:val="center"/>
            <w:hideMark/>
          </w:tcPr>
          <w:p w14:paraId="1D6C2D43" w14:textId="77777777" w:rsidR="00235E11" w:rsidRDefault="00F837E4">
            <w:pPr>
              <w:pStyle w:val="P68B1DB1-Normal7"/>
              <w:spacing w:after="0"/>
              <w:jc w:val="center"/>
              <w:rPr>
                <w:noProof/>
              </w:rPr>
            </w:pPr>
            <w:r>
              <w:rPr>
                <w:noProof/>
              </w:rPr>
              <w:t>M/T</w:t>
            </w:r>
          </w:p>
        </w:tc>
        <w:tc>
          <w:tcPr>
            <w:tcW w:w="1555" w:type="dxa"/>
            <w:vMerge w:val="restart"/>
            <w:shd w:val="clear" w:color="auto" w:fill="BDD7EE"/>
            <w:vAlign w:val="center"/>
            <w:hideMark/>
          </w:tcPr>
          <w:p w14:paraId="5A112FEA" w14:textId="77777777" w:rsidR="00235E11" w:rsidRDefault="00F837E4">
            <w:pPr>
              <w:pStyle w:val="P68B1DB1-Normal7"/>
              <w:spacing w:after="0"/>
              <w:jc w:val="center"/>
              <w:rPr>
                <w:noProof/>
              </w:rPr>
            </w:pPr>
            <w:r>
              <w:rPr>
                <w:noProof/>
              </w:rPr>
              <w:t>Име</w:t>
            </w:r>
          </w:p>
        </w:tc>
        <w:tc>
          <w:tcPr>
            <w:tcW w:w="1276" w:type="dxa"/>
            <w:vMerge w:val="restart"/>
            <w:shd w:val="clear" w:color="auto" w:fill="BDD7EE"/>
            <w:vAlign w:val="center"/>
            <w:hideMark/>
          </w:tcPr>
          <w:p w14:paraId="60681646"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2548" w:type="dxa"/>
            <w:gridSpan w:val="3"/>
            <w:shd w:val="clear" w:color="auto" w:fill="BDD7EE"/>
            <w:vAlign w:val="center"/>
            <w:hideMark/>
          </w:tcPr>
          <w:p w14:paraId="142B5559" w14:textId="77777777" w:rsidR="00235E11" w:rsidRDefault="00F837E4">
            <w:pPr>
              <w:pStyle w:val="P68B1DB1-Normal8"/>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1417" w:type="dxa"/>
            <w:gridSpan w:val="2"/>
            <w:shd w:val="clear" w:color="auto" w:fill="BDD7EE"/>
            <w:vAlign w:val="center"/>
            <w:hideMark/>
          </w:tcPr>
          <w:p w14:paraId="5D75E99C" w14:textId="77777777" w:rsidR="00235E11" w:rsidRDefault="00F837E4">
            <w:pPr>
              <w:pStyle w:val="P68B1DB1-Normal7"/>
              <w:spacing w:after="0"/>
              <w:jc w:val="center"/>
              <w:rPr>
                <w:noProof/>
              </w:rPr>
            </w:pPr>
            <w:r>
              <w:rPr>
                <w:noProof/>
              </w:rPr>
              <w:t xml:space="preserve">Примерен график за приключване </w:t>
            </w:r>
          </w:p>
        </w:tc>
        <w:tc>
          <w:tcPr>
            <w:tcW w:w="4812" w:type="dxa"/>
            <w:vMerge w:val="restart"/>
            <w:shd w:val="clear" w:color="auto" w:fill="BDD7EE"/>
            <w:vAlign w:val="center"/>
            <w:hideMark/>
          </w:tcPr>
          <w:p w14:paraId="0F8FDAF2" w14:textId="77777777" w:rsidR="00235E11" w:rsidRDefault="00F837E4">
            <w:pPr>
              <w:pStyle w:val="P68B1DB1-Normal7"/>
              <w:spacing w:after="0"/>
              <w:jc w:val="center"/>
              <w:rPr>
                <w:noProof/>
              </w:rPr>
            </w:pPr>
            <w:r>
              <w:rPr>
                <w:noProof/>
              </w:rPr>
              <w:t>Описание на всеки ключов етап и цел</w:t>
            </w:r>
          </w:p>
        </w:tc>
      </w:tr>
      <w:tr w:rsidR="00235E11" w14:paraId="37AC6C15" w14:textId="77777777">
        <w:trPr>
          <w:gridAfter w:val="1"/>
          <w:wAfter w:w="6" w:type="dxa"/>
          <w:trHeight w:val="410"/>
        </w:trPr>
        <w:tc>
          <w:tcPr>
            <w:tcW w:w="851" w:type="dxa"/>
            <w:vMerge/>
            <w:vAlign w:val="center"/>
            <w:hideMark/>
          </w:tcPr>
          <w:p w14:paraId="50C48666" w14:textId="77777777" w:rsidR="00235E11" w:rsidRDefault="00235E11">
            <w:pPr>
              <w:spacing w:after="0"/>
              <w:rPr>
                <w:rFonts w:ascii="Times New Roman" w:eastAsia="Times New Roman" w:hAnsi="Times New Roman" w:cs="Times New Roman"/>
                <w:b/>
                <w:noProof/>
              </w:rPr>
            </w:pPr>
          </w:p>
        </w:tc>
        <w:tc>
          <w:tcPr>
            <w:tcW w:w="1694" w:type="dxa"/>
            <w:vMerge/>
            <w:vAlign w:val="center"/>
            <w:hideMark/>
          </w:tcPr>
          <w:p w14:paraId="1E64D4CB" w14:textId="77777777" w:rsidR="00235E11" w:rsidRDefault="00235E11">
            <w:pPr>
              <w:spacing w:after="0"/>
              <w:rPr>
                <w:rFonts w:ascii="Times New Roman" w:eastAsia="Times New Roman" w:hAnsi="Times New Roman" w:cs="Times New Roman"/>
                <w:b/>
                <w:noProof/>
              </w:rPr>
            </w:pPr>
          </w:p>
        </w:tc>
        <w:tc>
          <w:tcPr>
            <w:tcW w:w="719" w:type="dxa"/>
            <w:vMerge/>
            <w:vAlign w:val="center"/>
            <w:hideMark/>
          </w:tcPr>
          <w:p w14:paraId="1D442C24" w14:textId="77777777" w:rsidR="00235E11" w:rsidRDefault="00235E11">
            <w:pPr>
              <w:spacing w:after="0"/>
              <w:rPr>
                <w:rFonts w:ascii="Times New Roman" w:eastAsia="Times New Roman" w:hAnsi="Times New Roman" w:cs="Times New Roman"/>
                <w:b/>
                <w:noProof/>
              </w:rPr>
            </w:pPr>
          </w:p>
        </w:tc>
        <w:tc>
          <w:tcPr>
            <w:tcW w:w="1555" w:type="dxa"/>
            <w:vMerge/>
            <w:vAlign w:val="center"/>
            <w:hideMark/>
          </w:tcPr>
          <w:p w14:paraId="5B5E23FD" w14:textId="77777777" w:rsidR="00235E11" w:rsidRDefault="00235E11">
            <w:pPr>
              <w:spacing w:after="0"/>
              <w:rPr>
                <w:rFonts w:ascii="Times New Roman" w:eastAsia="Times New Roman" w:hAnsi="Times New Roman" w:cs="Times New Roman"/>
                <w:b/>
                <w:noProof/>
              </w:rPr>
            </w:pPr>
          </w:p>
        </w:tc>
        <w:tc>
          <w:tcPr>
            <w:tcW w:w="1276" w:type="dxa"/>
            <w:vMerge/>
            <w:vAlign w:val="center"/>
            <w:hideMark/>
          </w:tcPr>
          <w:p w14:paraId="4597829E" w14:textId="77777777" w:rsidR="00235E11" w:rsidRDefault="00235E11">
            <w:pPr>
              <w:spacing w:after="0"/>
              <w:rPr>
                <w:rFonts w:ascii="Times New Roman" w:eastAsia="Times New Roman" w:hAnsi="Times New Roman" w:cs="Times New Roman"/>
                <w:b/>
                <w:noProof/>
              </w:rPr>
            </w:pPr>
          </w:p>
        </w:tc>
        <w:tc>
          <w:tcPr>
            <w:tcW w:w="1130" w:type="dxa"/>
            <w:shd w:val="clear" w:color="auto" w:fill="BDD7EE"/>
            <w:vAlign w:val="center"/>
            <w:hideMark/>
          </w:tcPr>
          <w:p w14:paraId="607ABBD7" w14:textId="77777777" w:rsidR="00235E11" w:rsidRDefault="00F837E4">
            <w:pPr>
              <w:pStyle w:val="P68B1DB1-Normal7"/>
              <w:spacing w:after="0"/>
              <w:jc w:val="center"/>
              <w:rPr>
                <w:noProof/>
              </w:rPr>
            </w:pPr>
            <w:r>
              <w:rPr>
                <w:noProof/>
              </w:rPr>
              <w:t>Единица мярка</w:t>
            </w:r>
          </w:p>
        </w:tc>
        <w:tc>
          <w:tcPr>
            <w:tcW w:w="709" w:type="dxa"/>
            <w:shd w:val="clear" w:color="auto" w:fill="BDD7EE"/>
            <w:vAlign w:val="center"/>
            <w:hideMark/>
          </w:tcPr>
          <w:p w14:paraId="5F851C24" w14:textId="77777777" w:rsidR="00235E11" w:rsidRDefault="00F837E4">
            <w:pPr>
              <w:pStyle w:val="P68B1DB1-Normal7"/>
              <w:spacing w:after="0"/>
              <w:jc w:val="center"/>
              <w:rPr>
                <w:noProof/>
              </w:rPr>
            </w:pPr>
            <w:r>
              <w:rPr>
                <w:noProof/>
              </w:rPr>
              <w:t>Базова линия</w:t>
            </w:r>
          </w:p>
        </w:tc>
        <w:tc>
          <w:tcPr>
            <w:tcW w:w="709" w:type="dxa"/>
            <w:shd w:val="clear" w:color="auto" w:fill="BDD7EE"/>
            <w:vAlign w:val="center"/>
            <w:hideMark/>
          </w:tcPr>
          <w:p w14:paraId="109586A5" w14:textId="77777777" w:rsidR="00235E11" w:rsidRDefault="00F837E4">
            <w:pPr>
              <w:pStyle w:val="P68B1DB1-Normal7"/>
              <w:spacing w:after="0"/>
              <w:jc w:val="center"/>
              <w:rPr>
                <w:noProof/>
              </w:rPr>
            </w:pPr>
            <w:r>
              <w:rPr>
                <w:noProof/>
              </w:rPr>
              <w:t xml:space="preserve">Цел </w:t>
            </w:r>
          </w:p>
        </w:tc>
        <w:tc>
          <w:tcPr>
            <w:tcW w:w="708" w:type="dxa"/>
            <w:shd w:val="clear" w:color="auto" w:fill="BDD7EE"/>
            <w:vAlign w:val="center"/>
            <w:hideMark/>
          </w:tcPr>
          <w:p w14:paraId="535B1B31" w14:textId="77777777" w:rsidR="00235E11" w:rsidRDefault="00F837E4">
            <w:pPr>
              <w:pStyle w:val="P68B1DB1-Normal7"/>
              <w:spacing w:after="0"/>
              <w:jc w:val="center"/>
              <w:rPr>
                <w:noProof/>
              </w:rPr>
            </w:pPr>
            <w:r>
              <w:rPr>
                <w:noProof/>
              </w:rPr>
              <w:t>Тримесечие</w:t>
            </w:r>
          </w:p>
        </w:tc>
        <w:tc>
          <w:tcPr>
            <w:tcW w:w="709" w:type="dxa"/>
            <w:shd w:val="clear" w:color="auto" w:fill="BDD7EE"/>
            <w:vAlign w:val="center"/>
            <w:hideMark/>
          </w:tcPr>
          <w:p w14:paraId="692F09EE" w14:textId="77777777" w:rsidR="00235E11" w:rsidRDefault="00F837E4">
            <w:pPr>
              <w:pStyle w:val="P68B1DB1-Normal7"/>
              <w:spacing w:after="0"/>
              <w:jc w:val="center"/>
              <w:rPr>
                <w:noProof/>
              </w:rPr>
            </w:pPr>
            <w:r>
              <w:rPr>
                <w:noProof/>
              </w:rPr>
              <w:t>Година</w:t>
            </w:r>
          </w:p>
        </w:tc>
        <w:tc>
          <w:tcPr>
            <w:tcW w:w="4812" w:type="dxa"/>
            <w:vMerge/>
            <w:vAlign w:val="center"/>
            <w:hideMark/>
          </w:tcPr>
          <w:p w14:paraId="4C9CD537" w14:textId="77777777" w:rsidR="00235E11" w:rsidRDefault="00235E11">
            <w:pPr>
              <w:spacing w:after="0"/>
              <w:rPr>
                <w:rFonts w:ascii="Times New Roman" w:eastAsia="Times New Roman" w:hAnsi="Times New Roman" w:cs="Times New Roman"/>
                <w:b/>
                <w:noProof/>
              </w:rPr>
            </w:pPr>
          </w:p>
        </w:tc>
      </w:tr>
      <w:tr w:rsidR="00235E11" w14:paraId="2A94176A" w14:textId="77777777">
        <w:trPr>
          <w:trHeight w:val="309"/>
        </w:trPr>
        <w:tc>
          <w:tcPr>
            <w:tcW w:w="851" w:type="dxa"/>
            <w:shd w:val="clear" w:color="auto" w:fill="C6EFCE"/>
            <w:noWrap/>
            <w:vAlign w:val="center"/>
          </w:tcPr>
          <w:p w14:paraId="6CBB37F2" w14:textId="77777777" w:rsidR="00235E11" w:rsidRDefault="00F837E4">
            <w:pPr>
              <w:pStyle w:val="P68B1DB1-Normal10"/>
              <w:spacing w:after="0" w:line="240" w:lineRule="auto"/>
              <w:jc w:val="center"/>
              <w:rPr>
                <w:noProof/>
              </w:rPr>
            </w:pPr>
            <w:r>
              <w:rPr>
                <w:noProof/>
              </w:rPr>
              <w:t>246</w:t>
            </w:r>
          </w:p>
        </w:tc>
        <w:tc>
          <w:tcPr>
            <w:tcW w:w="1694" w:type="dxa"/>
            <w:shd w:val="clear" w:color="auto" w:fill="C6EFCE"/>
            <w:noWrap/>
            <w:vAlign w:val="center"/>
          </w:tcPr>
          <w:p w14:paraId="655E2258" w14:textId="29BF6A66" w:rsidR="00235E11" w:rsidRDefault="00F837E4">
            <w:pPr>
              <w:pStyle w:val="P68B1DB1-Normal9"/>
              <w:spacing w:after="0" w:line="240" w:lineRule="auto"/>
              <w:rPr>
                <w:noProof/>
              </w:rPr>
            </w:pPr>
            <w:r>
              <w:rPr>
                <w:noProof/>
              </w:rPr>
              <w:t>Инфраструктура за зареждане на автобуси — ЗФП (I-7.25)</w:t>
            </w:r>
          </w:p>
        </w:tc>
        <w:tc>
          <w:tcPr>
            <w:tcW w:w="719" w:type="dxa"/>
            <w:shd w:val="clear" w:color="auto" w:fill="C6EFCE"/>
            <w:noWrap/>
            <w:vAlign w:val="center"/>
          </w:tcPr>
          <w:p w14:paraId="6758654E" w14:textId="77777777" w:rsidR="00235E11" w:rsidRDefault="00F837E4">
            <w:pPr>
              <w:pStyle w:val="P68B1DB1-Normal9"/>
              <w:spacing w:after="0" w:line="240" w:lineRule="auto"/>
              <w:jc w:val="center"/>
              <w:rPr>
                <w:noProof/>
              </w:rPr>
            </w:pPr>
            <w:r>
              <w:rPr>
                <w:noProof/>
              </w:rPr>
              <w:t>T</w:t>
            </w:r>
          </w:p>
        </w:tc>
        <w:tc>
          <w:tcPr>
            <w:tcW w:w="1555" w:type="dxa"/>
            <w:shd w:val="clear" w:color="auto" w:fill="C6EFCE"/>
            <w:noWrap/>
            <w:vAlign w:val="center"/>
          </w:tcPr>
          <w:p w14:paraId="45334B49" w14:textId="2F61A4E5" w:rsidR="00235E11" w:rsidRDefault="00F837E4">
            <w:pPr>
              <w:pStyle w:val="P68B1DB1-Normal9"/>
              <w:spacing w:after="0" w:line="240" w:lineRule="auto"/>
              <w:rPr>
                <w:noProof/>
              </w:rPr>
            </w:pPr>
            <w:r>
              <w:rPr>
                <w:noProof/>
              </w:rPr>
              <w:t>Инсталирана инфраструктура за зареждане</w:t>
            </w:r>
          </w:p>
        </w:tc>
        <w:tc>
          <w:tcPr>
            <w:tcW w:w="1276" w:type="dxa"/>
            <w:shd w:val="clear" w:color="auto" w:fill="C6EFCE"/>
            <w:noWrap/>
            <w:vAlign w:val="center"/>
          </w:tcPr>
          <w:p w14:paraId="5BDC0337" w14:textId="77777777" w:rsidR="00235E11" w:rsidRDefault="00235E11">
            <w:pPr>
              <w:spacing w:after="0" w:line="240" w:lineRule="auto"/>
              <w:rPr>
                <w:rFonts w:ascii="Times New Roman" w:hAnsi="Times New Roman" w:cs="Times New Roman"/>
                <w:noProof/>
                <w:color w:val="006100"/>
              </w:rPr>
            </w:pPr>
          </w:p>
        </w:tc>
        <w:tc>
          <w:tcPr>
            <w:tcW w:w="1130" w:type="dxa"/>
            <w:shd w:val="clear" w:color="auto" w:fill="C6EFCE"/>
            <w:noWrap/>
            <w:vAlign w:val="center"/>
          </w:tcPr>
          <w:p w14:paraId="22742AB3" w14:textId="77777777" w:rsidR="00235E11" w:rsidRDefault="00F837E4">
            <w:pPr>
              <w:pStyle w:val="P68B1DB1-Normal9"/>
              <w:spacing w:after="0" w:line="240" w:lineRule="auto"/>
              <w:rPr>
                <w:noProof/>
              </w:rPr>
            </w:pPr>
            <w:r>
              <w:rPr>
                <w:noProof/>
              </w:rPr>
              <w:t>Брой</w:t>
            </w:r>
          </w:p>
        </w:tc>
        <w:tc>
          <w:tcPr>
            <w:tcW w:w="709" w:type="dxa"/>
            <w:shd w:val="clear" w:color="auto" w:fill="C6EFCE"/>
            <w:noWrap/>
            <w:vAlign w:val="center"/>
          </w:tcPr>
          <w:p w14:paraId="5D96E713" w14:textId="77777777" w:rsidR="00235E11" w:rsidRDefault="00F837E4">
            <w:pPr>
              <w:pStyle w:val="P68B1DB1-Normal9"/>
              <w:spacing w:after="0" w:line="240" w:lineRule="auto"/>
              <w:jc w:val="center"/>
              <w:rPr>
                <w:noProof/>
              </w:rPr>
            </w:pPr>
            <w:r>
              <w:rPr>
                <w:noProof/>
              </w:rPr>
              <w:t>0</w:t>
            </w:r>
          </w:p>
        </w:tc>
        <w:tc>
          <w:tcPr>
            <w:tcW w:w="709" w:type="dxa"/>
            <w:shd w:val="clear" w:color="auto" w:fill="C6EFCE"/>
            <w:noWrap/>
            <w:vAlign w:val="center"/>
          </w:tcPr>
          <w:p w14:paraId="012B99C6" w14:textId="4FFFB6DD" w:rsidR="00235E11" w:rsidRDefault="00F837E4">
            <w:pPr>
              <w:pStyle w:val="P68B1DB1-Normal9"/>
              <w:spacing w:after="0" w:line="240" w:lineRule="auto"/>
              <w:jc w:val="center"/>
              <w:rPr>
                <w:noProof/>
              </w:rPr>
            </w:pPr>
            <w:r>
              <w:rPr>
                <w:noProof/>
              </w:rPr>
              <w:t>92</w:t>
            </w:r>
          </w:p>
        </w:tc>
        <w:tc>
          <w:tcPr>
            <w:tcW w:w="708" w:type="dxa"/>
            <w:shd w:val="clear" w:color="auto" w:fill="C6EFCE"/>
            <w:noWrap/>
            <w:vAlign w:val="center"/>
          </w:tcPr>
          <w:p w14:paraId="00B6FA8E" w14:textId="77777777" w:rsidR="00235E11" w:rsidRDefault="00F837E4">
            <w:pPr>
              <w:pStyle w:val="P68B1DB1-Normal9"/>
              <w:spacing w:after="0" w:line="240" w:lineRule="auto"/>
              <w:jc w:val="center"/>
              <w:rPr>
                <w:noProof/>
              </w:rPr>
            </w:pPr>
            <w:r>
              <w:rPr>
                <w:noProof/>
              </w:rPr>
              <w:t>Т2 Г.</w:t>
            </w:r>
          </w:p>
        </w:tc>
        <w:tc>
          <w:tcPr>
            <w:tcW w:w="709" w:type="dxa"/>
            <w:shd w:val="clear" w:color="auto" w:fill="C6EFCE"/>
            <w:noWrap/>
            <w:vAlign w:val="center"/>
          </w:tcPr>
          <w:p w14:paraId="06B6C0DA" w14:textId="77777777" w:rsidR="00235E11" w:rsidRDefault="00F837E4">
            <w:pPr>
              <w:pStyle w:val="P68B1DB1-Normal9"/>
              <w:spacing w:after="0" w:line="240" w:lineRule="auto"/>
              <w:jc w:val="center"/>
              <w:rPr>
                <w:noProof/>
              </w:rPr>
            </w:pPr>
            <w:r>
              <w:rPr>
                <w:noProof/>
              </w:rPr>
              <w:t>2026</w:t>
            </w:r>
          </w:p>
        </w:tc>
        <w:tc>
          <w:tcPr>
            <w:tcW w:w="4818" w:type="dxa"/>
            <w:gridSpan w:val="2"/>
            <w:shd w:val="clear" w:color="auto" w:fill="C6EFCE"/>
            <w:noWrap/>
            <w:vAlign w:val="center"/>
          </w:tcPr>
          <w:p w14:paraId="2C113111" w14:textId="201715AD" w:rsidR="00235E11" w:rsidRDefault="00F837E4">
            <w:pPr>
              <w:pStyle w:val="P68B1DB1-Normal9"/>
              <w:spacing w:after="0" w:line="240" w:lineRule="auto"/>
              <w:rPr>
                <w:noProof/>
              </w:rPr>
            </w:pPr>
            <w:r>
              <w:rPr>
                <w:noProof/>
              </w:rPr>
              <w:t>Завършване на инсталирането на 76 станции за зареждане през нощта и 16 възможности (със съответната електрическа инфраструктура) в едно автобусно депо и в пет автогари на автобусни линии.</w:t>
            </w:r>
          </w:p>
        </w:tc>
      </w:tr>
    </w:tbl>
    <w:p w14:paraId="0E530DC2" w14:textId="77777777" w:rsidR="00235E11" w:rsidRDefault="00235E11">
      <w:pPr>
        <w:pStyle w:val="Text1"/>
        <w:ind w:left="0"/>
        <w:rPr>
          <w:noProof/>
        </w:rPr>
      </w:pPr>
      <w:bookmarkStart w:id="8" w:name="_Hlk131065095"/>
      <w:bookmarkEnd w:id="8"/>
    </w:p>
    <w:p w14:paraId="6BC0C51F" w14:textId="77777777" w:rsidR="00235E11" w:rsidRDefault="00235E11">
      <w:pPr>
        <w:pStyle w:val="Text1"/>
        <w:ind w:left="0"/>
        <w:rPr>
          <w:noProof/>
        </w:rPr>
        <w:sectPr w:rsidR="00235E11" w:rsidSect="007F56C3">
          <w:headerReference w:type="even" r:id="rId324"/>
          <w:headerReference w:type="default" r:id="rId325"/>
          <w:footerReference w:type="even" r:id="rId326"/>
          <w:footerReference w:type="default" r:id="rId327"/>
          <w:headerReference w:type="first" r:id="rId328"/>
          <w:footerReference w:type="first" r:id="rId329"/>
          <w:pgSz w:w="16839" w:h="11907" w:orient="landscape"/>
          <w:pgMar w:top="1134" w:right="1134" w:bottom="1134" w:left="1134" w:header="567" w:footer="567" w:gutter="0"/>
          <w:cols w:space="720"/>
          <w:docGrid w:linePitch="360"/>
        </w:sectPr>
      </w:pPr>
    </w:p>
    <w:p w14:paraId="5EC3B7F8" w14:textId="355D4885" w:rsidR="00235E11" w:rsidRDefault="00F837E4">
      <w:pPr>
        <w:pStyle w:val="ManualHeading1"/>
        <w:spacing w:before="120"/>
        <w:ind w:left="0" w:hanging="130"/>
        <w:rPr>
          <w:smallCaps w:val="0"/>
          <w:noProof/>
        </w:rPr>
      </w:pPr>
      <w:r>
        <w:rPr>
          <w:noProof/>
          <w:lang w:val="bg-BG"/>
        </w:rPr>
        <w:t>Х</w:t>
      </w:r>
      <w:r>
        <w:rPr>
          <w:caps/>
          <w:smallCaps w:val="0"/>
          <w:noProof/>
        </w:rPr>
        <w:t>. ОДИТ И КОНТРОЛ</w:t>
      </w:r>
    </w:p>
    <w:p w14:paraId="3602E3A5" w14:textId="77777777" w:rsidR="00235E11" w:rsidRDefault="00235E11">
      <w:pPr>
        <w:pStyle w:val="Text1"/>
        <w:ind w:left="0"/>
        <w:rPr>
          <w:b/>
          <w:noProof/>
        </w:rPr>
      </w:pPr>
    </w:p>
    <w:p w14:paraId="15759C15" w14:textId="4C25CD56" w:rsidR="00235E11" w:rsidRDefault="00F837E4">
      <w:pPr>
        <w:pStyle w:val="P68B1DB1-Text16"/>
        <w:ind w:left="0"/>
        <w:rPr>
          <w:noProof/>
        </w:rPr>
      </w:pPr>
      <w:r>
        <w:rPr>
          <w:noProof/>
          <w:lang w:val="bg-BG"/>
        </w:rPr>
        <w:t>Х</w:t>
      </w:r>
      <w:r>
        <w:rPr>
          <w:noProof/>
        </w:rPr>
        <w:t xml:space="preserve">.1. </w:t>
      </w:r>
      <w:r>
        <w:rPr>
          <w:noProof/>
        </w:rPr>
        <w:tab/>
        <w:t>Описание на реформите и инвестициите за безвъзмездна финансова подкрепа</w:t>
      </w:r>
    </w:p>
    <w:p w14:paraId="5BF1A1A7" w14:textId="6BCD90AD" w:rsidR="00235E11" w:rsidRDefault="00F837E4">
      <w:pPr>
        <w:pStyle w:val="Text1"/>
        <w:ind w:left="0"/>
        <w:rPr>
          <w:noProof/>
        </w:rPr>
      </w:pPr>
      <w:r>
        <w:rPr>
          <w:noProof/>
        </w:rPr>
        <w:t>Преди подаването на първото искане за плащане започва да функционира система от регистри за записване и съхранение на всички съответни данни, свързани с изпълнението на плана за възстановяване и устойчивост — постигането на ключовите етапи и целите, данните за крайния получател, изпълнителите, подизпълнителите и действителните собственици. Белгия представя специален одитен доклад преди първото искане за плащане, потвърждаващ ефективността на функционалните възможности на системата от регистри.</w:t>
      </w:r>
    </w:p>
    <w:p w14:paraId="5FD35D35" w14:textId="562FCCB3" w:rsidR="00235E11" w:rsidRDefault="00F837E4">
      <w:pPr>
        <w:pStyle w:val="Text1"/>
        <w:ind w:left="0"/>
        <w:rPr>
          <w:noProof/>
        </w:rPr>
      </w:pPr>
      <w:r>
        <w:rPr>
          <w:noProof/>
        </w:rPr>
        <w:t>Освен това, както и преди да отправи първото искане за плащане по Механизма за възстановяване и устойчивост, Белгия ще гарантира, че се въвеждат подходящи механизми за координация, включително кръстосани проверки, на равнището на координиращия орган на междуфедерално равнище, което позволява да се избегне двойно финансиране от Механизма и други програми на Съюза в съответствие с принципа на добро финансово управление.</w:t>
      </w:r>
    </w:p>
    <w:p w14:paraId="35291914" w14:textId="05AF5190" w:rsidR="00235E11" w:rsidRDefault="00F837E4">
      <w:pPr>
        <w:pStyle w:val="Text1"/>
        <w:ind w:left="0"/>
        <w:rPr>
          <w:noProof/>
        </w:rPr>
      </w:pPr>
      <w:r>
        <w:rPr>
          <w:noProof/>
        </w:rPr>
        <w:t>С цел да се осигурят стабилни системи за вътрешен контрол, съответстващи на специфичната структура на Белгия, координиращите органи, при необходимост в сътрудничество с изпълнителните органи, адаптират своите процедурни наръчници, описващи системата за управление и контрол, и издават указания на изпълнителните органи.</w:t>
      </w:r>
      <w:r>
        <w:rPr>
          <w:rFonts w:eastAsia="Calibri"/>
          <w:noProof/>
        </w:rPr>
        <w:t xml:space="preserve"> Наръчниците/документите включват процедури за получаване на увереност за подписването на декларациите за управлението, придружаващи искането за плащане, подадено до Комисията.</w:t>
      </w:r>
    </w:p>
    <w:p w14:paraId="04B3ED0F" w14:textId="5A44E16F" w:rsidR="00235E11" w:rsidRDefault="00F837E4">
      <w:pPr>
        <w:pStyle w:val="Text1"/>
        <w:ind w:left="0"/>
        <w:rPr>
          <w:noProof/>
        </w:rPr>
      </w:pPr>
      <w:r>
        <w:rPr>
          <w:noProof/>
        </w:rPr>
        <w:t>Освен това, когато на Инспектората на финансите е възложена отговорността за този контрол, координиращите органи приемат и изпращат съобщение до Инспектората по финанси относно предварителната проверка на съответствието с правото на Съюза и националното право и защитата на финансовите интереси на Съюза, която се извършва в съответствие с Регламент (ЕС) 2021/241.</w:t>
      </w:r>
    </w:p>
    <w:p w14:paraId="059A154B" w14:textId="6E899A6F" w:rsidR="00235E11" w:rsidRDefault="00F837E4">
      <w:pPr>
        <w:pStyle w:val="Text1"/>
        <w:ind w:left="0"/>
        <w:rPr>
          <w:noProof/>
        </w:rPr>
      </w:pPr>
      <w:r>
        <w:rPr>
          <w:noProof/>
        </w:rPr>
        <w:t>И накрая, координиращите органи издават инструкции на всички изпълнителни органи относно предварителната проверка на риска от конфликт на интереси при изпълнението на мерките по МВУ преди подписването на договори или възлагането на безвъзмездни средства. Това включва задължителни декларации за липса на конфликт на интереси от страна на лицата, участващи на всички етапи от процедурите за подбор както за поканите за участие в търгове, така и за поканите за проекти, и въз основа на риска — използването на подходящ инструмент за оценка на риска за извършване на проверките за конфликт на интереси, посочени в инструкциите.</w:t>
      </w:r>
    </w:p>
    <w:p w14:paraId="3B1638D6" w14:textId="6559E49A" w:rsidR="00235E11" w:rsidRDefault="00F837E4">
      <w:pPr>
        <w:pStyle w:val="P68B1DB1-Text156"/>
        <w:ind w:left="0"/>
        <w:rPr>
          <w:noProof/>
        </w:rPr>
      </w:pPr>
      <w:r>
        <w:rPr>
          <w:noProof/>
        </w:rPr>
        <w:t>Ключови етапи 250 и 251 по тази мярка се изпълняват към момента на подаване на следващото искане за плащане до Комисията след приемането на настоящото решение за изпълнение и са предварително условие за всяко бъдещо плащане.</w:t>
      </w:r>
    </w:p>
    <w:p w14:paraId="579CDE45" w14:textId="77777777" w:rsidR="00235E11" w:rsidRDefault="00235E11">
      <w:pPr>
        <w:pStyle w:val="Text1"/>
        <w:ind w:left="0"/>
        <w:rPr>
          <w:noProof/>
        </w:rPr>
      </w:pPr>
    </w:p>
    <w:p w14:paraId="33B64A62" w14:textId="6D3ED59D" w:rsidR="00235E11" w:rsidRDefault="00F837E4">
      <w:pPr>
        <w:pStyle w:val="P68B1DB1-Text157"/>
        <w:ind w:left="0"/>
        <w:rPr>
          <w:noProof/>
          <w:u w:val="single"/>
        </w:rPr>
      </w:pPr>
      <w:r>
        <w:rPr>
          <w:noProof/>
          <w:lang w:val="bg-BG"/>
        </w:rPr>
        <w:t>Х</w:t>
      </w:r>
      <w:r>
        <w:rPr>
          <w:noProof/>
        </w:rPr>
        <w:t>.</w:t>
      </w:r>
      <w:r>
        <w:rPr>
          <w:noProof/>
          <w:u w:val="single"/>
        </w:rPr>
        <w:t xml:space="preserve">2. </w:t>
      </w:r>
      <w:r>
        <w:rPr>
          <w:noProof/>
          <w:u w:val="single"/>
        </w:rPr>
        <w:tab/>
        <w:t>Ключови етапи, цели, показатели и график за мониторинг и изпълнение на безвъзмездната финансова подкрепа</w:t>
      </w:r>
    </w:p>
    <w:p w14:paraId="73505E53" w14:textId="77777777" w:rsidR="00235E11" w:rsidRDefault="00235E11">
      <w:pPr>
        <w:pStyle w:val="Text1"/>
        <w:rPr>
          <w:noProof/>
        </w:rPr>
      </w:pPr>
    </w:p>
    <w:p w14:paraId="6D3F965A" w14:textId="77777777" w:rsidR="00235E11" w:rsidRDefault="00235E11">
      <w:pPr>
        <w:pStyle w:val="Text1"/>
        <w:rPr>
          <w:noProof/>
        </w:rPr>
      </w:pPr>
    </w:p>
    <w:p w14:paraId="3B77F2CE" w14:textId="77777777" w:rsidR="00235E11" w:rsidRDefault="00235E11">
      <w:pPr>
        <w:pStyle w:val="Text1"/>
        <w:ind w:left="709"/>
        <w:rPr>
          <w:noProof/>
        </w:rPr>
        <w:sectPr w:rsidR="00235E11">
          <w:headerReference w:type="even" r:id="rId330"/>
          <w:headerReference w:type="default" r:id="rId331"/>
          <w:footerReference w:type="even" r:id="rId332"/>
          <w:footerReference w:type="default" r:id="rId333"/>
          <w:headerReference w:type="first" r:id="rId334"/>
          <w:footerReference w:type="first" r:id="rId335"/>
          <w:pgSz w:w="11907" w:h="16839"/>
          <w:pgMar w:top="1134" w:right="1134" w:bottom="1134" w:left="1134" w:header="567" w:footer="567" w:gutter="0"/>
          <w:cols w:space="720"/>
          <w:docGrid w:linePitch="360"/>
        </w:sectPr>
      </w:pPr>
    </w:p>
    <w:tbl>
      <w:tblPr>
        <w:tblpPr w:leftFromText="141" w:rightFromText="141" w:vertAnchor="text" w:horzAnchor="margin" w:tblpXSpec="center" w:tblpY="293"/>
        <w:tblW w:w="15559" w:type="dxa"/>
        <w:shd w:val="clear" w:color="auto" w:fill="C6EFCE"/>
        <w:tblLayout w:type="fixed"/>
        <w:tblLook w:val="04A0" w:firstRow="1" w:lastRow="0" w:firstColumn="1" w:lastColumn="0" w:noHBand="0" w:noVBand="1"/>
      </w:tblPr>
      <w:tblGrid>
        <w:gridCol w:w="704"/>
        <w:gridCol w:w="1418"/>
        <w:gridCol w:w="708"/>
        <w:gridCol w:w="1701"/>
        <w:gridCol w:w="1560"/>
        <w:gridCol w:w="1134"/>
        <w:gridCol w:w="1134"/>
        <w:gridCol w:w="850"/>
        <w:gridCol w:w="992"/>
        <w:gridCol w:w="1134"/>
        <w:gridCol w:w="4224"/>
      </w:tblGrid>
      <w:tr w:rsidR="00235E11" w14:paraId="15A2CF49" w14:textId="77777777">
        <w:trPr>
          <w:trHeight w:val="927"/>
          <w:tblHeader/>
        </w:trPr>
        <w:tc>
          <w:tcPr>
            <w:tcW w:w="704" w:type="dxa"/>
            <w:vMerge w:val="restart"/>
            <w:tcBorders>
              <w:top w:val="single" w:sz="4" w:space="0" w:color="auto"/>
              <w:left w:val="single" w:sz="4" w:space="0" w:color="auto"/>
              <w:right w:val="single" w:sz="4" w:space="0" w:color="auto"/>
            </w:tcBorders>
            <w:shd w:val="clear" w:color="auto" w:fill="BDD7EE"/>
            <w:vAlign w:val="center"/>
            <w:hideMark/>
          </w:tcPr>
          <w:p w14:paraId="452C8D24" w14:textId="27D48710" w:rsidR="00235E11" w:rsidRDefault="00F837E4">
            <w:pPr>
              <w:pStyle w:val="P68B1DB1-Normal15"/>
              <w:spacing w:after="0"/>
              <w:jc w:val="center"/>
              <w:rPr>
                <w:noProof/>
              </w:rPr>
            </w:pPr>
            <w:r>
              <w:rPr>
                <w:noProof/>
              </w:rPr>
              <w:t>Сл. Нб.</w:t>
            </w:r>
          </w:p>
        </w:tc>
        <w:tc>
          <w:tcPr>
            <w:tcW w:w="1418" w:type="dxa"/>
            <w:vMerge w:val="restart"/>
            <w:tcBorders>
              <w:top w:val="single" w:sz="4" w:space="0" w:color="auto"/>
              <w:left w:val="single" w:sz="4" w:space="0" w:color="auto"/>
              <w:right w:val="single" w:sz="4" w:space="0" w:color="auto"/>
            </w:tcBorders>
            <w:shd w:val="clear" w:color="auto" w:fill="BDD7EE"/>
            <w:vAlign w:val="center"/>
            <w:hideMark/>
          </w:tcPr>
          <w:p w14:paraId="592F6615" w14:textId="77777777" w:rsidR="00235E11" w:rsidRDefault="00F837E4">
            <w:pPr>
              <w:pStyle w:val="P68B1DB1-Normal15"/>
              <w:spacing w:after="0"/>
              <w:jc w:val="center"/>
              <w:rPr>
                <w:noProof/>
              </w:rPr>
            </w:pPr>
            <w:r>
              <w:rPr>
                <w:noProof/>
              </w:rPr>
              <w:t>Свързана мярка (реформа или инвестиции)</w:t>
            </w:r>
          </w:p>
        </w:tc>
        <w:tc>
          <w:tcPr>
            <w:tcW w:w="708" w:type="dxa"/>
            <w:vMerge w:val="restart"/>
            <w:tcBorders>
              <w:top w:val="single" w:sz="4" w:space="0" w:color="auto"/>
              <w:left w:val="single" w:sz="4" w:space="0" w:color="auto"/>
              <w:right w:val="single" w:sz="4" w:space="0" w:color="auto"/>
            </w:tcBorders>
            <w:shd w:val="clear" w:color="auto" w:fill="BDD7EE"/>
            <w:vAlign w:val="center"/>
            <w:hideMark/>
          </w:tcPr>
          <w:p w14:paraId="0A6C22D3" w14:textId="77777777" w:rsidR="00235E11" w:rsidRDefault="00F837E4">
            <w:pPr>
              <w:pStyle w:val="P68B1DB1-Normal15"/>
              <w:spacing w:after="0"/>
              <w:jc w:val="center"/>
              <w:rPr>
                <w:noProof/>
              </w:rPr>
            </w:pPr>
            <w:r>
              <w:rPr>
                <w:noProof/>
              </w:rPr>
              <w:t>Ключов етап/Цел</w:t>
            </w:r>
          </w:p>
        </w:tc>
        <w:tc>
          <w:tcPr>
            <w:tcW w:w="1701" w:type="dxa"/>
            <w:vMerge w:val="restart"/>
            <w:tcBorders>
              <w:top w:val="single" w:sz="4" w:space="0" w:color="auto"/>
              <w:left w:val="nil"/>
              <w:right w:val="single" w:sz="4" w:space="0" w:color="auto"/>
            </w:tcBorders>
            <w:shd w:val="clear" w:color="auto" w:fill="BDD7EE"/>
            <w:vAlign w:val="center"/>
            <w:hideMark/>
          </w:tcPr>
          <w:p w14:paraId="7180C168" w14:textId="77777777" w:rsidR="00235E11" w:rsidRDefault="00F837E4">
            <w:pPr>
              <w:pStyle w:val="P68B1DB1-Normal15"/>
              <w:spacing w:after="0"/>
              <w:jc w:val="center"/>
              <w:rPr>
                <w:noProof/>
              </w:rPr>
            </w:pPr>
            <w:r>
              <w:rPr>
                <w:noProof/>
              </w:rPr>
              <w:t>Име</w:t>
            </w:r>
          </w:p>
        </w:tc>
        <w:tc>
          <w:tcPr>
            <w:tcW w:w="1560" w:type="dxa"/>
            <w:vMerge w:val="restart"/>
            <w:tcBorders>
              <w:top w:val="single" w:sz="4" w:space="0" w:color="auto"/>
              <w:left w:val="single" w:sz="4" w:space="0" w:color="auto"/>
              <w:right w:val="single" w:sz="4" w:space="0" w:color="auto"/>
            </w:tcBorders>
            <w:shd w:val="clear" w:color="auto" w:fill="BDD7EE"/>
            <w:vAlign w:val="center"/>
            <w:hideMark/>
          </w:tcPr>
          <w:p w14:paraId="73889AEE"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Качествени индикатори</w:t>
            </w:r>
            <w:r>
              <w:rPr>
                <w:rFonts w:ascii="Times New Roman" w:hAnsi="Times New Roman" w:cs="Times New Roman"/>
                <w:noProof/>
              </w:rPr>
              <w:br/>
            </w:r>
            <w:r>
              <w:rPr>
                <w:rFonts w:ascii="Times New Roman" w:eastAsia="Times New Roman" w:hAnsi="Times New Roman" w:cs="Times New Roman"/>
                <w:b/>
                <w:noProof/>
              </w:rPr>
              <w:t>(за ключовите етапи)</w:t>
            </w:r>
          </w:p>
        </w:tc>
        <w:tc>
          <w:tcPr>
            <w:tcW w:w="3118" w:type="dxa"/>
            <w:gridSpan w:val="3"/>
            <w:tcBorders>
              <w:top w:val="single" w:sz="4" w:space="0" w:color="auto"/>
              <w:left w:val="nil"/>
              <w:bottom w:val="single" w:sz="4" w:space="0" w:color="auto"/>
              <w:right w:val="single" w:sz="4" w:space="0" w:color="auto"/>
            </w:tcBorders>
            <w:shd w:val="clear" w:color="auto" w:fill="BDD7EE"/>
            <w:vAlign w:val="center"/>
            <w:hideMark/>
          </w:tcPr>
          <w:p w14:paraId="5AAC88E2" w14:textId="77777777" w:rsidR="00235E11" w:rsidRDefault="00F837E4">
            <w:pPr>
              <w:spacing w:after="0"/>
              <w:jc w:val="center"/>
              <w:rPr>
                <w:rFonts w:ascii="Times New Roman" w:eastAsia="Times New Roman" w:hAnsi="Times New Roman" w:cs="Times New Roman"/>
                <w:b/>
                <w:noProof/>
              </w:rPr>
            </w:pPr>
            <w:r>
              <w:rPr>
                <w:rFonts w:ascii="Times New Roman" w:eastAsia="Times New Roman" w:hAnsi="Times New Roman" w:cs="Times New Roman"/>
                <w:b/>
                <w:noProof/>
              </w:rPr>
              <w:t>Количествени индикатори</w:t>
            </w:r>
            <w:r>
              <w:rPr>
                <w:rFonts w:ascii="Times New Roman" w:hAnsi="Times New Roman" w:cs="Times New Roman"/>
                <w:noProof/>
              </w:rPr>
              <w:br/>
            </w:r>
            <w:r>
              <w:rPr>
                <w:rFonts w:ascii="Times New Roman" w:eastAsia="Times New Roman" w:hAnsi="Times New Roman" w:cs="Times New Roman"/>
                <w:b/>
                <w:noProof/>
              </w:rPr>
              <w:t>(за целите)</w:t>
            </w:r>
          </w:p>
        </w:tc>
        <w:tc>
          <w:tcPr>
            <w:tcW w:w="2126" w:type="dxa"/>
            <w:gridSpan w:val="2"/>
            <w:tcBorders>
              <w:top w:val="single" w:sz="4" w:space="0" w:color="auto"/>
              <w:left w:val="nil"/>
              <w:bottom w:val="single" w:sz="4" w:space="0" w:color="auto"/>
              <w:right w:val="single" w:sz="4" w:space="0" w:color="auto"/>
            </w:tcBorders>
            <w:shd w:val="clear" w:color="auto" w:fill="BDD7EE"/>
            <w:vAlign w:val="center"/>
            <w:hideMark/>
          </w:tcPr>
          <w:p w14:paraId="280C19A6" w14:textId="77777777" w:rsidR="00235E11" w:rsidRDefault="00F837E4">
            <w:pPr>
              <w:pStyle w:val="P68B1DB1-Normal15"/>
              <w:spacing w:after="0"/>
              <w:jc w:val="center"/>
              <w:rPr>
                <w:noProof/>
              </w:rPr>
            </w:pPr>
            <w:r>
              <w:rPr>
                <w:noProof/>
              </w:rPr>
              <w:t xml:space="preserve">Примерен график за приключване </w:t>
            </w:r>
          </w:p>
        </w:tc>
        <w:tc>
          <w:tcPr>
            <w:tcW w:w="4224" w:type="dxa"/>
            <w:vMerge w:val="restart"/>
            <w:tcBorders>
              <w:top w:val="single" w:sz="4" w:space="0" w:color="auto"/>
              <w:left w:val="single" w:sz="4" w:space="0" w:color="auto"/>
              <w:right w:val="single" w:sz="4" w:space="0" w:color="auto"/>
            </w:tcBorders>
            <w:shd w:val="clear" w:color="auto" w:fill="BDD7EE"/>
            <w:vAlign w:val="center"/>
            <w:hideMark/>
          </w:tcPr>
          <w:p w14:paraId="7340BD15" w14:textId="77777777" w:rsidR="00235E11" w:rsidRDefault="00F837E4">
            <w:pPr>
              <w:pStyle w:val="P68B1DB1-Normal15"/>
              <w:spacing w:after="0"/>
              <w:jc w:val="center"/>
              <w:rPr>
                <w:noProof/>
              </w:rPr>
            </w:pPr>
            <w:r>
              <w:rPr>
                <w:noProof/>
              </w:rPr>
              <w:t>Описание на всеки ключов етап и цел</w:t>
            </w:r>
          </w:p>
        </w:tc>
      </w:tr>
      <w:tr w:rsidR="00235E11" w14:paraId="74A49CD7" w14:textId="77777777">
        <w:trPr>
          <w:trHeight w:val="1013"/>
        </w:trPr>
        <w:tc>
          <w:tcPr>
            <w:tcW w:w="704" w:type="dxa"/>
            <w:vMerge/>
            <w:tcBorders>
              <w:left w:val="single" w:sz="4" w:space="0" w:color="auto"/>
              <w:bottom w:val="single" w:sz="4" w:space="0" w:color="auto"/>
              <w:right w:val="single" w:sz="4" w:space="0" w:color="auto"/>
            </w:tcBorders>
            <w:shd w:val="clear" w:color="auto" w:fill="C6EFCE"/>
            <w:vAlign w:val="center"/>
            <w:hideMark/>
          </w:tcPr>
          <w:p w14:paraId="21F6D25A" w14:textId="77777777" w:rsidR="00235E11" w:rsidRDefault="00235E11">
            <w:pPr>
              <w:spacing w:after="0"/>
              <w:rPr>
                <w:rFonts w:ascii="Times New Roman" w:eastAsia="Times New Roman" w:hAnsi="Times New Roman" w:cs="Times New Roman"/>
                <w:b/>
                <w:noProof/>
              </w:rPr>
            </w:pPr>
          </w:p>
        </w:tc>
        <w:tc>
          <w:tcPr>
            <w:tcW w:w="1418" w:type="dxa"/>
            <w:vMerge/>
            <w:tcBorders>
              <w:left w:val="single" w:sz="4" w:space="0" w:color="auto"/>
              <w:bottom w:val="single" w:sz="4" w:space="0" w:color="auto"/>
              <w:right w:val="single" w:sz="4" w:space="0" w:color="auto"/>
            </w:tcBorders>
            <w:shd w:val="clear" w:color="auto" w:fill="C6EFCE"/>
            <w:vAlign w:val="center"/>
            <w:hideMark/>
          </w:tcPr>
          <w:p w14:paraId="14F08E54" w14:textId="77777777" w:rsidR="00235E11" w:rsidRDefault="00235E11">
            <w:pPr>
              <w:spacing w:after="0"/>
              <w:rPr>
                <w:rFonts w:ascii="Times New Roman" w:eastAsia="Times New Roman" w:hAnsi="Times New Roman" w:cs="Times New Roman"/>
                <w:b/>
                <w:noProof/>
              </w:rPr>
            </w:pPr>
          </w:p>
        </w:tc>
        <w:tc>
          <w:tcPr>
            <w:tcW w:w="708" w:type="dxa"/>
            <w:vMerge/>
            <w:tcBorders>
              <w:left w:val="single" w:sz="4" w:space="0" w:color="auto"/>
              <w:bottom w:val="single" w:sz="4" w:space="0" w:color="auto"/>
              <w:right w:val="single" w:sz="4" w:space="0" w:color="auto"/>
            </w:tcBorders>
            <w:shd w:val="clear" w:color="auto" w:fill="C6EFCE"/>
            <w:vAlign w:val="center"/>
            <w:hideMark/>
          </w:tcPr>
          <w:p w14:paraId="6B90F8DD" w14:textId="77777777" w:rsidR="00235E11" w:rsidRDefault="00235E11">
            <w:pPr>
              <w:spacing w:after="0"/>
              <w:rPr>
                <w:rFonts w:ascii="Times New Roman" w:eastAsia="Times New Roman" w:hAnsi="Times New Roman" w:cs="Times New Roman"/>
                <w:b/>
                <w:noProof/>
              </w:rPr>
            </w:pPr>
          </w:p>
        </w:tc>
        <w:tc>
          <w:tcPr>
            <w:tcW w:w="1701" w:type="dxa"/>
            <w:vMerge/>
            <w:tcBorders>
              <w:left w:val="nil"/>
              <w:bottom w:val="single" w:sz="4" w:space="0" w:color="auto"/>
              <w:right w:val="single" w:sz="4" w:space="0" w:color="auto"/>
            </w:tcBorders>
            <w:shd w:val="clear" w:color="auto" w:fill="C6EFCE"/>
            <w:vAlign w:val="center"/>
            <w:hideMark/>
          </w:tcPr>
          <w:p w14:paraId="33A83A03" w14:textId="77777777" w:rsidR="00235E11" w:rsidRDefault="00235E11">
            <w:pPr>
              <w:spacing w:after="0"/>
              <w:rPr>
                <w:rFonts w:ascii="Times New Roman" w:eastAsia="Times New Roman" w:hAnsi="Times New Roman" w:cs="Times New Roman"/>
                <w:b/>
                <w:noProof/>
              </w:rPr>
            </w:pPr>
          </w:p>
        </w:tc>
        <w:tc>
          <w:tcPr>
            <w:tcW w:w="1560" w:type="dxa"/>
            <w:vMerge/>
            <w:tcBorders>
              <w:left w:val="single" w:sz="4" w:space="0" w:color="auto"/>
              <w:bottom w:val="single" w:sz="4" w:space="0" w:color="auto"/>
              <w:right w:val="single" w:sz="4" w:space="0" w:color="auto"/>
            </w:tcBorders>
            <w:shd w:val="clear" w:color="auto" w:fill="C6EFCE"/>
            <w:vAlign w:val="center"/>
            <w:hideMark/>
          </w:tcPr>
          <w:p w14:paraId="57C64527" w14:textId="77777777" w:rsidR="00235E11" w:rsidRDefault="00235E11">
            <w:pPr>
              <w:spacing w:after="0"/>
              <w:rPr>
                <w:rFonts w:ascii="Times New Roman" w:eastAsia="Times New Roman" w:hAnsi="Times New Roman" w:cs="Times New Roman"/>
                <w:b/>
                <w:noProof/>
              </w:rPr>
            </w:pP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6C57CE9E" w14:textId="77777777" w:rsidR="00235E11" w:rsidRDefault="00F837E4">
            <w:pPr>
              <w:pStyle w:val="P68B1DB1-Normal15"/>
              <w:spacing w:after="0"/>
              <w:jc w:val="center"/>
              <w:rPr>
                <w:noProof/>
              </w:rPr>
            </w:pPr>
            <w:r>
              <w:rPr>
                <w:noProof/>
              </w:rPr>
              <w:t>Единица мярка</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7F9E8159" w14:textId="77777777" w:rsidR="00235E11" w:rsidRDefault="00F837E4">
            <w:pPr>
              <w:pStyle w:val="P68B1DB1-Normal15"/>
              <w:spacing w:after="0"/>
              <w:jc w:val="center"/>
              <w:rPr>
                <w:noProof/>
              </w:rPr>
            </w:pPr>
            <w:r>
              <w:rPr>
                <w:noProof/>
              </w:rPr>
              <w:t xml:space="preserve">Базова линия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14:paraId="7ED54091" w14:textId="77777777" w:rsidR="00235E11" w:rsidRDefault="00F837E4">
            <w:pPr>
              <w:pStyle w:val="P68B1DB1-Normal15"/>
              <w:spacing w:after="0"/>
              <w:jc w:val="center"/>
              <w:rPr>
                <w:noProof/>
              </w:rPr>
            </w:pPr>
            <w:r>
              <w:rPr>
                <w:noProof/>
              </w:rPr>
              <w:t xml:space="preserve">Цел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561B0A03" w14:textId="77777777" w:rsidR="00235E11" w:rsidRDefault="00F837E4">
            <w:pPr>
              <w:pStyle w:val="P68B1DB1-Normal15"/>
              <w:spacing w:after="0"/>
              <w:jc w:val="center"/>
              <w:rPr>
                <w:noProof/>
              </w:rPr>
            </w:pPr>
            <w:r>
              <w:rPr>
                <w:noProof/>
              </w:rPr>
              <w:t>Тримесечие</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665C015C" w14:textId="77777777" w:rsidR="00235E11" w:rsidRDefault="00F837E4">
            <w:pPr>
              <w:pStyle w:val="P68B1DB1-Normal15"/>
              <w:spacing w:after="0"/>
              <w:jc w:val="center"/>
              <w:rPr>
                <w:noProof/>
              </w:rPr>
            </w:pPr>
            <w:r>
              <w:rPr>
                <w:noProof/>
              </w:rPr>
              <w:t>Година</w:t>
            </w:r>
          </w:p>
        </w:tc>
        <w:tc>
          <w:tcPr>
            <w:tcW w:w="4224" w:type="dxa"/>
            <w:vMerge/>
            <w:tcBorders>
              <w:left w:val="single" w:sz="4" w:space="0" w:color="auto"/>
              <w:bottom w:val="single" w:sz="4" w:space="0" w:color="auto"/>
              <w:right w:val="single" w:sz="4" w:space="0" w:color="auto"/>
            </w:tcBorders>
            <w:shd w:val="clear" w:color="auto" w:fill="C6EFCE"/>
            <w:vAlign w:val="center"/>
            <w:hideMark/>
          </w:tcPr>
          <w:p w14:paraId="72AD1251" w14:textId="77777777" w:rsidR="00235E11" w:rsidRDefault="00235E11">
            <w:pPr>
              <w:spacing w:after="0"/>
              <w:rPr>
                <w:rFonts w:ascii="Times New Roman" w:eastAsia="Times New Roman" w:hAnsi="Times New Roman" w:cs="Times New Roman"/>
                <w:b/>
                <w:noProof/>
              </w:rPr>
            </w:pPr>
          </w:p>
        </w:tc>
      </w:tr>
      <w:tr w:rsidR="00235E11" w14:paraId="51884D4C" w14:textId="77777777">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21E834" w14:textId="77777777" w:rsidR="00235E11" w:rsidRDefault="00F837E4">
            <w:pPr>
              <w:pStyle w:val="P68B1DB1-Normal10"/>
              <w:spacing w:after="0"/>
              <w:rPr>
                <w:noProof/>
              </w:rPr>
            </w:pPr>
            <w:r>
              <w:rPr>
                <w:noProof/>
              </w:rPr>
              <w:t>209</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31D5F5B9" w14:textId="77777777" w:rsidR="00235E11" w:rsidRDefault="00F837E4">
            <w:pPr>
              <w:pStyle w:val="P68B1DB1-Normal10"/>
              <w:spacing w:after="0"/>
              <w:rPr>
                <w:noProof/>
              </w:rPr>
            </w:pPr>
            <w:r>
              <w:rPr>
                <w:noProof/>
              </w:rPr>
              <w:t>Мониторинг и изпълнение на плана</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78408415" w14:textId="77777777" w:rsidR="00235E11" w:rsidRDefault="00F837E4">
            <w:pPr>
              <w:pStyle w:val="P68B1DB1-Normal10"/>
              <w:spacing w:after="0"/>
              <w:rPr>
                <w:noProof/>
              </w:rPr>
            </w:pPr>
            <w:r>
              <w:rPr>
                <w:noProof/>
              </w:rPr>
              <w:t>M</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E181D93" w14:textId="77777777" w:rsidR="00235E11" w:rsidRDefault="00F837E4">
            <w:pPr>
              <w:pStyle w:val="P68B1DB1-Normal9"/>
              <w:spacing w:after="0"/>
              <w:rPr>
                <w:rFonts w:eastAsia="Times New Roman"/>
                <w:noProof/>
              </w:rPr>
            </w:pPr>
            <w:r>
              <w:rPr>
                <w:noProof/>
              </w:rPr>
              <w:t>Система от регистри за одит и контрол: информация за мониторинг на изпълнението на МВУ</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5E338BA8" w14:textId="06C4E33E" w:rsidR="00235E11" w:rsidRDefault="00F837E4">
            <w:pPr>
              <w:pStyle w:val="P68B1DB1-Normal9"/>
              <w:spacing w:after="0"/>
              <w:rPr>
                <w:rFonts w:eastAsia="Times New Roman"/>
                <w:noProof/>
              </w:rPr>
            </w:pPr>
            <w:r>
              <w:rPr>
                <w:noProof/>
              </w:rPr>
              <w:t>Одитен доклад, потвърждаващ функциите на системата от регистри</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A81A483"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A9138CA" w14:textId="77777777" w:rsidR="00235E11" w:rsidRDefault="00235E11">
            <w:pPr>
              <w:spacing w:after="0"/>
              <w:rPr>
                <w:rFonts w:ascii="Times New Roman" w:eastAsia="Times New Roman" w:hAnsi="Times New Roman" w:cs="Times New Roman"/>
                <w:noProof/>
                <w:color w:val="006100"/>
              </w:rPr>
            </w:pP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103C7953"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B0713C1" w14:textId="77777777" w:rsidR="00235E11" w:rsidRDefault="00F837E4">
            <w:pPr>
              <w:pStyle w:val="P68B1DB1-Normal10"/>
              <w:spacing w:after="0"/>
              <w:rPr>
                <w:noProof/>
              </w:rPr>
            </w:pPr>
            <w:r>
              <w:rPr>
                <w:noProof/>
              </w:rPr>
              <w:t>Преди първото искане за плащане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98DD291" w14:textId="77777777" w:rsidR="00235E11" w:rsidRDefault="00F837E4">
            <w:pPr>
              <w:pStyle w:val="P68B1DB1-Normal10"/>
              <w:spacing w:after="0"/>
              <w:rPr>
                <w:noProof/>
              </w:rPr>
            </w:pPr>
            <w:r>
              <w:rPr>
                <w:noProof/>
              </w:rPr>
              <w:t>Преди първото искане за плащане</w:t>
            </w:r>
          </w:p>
        </w:tc>
        <w:tc>
          <w:tcPr>
            <w:tcW w:w="4224" w:type="dxa"/>
            <w:tcBorders>
              <w:top w:val="single" w:sz="4" w:space="0" w:color="auto"/>
              <w:left w:val="nil"/>
              <w:bottom w:val="single" w:sz="4" w:space="0" w:color="auto"/>
              <w:right w:val="single" w:sz="4" w:space="0" w:color="auto"/>
            </w:tcBorders>
            <w:shd w:val="clear" w:color="auto" w:fill="C6EFCE"/>
            <w:noWrap/>
            <w:vAlign w:val="center"/>
          </w:tcPr>
          <w:p w14:paraId="30D3DD78" w14:textId="77777777" w:rsidR="00235E11" w:rsidRDefault="00F837E4">
            <w:pPr>
              <w:pStyle w:val="P68B1DB1-Normal9"/>
              <w:spacing w:after="120"/>
              <w:rPr>
                <w:noProof/>
              </w:rPr>
            </w:pPr>
            <w:r>
              <w:rPr>
                <w:noProof/>
              </w:rPr>
              <w:t>Създава се и функционира система от регистри за наблюдение на изпълнението на МВУ.</w:t>
            </w:r>
          </w:p>
          <w:p w14:paraId="4AE4016F" w14:textId="0E0C7242" w:rsidR="00235E11" w:rsidRDefault="00F837E4">
            <w:pPr>
              <w:pStyle w:val="P68B1DB1-Normal9"/>
              <w:spacing w:after="0"/>
              <w:rPr>
                <w:noProof/>
              </w:rPr>
            </w:pPr>
            <w:r>
              <w:rPr>
                <w:noProof/>
              </w:rPr>
              <w:t>Системата включва най-малко следните функционални възможности:</w:t>
            </w:r>
          </w:p>
          <w:p w14:paraId="2817EC0C" w14:textId="77777777" w:rsidR="00235E11" w:rsidRDefault="00F837E4">
            <w:pPr>
              <w:pStyle w:val="P68B1DB1-Normal9"/>
              <w:spacing w:after="0"/>
              <w:rPr>
                <w:noProof/>
              </w:rPr>
            </w:pPr>
            <w:r>
              <w:rPr>
                <w:noProof/>
              </w:rPr>
              <w:t>а) събиране на данни и мониторинг на постигането на ключовите етапи и целите;</w:t>
            </w:r>
          </w:p>
          <w:p w14:paraId="38C75157" w14:textId="77777777" w:rsidR="00235E11" w:rsidRDefault="00F837E4">
            <w:pPr>
              <w:pStyle w:val="P68B1DB1-Normal17"/>
              <w:spacing w:after="0"/>
              <w:rPr>
                <w:rFonts w:eastAsia="Times New Roman"/>
                <w:noProof/>
                <w:color w:val="006100"/>
              </w:rPr>
            </w:pPr>
            <w:r>
              <w:rPr>
                <w:noProof/>
                <w:color w:val="006100"/>
              </w:rPr>
              <w:t>б)</w:t>
            </w:r>
            <w:r>
              <w:rPr>
                <w:noProof/>
              </w:rPr>
              <w:t xml:space="preserve"> </w:t>
            </w:r>
            <w:r>
              <w:rPr>
                <w:noProof/>
                <w:color w:val="006100"/>
              </w:rPr>
              <w:t>събира, съхранява и осигурява достъп до данните, изисквани съгласно член 22, параграф 2, буква г), подточки i) — iii) от Регламента за</w:t>
            </w:r>
            <w:r>
              <w:rPr>
                <w:noProof/>
              </w:rPr>
              <w:t>МВУ.</w:t>
            </w:r>
          </w:p>
        </w:tc>
      </w:tr>
      <w:tr w:rsidR="00235E11" w14:paraId="3C84D225" w14:textId="77777777">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0A3C84" w14:textId="77777777" w:rsidR="00235E11" w:rsidRDefault="00F837E4">
            <w:pPr>
              <w:pStyle w:val="P68B1DB1-Normal10"/>
              <w:spacing w:after="0"/>
              <w:rPr>
                <w:noProof/>
              </w:rPr>
            </w:pPr>
            <w:r>
              <w:rPr>
                <w:noProof/>
              </w:rPr>
              <w:t>210</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24C080FA" w14:textId="77777777" w:rsidR="00235E11" w:rsidRDefault="00F837E4">
            <w:pPr>
              <w:pStyle w:val="P68B1DB1-Normal10"/>
              <w:spacing w:after="0"/>
              <w:rPr>
                <w:noProof/>
              </w:rPr>
            </w:pPr>
            <w:r>
              <w:rPr>
                <w:noProof/>
              </w:rPr>
              <w:t>Мониторинг и изпълнение на плана</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0820B564" w14:textId="77777777" w:rsidR="00235E11" w:rsidRDefault="00F837E4">
            <w:pPr>
              <w:pStyle w:val="P68B1DB1-Normal10"/>
              <w:spacing w:after="0"/>
              <w:rPr>
                <w:noProof/>
              </w:rPr>
            </w:pPr>
            <w:r>
              <w:rPr>
                <w:noProof/>
              </w:rPr>
              <w:t>M</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9DB6424" w14:textId="77777777" w:rsidR="00235E11" w:rsidRDefault="00F837E4">
            <w:pPr>
              <w:pStyle w:val="P68B1DB1-Normal10"/>
              <w:spacing w:after="0"/>
              <w:rPr>
                <w:noProof/>
              </w:rPr>
            </w:pPr>
            <w:r>
              <w:rPr>
                <w:noProof/>
              </w:rPr>
              <w:t>Защита на финансовите интереси на ЕС</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09D965E" w14:textId="77777777" w:rsidR="00235E11" w:rsidRDefault="00F837E4">
            <w:pPr>
              <w:pStyle w:val="P68B1DB1-Normal10"/>
              <w:spacing w:after="0"/>
              <w:rPr>
                <w:noProof/>
              </w:rPr>
            </w:pPr>
            <w:r>
              <w:rPr>
                <w:noProof/>
              </w:rPr>
              <w:t>Изпълнение на договореностите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89E4D18"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C006D5B" w14:textId="77777777" w:rsidR="00235E11" w:rsidRDefault="00235E11">
            <w:pPr>
              <w:spacing w:after="0"/>
              <w:rPr>
                <w:rFonts w:ascii="Times New Roman" w:eastAsia="Times New Roman" w:hAnsi="Times New Roman" w:cs="Times New Roman"/>
                <w:noProof/>
                <w:color w:val="006100"/>
              </w:rPr>
            </w:pP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47701B84"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2DC8087" w14:textId="77777777" w:rsidR="00235E11" w:rsidRDefault="00F837E4">
            <w:pPr>
              <w:pStyle w:val="P68B1DB1-Normal10"/>
              <w:spacing w:after="0"/>
              <w:rPr>
                <w:noProof/>
              </w:rPr>
            </w:pPr>
            <w:r>
              <w:rPr>
                <w:noProof/>
              </w:rPr>
              <w:t>Преди първото искане за плащане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03B9242" w14:textId="77777777" w:rsidR="00235E11" w:rsidRDefault="00F837E4">
            <w:pPr>
              <w:pStyle w:val="P68B1DB1-Normal10"/>
              <w:spacing w:after="0"/>
              <w:rPr>
                <w:noProof/>
              </w:rPr>
            </w:pPr>
            <w:r>
              <w:rPr>
                <w:noProof/>
              </w:rPr>
              <w:t>Преди първото искане за плащане</w:t>
            </w:r>
          </w:p>
        </w:tc>
        <w:tc>
          <w:tcPr>
            <w:tcW w:w="4224" w:type="dxa"/>
            <w:tcBorders>
              <w:top w:val="single" w:sz="4" w:space="0" w:color="auto"/>
              <w:left w:val="nil"/>
              <w:bottom w:val="single" w:sz="4" w:space="0" w:color="auto"/>
              <w:right w:val="single" w:sz="4" w:space="0" w:color="auto"/>
            </w:tcBorders>
            <w:shd w:val="clear" w:color="auto" w:fill="C6EFCE"/>
            <w:noWrap/>
            <w:vAlign w:val="center"/>
          </w:tcPr>
          <w:p w14:paraId="1866D84D" w14:textId="66471B21" w:rsidR="00235E11" w:rsidRDefault="00F837E4">
            <w:pPr>
              <w:pStyle w:val="P68B1DB1-Normal10"/>
              <w:spacing w:after="0"/>
              <w:rPr>
                <w:noProof/>
              </w:rPr>
            </w:pPr>
            <w:r>
              <w:rPr>
                <w:noProof/>
              </w:rPr>
              <w:t>Прилагането на подходящи механизми за координация, включително кръстосани проверки, се въвежда на равнището на координиращия орган на междуфедерално равнище, което позволява да се избегне двойно финансиране от механизма и други програми на Съюза в съответствие с принципа на доброто финансово управление.</w:t>
            </w:r>
          </w:p>
        </w:tc>
      </w:tr>
      <w:tr w:rsidR="00235E11" w14:paraId="156E067D" w14:textId="77777777">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F08FF6" w14:textId="64C51F1C" w:rsidR="00235E11" w:rsidRDefault="00F837E4">
            <w:pPr>
              <w:pStyle w:val="P68B1DB1-Normal10"/>
              <w:spacing w:after="0"/>
              <w:rPr>
                <w:noProof/>
              </w:rPr>
            </w:pPr>
            <w:r>
              <w:rPr>
                <w:noProof/>
              </w:rPr>
              <w:t>250</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2DCFA82F" w14:textId="2284924F" w:rsidR="00235E11" w:rsidRDefault="00F837E4">
            <w:pPr>
              <w:pStyle w:val="P68B1DB1-Normal10"/>
              <w:spacing w:after="0"/>
              <w:rPr>
                <w:noProof/>
              </w:rPr>
            </w:pPr>
            <w:r>
              <w:rPr>
                <w:noProof/>
              </w:rPr>
              <w:t>Мониторинг и изпълнение на плана</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1273E86C" w14:textId="3FFB6090" w:rsidR="00235E11" w:rsidRDefault="00F837E4">
            <w:pPr>
              <w:pStyle w:val="P68B1DB1-Normal10"/>
              <w:spacing w:after="0"/>
              <w:rPr>
                <w:noProof/>
              </w:rPr>
            </w:pPr>
            <w:r>
              <w:rPr>
                <w:noProof/>
              </w:rPr>
              <w:t>M</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3A82671" w14:textId="071F108C" w:rsidR="00235E11" w:rsidRDefault="00F837E4">
            <w:pPr>
              <w:pStyle w:val="P68B1DB1-Normal10"/>
              <w:spacing w:after="0"/>
              <w:rPr>
                <w:noProof/>
              </w:rPr>
            </w:pPr>
            <w:r>
              <w:rPr>
                <w:noProof/>
              </w:rPr>
              <w:t>Адаптиране на системата за управление и контрол на плана за възстановяване и устойчивост</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64D78129" w14:textId="32468167" w:rsidR="00235E11" w:rsidRDefault="00F837E4">
            <w:pPr>
              <w:pStyle w:val="P68B1DB1-Normal14"/>
              <w:spacing w:after="0"/>
              <w:rPr>
                <w:noProof/>
                <w:color w:val="C45911" w:themeColor="accent2" w:themeShade="BF"/>
              </w:rPr>
            </w:pPr>
            <w:r>
              <w:rPr>
                <w:noProof/>
                <w:color w:val="006100"/>
              </w:rPr>
              <w:t>Адаптирано процедурно ръководство и инструкции за изпълнителните органи. Приемане и</w:t>
            </w:r>
            <w:r>
              <w:rPr>
                <w:noProof/>
                <w:color w:val="C45911" w:themeColor="accent2" w:themeShade="BF"/>
              </w:rPr>
              <w:t xml:space="preserve"> </w:t>
            </w:r>
            <w:r>
              <w:rPr>
                <w:noProof/>
                <w:color w:val="006100"/>
              </w:rPr>
              <w:t>изпращане на съобщение до Инспектората по финанси, когато е уместно.</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A82E001" w14:textId="77777777" w:rsidR="00235E11" w:rsidRDefault="00235E11">
            <w:pPr>
              <w:spacing w:after="0"/>
              <w:rPr>
                <w:rFonts w:ascii="Times New Roman" w:eastAsia="Times New Roman" w:hAnsi="Times New Roman" w:cs="Times New Roman"/>
                <w:noProof/>
                <w:color w:val="C45911" w:themeColor="accent2" w:themeShade="BF"/>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9D86599" w14:textId="77777777" w:rsidR="00235E11" w:rsidRDefault="00235E11">
            <w:pPr>
              <w:spacing w:after="0"/>
              <w:rPr>
                <w:rFonts w:ascii="Times New Roman" w:eastAsia="Times New Roman" w:hAnsi="Times New Roman" w:cs="Times New Roman"/>
                <w:noProof/>
                <w:color w:val="C45911" w:themeColor="accent2" w:themeShade="BF"/>
              </w:rPr>
            </w:pP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0DBE7341" w14:textId="77777777" w:rsidR="00235E11" w:rsidRDefault="00235E11">
            <w:pPr>
              <w:spacing w:after="0"/>
              <w:rPr>
                <w:rFonts w:ascii="Times New Roman" w:eastAsia="Times New Roman" w:hAnsi="Times New Roman" w:cs="Times New Roman"/>
                <w:noProof/>
                <w:color w:val="C45911" w:themeColor="accent2" w:themeShade="BF"/>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E5841D4" w14:textId="030DADDC" w:rsidR="00235E11" w:rsidRDefault="00F837E4">
            <w:pPr>
              <w:pStyle w:val="P68B1DB1-Normal10"/>
              <w:spacing w:after="0"/>
              <w:rPr>
                <w:noProof/>
              </w:rPr>
            </w:pPr>
            <w:r>
              <w:rPr>
                <w:noProof/>
              </w:rPr>
              <w:t>Преди второто искане за плащане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AE24B36" w14:textId="285FD573" w:rsidR="00235E11" w:rsidRDefault="00F837E4">
            <w:pPr>
              <w:pStyle w:val="P68B1DB1-Normal10"/>
              <w:spacing w:after="0"/>
              <w:rPr>
                <w:noProof/>
              </w:rPr>
            </w:pPr>
            <w:r>
              <w:rPr>
                <w:noProof/>
              </w:rPr>
              <w:t>Преди второто искане за плащане</w:t>
            </w:r>
          </w:p>
        </w:tc>
        <w:tc>
          <w:tcPr>
            <w:tcW w:w="4224" w:type="dxa"/>
            <w:tcBorders>
              <w:top w:val="single" w:sz="4" w:space="0" w:color="auto"/>
              <w:left w:val="nil"/>
              <w:bottom w:val="single" w:sz="4" w:space="0" w:color="auto"/>
              <w:right w:val="single" w:sz="4" w:space="0" w:color="auto"/>
            </w:tcBorders>
            <w:shd w:val="clear" w:color="auto" w:fill="C6EFCE"/>
            <w:noWrap/>
            <w:vAlign w:val="center"/>
          </w:tcPr>
          <w:p w14:paraId="14423FE2" w14:textId="16FA3587" w:rsidR="00235E11" w:rsidRDefault="00F837E4">
            <w:pPr>
              <w:pStyle w:val="P68B1DB1-Normal10"/>
              <w:spacing w:after="0"/>
              <w:rPr>
                <w:noProof/>
              </w:rPr>
            </w:pPr>
            <w:bookmarkStart w:id="9" w:name="_Hlk148685805"/>
            <w:r>
              <w:rPr>
                <w:noProof/>
              </w:rPr>
              <w:t xml:space="preserve">Координиращите органи в белгийския план за възстановяване и устойчивост, в сътрудничество с изпълнителните органи, ако е необходимо, адаптират своя наръчник с процедури/документи, в който се описва тяхната система за управление и контрол, и издават съответни инструкции на изпълнителните органи с цел укрепване на рамката за предотвратяване, разкриване и коригиране на всички сериозни нередности, като измами, конфликт на интереси, корупция и двойно финансиране. </w:t>
            </w:r>
            <w:bookmarkEnd w:id="9"/>
            <w:r>
              <w:rPr>
                <w:noProof/>
              </w:rPr>
              <w:t>Актуализираният процедурен наръчник и свързаните с него инструкции включват най-малко:</w:t>
            </w:r>
          </w:p>
          <w:p w14:paraId="4C9980A4" w14:textId="1F894E4C" w:rsidR="00235E11" w:rsidRDefault="00F837E4">
            <w:pPr>
              <w:pStyle w:val="P68B1DB1-Normal10"/>
              <w:spacing w:after="0"/>
              <w:rPr>
                <w:noProof/>
              </w:rPr>
            </w:pPr>
            <w:r>
              <w:rPr>
                <w:noProof/>
              </w:rPr>
              <w:t xml:space="preserve">а) Разпоредби за стратегии/политики за борба с измамите и за борба с корупцията във всички изпълнителни органи, като се вземат предвид всички елементи, посочени в Насоките относно оценката на риска от измами и ефективни и пропорционални мерки за борба с измамите за ЕСИФ за периода 2014—2020 г.; </w:t>
            </w:r>
          </w:p>
          <w:p w14:paraId="2344C57D" w14:textId="6CED3F7C" w:rsidR="00235E11" w:rsidRDefault="00F837E4">
            <w:pPr>
              <w:pStyle w:val="P68B1DB1-Normal10"/>
              <w:spacing w:after="0"/>
              <w:rPr>
                <w:noProof/>
              </w:rPr>
            </w:pPr>
            <w:r>
              <w:rPr>
                <w:noProof/>
              </w:rPr>
              <w:t>б) Процедури, гарантиращи, че лицата, които подписват декларацията (ите) за управлението до Комисията, получават увереност относно задоволителното изпълнение на ключовите етапи и целите, определени в плана за възстановяване и устойчивост, че средствата са управлявани в съответствие с всички приложими правила, по-специално правилата за избягване на конфликти на интереси, измами, предотвратяване на корупцията и двойно финансиране;</w:t>
            </w:r>
          </w:p>
          <w:p w14:paraId="37E8EE9E" w14:textId="0177C93A" w:rsidR="00235E11" w:rsidRDefault="00F837E4">
            <w:pPr>
              <w:pStyle w:val="P68B1DB1-Normal10"/>
              <w:spacing w:after="0"/>
              <w:rPr>
                <w:noProof/>
              </w:rPr>
            </w:pPr>
            <w:r>
              <w:rPr>
                <w:noProof/>
              </w:rPr>
              <w:t>в) Разпоредби, изискващи функционални вътрешни и външни канали за подаване на сигнали за нередности в рамките на всички органи;</w:t>
            </w:r>
          </w:p>
          <w:p w14:paraId="7E16F178" w14:textId="2A2C0474" w:rsidR="00235E11" w:rsidRDefault="00F837E4">
            <w:pPr>
              <w:pStyle w:val="P68B1DB1-Normal10"/>
              <w:spacing w:after="0"/>
              <w:rPr>
                <w:noProof/>
              </w:rPr>
            </w:pPr>
            <w:r>
              <w:rPr>
                <w:noProof/>
              </w:rPr>
              <w:t xml:space="preserve">г) Разпоредби, изискващи проверки на място от изпълнителните органи или координиращия орган (регион Брюксел-столица), с особен акцент върху защитата на финансовите интереси на Съюза; </w:t>
            </w:r>
          </w:p>
          <w:p w14:paraId="513A9323" w14:textId="4D68ED6C" w:rsidR="00235E11" w:rsidRDefault="00F837E4">
            <w:pPr>
              <w:pStyle w:val="P68B1DB1-Normal10"/>
              <w:spacing w:after="0"/>
              <w:rPr>
                <w:noProof/>
              </w:rPr>
            </w:pPr>
            <w:r>
              <w:rPr>
                <w:noProof/>
              </w:rPr>
              <w:t xml:space="preserve">д) Процедури за докладване на нередности на OLAF и други компетентни органи в рамките на всички органи; </w:t>
            </w:r>
          </w:p>
          <w:p w14:paraId="4F2B7A02" w14:textId="50559766" w:rsidR="00235E11" w:rsidRDefault="00F837E4">
            <w:pPr>
              <w:pStyle w:val="P68B1DB1-Normal10"/>
              <w:spacing w:after="120"/>
              <w:rPr>
                <w:noProof/>
              </w:rPr>
            </w:pPr>
            <w:r>
              <w:rPr>
                <w:noProof/>
              </w:rPr>
              <w:t>е) Процедури във връзка с проверката на спазването на правото на Съюза и националното право, по-специално по отношение на обществените поръчки и държавната помощ, в рамките на изпълнителните органи.</w:t>
            </w:r>
          </w:p>
          <w:p w14:paraId="566C57B8" w14:textId="4316F683" w:rsidR="00235E11" w:rsidRDefault="00F837E4">
            <w:pPr>
              <w:pStyle w:val="P68B1DB1-Normal10"/>
              <w:spacing w:after="0"/>
              <w:rPr>
                <w:noProof/>
              </w:rPr>
            </w:pPr>
            <w:r>
              <w:rPr>
                <w:noProof/>
              </w:rPr>
              <w:t>Освен това, когато на Инспектората на финансите е възложена отговорността за този контрол, съответният координиращ орган приема и изпраща съобщение до Инспектората по финанси във връзка с предварителните проверки за спазването на правото на Съюза и националното право и за защитата на финансовите интереси на Съюза, които се извършват в съответствие с Регламент (ЕС) 2021/241.</w:t>
            </w:r>
          </w:p>
        </w:tc>
      </w:tr>
      <w:tr w:rsidR="00235E11" w14:paraId="2B14C96F" w14:textId="77777777">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E849E1" w14:textId="2DDF578B" w:rsidR="00235E11" w:rsidRDefault="00F837E4">
            <w:pPr>
              <w:pStyle w:val="P68B1DB1-Normal10"/>
              <w:spacing w:after="0"/>
              <w:rPr>
                <w:noProof/>
              </w:rPr>
            </w:pPr>
            <w:r>
              <w:rPr>
                <w:noProof/>
              </w:rPr>
              <w:t>251</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32672F9B" w14:textId="73D183D1" w:rsidR="00235E11" w:rsidRDefault="00F837E4">
            <w:pPr>
              <w:pStyle w:val="P68B1DB1-Normal10"/>
              <w:spacing w:after="0"/>
              <w:rPr>
                <w:noProof/>
              </w:rPr>
            </w:pPr>
            <w:r>
              <w:rPr>
                <w:noProof/>
              </w:rPr>
              <w:t>Мониторинг и изпълнение на плана</w:t>
            </w:r>
          </w:p>
        </w:tc>
        <w:tc>
          <w:tcPr>
            <w:tcW w:w="708" w:type="dxa"/>
            <w:tcBorders>
              <w:top w:val="single" w:sz="4" w:space="0" w:color="auto"/>
              <w:left w:val="nil"/>
              <w:bottom w:val="single" w:sz="4" w:space="0" w:color="auto"/>
              <w:right w:val="single" w:sz="4" w:space="0" w:color="auto"/>
            </w:tcBorders>
            <w:shd w:val="clear" w:color="auto" w:fill="C6EFCE"/>
            <w:noWrap/>
            <w:vAlign w:val="center"/>
          </w:tcPr>
          <w:p w14:paraId="3B9A293F" w14:textId="6FA9DA59" w:rsidR="00235E11" w:rsidRDefault="00F837E4">
            <w:pPr>
              <w:pStyle w:val="P68B1DB1-Normal10"/>
              <w:spacing w:after="0"/>
              <w:rPr>
                <w:noProof/>
              </w:rPr>
            </w:pPr>
            <w:r>
              <w:rPr>
                <w:noProof/>
              </w:rPr>
              <w:t>M</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42D2ADC" w14:textId="3252765B" w:rsidR="00235E11" w:rsidRDefault="00F837E4">
            <w:pPr>
              <w:pStyle w:val="P68B1DB1-Normal10"/>
              <w:spacing w:after="0"/>
              <w:rPr>
                <w:noProof/>
              </w:rPr>
            </w:pPr>
            <w:r>
              <w:rPr>
                <w:noProof/>
              </w:rPr>
              <w:t>Предотвратяване, разкриване и възпиране на конфликти на интереси</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3D1ECA5" w14:textId="525300E4" w:rsidR="00235E11" w:rsidRDefault="00F837E4">
            <w:pPr>
              <w:pStyle w:val="P68B1DB1-Normal10"/>
              <w:spacing w:after="0"/>
              <w:rPr>
                <w:noProof/>
              </w:rPr>
            </w:pPr>
            <w:r>
              <w:rPr>
                <w:noProof/>
              </w:rPr>
              <w:t>Издадени инструкции</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7707505" w14:textId="77777777" w:rsidR="00235E11" w:rsidRDefault="00235E11">
            <w:pPr>
              <w:spacing w:after="0"/>
              <w:rPr>
                <w:rFonts w:ascii="Times New Roman" w:eastAsia="Times New Roman" w:hAnsi="Times New Roman" w:cs="Times New Roman"/>
                <w:noProof/>
                <w:color w:val="006100"/>
              </w:rPr>
            </w:pP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0461D0E" w14:textId="77777777" w:rsidR="00235E11" w:rsidRDefault="00235E11">
            <w:pPr>
              <w:spacing w:after="0"/>
              <w:rPr>
                <w:rFonts w:ascii="Times New Roman" w:eastAsia="Times New Roman" w:hAnsi="Times New Roman" w:cs="Times New Roman"/>
                <w:noProof/>
                <w:color w:val="006100"/>
              </w:rPr>
            </w:pP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6CD56C90" w14:textId="77777777" w:rsidR="00235E11" w:rsidRDefault="00235E11">
            <w:pPr>
              <w:spacing w:after="0"/>
              <w:rPr>
                <w:rFonts w:ascii="Times New Roman" w:eastAsia="Times New Roman" w:hAnsi="Times New Roman" w:cs="Times New Roman"/>
                <w:noProof/>
                <w:color w:val="006100"/>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2B2BF48" w14:textId="069F7D18" w:rsidR="00235E11" w:rsidRDefault="00F837E4">
            <w:pPr>
              <w:pStyle w:val="P68B1DB1-Normal10"/>
              <w:spacing w:after="0"/>
              <w:rPr>
                <w:noProof/>
              </w:rPr>
            </w:pPr>
            <w:r>
              <w:rPr>
                <w:noProof/>
              </w:rPr>
              <w:t>Преди второто искане за плащане</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E610772" w14:textId="003DDA98" w:rsidR="00235E11" w:rsidRDefault="00F837E4">
            <w:pPr>
              <w:pStyle w:val="P68B1DB1-Normal10"/>
              <w:spacing w:after="0"/>
              <w:rPr>
                <w:noProof/>
              </w:rPr>
            </w:pPr>
            <w:r>
              <w:rPr>
                <w:noProof/>
              </w:rPr>
              <w:t>Преди второто искане за плащане</w:t>
            </w:r>
          </w:p>
        </w:tc>
        <w:tc>
          <w:tcPr>
            <w:tcW w:w="4224" w:type="dxa"/>
            <w:tcBorders>
              <w:top w:val="single" w:sz="4" w:space="0" w:color="auto"/>
              <w:left w:val="nil"/>
              <w:bottom w:val="single" w:sz="4" w:space="0" w:color="auto"/>
              <w:right w:val="single" w:sz="4" w:space="0" w:color="auto"/>
            </w:tcBorders>
            <w:shd w:val="clear" w:color="auto" w:fill="C6EFCE"/>
            <w:noWrap/>
            <w:vAlign w:val="center"/>
          </w:tcPr>
          <w:p w14:paraId="5B677588" w14:textId="3D2F9391" w:rsidR="00235E11" w:rsidRDefault="00F837E4">
            <w:pPr>
              <w:pStyle w:val="P68B1DB1-Normal10"/>
              <w:spacing w:after="0"/>
              <w:rPr>
                <w:noProof/>
              </w:rPr>
            </w:pPr>
            <w:r>
              <w:rPr>
                <w:noProof/>
              </w:rPr>
              <w:t>Координиращите органи в белгийския план за възстановяване и устойчивост издават инструкции на всички изпълнителни органи по отношение на предварителните проверки преди подписването на договора или възлагането на безвъзмездните средства относно риска от конфликт на интереси при изпълнението на мерките по МВУ. Това включва i) задължителни декларации за липса на конфликт на интереси от страна на лицата, участващи на всички етапи от процедурите за подбор както за поканите за участие в търгове, така и за поканите за проекти, и ii) въз основа на риска — използването на подходящ инструмент за оценка на риска с оглед на извършването на проверките за конфликт на интереси, посочени в инструкциите. Указанията определят конфликта на интереси в съответствие с член 61 от Финансовия регламент.</w:t>
            </w:r>
          </w:p>
        </w:tc>
      </w:tr>
    </w:tbl>
    <w:p w14:paraId="60CAE1F6" w14:textId="77777777" w:rsidR="00235E11" w:rsidRDefault="00235E11">
      <w:pPr>
        <w:pStyle w:val="Text1"/>
        <w:ind w:left="709"/>
        <w:rPr>
          <w:noProof/>
        </w:rPr>
      </w:pPr>
    </w:p>
    <w:p w14:paraId="624B84EA" w14:textId="77777777" w:rsidR="00235E11" w:rsidRDefault="00235E11">
      <w:pPr>
        <w:pStyle w:val="Text1"/>
        <w:ind w:left="709"/>
        <w:rPr>
          <w:noProof/>
        </w:rPr>
        <w:sectPr w:rsidR="00235E11" w:rsidSect="00594BF3">
          <w:headerReference w:type="even" r:id="rId336"/>
          <w:headerReference w:type="default" r:id="rId337"/>
          <w:footerReference w:type="even" r:id="rId338"/>
          <w:footerReference w:type="default" r:id="rId339"/>
          <w:headerReference w:type="first" r:id="rId340"/>
          <w:footerReference w:type="first" r:id="rId341"/>
          <w:pgSz w:w="16839" w:h="11907" w:orient="landscape"/>
          <w:pgMar w:top="1134" w:right="1134" w:bottom="1134" w:left="1134" w:header="567" w:footer="567" w:gutter="0"/>
          <w:cols w:space="720"/>
          <w:docGrid w:linePitch="360"/>
        </w:sectPr>
      </w:pPr>
    </w:p>
    <w:p w14:paraId="59C51A1A" w14:textId="77777777" w:rsidR="00235E11" w:rsidRDefault="00F837E4">
      <w:pPr>
        <w:pStyle w:val="Heading1"/>
        <w:numPr>
          <w:ilvl w:val="0"/>
          <w:numId w:val="39"/>
        </w:numPr>
        <w:tabs>
          <w:tab w:val="clear" w:pos="850"/>
          <w:tab w:val="num" w:pos="1417"/>
        </w:tabs>
        <w:ind w:left="1417" w:hanging="567"/>
        <w:rPr>
          <w:noProof/>
        </w:rPr>
      </w:pPr>
      <w:r>
        <w:rPr>
          <w:noProof/>
        </w:rPr>
        <w:t>Прогнозни общи разходи за плана за възстановяване и устойчивост</w:t>
      </w:r>
    </w:p>
    <w:p w14:paraId="798746DC" w14:textId="37B95476" w:rsidR="00235E11" w:rsidRDefault="00F837E4">
      <w:pPr>
        <w:pStyle w:val="Text1"/>
        <w:rPr>
          <w:noProof/>
        </w:rPr>
      </w:pPr>
      <w:r>
        <w:rPr>
          <w:noProof/>
        </w:rPr>
        <w:t xml:space="preserve">Прогнозните общи разходи за изменения план за възстановяване и устойчивост, включително главата за REPowerEU на Белгия, възлизат на </w:t>
      </w:r>
      <w:r>
        <w:rPr>
          <w:noProof/>
          <w:color w:val="000000"/>
        </w:rPr>
        <w:t>5</w:t>
      </w:r>
      <w:r>
        <w:rPr>
          <w:noProof/>
        </w:rPr>
        <w:t xml:space="preserve"> </w:t>
      </w:r>
      <w:r>
        <w:rPr>
          <w:noProof/>
          <w:color w:val="000000"/>
        </w:rPr>
        <w:t>299 439</w:t>
      </w:r>
      <w:r>
        <w:rPr>
          <w:noProof/>
        </w:rPr>
        <w:t xml:space="preserve"> </w:t>
      </w:r>
      <w:r>
        <w:rPr>
          <w:noProof/>
          <w:color w:val="000000"/>
        </w:rPr>
        <w:t>854 EUR</w:t>
      </w:r>
      <w:r>
        <w:rPr>
          <w:noProof/>
        </w:rPr>
        <w:t>. Прогнозните общи разходи за главата за REPowerEU възлизат на 725 603 658 EUR. По-специално прогнозните общи разходи за мерките, посочени в член 21в, параграф 3, буква а) от Регламент (ЕС) 2023/435, възлизат на 0 EUR, докато разходите за другите мерки в главата за REPowerEU са 725 603 658 EUR.</w:t>
      </w:r>
    </w:p>
    <w:p w14:paraId="55B669F2" w14:textId="77777777" w:rsidR="00235E11" w:rsidRDefault="00235E11">
      <w:pPr>
        <w:rPr>
          <w:rFonts w:ascii="Times New Roman" w:hAnsi="Times New Roman" w:cs="Times New Roman"/>
          <w:noProof/>
        </w:rPr>
      </w:pPr>
    </w:p>
    <w:p w14:paraId="520B44DA" w14:textId="77777777" w:rsidR="00235E11" w:rsidRDefault="00F837E4">
      <w:pPr>
        <w:pStyle w:val="Heading1"/>
        <w:tabs>
          <w:tab w:val="clear" w:pos="850"/>
        </w:tabs>
        <w:spacing w:before="120" w:after="240"/>
        <w:ind w:left="0" w:firstLine="0"/>
        <w:rPr>
          <w:noProof/>
        </w:rPr>
      </w:pPr>
      <w:r>
        <w:rPr>
          <w:noProof/>
        </w:rPr>
        <w:t xml:space="preserve">РАЗДЕЛ 2: ФИНАНСОВА ПОДКРЕПА </w:t>
      </w:r>
    </w:p>
    <w:p w14:paraId="155D342B" w14:textId="2EFF5F13" w:rsidR="00235E11" w:rsidRDefault="00F837E4">
      <w:pPr>
        <w:pStyle w:val="ManualHeading2"/>
        <w:numPr>
          <w:ilvl w:val="0"/>
          <w:numId w:val="51"/>
        </w:numPr>
        <w:ind w:left="851" w:hanging="851"/>
        <w:rPr>
          <w:noProof/>
        </w:rPr>
      </w:pPr>
      <w:r>
        <w:rPr>
          <w:noProof/>
        </w:rPr>
        <w:t>Финансов принос</w:t>
      </w:r>
    </w:p>
    <w:p w14:paraId="33A70859" w14:textId="77777777" w:rsidR="00235E11" w:rsidRDefault="00F837E4">
      <w:pPr>
        <w:pStyle w:val="Text1"/>
        <w:spacing w:after="240"/>
        <w:ind w:left="851"/>
        <w:rPr>
          <w:noProof/>
        </w:rPr>
      </w:pPr>
      <w:r>
        <w:rPr>
          <w:noProof/>
        </w:rPr>
        <w:t>Вноските, посочени в член 2, параграф 2, се организират по следния начин:</w:t>
      </w:r>
    </w:p>
    <w:p w14:paraId="2D990399" w14:textId="531FCE63" w:rsidR="00235E11" w:rsidRDefault="00F837E4">
      <w:pPr>
        <w:pStyle w:val="ManualNumPar1"/>
        <w:rPr>
          <w:noProof/>
        </w:rPr>
      </w:pPr>
      <w:r>
        <w:rPr>
          <w:noProof/>
        </w:rPr>
        <w:t>Първа вноска (безвъзмездна подкрепа):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851"/>
        <w:gridCol w:w="4427"/>
      </w:tblGrid>
      <w:tr w:rsidR="00235E11" w14:paraId="12405036" w14:textId="77777777">
        <w:trPr>
          <w:trHeight w:val="300"/>
          <w:tblHeader/>
        </w:trPr>
        <w:tc>
          <w:tcPr>
            <w:tcW w:w="400" w:type="pct"/>
            <w:shd w:val="clear" w:color="auto" w:fill="BDD7EE"/>
            <w:noWrap/>
            <w:vAlign w:val="center"/>
            <w:hideMark/>
          </w:tcPr>
          <w:p w14:paraId="1FFD1738" w14:textId="77777777" w:rsidR="00235E11" w:rsidRDefault="00F837E4">
            <w:pPr>
              <w:pStyle w:val="P68B1DB1-Normal58"/>
              <w:spacing w:before="120" w:after="120"/>
              <w:jc w:val="center"/>
              <w:rPr>
                <w:noProof/>
              </w:rPr>
            </w:pPr>
            <w:r>
              <w:rPr>
                <w:noProof/>
              </w:rPr>
              <w:t>Следващи. nb</w:t>
            </w:r>
          </w:p>
        </w:tc>
        <w:tc>
          <w:tcPr>
            <w:tcW w:w="2014" w:type="pct"/>
            <w:shd w:val="clear" w:color="auto" w:fill="BDD7EE"/>
            <w:noWrap/>
            <w:vAlign w:val="center"/>
            <w:hideMark/>
          </w:tcPr>
          <w:p w14:paraId="4B707B23" w14:textId="77777777" w:rsidR="00235E11" w:rsidRDefault="00F837E4">
            <w:pPr>
              <w:pStyle w:val="P68B1DB1-Normal58"/>
              <w:spacing w:before="120" w:after="120"/>
              <w:jc w:val="center"/>
              <w:rPr>
                <w:noProof/>
              </w:rPr>
            </w:pPr>
            <w:r>
              <w:rPr>
                <w:noProof/>
              </w:rPr>
              <w:t>Наименование на мярката</w:t>
            </w:r>
          </w:p>
        </w:tc>
        <w:tc>
          <w:tcPr>
            <w:tcW w:w="417" w:type="pct"/>
            <w:shd w:val="clear" w:color="auto" w:fill="BDD7EE"/>
            <w:noWrap/>
            <w:vAlign w:val="center"/>
            <w:hideMark/>
          </w:tcPr>
          <w:p w14:paraId="3530C59B" w14:textId="77777777" w:rsidR="00235E11" w:rsidRDefault="00F837E4">
            <w:pPr>
              <w:pStyle w:val="P68B1DB1-Normal58"/>
              <w:spacing w:before="120" w:after="120"/>
              <w:jc w:val="center"/>
              <w:rPr>
                <w:noProof/>
              </w:rPr>
            </w:pPr>
            <w:r>
              <w:rPr>
                <w:noProof/>
              </w:rPr>
              <w:t>M/T</w:t>
            </w:r>
          </w:p>
        </w:tc>
        <w:tc>
          <w:tcPr>
            <w:tcW w:w="2169" w:type="pct"/>
            <w:shd w:val="clear" w:color="auto" w:fill="BDD7EE"/>
            <w:noWrap/>
            <w:vAlign w:val="center"/>
            <w:hideMark/>
          </w:tcPr>
          <w:p w14:paraId="2B19A79F" w14:textId="77777777" w:rsidR="00235E11" w:rsidRDefault="00F837E4">
            <w:pPr>
              <w:pStyle w:val="P68B1DB1-Normal58"/>
              <w:spacing w:before="120" w:after="120"/>
              <w:jc w:val="center"/>
              <w:rPr>
                <w:noProof/>
              </w:rPr>
            </w:pPr>
            <w:r>
              <w:rPr>
                <w:noProof/>
              </w:rPr>
              <w:t>Име</w:t>
            </w:r>
          </w:p>
        </w:tc>
      </w:tr>
      <w:tr w:rsidR="00235E11" w14:paraId="29EDCE0E" w14:textId="77777777">
        <w:trPr>
          <w:trHeight w:val="315"/>
        </w:trPr>
        <w:tc>
          <w:tcPr>
            <w:tcW w:w="400" w:type="pct"/>
            <w:shd w:val="clear" w:color="000000" w:fill="C6EFCE"/>
            <w:noWrap/>
            <w:vAlign w:val="center"/>
            <w:hideMark/>
          </w:tcPr>
          <w:p w14:paraId="4851EC1A" w14:textId="77777777" w:rsidR="00235E11" w:rsidRDefault="00F837E4">
            <w:pPr>
              <w:pStyle w:val="P68B1DB1-Normal59"/>
              <w:spacing w:after="0"/>
              <w:jc w:val="center"/>
              <w:rPr>
                <w:noProof/>
              </w:rPr>
            </w:pPr>
            <w:r>
              <w:rPr>
                <w:noProof/>
              </w:rPr>
              <w:t>56</w:t>
            </w:r>
          </w:p>
        </w:tc>
        <w:tc>
          <w:tcPr>
            <w:tcW w:w="2014" w:type="pct"/>
            <w:shd w:val="clear" w:color="000000" w:fill="C6EFCE"/>
            <w:noWrap/>
            <w:vAlign w:val="center"/>
            <w:hideMark/>
          </w:tcPr>
          <w:p w14:paraId="09DB7C0A" w14:textId="77777777" w:rsidR="00235E11" w:rsidRDefault="00F837E4">
            <w:pPr>
              <w:pStyle w:val="P68B1DB1-Normal59"/>
              <w:spacing w:after="0"/>
              <w:rPr>
                <w:noProof/>
              </w:rPr>
            </w:pPr>
            <w:r>
              <w:rPr>
                <w:noProof/>
              </w:rPr>
              <w:t>Цифровизация на SPF (I-2.05) (подмярка 1: Цифрова трансформация на правосъдието)</w:t>
            </w:r>
          </w:p>
        </w:tc>
        <w:tc>
          <w:tcPr>
            <w:tcW w:w="417" w:type="pct"/>
            <w:shd w:val="clear" w:color="000000" w:fill="C6EFCE"/>
            <w:noWrap/>
            <w:vAlign w:val="center"/>
            <w:hideMark/>
          </w:tcPr>
          <w:p w14:paraId="44322FE6"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54646119" w14:textId="77777777" w:rsidR="00235E11" w:rsidRDefault="00F837E4">
            <w:pPr>
              <w:pStyle w:val="P68B1DB1-Normal59"/>
              <w:spacing w:after="0"/>
              <w:rPr>
                <w:noProof/>
              </w:rPr>
            </w:pPr>
            <w:r>
              <w:rPr>
                <w:noProof/>
              </w:rPr>
              <w:t>Управление на проекти за цифровата трансформация на правосъдието след приемането на указ</w:t>
            </w:r>
          </w:p>
        </w:tc>
      </w:tr>
      <w:tr w:rsidR="00235E11" w14:paraId="781ADF76" w14:textId="77777777">
        <w:trPr>
          <w:trHeight w:val="315"/>
        </w:trPr>
        <w:tc>
          <w:tcPr>
            <w:tcW w:w="400" w:type="pct"/>
            <w:shd w:val="clear" w:color="000000" w:fill="C6EFCE"/>
            <w:noWrap/>
            <w:vAlign w:val="center"/>
            <w:hideMark/>
          </w:tcPr>
          <w:p w14:paraId="2306BDFD" w14:textId="77777777" w:rsidR="00235E11" w:rsidRDefault="00F837E4">
            <w:pPr>
              <w:pStyle w:val="P68B1DB1-Normal59"/>
              <w:spacing w:after="0"/>
              <w:jc w:val="center"/>
              <w:rPr>
                <w:noProof/>
              </w:rPr>
            </w:pPr>
            <w:r>
              <w:rPr>
                <w:noProof/>
              </w:rPr>
              <w:t>70</w:t>
            </w:r>
          </w:p>
        </w:tc>
        <w:tc>
          <w:tcPr>
            <w:tcW w:w="2014" w:type="pct"/>
            <w:shd w:val="clear" w:color="000000" w:fill="C6EFCE"/>
            <w:noWrap/>
            <w:vAlign w:val="center"/>
            <w:hideMark/>
          </w:tcPr>
          <w:p w14:paraId="54B350A6" w14:textId="77777777" w:rsidR="00235E11" w:rsidRDefault="00F837E4">
            <w:pPr>
              <w:pStyle w:val="P68B1DB1-Normal59"/>
              <w:spacing w:after="0"/>
              <w:rPr>
                <w:noProof/>
              </w:rPr>
            </w:pPr>
            <w:r>
              <w:rPr>
                <w:noProof/>
              </w:rPr>
              <w:t>Регионална платформа за обмен на данни (I-2.10)</w:t>
            </w:r>
          </w:p>
        </w:tc>
        <w:tc>
          <w:tcPr>
            <w:tcW w:w="417" w:type="pct"/>
            <w:shd w:val="clear" w:color="000000" w:fill="C6EFCE"/>
            <w:noWrap/>
            <w:vAlign w:val="center"/>
            <w:hideMark/>
          </w:tcPr>
          <w:p w14:paraId="7E29E3EA"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281992A0" w14:textId="77777777" w:rsidR="00235E11" w:rsidRDefault="00F837E4">
            <w:pPr>
              <w:pStyle w:val="P68B1DB1-Normal59"/>
              <w:spacing w:after="0"/>
              <w:rPr>
                <w:noProof/>
              </w:rPr>
            </w:pPr>
            <w:r>
              <w:rPr>
                <w:noProof/>
              </w:rPr>
              <w:t>Възлагане на обществената поръчка</w:t>
            </w:r>
          </w:p>
        </w:tc>
      </w:tr>
      <w:tr w:rsidR="00235E11" w14:paraId="0CB4B149" w14:textId="77777777">
        <w:trPr>
          <w:trHeight w:val="315"/>
        </w:trPr>
        <w:tc>
          <w:tcPr>
            <w:tcW w:w="400" w:type="pct"/>
            <w:shd w:val="clear" w:color="000000" w:fill="C6EFCE"/>
            <w:noWrap/>
            <w:vAlign w:val="center"/>
            <w:hideMark/>
          </w:tcPr>
          <w:p w14:paraId="39FB9BD1" w14:textId="77777777" w:rsidR="00235E11" w:rsidRDefault="00F837E4">
            <w:pPr>
              <w:pStyle w:val="P68B1DB1-Normal59"/>
              <w:spacing w:after="0"/>
              <w:jc w:val="center"/>
              <w:rPr>
                <w:noProof/>
              </w:rPr>
            </w:pPr>
            <w:r>
              <w:rPr>
                <w:noProof/>
              </w:rPr>
              <w:t>72</w:t>
            </w:r>
          </w:p>
        </w:tc>
        <w:tc>
          <w:tcPr>
            <w:tcW w:w="2014" w:type="pct"/>
            <w:shd w:val="clear" w:color="000000" w:fill="C6EFCE"/>
            <w:noWrap/>
            <w:vAlign w:val="center"/>
            <w:hideMark/>
          </w:tcPr>
          <w:p w14:paraId="049574C6" w14:textId="77777777" w:rsidR="00235E11" w:rsidRDefault="00F837E4">
            <w:pPr>
              <w:pStyle w:val="P68B1DB1-Normal59"/>
              <w:spacing w:after="0"/>
              <w:rPr>
                <w:noProof/>
              </w:rPr>
            </w:pPr>
            <w:r>
              <w:rPr>
                <w:noProof/>
              </w:rPr>
              <w:t>Цифровизация на гражданските и бизнес процесите (I-2.11)</w:t>
            </w:r>
          </w:p>
        </w:tc>
        <w:tc>
          <w:tcPr>
            <w:tcW w:w="417" w:type="pct"/>
            <w:shd w:val="clear" w:color="000000" w:fill="C6EFCE"/>
            <w:noWrap/>
            <w:vAlign w:val="center"/>
            <w:hideMark/>
          </w:tcPr>
          <w:p w14:paraId="74AD8D38"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410F8D83" w14:textId="77777777" w:rsidR="00235E11" w:rsidRDefault="00F837E4">
            <w:pPr>
              <w:pStyle w:val="P68B1DB1-Normal59"/>
              <w:spacing w:after="0"/>
              <w:rPr>
                <w:noProof/>
              </w:rPr>
            </w:pPr>
            <w:r>
              <w:rPr>
                <w:noProof/>
              </w:rPr>
              <w:t>Въвеждане в експлоатация на нови цифрови платформи</w:t>
            </w:r>
          </w:p>
        </w:tc>
      </w:tr>
      <w:tr w:rsidR="00235E11" w14:paraId="0524CCC6" w14:textId="77777777">
        <w:trPr>
          <w:trHeight w:val="315"/>
        </w:trPr>
        <w:tc>
          <w:tcPr>
            <w:tcW w:w="400" w:type="pct"/>
            <w:shd w:val="clear" w:color="000000" w:fill="C6EFCE"/>
            <w:noWrap/>
            <w:vAlign w:val="center"/>
            <w:hideMark/>
          </w:tcPr>
          <w:p w14:paraId="0B01F711" w14:textId="77777777" w:rsidR="00235E11" w:rsidRDefault="00F837E4">
            <w:pPr>
              <w:pStyle w:val="P68B1DB1-Normal59"/>
              <w:spacing w:after="0"/>
              <w:jc w:val="center"/>
              <w:rPr>
                <w:noProof/>
              </w:rPr>
            </w:pPr>
            <w:r>
              <w:rPr>
                <w:noProof/>
              </w:rPr>
              <w:t>89</w:t>
            </w:r>
          </w:p>
        </w:tc>
        <w:tc>
          <w:tcPr>
            <w:tcW w:w="2014" w:type="pct"/>
            <w:shd w:val="clear" w:color="000000" w:fill="C6EFCE"/>
            <w:noWrap/>
            <w:vAlign w:val="center"/>
            <w:hideMark/>
          </w:tcPr>
          <w:p w14:paraId="65700DD5" w14:textId="77777777" w:rsidR="00235E11" w:rsidRDefault="00F837E4">
            <w:pPr>
              <w:pStyle w:val="P68B1DB1-Normal59"/>
              <w:spacing w:after="0"/>
              <w:rPr>
                <w:noProof/>
              </w:rPr>
            </w:pPr>
            <w:r>
              <w:rPr>
                <w:noProof/>
              </w:rPr>
              <w:t>Въвеждане на 5G — Национален план за фиксиран и мобилен широколентов достъп (R-2.03)</w:t>
            </w:r>
          </w:p>
        </w:tc>
        <w:tc>
          <w:tcPr>
            <w:tcW w:w="417" w:type="pct"/>
            <w:shd w:val="clear" w:color="000000" w:fill="C6EFCE"/>
            <w:noWrap/>
            <w:vAlign w:val="center"/>
            <w:hideMark/>
          </w:tcPr>
          <w:p w14:paraId="16CF893C"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32D08901" w14:textId="77777777" w:rsidR="00235E11" w:rsidRDefault="00F837E4">
            <w:pPr>
              <w:pStyle w:val="P68B1DB1-Normal59"/>
              <w:spacing w:after="0"/>
              <w:rPr>
                <w:noProof/>
              </w:rPr>
            </w:pPr>
            <w:r>
              <w:rPr>
                <w:noProof/>
              </w:rPr>
              <w:t>Инструментариум на ЕС за свързаност</w:t>
            </w:r>
          </w:p>
        </w:tc>
      </w:tr>
      <w:tr w:rsidR="00235E11" w14:paraId="4B75EFA0" w14:textId="77777777">
        <w:trPr>
          <w:trHeight w:val="315"/>
        </w:trPr>
        <w:tc>
          <w:tcPr>
            <w:tcW w:w="400" w:type="pct"/>
            <w:shd w:val="clear" w:color="000000" w:fill="C6EFCE"/>
            <w:noWrap/>
            <w:vAlign w:val="center"/>
            <w:hideMark/>
          </w:tcPr>
          <w:p w14:paraId="6FD0807F" w14:textId="77777777" w:rsidR="00235E11" w:rsidRDefault="00F837E4">
            <w:pPr>
              <w:pStyle w:val="P68B1DB1-Normal59"/>
              <w:spacing w:after="0"/>
              <w:jc w:val="center"/>
              <w:rPr>
                <w:noProof/>
              </w:rPr>
            </w:pPr>
            <w:r>
              <w:rPr>
                <w:noProof/>
              </w:rPr>
              <w:t>90</w:t>
            </w:r>
          </w:p>
        </w:tc>
        <w:tc>
          <w:tcPr>
            <w:tcW w:w="2014" w:type="pct"/>
            <w:shd w:val="clear" w:color="000000" w:fill="C6EFCE"/>
            <w:noWrap/>
            <w:vAlign w:val="center"/>
            <w:hideMark/>
          </w:tcPr>
          <w:p w14:paraId="2CDE8DA9" w14:textId="77777777" w:rsidR="00235E11" w:rsidRDefault="00F837E4">
            <w:pPr>
              <w:pStyle w:val="P68B1DB1-Normal59"/>
              <w:spacing w:after="0"/>
              <w:rPr>
                <w:noProof/>
              </w:rPr>
            </w:pPr>
            <w:r>
              <w:rPr>
                <w:noProof/>
              </w:rPr>
              <w:t>Въвеждане на 5G — Национален план за фиксиран и мобилен широколентов достъп (R-2.03)</w:t>
            </w:r>
          </w:p>
        </w:tc>
        <w:tc>
          <w:tcPr>
            <w:tcW w:w="417" w:type="pct"/>
            <w:shd w:val="clear" w:color="000000" w:fill="C6EFCE"/>
            <w:noWrap/>
            <w:vAlign w:val="center"/>
            <w:hideMark/>
          </w:tcPr>
          <w:p w14:paraId="70ED5A3E"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5CABF229" w14:textId="77777777" w:rsidR="00235E11" w:rsidRDefault="00F837E4">
            <w:pPr>
              <w:pStyle w:val="P68B1DB1-Normal59"/>
              <w:spacing w:after="0"/>
              <w:rPr>
                <w:noProof/>
              </w:rPr>
            </w:pPr>
            <w:r>
              <w:rPr>
                <w:noProof/>
              </w:rPr>
              <w:t>Публикуване на законодателната рамка за разпределяне на радиочестотния спектър за 5G</w:t>
            </w:r>
          </w:p>
        </w:tc>
      </w:tr>
      <w:tr w:rsidR="00235E11" w14:paraId="40F68672" w14:textId="77777777">
        <w:trPr>
          <w:trHeight w:val="315"/>
        </w:trPr>
        <w:tc>
          <w:tcPr>
            <w:tcW w:w="400" w:type="pct"/>
            <w:shd w:val="clear" w:color="000000" w:fill="C6EFCE"/>
            <w:noWrap/>
            <w:vAlign w:val="center"/>
            <w:hideMark/>
          </w:tcPr>
          <w:p w14:paraId="0676BA13" w14:textId="77777777" w:rsidR="00235E11" w:rsidRDefault="00F837E4">
            <w:pPr>
              <w:pStyle w:val="P68B1DB1-Normal59"/>
              <w:spacing w:after="0"/>
              <w:jc w:val="center"/>
              <w:rPr>
                <w:noProof/>
              </w:rPr>
            </w:pPr>
            <w:r>
              <w:rPr>
                <w:noProof/>
              </w:rPr>
              <w:t>110</w:t>
            </w:r>
          </w:p>
        </w:tc>
        <w:tc>
          <w:tcPr>
            <w:tcW w:w="2014" w:type="pct"/>
            <w:shd w:val="clear" w:color="000000" w:fill="C6EFCE"/>
            <w:noWrap/>
            <w:vAlign w:val="center"/>
            <w:hideMark/>
          </w:tcPr>
          <w:p w14:paraId="13CD226D" w14:textId="77777777" w:rsidR="00235E11" w:rsidRDefault="00F837E4">
            <w:pPr>
              <w:pStyle w:val="P68B1DB1-Normal59"/>
              <w:spacing w:after="0"/>
              <w:rPr>
                <w:noProof/>
              </w:rPr>
            </w:pPr>
            <w:r>
              <w:rPr>
                <w:noProof/>
              </w:rPr>
              <w:t>Бюджет за мобилност (R-3.02)</w:t>
            </w:r>
          </w:p>
        </w:tc>
        <w:tc>
          <w:tcPr>
            <w:tcW w:w="417" w:type="pct"/>
            <w:shd w:val="clear" w:color="000000" w:fill="C6EFCE"/>
            <w:noWrap/>
            <w:vAlign w:val="center"/>
            <w:hideMark/>
          </w:tcPr>
          <w:p w14:paraId="3FAE79ED"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23885A22" w14:textId="77777777" w:rsidR="00235E11" w:rsidRDefault="00F837E4">
            <w:pPr>
              <w:pStyle w:val="P68B1DB1-Normal59"/>
              <w:spacing w:after="0"/>
              <w:rPr>
                <w:noProof/>
              </w:rPr>
            </w:pPr>
            <w:r>
              <w:rPr>
                <w:noProof/>
              </w:rPr>
              <w:t>Приемане на бюджета за мобилност</w:t>
            </w:r>
          </w:p>
        </w:tc>
      </w:tr>
      <w:tr w:rsidR="00235E11" w14:paraId="65FE3082" w14:textId="77777777">
        <w:trPr>
          <w:trHeight w:val="315"/>
        </w:trPr>
        <w:tc>
          <w:tcPr>
            <w:tcW w:w="400" w:type="pct"/>
            <w:shd w:val="clear" w:color="000000" w:fill="C6EFCE"/>
            <w:noWrap/>
            <w:vAlign w:val="center"/>
            <w:hideMark/>
          </w:tcPr>
          <w:p w14:paraId="4C9090D1" w14:textId="77777777" w:rsidR="00235E11" w:rsidRDefault="00F837E4">
            <w:pPr>
              <w:pStyle w:val="P68B1DB1-Normal59"/>
              <w:spacing w:after="0"/>
              <w:jc w:val="center"/>
              <w:rPr>
                <w:noProof/>
              </w:rPr>
            </w:pPr>
            <w:r>
              <w:rPr>
                <w:noProof/>
              </w:rPr>
              <w:t>116</w:t>
            </w:r>
          </w:p>
        </w:tc>
        <w:tc>
          <w:tcPr>
            <w:tcW w:w="2014" w:type="pct"/>
            <w:shd w:val="clear" w:color="000000" w:fill="C6EFCE"/>
            <w:noWrap/>
            <w:vAlign w:val="center"/>
            <w:hideMark/>
          </w:tcPr>
          <w:p w14:paraId="61106DC0" w14:textId="77777777" w:rsidR="00235E11" w:rsidRDefault="00F837E4">
            <w:pPr>
              <w:pStyle w:val="P68B1DB1-Normal59"/>
              <w:spacing w:after="0"/>
              <w:rPr>
                <w:noProof/>
              </w:rPr>
            </w:pPr>
            <w:r>
              <w:rPr>
                <w:noProof/>
              </w:rPr>
              <w:t>Стимулиране на транспорта с нулеви емисии — СЛА (R-3.06)</w:t>
            </w:r>
          </w:p>
        </w:tc>
        <w:tc>
          <w:tcPr>
            <w:tcW w:w="417" w:type="pct"/>
            <w:shd w:val="clear" w:color="000000" w:fill="C6EFCE"/>
            <w:noWrap/>
            <w:vAlign w:val="center"/>
            <w:hideMark/>
          </w:tcPr>
          <w:p w14:paraId="4E4F580F"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54F21436" w14:textId="77777777" w:rsidR="00235E11" w:rsidRDefault="00F837E4">
            <w:pPr>
              <w:pStyle w:val="P68B1DB1-Normal59"/>
              <w:spacing w:after="0"/>
              <w:rPr>
                <w:noProof/>
              </w:rPr>
            </w:pPr>
            <w:r>
              <w:rPr>
                <w:noProof/>
              </w:rPr>
              <w:t>Приемане на рамка за разгръщането на инфраструктура за зареждане във Фламандския регион</w:t>
            </w:r>
          </w:p>
        </w:tc>
      </w:tr>
      <w:tr w:rsidR="00235E11" w14:paraId="591E1E7F" w14:textId="77777777">
        <w:trPr>
          <w:trHeight w:val="315"/>
        </w:trPr>
        <w:tc>
          <w:tcPr>
            <w:tcW w:w="400" w:type="pct"/>
            <w:shd w:val="clear" w:color="000000" w:fill="C6EFCE"/>
            <w:noWrap/>
            <w:vAlign w:val="center"/>
            <w:hideMark/>
          </w:tcPr>
          <w:p w14:paraId="6397E3B6" w14:textId="77777777" w:rsidR="00235E11" w:rsidRDefault="00F837E4">
            <w:pPr>
              <w:pStyle w:val="P68B1DB1-Normal59"/>
              <w:spacing w:after="0"/>
              <w:jc w:val="center"/>
              <w:rPr>
                <w:noProof/>
              </w:rPr>
            </w:pPr>
            <w:r>
              <w:rPr>
                <w:noProof/>
              </w:rPr>
              <w:t>120</w:t>
            </w:r>
          </w:p>
        </w:tc>
        <w:tc>
          <w:tcPr>
            <w:tcW w:w="2014" w:type="pct"/>
            <w:shd w:val="clear" w:color="000000" w:fill="C6EFCE"/>
            <w:noWrap/>
            <w:vAlign w:val="center"/>
            <w:hideMark/>
          </w:tcPr>
          <w:p w14:paraId="550799F4" w14:textId="77777777" w:rsidR="00235E11" w:rsidRDefault="00F837E4">
            <w:pPr>
              <w:pStyle w:val="P68B1DB1-Normal59"/>
              <w:spacing w:after="0"/>
              <w:rPr>
                <w:noProof/>
              </w:rPr>
            </w:pPr>
            <w:r>
              <w:rPr>
                <w:noProof/>
              </w:rPr>
              <w:t>Станции за зареждане — FED (I-3.18)</w:t>
            </w:r>
          </w:p>
        </w:tc>
        <w:tc>
          <w:tcPr>
            <w:tcW w:w="417" w:type="pct"/>
            <w:shd w:val="clear" w:color="000000" w:fill="C6EFCE"/>
            <w:noWrap/>
            <w:vAlign w:val="center"/>
            <w:hideMark/>
          </w:tcPr>
          <w:p w14:paraId="1FAA0181"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58087FDD" w14:textId="77777777" w:rsidR="00235E11" w:rsidRDefault="00F837E4">
            <w:pPr>
              <w:pStyle w:val="P68B1DB1-Normal59"/>
              <w:spacing w:after="0"/>
              <w:rPr>
                <w:noProof/>
              </w:rPr>
            </w:pPr>
            <w:r>
              <w:rPr>
                <w:noProof/>
              </w:rPr>
              <w:t>Приемане на данъчния стимул за изграждане на частни и полупублични зарядни точки</w:t>
            </w:r>
          </w:p>
        </w:tc>
      </w:tr>
      <w:tr w:rsidR="00235E11" w14:paraId="206D2834" w14:textId="77777777">
        <w:trPr>
          <w:trHeight w:val="315"/>
        </w:trPr>
        <w:tc>
          <w:tcPr>
            <w:tcW w:w="400" w:type="pct"/>
            <w:shd w:val="clear" w:color="000000" w:fill="C6EFCE"/>
            <w:noWrap/>
            <w:vAlign w:val="center"/>
            <w:hideMark/>
          </w:tcPr>
          <w:p w14:paraId="7384C679" w14:textId="77777777" w:rsidR="00235E11" w:rsidRDefault="00F837E4">
            <w:pPr>
              <w:pStyle w:val="P68B1DB1-Normal59"/>
              <w:spacing w:after="0"/>
              <w:jc w:val="center"/>
              <w:rPr>
                <w:noProof/>
              </w:rPr>
            </w:pPr>
            <w:r>
              <w:rPr>
                <w:noProof/>
              </w:rPr>
              <w:t>126</w:t>
            </w:r>
          </w:p>
        </w:tc>
        <w:tc>
          <w:tcPr>
            <w:tcW w:w="2014" w:type="pct"/>
            <w:shd w:val="clear" w:color="000000" w:fill="C6EFCE"/>
            <w:noWrap/>
            <w:vAlign w:val="center"/>
            <w:hideMark/>
          </w:tcPr>
          <w:p w14:paraId="47BF1614" w14:textId="77777777" w:rsidR="00235E11" w:rsidRDefault="00F837E4">
            <w:pPr>
              <w:pStyle w:val="P68B1DB1-Normal59"/>
              <w:spacing w:after="0"/>
              <w:rPr>
                <w:noProof/>
              </w:rPr>
            </w:pPr>
            <w:r>
              <w:rPr>
                <w:noProof/>
              </w:rPr>
              <w:t>Служебни автомобили с нулеви емисии (R-3.03)</w:t>
            </w:r>
          </w:p>
        </w:tc>
        <w:tc>
          <w:tcPr>
            <w:tcW w:w="417" w:type="pct"/>
            <w:shd w:val="clear" w:color="000000" w:fill="C6EFCE"/>
            <w:noWrap/>
            <w:vAlign w:val="center"/>
            <w:hideMark/>
          </w:tcPr>
          <w:p w14:paraId="08BEDC81"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1D1DEF2C" w14:textId="77777777" w:rsidR="00235E11" w:rsidRDefault="00F837E4">
            <w:pPr>
              <w:pStyle w:val="P68B1DB1-Normal59"/>
              <w:spacing w:after="0"/>
              <w:rPr>
                <w:noProof/>
              </w:rPr>
            </w:pPr>
            <w:r>
              <w:rPr>
                <w:noProof/>
              </w:rPr>
              <w:t>Приемане на закон за реформиране на схемата за корпоративно данъчно облагане на автомобилите</w:t>
            </w:r>
          </w:p>
        </w:tc>
      </w:tr>
      <w:tr w:rsidR="00235E11" w14:paraId="72E1CA15" w14:textId="77777777">
        <w:trPr>
          <w:trHeight w:val="315"/>
        </w:trPr>
        <w:tc>
          <w:tcPr>
            <w:tcW w:w="400" w:type="pct"/>
            <w:shd w:val="clear" w:color="000000" w:fill="C6EFCE"/>
            <w:noWrap/>
            <w:vAlign w:val="center"/>
            <w:hideMark/>
          </w:tcPr>
          <w:p w14:paraId="16AC15BB" w14:textId="77777777" w:rsidR="00235E11" w:rsidRDefault="00F837E4">
            <w:pPr>
              <w:pStyle w:val="P68B1DB1-Normal59"/>
              <w:spacing w:after="0"/>
              <w:jc w:val="center"/>
              <w:rPr>
                <w:noProof/>
              </w:rPr>
            </w:pPr>
            <w:r>
              <w:rPr>
                <w:noProof/>
              </w:rPr>
              <w:t>135</w:t>
            </w:r>
          </w:p>
        </w:tc>
        <w:tc>
          <w:tcPr>
            <w:tcW w:w="2014" w:type="pct"/>
            <w:shd w:val="clear" w:color="000000" w:fill="C6EFCE"/>
            <w:noWrap/>
            <w:vAlign w:val="center"/>
            <w:hideMark/>
          </w:tcPr>
          <w:p w14:paraId="62CA5B4F" w14:textId="77777777" w:rsidR="00235E11" w:rsidRDefault="00F837E4">
            <w:pPr>
              <w:pStyle w:val="P68B1DB1-Normal59"/>
              <w:spacing w:after="0"/>
              <w:rPr>
                <w:noProof/>
              </w:rPr>
            </w:pPr>
            <w:r>
              <w:rPr>
                <w:noProof/>
              </w:rPr>
              <w:t>Персонализирано ориентиране в задължителното образование (I-4.03)</w:t>
            </w:r>
          </w:p>
        </w:tc>
        <w:tc>
          <w:tcPr>
            <w:tcW w:w="417" w:type="pct"/>
            <w:shd w:val="clear" w:color="000000" w:fill="C6EFCE"/>
            <w:noWrap/>
            <w:vAlign w:val="center"/>
            <w:hideMark/>
          </w:tcPr>
          <w:p w14:paraId="081DBE45"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78190500" w14:textId="77777777" w:rsidR="00235E11" w:rsidRDefault="00F837E4">
            <w:pPr>
              <w:pStyle w:val="P68B1DB1-Normal59"/>
              <w:spacing w:after="0"/>
              <w:rPr>
                <w:noProof/>
              </w:rPr>
            </w:pPr>
            <w:r>
              <w:rPr>
                <w:noProof/>
              </w:rPr>
              <w:t>Приемане на нова регулаторна рамка, която определя условията за намеса на системата</w:t>
            </w:r>
          </w:p>
        </w:tc>
      </w:tr>
      <w:tr w:rsidR="00235E11" w14:paraId="18C40DFB" w14:textId="77777777">
        <w:trPr>
          <w:trHeight w:val="315"/>
        </w:trPr>
        <w:tc>
          <w:tcPr>
            <w:tcW w:w="400" w:type="pct"/>
            <w:shd w:val="clear" w:color="000000" w:fill="C6EFCE"/>
            <w:noWrap/>
            <w:vAlign w:val="center"/>
            <w:hideMark/>
          </w:tcPr>
          <w:p w14:paraId="5B1275D9" w14:textId="77777777" w:rsidR="00235E11" w:rsidRDefault="00F837E4">
            <w:pPr>
              <w:pStyle w:val="P68B1DB1-Normal59"/>
              <w:spacing w:after="0"/>
              <w:jc w:val="center"/>
              <w:rPr>
                <w:noProof/>
              </w:rPr>
            </w:pPr>
            <w:r>
              <w:rPr>
                <w:noProof/>
              </w:rPr>
              <w:t>137</w:t>
            </w:r>
          </w:p>
        </w:tc>
        <w:tc>
          <w:tcPr>
            <w:tcW w:w="2014" w:type="pct"/>
            <w:shd w:val="clear" w:color="000000" w:fill="C6EFCE"/>
            <w:noWrap/>
            <w:vAlign w:val="center"/>
            <w:hideMark/>
          </w:tcPr>
          <w:p w14:paraId="6E3FE729" w14:textId="77777777" w:rsidR="00235E11" w:rsidRDefault="00F837E4">
            <w:pPr>
              <w:pStyle w:val="P68B1DB1-Normal59"/>
              <w:spacing w:after="0"/>
              <w:rPr>
                <w:noProof/>
              </w:rPr>
            </w:pPr>
            <w:r>
              <w:rPr>
                <w:noProof/>
              </w:rPr>
              <w:t>Цифрова трансформация за училищата в Брюксел (I-4.05)</w:t>
            </w:r>
          </w:p>
        </w:tc>
        <w:tc>
          <w:tcPr>
            <w:tcW w:w="417" w:type="pct"/>
            <w:shd w:val="clear" w:color="000000" w:fill="C6EFCE"/>
            <w:noWrap/>
            <w:vAlign w:val="center"/>
            <w:hideMark/>
          </w:tcPr>
          <w:p w14:paraId="24940E3A" w14:textId="77777777" w:rsidR="00235E11" w:rsidRDefault="00F837E4">
            <w:pPr>
              <w:pStyle w:val="P68B1DB1-Normal59"/>
              <w:spacing w:after="0"/>
              <w:jc w:val="center"/>
              <w:rPr>
                <w:noProof/>
              </w:rPr>
            </w:pPr>
            <w:r>
              <w:rPr>
                <w:noProof/>
              </w:rPr>
              <w:t>T</w:t>
            </w:r>
          </w:p>
        </w:tc>
        <w:tc>
          <w:tcPr>
            <w:tcW w:w="2169" w:type="pct"/>
            <w:shd w:val="clear" w:color="000000" w:fill="C6EFCE"/>
            <w:noWrap/>
            <w:vAlign w:val="center"/>
            <w:hideMark/>
          </w:tcPr>
          <w:p w14:paraId="5EF28423" w14:textId="77777777" w:rsidR="00235E11" w:rsidRDefault="00F837E4">
            <w:pPr>
              <w:pStyle w:val="P68B1DB1-Normal59"/>
              <w:spacing w:after="0"/>
              <w:rPr>
                <w:noProof/>
              </w:rPr>
            </w:pPr>
            <w:r>
              <w:rPr>
                <w:noProof/>
              </w:rPr>
              <w:t>Оборудване на училищата/институциите с подходящи ИКТ устройства и инфраструктура за подобряване на цялостното функциониране на образователните системи</w:t>
            </w:r>
          </w:p>
        </w:tc>
      </w:tr>
      <w:tr w:rsidR="00235E11" w14:paraId="3A2ED3B0" w14:textId="77777777">
        <w:trPr>
          <w:trHeight w:val="315"/>
        </w:trPr>
        <w:tc>
          <w:tcPr>
            <w:tcW w:w="400" w:type="pct"/>
            <w:shd w:val="clear" w:color="000000" w:fill="C6EFCE"/>
            <w:noWrap/>
            <w:vAlign w:val="center"/>
            <w:hideMark/>
          </w:tcPr>
          <w:p w14:paraId="345912CD" w14:textId="77777777" w:rsidR="00235E11" w:rsidRDefault="00F837E4">
            <w:pPr>
              <w:pStyle w:val="P68B1DB1-Normal59"/>
              <w:spacing w:after="0"/>
              <w:jc w:val="center"/>
              <w:rPr>
                <w:noProof/>
              </w:rPr>
            </w:pPr>
            <w:r>
              <w:rPr>
                <w:noProof/>
              </w:rPr>
              <w:t>150</w:t>
            </w:r>
          </w:p>
        </w:tc>
        <w:tc>
          <w:tcPr>
            <w:tcW w:w="2014" w:type="pct"/>
            <w:shd w:val="clear" w:color="000000" w:fill="C6EFCE"/>
            <w:noWrap/>
            <w:vAlign w:val="center"/>
            <w:hideMark/>
          </w:tcPr>
          <w:p w14:paraId="58331A4A" w14:textId="77777777" w:rsidR="00235E11" w:rsidRDefault="00F837E4">
            <w:pPr>
              <w:pStyle w:val="P68B1DB1-Normal59"/>
              <w:spacing w:after="0"/>
              <w:rPr>
                <w:noProof/>
              </w:rPr>
            </w:pPr>
            <w:r>
              <w:rPr>
                <w:noProof/>
              </w:rPr>
              <w:t>Развитие на комунални жилища и жилища за уязвими лица (I-4.12)</w:t>
            </w:r>
          </w:p>
        </w:tc>
        <w:tc>
          <w:tcPr>
            <w:tcW w:w="417" w:type="pct"/>
            <w:shd w:val="clear" w:color="000000" w:fill="C6EFCE"/>
            <w:noWrap/>
            <w:vAlign w:val="center"/>
            <w:hideMark/>
          </w:tcPr>
          <w:p w14:paraId="3B845E3A"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601FACA3" w14:textId="77777777" w:rsidR="00235E11" w:rsidRDefault="00F837E4">
            <w:pPr>
              <w:pStyle w:val="P68B1DB1-Normal59"/>
              <w:spacing w:after="0"/>
              <w:rPr>
                <w:noProof/>
              </w:rPr>
            </w:pPr>
            <w:r>
              <w:rPr>
                <w:noProof/>
              </w:rPr>
              <w:t>Валонска стратегия за деинституционализация (здравна политика на Валония)</w:t>
            </w:r>
          </w:p>
        </w:tc>
      </w:tr>
      <w:tr w:rsidR="00235E11" w14:paraId="7C1C95EF" w14:textId="77777777">
        <w:trPr>
          <w:trHeight w:val="315"/>
        </w:trPr>
        <w:tc>
          <w:tcPr>
            <w:tcW w:w="400" w:type="pct"/>
            <w:shd w:val="clear" w:color="000000" w:fill="C6EFCE"/>
            <w:noWrap/>
            <w:vAlign w:val="center"/>
            <w:hideMark/>
          </w:tcPr>
          <w:p w14:paraId="317BE50C" w14:textId="77777777" w:rsidR="00235E11" w:rsidRDefault="00F837E4">
            <w:pPr>
              <w:pStyle w:val="P68B1DB1-Normal59"/>
              <w:spacing w:after="0"/>
              <w:jc w:val="center"/>
              <w:rPr>
                <w:noProof/>
              </w:rPr>
            </w:pPr>
            <w:r>
              <w:rPr>
                <w:noProof/>
              </w:rPr>
              <w:t>157</w:t>
            </w:r>
          </w:p>
        </w:tc>
        <w:tc>
          <w:tcPr>
            <w:tcW w:w="2014" w:type="pct"/>
            <w:shd w:val="clear" w:color="000000" w:fill="C6EFCE"/>
            <w:noWrap/>
            <w:vAlign w:val="center"/>
            <w:hideMark/>
          </w:tcPr>
          <w:p w14:paraId="790EDC97" w14:textId="77777777" w:rsidR="00235E11" w:rsidRDefault="00F837E4">
            <w:pPr>
              <w:pStyle w:val="P68B1DB1-Normal59"/>
              <w:spacing w:after="0"/>
              <w:rPr>
                <w:noProof/>
              </w:rPr>
            </w:pPr>
            <w:r>
              <w:rPr>
                <w:noProof/>
              </w:rPr>
              <w:t>Пенсия и край на кариерата (R-4.07)</w:t>
            </w:r>
          </w:p>
        </w:tc>
        <w:tc>
          <w:tcPr>
            <w:tcW w:w="417" w:type="pct"/>
            <w:shd w:val="clear" w:color="000000" w:fill="C6EFCE"/>
            <w:noWrap/>
            <w:vAlign w:val="center"/>
            <w:hideMark/>
          </w:tcPr>
          <w:p w14:paraId="4A3187E3"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6936F331" w14:textId="77777777" w:rsidR="00235E11" w:rsidRDefault="00F837E4">
            <w:pPr>
              <w:pStyle w:val="P68B1DB1-Normal59"/>
              <w:spacing w:after="0"/>
              <w:rPr>
                <w:noProof/>
              </w:rPr>
            </w:pPr>
            <w:r>
              <w:rPr>
                <w:noProof/>
              </w:rPr>
              <w:t>Предложение за пенсионна реформа</w:t>
            </w:r>
          </w:p>
        </w:tc>
      </w:tr>
      <w:tr w:rsidR="00235E11" w14:paraId="558DDF37" w14:textId="77777777">
        <w:trPr>
          <w:trHeight w:val="315"/>
        </w:trPr>
        <w:tc>
          <w:tcPr>
            <w:tcW w:w="400" w:type="pct"/>
            <w:shd w:val="clear" w:color="000000" w:fill="C6EFCE"/>
            <w:noWrap/>
            <w:vAlign w:val="center"/>
            <w:hideMark/>
          </w:tcPr>
          <w:p w14:paraId="6FB0EAAE" w14:textId="77777777" w:rsidR="00235E11" w:rsidRDefault="00F837E4">
            <w:pPr>
              <w:pStyle w:val="P68B1DB1-Normal59"/>
              <w:spacing w:after="0"/>
              <w:jc w:val="center"/>
              <w:rPr>
                <w:noProof/>
              </w:rPr>
            </w:pPr>
            <w:r>
              <w:rPr>
                <w:noProof/>
              </w:rPr>
              <w:t>172</w:t>
            </w:r>
          </w:p>
        </w:tc>
        <w:tc>
          <w:tcPr>
            <w:tcW w:w="2014" w:type="pct"/>
            <w:shd w:val="clear" w:color="000000" w:fill="C6EFCE"/>
            <w:noWrap/>
            <w:vAlign w:val="center"/>
            <w:hideMark/>
          </w:tcPr>
          <w:p w14:paraId="712814F6" w14:textId="77777777" w:rsidR="00235E11" w:rsidRDefault="00F837E4">
            <w:pPr>
              <w:pStyle w:val="P68B1DB1-Normal59"/>
              <w:spacing w:after="0"/>
              <w:rPr>
                <w:noProof/>
              </w:rPr>
            </w:pPr>
            <w:r>
              <w:rPr>
                <w:noProof/>
              </w:rPr>
              <w:t>Сметка за обучение (R-5.03)</w:t>
            </w:r>
          </w:p>
        </w:tc>
        <w:tc>
          <w:tcPr>
            <w:tcW w:w="417" w:type="pct"/>
            <w:shd w:val="clear" w:color="000000" w:fill="C6EFCE"/>
            <w:noWrap/>
            <w:vAlign w:val="center"/>
            <w:hideMark/>
          </w:tcPr>
          <w:p w14:paraId="29B91608"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3C8F03B4" w14:textId="77777777" w:rsidR="00235E11" w:rsidRDefault="00F837E4">
            <w:pPr>
              <w:pStyle w:val="P68B1DB1-Normal59"/>
              <w:spacing w:after="0"/>
              <w:rPr>
                <w:noProof/>
              </w:rPr>
            </w:pPr>
            <w:r>
              <w:rPr>
                <w:noProof/>
              </w:rPr>
              <w:t>Федерална реформа за развиване на индивидуалното право на обучение на служителите</w:t>
            </w:r>
          </w:p>
        </w:tc>
      </w:tr>
      <w:tr w:rsidR="00235E11" w14:paraId="6622B660" w14:textId="77777777">
        <w:trPr>
          <w:trHeight w:val="315"/>
        </w:trPr>
        <w:tc>
          <w:tcPr>
            <w:tcW w:w="400" w:type="pct"/>
            <w:shd w:val="clear" w:color="000000" w:fill="C6EFCE"/>
            <w:noWrap/>
            <w:vAlign w:val="center"/>
            <w:hideMark/>
          </w:tcPr>
          <w:p w14:paraId="3EB91E1E" w14:textId="77777777" w:rsidR="00235E11" w:rsidRDefault="00F837E4">
            <w:pPr>
              <w:pStyle w:val="P68B1DB1-Normal59"/>
              <w:spacing w:after="0"/>
              <w:jc w:val="center"/>
              <w:rPr>
                <w:noProof/>
              </w:rPr>
            </w:pPr>
            <w:r>
              <w:rPr>
                <w:noProof/>
              </w:rPr>
              <w:t>173</w:t>
            </w:r>
          </w:p>
        </w:tc>
        <w:tc>
          <w:tcPr>
            <w:tcW w:w="2014" w:type="pct"/>
            <w:shd w:val="clear" w:color="000000" w:fill="C6EFCE"/>
            <w:noWrap/>
            <w:vAlign w:val="center"/>
            <w:hideMark/>
          </w:tcPr>
          <w:p w14:paraId="5EC53645" w14:textId="77777777" w:rsidR="00235E11" w:rsidRDefault="00F837E4">
            <w:pPr>
              <w:pStyle w:val="P68B1DB1-Normal59"/>
              <w:spacing w:after="0"/>
              <w:rPr>
                <w:noProof/>
              </w:rPr>
            </w:pPr>
            <w:r>
              <w:rPr>
                <w:noProof/>
              </w:rPr>
              <w:t>Сметка за обучение (R-5.03)</w:t>
            </w:r>
          </w:p>
        </w:tc>
        <w:tc>
          <w:tcPr>
            <w:tcW w:w="417" w:type="pct"/>
            <w:shd w:val="clear" w:color="000000" w:fill="C6EFCE"/>
            <w:noWrap/>
            <w:vAlign w:val="center"/>
            <w:hideMark/>
          </w:tcPr>
          <w:p w14:paraId="4EBFD8F2"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30F29AA0" w14:textId="77777777" w:rsidR="00235E11" w:rsidRDefault="00F837E4">
            <w:pPr>
              <w:pStyle w:val="P68B1DB1-Normal59"/>
              <w:spacing w:after="0"/>
              <w:rPr>
                <w:noProof/>
              </w:rPr>
            </w:pPr>
            <w:r>
              <w:rPr>
                <w:noProof/>
              </w:rPr>
              <w:t>Федерална реформа, създаваща стимули за дружествата да предоставят обучение</w:t>
            </w:r>
          </w:p>
        </w:tc>
      </w:tr>
      <w:tr w:rsidR="00235E11" w14:paraId="66BA4222" w14:textId="77777777">
        <w:trPr>
          <w:trHeight w:val="315"/>
        </w:trPr>
        <w:tc>
          <w:tcPr>
            <w:tcW w:w="400" w:type="pct"/>
            <w:shd w:val="clear" w:color="000000" w:fill="C6EFCE"/>
            <w:noWrap/>
            <w:vAlign w:val="center"/>
            <w:hideMark/>
          </w:tcPr>
          <w:p w14:paraId="5CBB814D" w14:textId="77777777" w:rsidR="00235E11" w:rsidRDefault="00F837E4">
            <w:pPr>
              <w:pStyle w:val="P68B1DB1-Normal59"/>
              <w:spacing w:after="0"/>
              <w:jc w:val="center"/>
              <w:rPr>
                <w:noProof/>
              </w:rPr>
            </w:pPr>
            <w:r>
              <w:rPr>
                <w:noProof/>
              </w:rPr>
              <w:t>177</w:t>
            </w:r>
          </w:p>
        </w:tc>
        <w:tc>
          <w:tcPr>
            <w:tcW w:w="2014" w:type="pct"/>
            <w:shd w:val="clear" w:color="000000" w:fill="C6EFCE"/>
            <w:noWrap/>
            <w:vAlign w:val="center"/>
            <w:hideMark/>
          </w:tcPr>
          <w:p w14:paraId="205C4D8D" w14:textId="77777777" w:rsidR="00235E11" w:rsidRDefault="00F837E4">
            <w:pPr>
              <w:pStyle w:val="P68B1DB1-Normal59"/>
              <w:spacing w:after="0"/>
              <w:rPr>
                <w:noProof/>
              </w:rPr>
            </w:pPr>
            <w:r>
              <w:rPr>
                <w:noProof/>
              </w:rPr>
              <w:t>Реформа на подкрепата за търсещите работа във Валония (R-5.05)</w:t>
            </w:r>
          </w:p>
        </w:tc>
        <w:tc>
          <w:tcPr>
            <w:tcW w:w="417" w:type="pct"/>
            <w:shd w:val="clear" w:color="000000" w:fill="C6EFCE"/>
            <w:noWrap/>
            <w:vAlign w:val="center"/>
            <w:hideMark/>
          </w:tcPr>
          <w:p w14:paraId="1017E741"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000F519A" w14:textId="77777777" w:rsidR="00235E11" w:rsidRDefault="00F837E4">
            <w:pPr>
              <w:pStyle w:val="P68B1DB1-Normal59"/>
              <w:spacing w:after="0"/>
              <w:rPr>
                <w:noProof/>
              </w:rPr>
            </w:pPr>
            <w:r>
              <w:rPr>
                <w:noProof/>
              </w:rPr>
              <w:t>Реформа на подкрепата за търсещите работа във Валония</w:t>
            </w:r>
          </w:p>
        </w:tc>
      </w:tr>
      <w:tr w:rsidR="00235E11" w14:paraId="5D00A5C5" w14:textId="77777777">
        <w:trPr>
          <w:trHeight w:val="315"/>
        </w:trPr>
        <w:tc>
          <w:tcPr>
            <w:tcW w:w="400" w:type="pct"/>
            <w:shd w:val="clear" w:color="000000" w:fill="C6EFCE"/>
            <w:noWrap/>
            <w:vAlign w:val="center"/>
            <w:hideMark/>
          </w:tcPr>
          <w:p w14:paraId="1287ED3E" w14:textId="77777777" w:rsidR="00235E11" w:rsidRDefault="00F837E4">
            <w:pPr>
              <w:pStyle w:val="P68B1DB1-Normal59"/>
              <w:spacing w:after="0"/>
              <w:jc w:val="center"/>
              <w:rPr>
                <w:noProof/>
              </w:rPr>
            </w:pPr>
            <w:r>
              <w:rPr>
                <w:noProof/>
              </w:rPr>
              <w:t>196</w:t>
            </w:r>
          </w:p>
        </w:tc>
        <w:tc>
          <w:tcPr>
            <w:tcW w:w="2014" w:type="pct"/>
            <w:shd w:val="clear" w:color="000000" w:fill="C6EFCE"/>
            <w:noWrap/>
            <w:vAlign w:val="center"/>
            <w:hideMark/>
          </w:tcPr>
          <w:p w14:paraId="03A5314E" w14:textId="77777777" w:rsidR="00235E11" w:rsidRDefault="00F837E4">
            <w:pPr>
              <w:pStyle w:val="P68B1DB1-Normal59"/>
              <w:spacing w:after="0"/>
              <w:rPr>
                <w:noProof/>
              </w:rPr>
            </w:pPr>
            <w:r>
              <w:rPr>
                <w:noProof/>
              </w:rPr>
              <w:t>Управление на кръговата Фландрия (R-5.09)</w:t>
            </w:r>
          </w:p>
        </w:tc>
        <w:tc>
          <w:tcPr>
            <w:tcW w:w="417" w:type="pct"/>
            <w:shd w:val="clear" w:color="000000" w:fill="C6EFCE"/>
            <w:noWrap/>
            <w:vAlign w:val="center"/>
            <w:hideMark/>
          </w:tcPr>
          <w:p w14:paraId="73611F47"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6FF9CB7E" w14:textId="77777777" w:rsidR="00235E11" w:rsidRDefault="00F837E4">
            <w:pPr>
              <w:pStyle w:val="P68B1DB1-Normal59"/>
              <w:spacing w:after="0"/>
              <w:rPr>
                <w:noProof/>
              </w:rPr>
            </w:pPr>
            <w:r>
              <w:rPr>
                <w:noProof/>
              </w:rPr>
              <w:t>Стартиране на ръководната група на Кръгова Фландрия</w:t>
            </w:r>
          </w:p>
        </w:tc>
      </w:tr>
      <w:tr w:rsidR="00235E11" w14:paraId="4DD2F99D" w14:textId="77777777">
        <w:trPr>
          <w:trHeight w:val="315"/>
        </w:trPr>
        <w:tc>
          <w:tcPr>
            <w:tcW w:w="400" w:type="pct"/>
            <w:shd w:val="clear" w:color="000000" w:fill="C6EFCE"/>
            <w:noWrap/>
            <w:vAlign w:val="center"/>
            <w:hideMark/>
          </w:tcPr>
          <w:p w14:paraId="7CE46049" w14:textId="77777777" w:rsidR="00235E11" w:rsidRDefault="00F837E4">
            <w:pPr>
              <w:pStyle w:val="P68B1DB1-Normal59"/>
              <w:spacing w:after="0"/>
              <w:jc w:val="center"/>
              <w:rPr>
                <w:noProof/>
              </w:rPr>
            </w:pPr>
            <w:r>
              <w:rPr>
                <w:noProof/>
              </w:rPr>
              <w:t>205</w:t>
            </w:r>
          </w:p>
        </w:tc>
        <w:tc>
          <w:tcPr>
            <w:tcW w:w="2014" w:type="pct"/>
            <w:shd w:val="clear" w:color="000000" w:fill="C6EFCE"/>
            <w:noWrap/>
            <w:vAlign w:val="center"/>
            <w:hideMark/>
          </w:tcPr>
          <w:p w14:paraId="604EDC09" w14:textId="77777777" w:rsidR="00235E11" w:rsidRDefault="00F837E4">
            <w:pPr>
              <w:pStyle w:val="P68B1DB1-Normal59"/>
              <w:spacing w:after="0"/>
              <w:rPr>
                <w:noProof/>
              </w:rPr>
            </w:pPr>
            <w:r>
              <w:rPr>
                <w:noProof/>
              </w:rPr>
              <w:t>Прегледи на разходите (R-6)</w:t>
            </w:r>
          </w:p>
        </w:tc>
        <w:tc>
          <w:tcPr>
            <w:tcW w:w="417" w:type="pct"/>
            <w:shd w:val="clear" w:color="000000" w:fill="C6EFCE"/>
            <w:noWrap/>
            <w:vAlign w:val="center"/>
            <w:hideMark/>
          </w:tcPr>
          <w:p w14:paraId="4C5C2780"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0664385D" w14:textId="77777777" w:rsidR="00235E11" w:rsidRDefault="00F837E4">
            <w:pPr>
              <w:pStyle w:val="P68B1DB1-Normal59"/>
              <w:spacing w:after="0"/>
              <w:rPr>
                <w:noProof/>
              </w:rPr>
            </w:pPr>
            <w:r>
              <w:rPr>
                <w:noProof/>
              </w:rPr>
              <w:t>Пилотен преглед на разходите или интегриране в бюджетния процес (1)</w:t>
            </w:r>
          </w:p>
        </w:tc>
      </w:tr>
      <w:tr w:rsidR="00235E11" w14:paraId="6BF9C5D4" w14:textId="77777777">
        <w:trPr>
          <w:trHeight w:val="315"/>
        </w:trPr>
        <w:tc>
          <w:tcPr>
            <w:tcW w:w="400" w:type="pct"/>
            <w:shd w:val="clear" w:color="000000" w:fill="C6EFCE"/>
            <w:noWrap/>
            <w:vAlign w:val="center"/>
            <w:hideMark/>
          </w:tcPr>
          <w:p w14:paraId="31BECDDC" w14:textId="77777777" w:rsidR="00235E11" w:rsidRDefault="00F837E4">
            <w:pPr>
              <w:pStyle w:val="P68B1DB1-Normal59"/>
              <w:spacing w:after="0"/>
              <w:jc w:val="center"/>
              <w:rPr>
                <w:noProof/>
              </w:rPr>
            </w:pPr>
            <w:r>
              <w:rPr>
                <w:noProof/>
              </w:rPr>
              <w:t>209</w:t>
            </w:r>
          </w:p>
        </w:tc>
        <w:tc>
          <w:tcPr>
            <w:tcW w:w="2014" w:type="pct"/>
            <w:shd w:val="clear" w:color="000000" w:fill="C6EFCE"/>
            <w:noWrap/>
            <w:vAlign w:val="center"/>
            <w:hideMark/>
          </w:tcPr>
          <w:p w14:paraId="7FEC31E2" w14:textId="77777777" w:rsidR="00235E11" w:rsidRDefault="00F837E4">
            <w:pPr>
              <w:pStyle w:val="P68B1DB1-Normal59"/>
              <w:spacing w:after="0"/>
              <w:rPr>
                <w:noProof/>
              </w:rPr>
            </w:pPr>
            <w:r>
              <w:rPr>
                <w:noProof/>
              </w:rPr>
              <w:t>Мониторинг и изпълнение на плана</w:t>
            </w:r>
          </w:p>
        </w:tc>
        <w:tc>
          <w:tcPr>
            <w:tcW w:w="417" w:type="pct"/>
            <w:shd w:val="clear" w:color="000000" w:fill="C6EFCE"/>
            <w:noWrap/>
            <w:vAlign w:val="center"/>
            <w:hideMark/>
          </w:tcPr>
          <w:p w14:paraId="23429773"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4CB8E36E" w14:textId="77777777" w:rsidR="00235E11" w:rsidRDefault="00F837E4">
            <w:pPr>
              <w:pStyle w:val="P68B1DB1-Normal59"/>
              <w:spacing w:after="0"/>
              <w:rPr>
                <w:noProof/>
              </w:rPr>
            </w:pPr>
            <w:r>
              <w:rPr>
                <w:noProof/>
              </w:rPr>
              <w:t>Система от регистри за одит и контрол: информация за мониторинг на изпълнението на МВУ</w:t>
            </w:r>
          </w:p>
        </w:tc>
      </w:tr>
      <w:tr w:rsidR="00235E11" w14:paraId="3C811CB2" w14:textId="77777777">
        <w:trPr>
          <w:trHeight w:val="315"/>
        </w:trPr>
        <w:tc>
          <w:tcPr>
            <w:tcW w:w="400" w:type="pct"/>
            <w:shd w:val="clear" w:color="000000" w:fill="C6EFCE"/>
            <w:noWrap/>
            <w:vAlign w:val="center"/>
            <w:hideMark/>
          </w:tcPr>
          <w:p w14:paraId="6827522B" w14:textId="77777777" w:rsidR="00235E11" w:rsidRDefault="00F837E4">
            <w:pPr>
              <w:pStyle w:val="P68B1DB1-Normal59"/>
              <w:spacing w:after="0"/>
              <w:jc w:val="center"/>
              <w:rPr>
                <w:noProof/>
              </w:rPr>
            </w:pPr>
            <w:r>
              <w:rPr>
                <w:noProof/>
              </w:rPr>
              <w:t>210</w:t>
            </w:r>
          </w:p>
        </w:tc>
        <w:tc>
          <w:tcPr>
            <w:tcW w:w="2014" w:type="pct"/>
            <w:shd w:val="clear" w:color="000000" w:fill="C6EFCE"/>
            <w:noWrap/>
            <w:vAlign w:val="center"/>
            <w:hideMark/>
          </w:tcPr>
          <w:p w14:paraId="47883B13" w14:textId="77777777" w:rsidR="00235E11" w:rsidRDefault="00F837E4">
            <w:pPr>
              <w:pStyle w:val="P68B1DB1-Normal59"/>
              <w:spacing w:after="0"/>
              <w:rPr>
                <w:noProof/>
              </w:rPr>
            </w:pPr>
            <w:r>
              <w:rPr>
                <w:noProof/>
              </w:rPr>
              <w:t>Мониторинг и изпълнение на плана</w:t>
            </w:r>
          </w:p>
        </w:tc>
        <w:tc>
          <w:tcPr>
            <w:tcW w:w="417" w:type="pct"/>
            <w:shd w:val="clear" w:color="000000" w:fill="C6EFCE"/>
            <w:noWrap/>
            <w:vAlign w:val="center"/>
            <w:hideMark/>
          </w:tcPr>
          <w:p w14:paraId="504F209E" w14:textId="77777777" w:rsidR="00235E11" w:rsidRDefault="00F837E4">
            <w:pPr>
              <w:pStyle w:val="P68B1DB1-Normal59"/>
              <w:spacing w:after="0"/>
              <w:jc w:val="center"/>
              <w:rPr>
                <w:noProof/>
              </w:rPr>
            </w:pPr>
            <w:r>
              <w:rPr>
                <w:noProof/>
              </w:rPr>
              <w:t>M</w:t>
            </w:r>
          </w:p>
        </w:tc>
        <w:tc>
          <w:tcPr>
            <w:tcW w:w="2169" w:type="pct"/>
            <w:shd w:val="clear" w:color="000000" w:fill="C6EFCE"/>
            <w:noWrap/>
            <w:vAlign w:val="center"/>
            <w:hideMark/>
          </w:tcPr>
          <w:p w14:paraId="06A329A4" w14:textId="77777777" w:rsidR="00235E11" w:rsidRDefault="00F837E4">
            <w:pPr>
              <w:pStyle w:val="P68B1DB1-Normal59"/>
              <w:spacing w:after="0"/>
              <w:rPr>
                <w:noProof/>
              </w:rPr>
            </w:pPr>
            <w:r>
              <w:rPr>
                <w:noProof/>
              </w:rPr>
              <w:t>Защита на финансовите интереси на ЕС</w:t>
            </w:r>
          </w:p>
        </w:tc>
      </w:tr>
      <w:tr w:rsidR="00235E11" w14:paraId="0876717D" w14:textId="77777777">
        <w:trPr>
          <w:trHeight w:val="315"/>
        </w:trPr>
        <w:tc>
          <w:tcPr>
            <w:tcW w:w="400" w:type="pct"/>
            <w:shd w:val="clear" w:color="000000" w:fill="C6EFCE"/>
            <w:noWrap/>
            <w:vAlign w:val="center"/>
          </w:tcPr>
          <w:p w14:paraId="4036A145" w14:textId="77777777" w:rsidR="00235E11" w:rsidRDefault="00235E11">
            <w:pPr>
              <w:spacing w:after="0"/>
              <w:jc w:val="center"/>
              <w:rPr>
                <w:rFonts w:ascii="Times New Roman" w:eastAsia="Times New Roman" w:hAnsi="Times New Roman" w:cs="Times New Roman"/>
                <w:noProof/>
                <w:color w:val="006100"/>
                <w:sz w:val="20"/>
              </w:rPr>
            </w:pPr>
          </w:p>
        </w:tc>
        <w:tc>
          <w:tcPr>
            <w:tcW w:w="2431" w:type="pct"/>
            <w:gridSpan w:val="2"/>
            <w:shd w:val="clear" w:color="000000" w:fill="C6EFCE"/>
            <w:noWrap/>
            <w:vAlign w:val="center"/>
          </w:tcPr>
          <w:p w14:paraId="0AD5AE49" w14:textId="77777777" w:rsidR="00235E11" w:rsidRDefault="00F837E4">
            <w:pPr>
              <w:pStyle w:val="P68B1DB1-Normal59"/>
              <w:spacing w:after="0"/>
              <w:jc w:val="right"/>
              <w:rPr>
                <w:noProof/>
              </w:rPr>
            </w:pPr>
            <w:r>
              <w:rPr>
                <w:noProof/>
              </w:rPr>
              <w:t>Размер на вноската</w:t>
            </w:r>
          </w:p>
        </w:tc>
        <w:tc>
          <w:tcPr>
            <w:tcW w:w="2169" w:type="pct"/>
            <w:shd w:val="clear" w:color="000000" w:fill="C6EFCE"/>
            <w:noWrap/>
            <w:vAlign w:val="center"/>
          </w:tcPr>
          <w:p w14:paraId="428BCE4E" w14:textId="063D9518"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000EUR 973</w:t>
            </w:r>
            <w:r>
              <w:rPr>
                <w:noProof/>
              </w:rPr>
              <w:t xml:space="preserve"> </w:t>
            </w:r>
            <w:r>
              <w:rPr>
                <w:rFonts w:ascii="Times New Roman" w:eastAsia="Times New Roman" w:hAnsi="Times New Roman" w:cs="Times New Roman"/>
                <w:noProof/>
                <w:color w:val="006100"/>
                <w:sz w:val="20"/>
              </w:rPr>
              <w:t>994</w:t>
            </w:r>
          </w:p>
        </w:tc>
      </w:tr>
    </w:tbl>
    <w:p w14:paraId="42EC7225" w14:textId="77777777" w:rsidR="00235E11" w:rsidRDefault="00235E11">
      <w:pPr>
        <w:rPr>
          <w:rFonts w:ascii="Times New Roman" w:hAnsi="Times New Roman" w:cs="Times New Roman"/>
          <w:noProof/>
        </w:rPr>
      </w:pPr>
    </w:p>
    <w:p w14:paraId="03E3D5F4" w14:textId="4C8B7758" w:rsidR="00235E11" w:rsidRDefault="00F837E4">
      <w:pPr>
        <w:pStyle w:val="ManualNumPar1"/>
        <w:rPr>
          <w:noProof/>
        </w:rPr>
      </w:pPr>
      <w:bookmarkStart w:id="10" w:name="_Hlk148369159"/>
      <w:r>
        <w:rPr>
          <w:noProof/>
        </w:rPr>
        <w:t>Втора вноска (безвъзмездна подкрепа):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705"/>
        <w:gridCol w:w="4223"/>
        <w:gridCol w:w="851"/>
        <w:gridCol w:w="4427"/>
      </w:tblGrid>
      <w:tr w:rsidR="00235E11" w14:paraId="19FBDD35" w14:textId="77777777">
        <w:trPr>
          <w:trHeight w:val="300"/>
          <w:tblHeader/>
        </w:trPr>
        <w:tc>
          <w:tcPr>
            <w:tcW w:w="345" w:type="pct"/>
            <w:shd w:val="clear" w:color="auto" w:fill="BDD7EE"/>
            <w:noWrap/>
            <w:vAlign w:val="bottom"/>
            <w:hideMark/>
          </w:tcPr>
          <w:bookmarkEnd w:id="10"/>
          <w:p w14:paraId="5693A351" w14:textId="77777777" w:rsidR="00235E11" w:rsidRDefault="00F837E4">
            <w:pPr>
              <w:pStyle w:val="P68B1DB1-Normal58"/>
              <w:spacing w:before="120" w:after="120"/>
              <w:jc w:val="center"/>
              <w:rPr>
                <w:noProof/>
              </w:rPr>
            </w:pPr>
            <w:r>
              <w:rPr>
                <w:noProof/>
              </w:rPr>
              <w:t>Следващи. nb</w:t>
            </w:r>
          </w:p>
        </w:tc>
        <w:tc>
          <w:tcPr>
            <w:tcW w:w="2069" w:type="pct"/>
            <w:shd w:val="clear" w:color="auto" w:fill="BDD7EE"/>
            <w:noWrap/>
            <w:vAlign w:val="bottom"/>
            <w:hideMark/>
          </w:tcPr>
          <w:p w14:paraId="78ED44AC" w14:textId="77777777" w:rsidR="00235E11" w:rsidRDefault="00F837E4">
            <w:pPr>
              <w:pStyle w:val="P68B1DB1-Normal58"/>
              <w:spacing w:before="120" w:after="120"/>
              <w:jc w:val="center"/>
              <w:rPr>
                <w:noProof/>
              </w:rPr>
            </w:pPr>
            <w:r>
              <w:rPr>
                <w:noProof/>
              </w:rPr>
              <w:t>Наименование на мярката</w:t>
            </w:r>
          </w:p>
        </w:tc>
        <w:tc>
          <w:tcPr>
            <w:tcW w:w="417" w:type="pct"/>
            <w:shd w:val="clear" w:color="auto" w:fill="BDD7EE"/>
            <w:noWrap/>
            <w:vAlign w:val="bottom"/>
            <w:hideMark/>
          </w:tcPr>
          <w:p w14:paraId="41706A0E" w14:textId="77777777" w:rsidR="00235E11" w:rsidRDefault="00F837E4">
            <w:pPr>
              <w:pStyle w:val="P68B1DB1-Normal58"/>
              <w:spacing w:before="120" w:after="120"/>
              <w:jc w:val="center"/>
              <w:rPr>
                <w:noProof/>
              </w:rPr>
            </w:pPr>
            <w:r>
              <w:rPr>
                <w:noProof/>
              </w:rPr>
              <w:t>M/T</w:t>
            </w:r>
          </w:p>
        </w:tc>
        <w:tc>
          <w:tcPr>
            <w:tcW w:w="2169" w:type="pct"/>
            <w:shd w:val="clear" w:color="auto" w:fill="BDD7EE"/>
            <w:noWrap/>
            <w:vAlign w:val="bottom"/>
            <w:hideMark/>
          </w:tcPr>
          <w:p w14:paraId="10A16066" w14:textId="77777777" w:rsidR="00235E11" w:rsidRDefault="00F837E4">
            <w:pPr>
              <w:pStyle w:val="P68B1DB1-Normal58"/>
              <w:spacing w:before="120" w:after="120"/>
              <w:jc w:val="center"/>
              <w:rPr>
                <w:noProof/>
              </w:rPr>
            </w:pPr>
            <w:r>
              <w:rPr>
                <w:noProof/>
              </w:rPr>
              <w:t>Име</w:t>
            </w:r>
          </w:p>
        </w:tc>
      </w:tr>
      <w:tr w:rsidR="00235E11" w14:paraId="36102CDA" w14:textId="77777777">
        <w:trPr>
          <w:trHeight w:val="315"/>
        </w:trPr>
        <w:tc>
          <w:tcPr>
            <w:tcW w:w="345" w:type="pct"/>
            <w:shd w:val="clear" w:color="auto" w:fill="C6EFCE"/>
            <w:noWrap/>
            <w:vAlign w:val="center"/>
            <w:hideMark/>
          </w:tcPr>
          <w:p w14:paraId="6E61FDE9" w14:textId="77777777" w:rsidR="00235E11" w:rsidRDefault="00F837E4">
            <w:pPr>
              <w:pStyle w:val="P68B1DB1-Normal59"/>
              <w:spacing w:after="0"/>
              <w:jc w:val="center"/>
              <w:rPr>
                <w:noProof/>
              </w:rPr>
            </w:pPr>
            <w:r>
              <w:rPr>
                <w:noProof/>
              </w:rPr>
              <w:t>1</w:t>
            </w:r>
          </w:p>
        </w:tc>
        <w:tc>
          <w:tcPr>
            <w:tcW w:w="2069" w:type="pct"/>
            <w:shd w:val="clear" w:color="auto" w:fill="C6EFCE"/>
            <w:noWrap/>
            <w:vAlign w:val="center"/>
            <w:hideMark/>
          </w:tcPr>
          <w:p w14:paraId="4056D4AC" w14:textId="77777777" w:rsidR="00235E11" w:rsidRDefault="00F837E4">
            <w:pPr>
              <w:pStyle w:val="P68B1DB1-Normal59"/>
              <w:spacing w:after="0"/>
              <w:rPr>
                <w:noProof/>
              </w:rPr>
            </w:pPr>
            <w:r>
              <w:rPr>
                <w:noProof/>
              </w:rPr>
              <w:t>Подобрена схема за отпускане на безвъзмездни средства в областта на енергетиката във Фламандския регион (R-1.01)</w:t>
            </w:r>
          </w:p>
        </w:tc>
        <w:tc>
          <w:tcPr>
            <w:tcW w:w="417" w:type="pct"/>
            <w:shd w:val="clear" w:color="auto" w:fill="C6EFCE"/>
            <w:noWrap/>
            <w:vAlign w:val="center"/>
            <w:hideMark/>
          </w:tcPr>
          <w:p w14:paraId="5E299C3B"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D5B63CA" w14:textId="77777777" w:rsidR="00235E11" w:rsidRDefault="00F837E4">
            <w:pPr>
              <w:pStyle w:val="P68B1DB1-Normal59"/>
              <w:spacing w:after="0"/>
              <w:rPr>
                <w:noProof/>
              </w:rPr>
            </w:pPr>
            <w:r>
              <w:rPr>
                <w:noProof/>
              </w:rPr>
              <w:t>Подобрени схеми за отпускане на безвъзмездни средства в областта на енергетиката във Фландрия</w:t>
            </w:r>
          </w:p>
        </w:tc>
      </w:tr>
      <w:tr w:rsidR="00235E11" w14:paraId="3D9708C2" w14:textId="77777777">
        <w:trPr>
          <w:trHeight w:val="315"/>
        </w:trPr>
        <w:tc>
          <w:tcPr>
            <w:tcW w:w="345" w:type="pct"/>
            <w:shd w:val="clear" w:color="auto" w:fill="C6EFCE"/>
            <w:noWrap/>
            <w:vAlign w:val="center"/>
            <w:hideMark/>
          </w:tcPr>
          <w:p w14:paraId="25957366" w14:textId="77777777" w:rsidR="00235E11" w:rsidRDefault="00F837E4">
            <w:pPr>
              <w:pStyle w:val="P68B1DB1-Normal59"/>
              <w:spacing w:after="0"/>
              <w:jc w:val="center"/>
              <w:rPr>
                <w:noProof/>
              </w:rPr>
            </w:pPr>
            <w:r>
              <w:rPr>
                <w:noProof/>
              </w:rPr>
              <w:t>2</w:t>
            </w:r>
          </w:p>
        </w:tc>
        <w:tc>
          <w:tcPr>
            <w:tcW w:w="2069" w:type="pct"/>
            <w:shd w:val="clear" w:color="auto" w:fill="C6EFCE"/>
            <w:noWrap/>
            <w:vAlign w:val="center"/>
            <w:hideMark/>
          </w:tcPr>
          <w:p w14:paraId="7178DF7A" w14:textId="77777777" w:rsidR="00235E11" w:rsidRDefault="00F837E4">
            <w:pPr>
              <w:pStyle w:val="P68B1DB1-Normal59"/>
              <w:spacing w:after="0"/>
              <w:rPr>
                <w:noProof/>
              </w:rPr>
            </w:pPr>
            <w:r>
              <w:rPr>
                <w:noProof/>
              </w:rPr>
              <w:t>Подобрена схема за отпускане на безвъзмездни средства в областта на енергетиката в регион Брюксел-столица (R-1.02)</w:t>
            </w:r>
          </w:p>
        </w:tc>
        <w:tc>
          <w:tcPr>
            <w:tcW w:w="417" w:type="pct"/>
            <w:shd w:val="clear" w:color="auto" w:fill="C6EFCE"/>
            <w:noWrap/>
            <w:vAlign w:val="center"/>
            <w:hideMark/>
          </w:tcPr>
          <w:p w14:paraId="452239D7"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4D11C3F2" w14:textId="77777777" w:rsidR="00235E11" w:rsidRDefault="00F837E4">
            <w:pPr>
              <w:pStyle w:val="P68B1DB1-Normal59"/>
              <w:spacing w:after="0"/>
              <w:rPr>
                <w:noProof/>
              </w:rPr>
            </w:pPr>
            <w:r>
              <w:rPr>
                <w:noProof/>
              </w:rPr>
              <w:t>Влизане в сила в Брюксел на нов регламент относно схемите за безвъзмездни средства в областта на енергетиката</w:t>
            </w:r>
          </w:p>
        </w:tc>
      </w:tr>
      <w:tr w:rsidR="00235E11" w14:paraId="1CB00FB4" w14:textId="77777777">
        <w:trPr>
          <w:trHeight w:val="315"/>
        </w:trPr>
        <w:tc>
          <w:tcPr>
            <w:tcW w:w="345" w:type="pct"/>
            <w:shd w:val="clear" w:color="auto" w:fill="C6EFCE"/>
            <w:noWrap/>
            <w:vAlign w:val="center"/>
            <w:hideMark/>
          </w:tcPr>
          <w:p w14:paraId="6637DF41" w14:textId="77777777" w:rsidR="00235E11" w:rsidRDefault="00F837E4">
            <w:pPr>
              <w:pStyle w:val="P68B1DB1-Normal59"/>
              <w:spacing w:after="0"/>
              <w:jc w:val="center"/>
              <w:rPr>
                <w:noProof/>
              </w:rPr>
            </w:pPr>
            <w:r>
              <w:rPr>
                <w:noProof/>
              </w:rPr>
              <w:t>3</w:t>
            </w:r>
          </w:p>
        </w:tc>
        <w:tc>
          <w:tcPr>
            <w:tcW w:w="2069" w:type="pct"/>
            <w:shd w:val="clear" w:color="auto" w:fill="C6EFCE"/>
            <w:noWrap/>
            <w:vAlign w:val="center"/>
            <w:hideMark/>
          </w:tcPr>
          <w:p w14:paraId="087CA638" w14:textId="7F345D1B" w:rsidR="00235E11" w:rsidRDefault="00F837E4">
            <w:pPr>
              <w:pStyle w:val="P68B1DB1-Normal59"/>
              <w:spacing w:after="0"/>
              <w:rPr>
                <w:noProof/>
              </w:rPr>
            </w:pPr>
            <w:r>
              <w:rPr>
                <w:noProof/>
              </w:rPr>
              <w:t>Подобрена схема за отпускане на безвъзмездни средства в областта на енергетиката на немскоезичната общност (R-1.03)</w:t>
            </w:r>
          </w:p>
        </w:tc>
        <w:tc>
          <w:tcPr>
            <w:tcW w:w="417" w:type="pct"/>
            <w:shd w:val="clear" w:color="auto" w:fill="C6EFCE"/>
            <w:noWrap/>
            <w:vAlign w:val="center"/>
            <w:hideMark/>
          </w:tcPr>
          <w:p w14:paraId="31017182"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1F6C66CA" w14:textId="77777777" w:rsidR="00235E11" w:rsidRDefault="00F837E4">
            <w:pPr>
              <w:pStyle w:val="P68B1DB1-Normal59"/>
              <w:spacing w:after="0"/>
              <w:rPr>
                <w:noProof/>
              </w:rPr>
            </w:pPr>
            <w:r>
              <w:rPr>
                <w:noProof/>
              </w:rPr>
              <w:t>Влизане в сила на нов регламент относно схемите за енергийни субсидии в немскоезичната общност</w:t>
            </w:r>
          </w:p>
        </w:tc>
      </w:tr>
      <w:tr w:rsidR="00235E11" w14:paraId="1606B5A4" w14:textId="77777777">
        <w:trPr>
          <w:trHeight w:val="315"/>
        </w:trPr>
        <w:tc>
          <w:tcPr>
            <w:tcW w:w="345" w:type="pct"/>
            <w:shd w:val="clear" w:color="auto" w:fill="C6EFCE"/>
            <w:noWrap/>
            <w:vAlign w:val="center"/>
            <w:hideMark/>
          </w:tcPr>
          <w:p w14:paraId="29572856" w14:textId="77777777" w:rsidR="00235E11" w:rsidRDefault="00F837E4">
            <w:pPr>
              <w:pStyle w:val="P68B1DB1-Normal59"/>
              <w:spacing w:after="0"/>
              <w:jc w:val="center"/>
              <w:rPr>
                <w:noProof/>
              </w:rPr>
            </w:pPr>
            <w:r>
              <w:rPr>
                <w:noProof/>
              </w:rPr>
              <w:t>11</w:t>
            </w:r>
          </w:p>
        </w:tc>
        <w:tc>
          <w:tcPr>
            <w:tcW w:w="2069" w:type="pct"/>
            <w:shd w:val="clear" w:color="auto" w:fill="C6EFCE"/>
            <w:noWrap/>
            <w:vAlign w:val="center"/>
            <w:hideMark/>
          </w:tcPr>
          <w:p w14:paraId="0FB32AB6" w14:textId="77777777" w:rsidR="00235E11" w:rsidRDefault="00F837E4">
            <w:pPr>
              <w:pStyle w:val="P68B1DB1-Normal59"/>
              <w:spacing w:after="0"/>
              <w:rPr>
                <w:noProof/>
              </w:rPr>
            </w:pPr>
            <w:r>
              <w:rPr>
                <w:noProof/>
              </w:rPr>
              <w:t>Саниране на обществени сгради (I-1.08)</w:t>
            </w:r>
          </w:p>
        </w:tc>
        <w:tc>
          <w:tcPr>
            <w:tcW w:w="417" w:type="pct"/>
            <w:shd w:val="clear" w:color="auto" w:fill="C6EFCE"/>
            <w:noWrap/>
            <w:vAlign w:val="center"/>
            <w:hideMark/>
          </w:tcPr>
          <w:p w14:paraId="677A35D2"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566FB1D9" w14:textId="40BADD28" w:rsidR="00235E11" w:rsidRDefault="00F837E4">
            <w:pPr>
              <w:pStyle w:val="P68B1DB1-Normal59"/>
              <w:spacing w:after="0"/>
              <w:rPr>
                <w:noProof/>
              </w:rPr>
            </w:pPr>
            <w:r>
              <w:rPr>
                <w:noProof/>
              </w:rPr>
              <w:t>Адаптиране на наредбата за електроенергията с цел въвеждане на обслужване на едно гише за обновяване</w:t>
            </w:r>
          </w:p>
        </w:tc>
      </w:tr>
      <w:tr w:rsidR="00235E11" w14:paraId="1FA3F5CC" w14:textId="77777777">
        <w:trPr>
          <w:trHeight w:val="315"/>
        </w:trPr>
        <w:tc>
          <w:tcPr>
            <w:tcW w:w="345" w:type="pct"/>
            <w:shd w:val="clear" w:color="auto" w:fill="C6EFCE"/>
            <w:noWrap/>
            <w:vAlign w:val="center"/>
            <w:hideMark/>
          </w:tcPr>
          <w:p w14:paraId="1A7305F5" w14:textId="77777777" w:rsidR="00235E11" w:rsidRDefault="00F837E4">
            <w:pPr>
              <w:pStyle w:val="P68B1DB1-Normal59"/>
              <w:spacing w:after="0"/>
              <w:jc w:val="center"/>
              <w:rPr>
                <w:noProof/>
              </w:rPr>
            </w:pPr>
            <w:r>
              <w:rPr>
                <w:noProof/>
              </w:rPr>
              <w:t>18</w:t>
            </w:r>
          </w:p>
        </w:tc>
        <w:tc>
          <w:tcPr>
            <w:tcW w:w="2069" w:type="pct"/>
            <w:shd w:val="clear" w:color="auto" w:fill="C6EFCE"/>
            <w:noWrap/>
            <w:vAlign w:val="center"/>
            <w:hideMark/>
          </w:tcPr>
          <w:p w14:paraId="49B85661" w14:textId="77777777" w:rsidR="00235E11" w:rsidRDefault="00F837E4">
            <w:pPr>
              <w:pStyle w:val="P68B1DB1-Normal59"/>
              <w:spacing w:after="0"/>
              <w:rPr>
                <w:noProof/>
              </w:rPr>
            </w:pPr>
            <w:r>
              <w:rPr>
                <w:noProof/>
              </w:rPr>
              <w:t>Промишлена верига за създаване на стойност за прехода към водород (I-1.15)</w:t>
            </w:r>
          </w:p>
        </w:tc>
        <w:tc>
          <w:tcPr>
            <w:tcW w:w="417" w:type="pct"/>
            <w:shd w:val="clear" w:color="auto" w:fill="C6EFCE"/>
            <w:noWrap/>
            <w:vAlign w:val="center"/>
            <w:hideMark/>
          </w:tcPr>
          <w:p w14:paraId="3FD6A0EE"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27E88E33" w14:textId="77777777" w:rsidR="00235E11" w:rsidRDefault="00F837E4">
            <w:pPr>
              <w:pStyle w:val="P68B1DB1-Normal59"/>
              <w:spacing w:after="0"/>
              <w:rPr>
                <w:noProof/>
              </w:rPr>
            </w:pPr>
            <w:r>
              <w:rPr>
                <w:noProof/>
              </w:rPr>
              <w:t>Възлагане на поръчки в рамките на поканата за участие в търг</w:t>
            </w:r>
          </w:p>
        </w:tc>
      </w:tr>
      <w:tr w:rsidR="00235E11" w14:paraId="6867A017" w14:textId="77777777">
        <w:trPr>
          <w:trHeight w:val="315"/>
        </w:trPr>
        <w:tc>
          <w:tcPr>
            <w:tcW w:w="345" w:type="pct"/>
            <w:shd w:val="clear" w:color="auto" w:fill="C6EFCE"/>
            <w:noWrap/>
            <w:vAlign w:val="center"/>
            <w:hideMark/>
          </w:tcPr>
          <w:p w14:paraId="70196095" w14:textId="77777777" w:rsidR="00235E11" w:rsidRDefault="00F837E4">
            <w:pPr>
              <w:pStyle w:val="P68B1DB1-Normal59"/>
              <w:spacing w:after="0"/>
              <w:jc w:val="center"/>
              <w:rPr>
                <w:noProof/>
              </w:rPr>
            </w:pPr>
            <w:r>
              <w:rPr>
                <w:noProof/>
              </w:rPr>
              <w:t>21</w:t>
            </w:r>
          </w:p>
        </w:tc>
        <w:tc>
          <w:tcPr>
            <w:tcW w:w="2069" w:type="pct"/>
            <w:shd w:val="clear" w:color="auto" w:fill="C6EFCE"/>
            <w:noWrap/>
            <w:vAlign w:val="center"/>
            <w:hideMark/>
          </w:tcPr>
          <w:p w14:paraId="189B2D4A" w14:textId="77777777" w:rsidR="00235E11" w:rsidRDefault="00F837E4">
            <w:pPr>
              <w:pStyle w:val="P68B1DB1-Normal59"/>
              <w:spacing w:after="0"/>
              <w:rPr>
                <w:noProof/>
              </w:rPr>
            </w:pPr>
            <w:r>
              <w:rPr>
                <w:noProof/>
              </w:rPr>
              <w:t>Промишлена верига за създаване на стойност за прехода към водород (I-1.16)</w:t>
            </w:r>
          </w:p>
        </w:tc>
        <w:tc>
          <w:tcPr>
            <w:tcW w:w="417" w:type="pct"/>
            <w:shd w:val="clear" w:color="auto" w:fill="C6EFCE"/>
            <w:noWrap/>
            <w:vAlign w:val="center"/>
            <w:hideMark/>
          </w:tcPr>
          <w:p w14:paraId="14253EC9"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3E662C2" w14:textId="77777777" w:rsidR="00235E11" w:rsidRDefault="00F837E4">
            <w:pPr>
              <w:pStyle w:val="P68B1DB1-Normal59"/>
              <w:spacing w:after="0"/>
              <w:rPr>
                <w:noProof/>
              </w:rPr>
            </w:pPr>
            <w:r>
              <w:rPr>
                <w:noProof/>
              </w:rPr>
              <w:t>Възлагане на договори за проекти за ВПОИ в областта на водорода</w:t>
            </w:r>
          </w:p>
        </w:tc>
      </w:tr>
      <w:tr w:rsidR="00235E11" w14:paraId="37EF892E" w14:textId="77777777">
        <w:trPr>
          <w:trHeight w:val="315"/>
        </w:trPr>
        <w:tc>
          <w:tcPr>
            <w:tcW w:w="345" w:type="pct"/>
            <w:shd w:val="clear" w:color="auto" w:fill="C6EFCE"/>
            <w:noWrap/>
            <w:vAlign w:val="center"/>
            <w:hideMark/>
          </w:tcPr>
          <w:p w14:paraId="6A7576AF" w14:textId="77777777" w:rsidR="00235E11" w:rsidRDefault="00F837E4">
            <w:pPr>
              <w:pStyle w:val="P68B1DB1-Normal59"/>
              <w:spacing w:after="0"/>
              <w:jc w:val="center"/>
              <w:rPr>
                <w:noProof/>
              </w:rPr>
            </w:pPr>
            <w:r>
              <w:rPr>
                <w:noProof/>
              </w:rPr>
              <w:t>22</w:t>
            </w:r>
          </w:p>
        </w:tc>
        <w:tc>
          <w:tcPr>
            <w:tcW w:w="2069" w:type="pct"/>
            <w:shd w:val="clear" w:color="auto" w:fill="C6EFCE"/>
            <w:noWrap/>
            <w:vAlign w:val="center"/>
            <w:hideMark/>
          </w:tcPr>
          <w:p w14:paraId="3756F9BB" w14:textId="77777777" w:rsidR="00235E11" w:rsidRDefault="00F837E4">
            <w:pPr>
              <w:pStyle w:val="P68B1DB1-Normal59"/>
              <w:spacing w:after="0"/>
              <w:rPr>
                <w:noProof/>
              </w:rPr>
            </w:pPr>
            <w:r>
              <w:rPr>
                <w:noProof/>
              </w:rPr>
              <w:t>Промишлена верига за създаване на стойност за прехода към водород (I-1.16)</w:t>
            </w:r>
          </w:p>
        </w:tc>
        <w:tc>
          <w:tcPr>
            <w:tcW w:w="417" w:type="pct"/>
            <w:shd w:val="clear" w:color="auto" w:fill="C6EFCE"/>
            <w:noWrap/>
            <w:vAlign w:val="center"/>
            <w:hideMark/>
          </w:tcPr>
          <w:p w14:paraId="1EB752D4"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9F144F6" w14:textId="77777777" w:rsidR="00235E11" w:rsidRDefault="00F837E4">
            <w:pPr>
              <w:pStyle w:val="P68B1DB1-Normal59"/>
              <w:spacing w:after="0"/>
              <w:rPr>
                <w:noProof/>
              </w:rPr>
            </w:pPr>
            <w:r>
              <w:rPr>
                <w:noProof/>
              </w:rPr>
              <w:t>Възлагане на договори за водородни проекти, които не са ВПОИ</w:t>
            </w:r>
          </w:p>
        </w:tc>
      </w:tr>
      <w:tr w:rsidR="00235E11" w14:paraId="4EB956CC" w14:textId="77777777">
        <w:trPr>
          <w:trHeight w:val="315"/>
        </w:trPr>
        <w:tc>
          <w:tcPr>
            <w:tcW w:w="345" w:type="pct"/>
            <w:shd w:val="clear" w:color="auto" w:fill="C6EFCE"/>
            <w:noWrap/>
            <w:vAlign w:val="center"/>
            <w:hideMark/>
          </w:tcPr>
          <w:p w14:paraId="7B6E6E44" w14:textId="77777777" w:rsidR="00235E11" w:rsidRDefault="00F837E4">
            <w:pPr>
              <w:pStyle w:val="P68B1DB1-Normal59"/>
              <w:spacing w:after="0"/>
              <w:jc w:val="center"/>
              <w:rPr>
                <w:noProof/>
              </w:rPr>
            </w:pPr>
            <w:r>
              <w:rPr>
                <w:noProof/>
              </w:rPr>
              <w:t>24</w:t>
            </w:r>
          </w:p>
        </w:tc>
        <w:tc>
          <w:tcPr>
            <w:tcW w:w="2069" w:type="pct"/>
            <w:shd w:val="clear" w:color="auto" w:fill="C6EFCE"/>
            <w:noWrap/>
            <w:vAlign w:val="center"/>
            <w:hideMark/>
          </w:tcPr>
          <w:p w14:paraId="56892E9F" w14:textId="77777777" w:rsidR="00235E11" w:rsidRDefault="00F837E4">
            <w:pPr>
              <w:pStyle w:val="P68B1DB1-Normal59"/>
              <w:spacing w:after="0"/>
              <w:rPr>
                <w:noProof/>
              </w:rPr>
            </w:pPr>
            <w:r>
              <w:rPr>
                <w:noProof/>
              </w:rPr>
              <w:t>Промишлена верига за създаване на стойност за прехода към водород (I-1.17)</w:t>
            </w:r>
          </w:p>
        </w:tc>
        <w:tc>
          <w:tcPr>
            <w:tcW w:w="417" w:type="pct"/>
            <w:shd w:val="clear" w:color="auto" w:fill="C6EFCE"/>
            <w:noWrap/>
            <w:vAlign w:val="center"/>
            <w:hideMark/>
          </w:tcPr>
          <w:p w14:paraId="67CE76C8"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6AFBB82" w14:textId="77777777" w:rsidR="00235E11" w:rsidRDefault="00F837E4">
            <w:pPr>
              <w:pStyle w:val="P68B1DB1-Normal59"/>
              <w:spacing w:after="0"/>
              <w:rPr>
                <w:noProof/>
              </w:rPr>
            </w:pPr>
            <w:r>
              <w:rPr>
                <w:noProof/>
              </w:rPr>
              <w:t>Възлагане на договори за проекти за ВПОИ в областта на водорода</w:t>
            </w:r>
          </w:p>
        </w:tc>
      </w:tr>
      <w:tr w:rsidR="00235E11" w14:paraId="1BE8A2BA" w14:textId="77777777">
        <w:trPr>
          <w:trHeight w:val="315"/>
        </w:trPr>
        <w:tc>
          <w:tcPr>
            <w:tcW w:w="345" w:type="pct"/>
            <w:shd w:val="clear" w:color="auto" w:fill="C6EFCE"/>
            <w:noWrap/>
            <w:vAlign w:val="center"/>
            <w:hideMark/>
          </w:tcPr>
          <w:p w14:paraId="3743B198" w14:textId="77777777" w:rsidR="00235E11" w:rsidRDefault="00F837E4">
            <w:pPr>
              <w:pStyle w:val="P68B1DB1-Normal59"/>
              <w:spacing w:after="0"/>
              <w:jc w:val="center"/>
              <w:rPr>
                <w:noProof/>
              </w:rPr>
            </w:pPr>
            <w:r>
              <w:rPr>
                <w:noProof/>
              </w:rPr>
              <w:t>27</w:t>
            </w:r>
          </w:p>
        </w:tc>
        <w:tc>
          <w:tcPr>
            <w:tcW w:w="2069" w:type="pct"/>
            <w:shd w:val="clear" w:color="auto" w:fill="C6EFCE"/>
            <w:noWrap/>
            <w:vAlign w:val="center"/>
            <w:hideMark/>
          </w:tcPr>
          <w:p w14:paraId="3B00D3C2" w14:textId="77777777" w:rsidR="00235E11" w:rsidRDefault="00F837E4">
            <w:pPr>
              <w:pStyle w:val="P68B1DB1-Normal59"/>
              <w:spacing w:after="0"/>
              <w:rPr>
                <w:noProof/>
              </w:rPr>
            </w:pPr>
            <w:r>
              <w:rPr>
                <w:noProof/>
              </w:rPr>
              <w:t>Развитие на нисковъглеродната промишленост (I-1.18)</w:t>
            </w:r>
          </w:p>
        </w:tc>
        <w:tc>
          <w:tcPr>
            <w:tcW w:w="417" w:type="pct"/>
            <w:shd w:val="clear" w:color="auto" w:fill="C6EFCE"/>
            <w:noWrap/>
            <w:vAlign w:val="center"/>
            <w:hideMark/>
          </w:tcPr>
          <w:p w14:paraId="29C89484"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0EF65A08" w14:textId="77777777" w:rsidR="00235E11" w:rsidRDefault="00F837E4">
            <w:pPr>
              <w:pStyle w:val="P68B1DB1-Normal59"/>
              <w:spacing w:after="0"/>
              <w:rPr>
                <w:noProof/>
              </w:rPr>
            </w:pPr>
            <w:r>
              <w:rPr>
                <w:noProof/>
              </w:rPr>
              <w:t>Възлагане на договори</w:t>
            </w:r>
          </w:p>
        </w:tc>
      </w:tr>
      <w:tr w:rsidR="00235E11" w14:paraId="7F5510D1" w14:textId="77777777">
        <w:trPr>
          <w:trHeight w:val="315"/>
        </w:trPr>
        <w:tc>
          <w:tcPr>
            <w:tcW w:w="345" w:type="pct"/>
            <w:shd w:val="clear" w:color="auto" w:fill="C6EFCE"/>
            <w:noWrap/>
            <w:vAlign w:val="center"/>
            <w:hideMark/>
          </w:tcPr>
          <w:p w14:paraId="46B7676D" w14:textId="77777777" w:rsidR="00235E11" w:rsidRDefault="00F837E4">
            <w:pPr>
              <w:pStyle w:val="P68B1DB1-Normal59"/>
              <w:spacing w:after="0"/>
              <w:jc w:val="center"/>
              <w:rPr>
                <w:noProof/>
              </w:rPr>
            </w:pPr>
            <w:r>
              <w:rPr>
                <w:noProof/>
              </w:rPr>
              <w:t>45</w:t>
            </w:r>
          </w:p>
        </w:tc>
        <w:tc>
          <w:tcPr>
            <w:tcW w:w="2069" w:type="pct"/>
            <w:shd w:val="clear" w:color="auto" w:fill="C6EFCE"/>
            <w:noWrap/>
            <w:vAlign w:val="center"/>
            <w:hideMark/>
          </w:tcPr>
          <w:p w14:paraId="0507A0BC" w14:textId="77777777" w:rsidR="00235E11" w:rsidRDefault="00F837E4">
            <w:pPr>
              <w:pStyle w:val="P68B1DB1-Normal59"/>
              <w:spacing w:after="0"/>
              <w:rPr>
                <w:noProof/>
              </w:rPr>
            </w:pPr>
            <w:r>
              <w:rPr>
                <w:noProof/>
              </w:rPr>
              <w:t>Киберсигурност и устойчиво цифрово общество (I-2.01)</w:t>
            </w:r>
          </w:p>
        </w:tc>
        <w:tc>
          <w:tcPr>
            <w:tcW w:w="417" w:type="pct"/>
            <w:shd w:val="clear" w:color="auto" w:fill="C6EFCE"/>
            <w:noWrap/>
            <w:vAlign w:val="center"/>
            <w:hideMark/>
          </w:tcPr>
          <w:p w14:paraId="10AE0180"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E7C3DA0" w14:textId="77777777" w:rsidR="00235E11" w:rsidRDefault="00F837E4">
            <w:pPr>
              <w:pStyle w:val="P68B1DB1-Normal59"/>
              <w:spacing w:after="0"/>
              <w:rPr>
                <w:noProof/>
              </w:rPr>
            </w:pPr>
            <w:r>
              <w:rPr>
                <w:noProof/>
              </w:rPr>
              <w:t>Провеждане на първата кампания за повишаване на осведомеността в областта на киберсигурността</w:t>
            </w:r>
          </w:p>
        </w:tc>
      </w:tr>
      <w:tr w:rsidR="00235E11" w14:paraId="331F85F9" w14:textId="77777777">
        <w:trPr>
          <w:trHeight w:val="315"/>
        </w:trPr>
        <w:tc>
          <w:tcPr>
            <w:tcW w:w="345" w:type="pct"/>
            <w:shd w:val="clear" w:color="auto" w:fill="C6EFCE"/>
            <w:noWrap/>
            <w:vAlign w:val="center"/>
            <w:hideMark/>
          </w:tcPr>
          <w:p w14:paraId="7D731F21" w14:textId="77777777" w:rsidR="00235E11" w:rsidRDefault="00F837E4">
            <w:pPr>
              <w:pStyle w:val="P68B1DB1-Normal59"/>
              <w:spacing w:after="0"/>
              <w:jc w:val="center"/>
              <w:rPr>
                <w:noProof/>
              </w:rPr>
            </w:pPr>
            <w:r>
              <w:rPr>
                <w:noProof/>
              </w:rPr>
              <w:t>54</w:t>
            </w:r>
          </w:p>
        </w:tc>
        <w:tc>
          <w:tcPr>
            <w:tcW w:w="2069" w:type="pct"/>
            <w:shd w:val="clear" w:color="auto" w:fill="C6EFCE"/>
            <w:noWrap/>
            <w:vAlign w:val="center"/>
            <w:hideMark/>
          </w:tcPr>
          <w:p w14:paraId="447E22E8" w14:textId="77777777" w:rsidR="00235E11" w:rsidRDefault="00F837E4">
            <w:pPr>
              <w:pStyle w:val="P68B1DB1-Normal59"/>
              <w:spacing w:after="0"/>
              <w:rPr>
                <w:noProof/>
              </w:rPr>
            </w:pPr>
            <w:r>
              <w:rPr>
                <w:noProof/>
              </w:rPr>
              <w:t>Цифровизация на SPF (I-2.05) (подмярка: 2, 3, 4, 5, 6, 8, 9, 11 и 12)</w:t>
            </w:r>
          </w:p>
        </w:tc>
        <w:tc>
          <w:tcPr>
            <w:tcW w:w="417" w:type="pct"/>
            <w:shd w:val="clear" w:color="auto" w:fill="C6EFCE"/>
            <w:noWrap/>
            <w:vAlign w:val="center"/>
            <w:hideMark/>
          </w:tcPr>
          <w:p w14:paraId="360E0A1B"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53A66FE5" w14:textId="77777777" w:rsidR="00235E11" w:rsidRDefault="00F837E4">
            <w:pPr>
              <w:pStyle w:val="P68B1DB1-Normal59"/>
              <w:spacing w:after="0"/>
              <w:rPr>
                <w:noProof/>
              </w:rPr>
            </w:pPr>
            <w:r>
              <w:rPr>
                <w:noProof/>
              </w:rPr>
              <w:t xml:space="preserve">Определени са изискванията </w:t>
            </w:r>
          </w:p>
        </w:tc>
      </w:tr>
      <w:tr w:rsidR="00235E11" w14:paraId="7DD9367D" w14:textId="77777777">
        <w:trPr>
          <w:trHeight w:val="315"/>
        </w:trPr>
        <w:tc>
          <w:tcPr>
            <w:tcW w:w="345" w:type="pct"/>
            <w:shd w:val="clear" w:color="auto" w:fill="C6EFCE"/>
            <w:noWrap/>
            <w:vAlign w:val="center"/>
            <w:hideMark/>
          </w:tcPr>
          <w:p w14:paraId="5B637CDE" w14:textId="77777777" w:rsidR="00235E11" w:rsidRDefault="00F837E4">
            <w:pPr>
              <w:pStyle w:val="P68B1DB1-Normal59"/>
              <w:spacing w:after="0"/>
              <w:jc w:val="center"/>
              <w:rPr>
                <w:noProof/>
              </w:rPr>
            </w:pPr>
            <w:r>
              <w:rPr>
                <w:noProof/>
              </w:rPr>
              <w:t>57</w:t>
            </w:r>
          </w:p>
        </w:tc>
        <w:tc>
          <w:tcPr>
            <w:tcW w:w="2069" w:type="pct"/>
            <w:shd w:val="clear" w:color="auto" w:fill="C6EFCE"/>
            <w:noWrap/>
            <w:vAlign w:val="center"/>
            <w:hideMark/>
          </w:tcPr>
          <w:p w14:paraId="12BA4192" w14:textId="77777777" w:rsidR="00235E11" w:rsidRDefault="00F837E4">
            <w:pPr>
              <w:pStyle w:val="P68B1DB1-Normal59"/>
              <w:spacing w:after="0"/>
              <w:rPr>
                <w:noProof/>
              </w:rPr>
            </w:pPr>
            <w:r>
              <w:rPr>
                <w:noProof/>
              </w:rPr>
              <w:t>Цифровизация на SPF (I-2.05) (подмярка 1: Цифрова трансформация на правосъдието)</w:t>
            </w:r>
          </w:p>
        </w:tc>
        <w:tc>
          <w:tcPr>
            <w:tcW w:w="417" w:type="pct"/>
            <w:shd w:val="clear" w:color="auto" w:fill="C6EFCE"/>
            <w:noWrap/>
            <w:vAlign w:val="center"/>
            <w:hideMark/>
          </w:tcPr>
          <w:p w14:paraId="0E722741"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4C589858" w14:textId="77777777" w:rsidR="00235E11" w:rsidRDefault="00F837E4">
            <w:pPr>
              <w:pStyle w:val="P68B1DB1-Normal59"/>
              <w:spacing w:after="0"/>
              <w:rPr>
                <w:noProof/>
              </w:rPr>
            </w:pPr>
            <w:r>
              <w:rPr>
                <w:noProof/>
              </w:rPr>
              <w:t>Публикуване на онлайн портала JustOnWeb</w:t>
            </w:r>
          </w:p>
        </w:tc>
      </w:tr>
      <w:tr w:rsidR="00235E11" w14:paraId="047EBEFA" w14:textId="77777777">
        <w:trPr>
          <w:trHeight w:val="315"/>
        </w:trPr>
        <w:tc>
          <w:tcPr>
            <w:tcW w:w="345" w:type="pct"/>
            <w:shd w:val="clear" w:color="auto" w:fill="C6EFCE"/>
            <w:noWrap/>
            <w:vAlign w:val="center"/>
            <w:hideMark/>
          </w:tcPr>
          <w:p w14:paraId="110C6767" w14:textId="77777777" w:rsidR="00235E11" w:rsidRDefault="00F837E4">
            <w:pPr>
              <w:pStyle w:val="P68B1DB1-Normal59"/>
              <w:spacing w:after="0"/>
              <w:jc w:val="center"/>
              <w:rPr>
                <w:noProof/>
              </w:rPr>
            </w:pPr>
            <w:r>
              <w:rPr>
                <w:noProof/>
              </w:rPr>
              <w:t>62</w:t>
            </w:r>
          </w:p>
        </w:tc>
        <w:tc>
          <w:tcPr>
            <w:tcW w:w="2069" w:type="pct"/>
            <w:shd w:val="clear" w:color="auto" w:fill="C6EFCE"/>
            <w:noWrap/>
            <w:vAlign w:val="center"/>
            <w:hideMark/>
          </w:tcPr>
          <w:p w14:paraId="23E795FD" w14:textId="77777777" w:rsidR="00235E11" w:rsidRDefault="00F837E4">
            <w:pPr>
              <w:pStyle w:val="P68B1DB1-Normal59"/>
              <w:spacing w:after="0"/>
              <w:rPr>
                <w:noProof/>
              </w:rPr>
            </w:pPr>
            <w:r>
              <w:rPr>
                <w:noProof/>
              </w:rPr>
              <w:t>електронни здравни услуги и здравни данни (I-2.06)</w:t>
            </w:r>
          </w:p>
        </w:tc>
        <w:tc>
          <w:tcPr>
            <w:tcW w:w="417" w:type="pct"/>
            <w:shd w:val="clear" w:color="auto" w:fill="C6EFCE"/>
            <w:noWrap/>
            <w:vAlign w:val="center"/>
            <w:hideMark/>
          </w:tcPr>
          <w:p w14:paraId="0671CDE6"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56F4B2DD" w14:textId="77777777" w:rsidR="00235E11" w:rsidRDefault="00F837E4">
            <w:pPr>
              <w:pStyle w:val="P68B1DB1-Normal59"/>
              <w:spacing w:after="0"/>
              <w:rPr>
                <w:noProof/>
              </w:rPr>
            </w:pPr>
            <w:r>
              <w:rPr>
                <w:noProof/>
              </w:rPr>
              <w:t>Влизане в сила на закона за създаване на Органа за здравни данни</w:t>
            </w:r>
          </w:p>
        </w:tc>
      </w:tr>
      <w:tr w:rsidR="00235E11" w14:paraId="39322B9C" w14:textId="77777777">
        <w:trPr>
          <w:trHeight w:val="315"/>
        </w:trPr>
        <w:tc>
          <w:tcPr>
            <w:tcW w:w="345" w:type="pct"/>
            <w:shd w:val="clear" w:color="auto" w:fill="C6EFCE"/>
            <w:noWrap/>
            <w:vAlign w:val="center"/>
            <w:hideMark/>
          </w:tcPr>
          <w:p w14:paraId="0D712583" w14:textId="77777777" w:rsidR="00235E11" w:rsidRDefault="00F837E4">
            <w:pPr>
              <w:pStyle w:val="P68B1DB1-Normal59"/>
              <w:spacing w:after="0"/>
              <w:jc w:val="center"/>
              <w:rPr>
                <w:noProof/>
              </w:rPr>
            </w:pPr>
            <w:r>
              <w:rPr>
                <w:noProof/>
              </w:rPr>
              <w:t>63</w:t>
            </w:r>
          </w:p>
        </w:tc>
        <w:tc>
          <w:tcPr>
            <w:tcW w:w="2069" w:type="pct"/>
            <w:shd w:val="clear" w:color="auto" w:fill="C6EFCE"/>
            <w:noWrap/>
            <w:vAlign w:val="center"/>
            <w:hideMark/>
          </w:tcPr>
          <w:p w14:paraId="48B8B7E7" w14:textId="77777777" w:rsidR="00235E11" w:rsidRDefault="00F837E4">
            <w:pPr>
              <w:pStyle w:val="P68B1DB1-Normal59"/>
              <w:spacing w:after="0"/>
              <w:rPr>
                <w:noProof/>
              </w:rPr>
            </w:pPr>
            <w:r>
              <w:rPr>
                <w:noProof/>
              </w:rPr>
              <w:t>електронни здравни услуги и здравни данни (I-2.06)</w:t>
            </w:r>
          </w:p>
        </w:tc>
        <w:tc>
          <w:tcPr>
            <w:tcW w:w="417" w:type="pct"/>
            <w:shd w:val="clear" w:color="auto" w:fill="C6EFCE"/>
            <w:noWrap/>
            <w:vAlign w:val="center"/>
            <w:hideMark/>
          </w:tcPr>
          <w:p w14:paraId="7174044A"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0AD56FE4" w14:textId="77777777" w:rsidR="00235E11" w:rsidRDefault="00F837E4">
            <w:pPr>
              <w:pStyle w:val="P68B1DB1-Normal59"/>
              <w:spacing w:after="0"/>
              <w:rPr>
                <w:noProof/>
              </w:rPr>
            </w:pPr>
            <w:r>
              <w:rPr>
                <w:noProof/>
              </w:rPr>
              <w:t>Проектиране и решение за подпроектите</w:t>
            </w:r>
          </w:p>
        </w:tc>
      </w:tr>
      <w:tr w:rsidR="00235E11" w14:paraId="7FB10566" w14:textId="77777777">
        <w:trPr>
          <w:trHeight w:val="315"/>
        </w:trPr>
        <w:tc>
          <w:tcPr>
            <w:tcW w:w="345" w:type="pct"/>
            <w:shd w:val="clear" w:color="auto" w:fill="C6EFCE"/>
            <w:noWrap/>
            <w:vAlign w:val="center"/>
            <w:hideMark/>
          </w:tcPr>
          <w:p w14:paraId="54BFD8D6" w14:textId="77777777" w:rsidR="00235E11" w:rsidRDefault="00F837E4">
            <w:pPr>
              <w:pStyle w:val="P68B1DB1-Normal59"/>
              <w:spacing w:after="0"/>
              <w:jc w:val="center"/>
              <w:rPr>
                <w:noProof/>
              </w:rPr>
            </w:pPr>
            <w:r>
              <w:rPr>
                <w:noProof/>
              </w:rPr>
              <w:t>68</w:t>
            </w:r>
          </w:p>
        </w:tc>
        <w:tc>
          <w:tcPr>
            <w:tcW w:w="2069" w:type="pct"/>
            <w:shd w:val="clear" w:color="auto" w:fill="C6EFCE"/>
            <w:noWrap/>
            <w:vAlign w:val="center"/>
            <w:hideMark/>
          </w:tcPr>
          <w:p w14:paraId="5EEE696D" w14:textId="77777777" w:rsidR="00235E11" w:rsidRDefault="00F837E4">
            <w:pPr>
              <w:pStyle w:val="P68B1DB1-Normal59"/>
              <w:spacing w:after="0"/>
              <w:rPr>
                <w:noProof/>
              </w:rPr>
            </w:pPr>
            <w:r>
              <w:rPr>
                <w:noProof/>
              </w:rPr>
              <w:t>Цифровизация на фламандското правителство (I-2.09)</w:t>
            </w:r>
          </w:p>
        </w:tc>
        <w:tc>
          <w:tcPr>
            <w:tcW w:w="417" w:type="pct"/>
            <w:shd w:val="clear" w:color="auto" w:fill="C6EFCE"/>
            <w:noWrap/>
            <w:vAlign w:val="center"/>
            <w:hideMark/>
          </w:tcPr>
          <w:p w14:paraId="7B4F52B6"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2D250156" w14:textId="77777777" w:rsidR="00235E11" w:rsidRDefault="00F837E4">
            <w:pPr>
              <w:pStyle w:val="P68B1DB1-Normal59"/>
              <w:spacing w:after="0"/>
              <w:rPr>
                <w:noProof/>
              </w:rPr>
            </w:pPr>
            <w:r>
              <w:rPr>
                <w:noProof/>
              </w:rPr>
              <w:t>Възлагане на обществена поръчка за 11 проекта</w:t>
            </w:r>
          </w:p>
        </w:tc>
      </w:tr>
      <w:tr w:rsidR="00235E11" w14:paraId="2B1704AD" w14:textId="77777777">
        <w:trPr>
          <w:trHeight w:val="315"/>
        </w:trPr>
        <w:tc>
          <w:tcPr>
            <w:tcW w:w="345" w:type="pct"/>
            <w:shd w:val="clear" w:color="auto" w:fill="C6EFCE"/>
            <w:noWrap/>
            <w:vAlign w:val="center"/>
            <w:hideMark/>
          </w:tcPr>
          <w:p w14:paraId="45290CFF" w14:textId="77777777" w:rsidR="00235E11" w:rsidRDefault="00F837E4">
            <w:pPr>
              <w:pStyle w:val="P68B1DB1-Normal59"/>
              <w:spacing w:after="0"/>
              <w:jc w:val="center"/>
              <w:rPr>
                <w:noProof/>
              </w:rPr>
            </w:pPr>
            <w:r>
              <w:rPr>
                <w:noProof/>
              </w:rPr>
              <w:t>78</w:t>
            </w:r>
          </w:p>
        </w:tc>
        <w:tc>
          <w:tcPr>
            <w:tcW w:w="2069" w:type="pct"/>
            <w:shd w:val="clear" w:color="auto" w:fill="C6EFCE"/>
            <w:noWrap/>
            <w:vAlign w:val="center"/>
            <w:hideMark/>
          </w:tcPr>
          <w:p w14:paraId="52E45EB0" w14:textId="77777777" w:rsidR="00235E11" w:rsidRDefault="00F837E4">
            <w:pPr>
              <w:pStyle w:val="P68B1DB1-Normal59"/>
              <w:spacing w:after="0"/>
              <w:rPr>
                <w:noProof/>
              </w:rPr>
            </w:pPr>
            <w:r>
              <w:rPr>
                <w:noProof/>
              </w:rPr>
              <w:t>Електронно правителство: тръжна процедура (R-2.02)</w:t>
            </w:r>
          </w:p>
        </w:tc>
        <w:tc>
          <w:tcPr>
            <w:tcW w:w="417" w:type="pct"/>
            <w:shd w:val="clear" w:color="auto" w:fill="C6EFCE"/>
            <w:noWrap/>
            <w:vAlign w:val="center"/>
            <w:hideMark/>
          </w:tcPr>
          <w:p w14:paraId="1E116DCA"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1DADAEC9" w14:textId="77777777" w:rsidR="00235E11" w:rsidRDefault="00F837E4">
            <w:pPr>
              <w:pStyle w:val="P68B1DB1-Normal59"/>
              <w:spacing w:after="0"/>
              <w:rPr>
                <w:noProof/>
              </w:rPr>
            </w:pPr>
            <w:r>
              <w:rPr>
                <w:noProof/>
              </w:rPr>
              <w:t>Влизане в сила на нов регулаторен контекст</w:t>
            </w:r>
          </w:p>
        </w:tc>
      </w:tr>
      <w:tr w:rsidR="00235E11" w14:paraId="44DEC25A" w14:textId="77777777">
        <w:trPr>
          <w:trHeight w:val="315"/>
        </w:trPr>
        <w:tc>
          <w:tcPr>
            <w:tcW w:w="345" w:type="pct"/>
            <w:shd w:val="clear" w:color="auto" w:fill="C6EFCE"/>
            <w:noWrap/>
            <w:vAlign w:val="center"/>
            <w:hideMark/>
          </w:tcPr>
          <w:p w14:paraId="2D1B2868" w14:textId="77777777" w:rsidR="00235E11" w:rsidRDefault="00F837E4">
            <w:pPr>
              <w:pStyle w:val="P68B1DB1-Normal59"/>
              <w:spacing w:after="0"/>
              <w:jc w:val="center"/>
              <w:rPr>
                <w:noProof/>
              </w:rPr>
            </w:pPr>
            <w:r>
              <w:rPr>
                <w:noProof/>
              </w:rPr>
              <w:t>81</w:t>
            </w:r>
          </w:p>
        </w:tc>
        <w:tc>
          <w:tcPr>
            <w:tcW w:w="2069" w:type="pct"/>
            <w:shd w:val="clear" w:color="auto" w:fill="C6EFCE"/>
            <w:noWrap/>
            <w:vAlign w:val="center"/>
            <w:hideMark/>
          </w:tcPr>
          <w:p w14:paraId="05E9E32B" w14:textId="77777777" w:rsidR="00235E11" w:rsidRDefault="00F837E4">
            <w:pPr>
              <w:pStyle w:val="P68B1DB1-Normal59"/>
              <w:spacing w:after="0"/>
              <w:rPr>
                <w:noProof/>
              </w:rPr>
            </w:pPr>
            <w:r>
              <w:rPr>
                <w:noProof/>
              </w:rPr>
              <w:t>Разработване на институт за ИИ с цел използване на тази технология за посрещане на обществени предизвикателства (I-2.14)</w:t>
            </w:r>
          </w:p>
        </w:tc>
        <w:tc>
          <w:tcPr>
            <w:tcW w:w="417" w:type="pct"/>
            <w:shd w:val="clear" w:color="auto" w:fill="C6EFCE"/>
            <w:noWrap/>
            <w:vAlign w:val="center"/>
            <w:hideMark/>
          </w:tcPr>
          <w:p w14:paraId="78BCA3BD"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7E26F8F" w14:textId="77777777" w:rsidR="00235E11" w:rsidRDefault="00F837E4">
            <w:pPr>
              <w:pStyle w:val="P68B1DB1-Normal59"/>
              <w:spacing w:after="0"/>
              <w:rPr>
                <w:noProof/>
              </w:rPr>
            </w:pPr>
            <w:r>
              <w:rPr>
                <w:noProof/>
              </w:rPr>
              <w:t>Приключване на пилотни проекти от ИИ за Института за общо благо</w:t>
            </w:r>
          </w:p>
        </w:tc>
      </w:tr>
      <w:tr w:rsidR="00235E11" w14:paraId="71F46FFB" w14:textId="77777777">
        <w:trPr>
          <w:trHeight w:val="315"/>
        </w:trPr>
        <w:tc>
          <w:tcPr>
            <w:tcW w:w="345" w:type="pct"/>
            <w:shd w:val="clear" w:color="auto" w:fill="C6EFCE"/>
            <w:noWrap/>
            <w:vAlign w:val="center"/>
            <w:hideMark/>
          </w:tcPr>
          <w:p w14:paraId="30D2C4D9" w14:textId="77777777" w:rsidR="00235E11" w:rsidRDefault="00F837E4">
            <w:pPr>
              <w:pStyle w:val="P68B1DB1-Normal59"/>
              <w:spacing w:after="0"/>
              <w:jc w:val="center"/>
              <w:rPr>
                <w:noProof/>
              </w:rPr>
            </w:pPr>
            <w:r>
              <w:rPr>
                <w:noProof/>
              </w:rPr>
              <w:t>91</w:t>
            </w:r>
          </w:p>
        </w:tc>
        <w:tc>
          <w:tcPr>
            <w:tcW w:w="2069" w:type="pct"/>
            <w:shd w:val="clear" w:color="auto" w:fill="C6EFCE"/>
            <w:noWrap/>
            <w:vAlign w:val="center"/>
            <w:hideMark/>
          </w:tcPr>
          <w:p w14:paraId="20D67D9E" w14:textId="77777777" w:rsidR="00235E11" w:rsidRDefault="00F837E4">
            <w:pPr>
              <w:pStyle w:val="P68B1DB1-Normal59"/>
              <w:spacing w:after="0"/>
              <w:rPr>
                <w:noProof/>
              </w:rPr>
            </w:pPr>
            <w:r>
              <w:rPr>
                <w:noProof/>
              </w:rPr>
              <w:t>Въвеждане на 5G — Национален план за фиксиран и мобилен широколентов достъп (R-2.03)</w:t>
            </w:r>
          </w:p>
        </w:tc>
        <w:tc>
          <w:tcPr>
            <w:tcW w:w="417" w:type="pct"/>
            <w:shd w:val="clear" w:color="auto" w:fill="C6EFCE"/>
            <w:noWrap/>
            <w:vAlign w:val="center"/>
            <w:hideMark/>
          </w:tcPr>
          <w:p w14:paraId="5F9DE67F"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47A076A5" w14:textId="77777777" w:rsidR="00235E11" w:rsidRDefault="00F837E4">
            <w:pPr>
              <w:pStyle w:val="P68B1DB1-Normal59"/>
              <w:spacing w:after="0"/>
              <w:rPr>
                <w:noProof/>
              </w:rPr>
            </w:pPr>
            <w:r>
              <w:rPr>
                <w:noProof/>
              </w:rPr>
              <w:t>Търг 5G</w:t>
            </w:r>
          </w:p>
        </w:tc>
      </w:tr>
      <w:tr w:rsidR="00235E11" w14:paraId="3B2A85D0" w14:textId="77777777">
        <w:trPr>
          <w:trHeight w:val="315"/>
        </w:trPr>
        <w:tc>
          <w:tcPr>
            <w:tcW w:w="345" w:type="pct"/>
            <w:shd w:val="clear" w:color="auto" w:fill="C6EFCE"/>
            <w:noWrap/>
            <w:vAlign w:val="center"/>
            <w:hideMark/>
          </w:tcPr>
          <w:p w14:paraId="4978DA6F" w14:textId="77777777" w:rsidR="00235E11" w:rsidRDefault="00F837E4">
            <w:pPr>
              <w:pStyle w:val="P68B1DB1-Normal59"/>
              <w:spacing w:after="0"/>
              <w:jc w:val="center"/>
              <w:rPr>
                <w:noProof/>
              </w:rPr>
            </w:pPr>
            <w:r>
              <w:rPr>
                <w:noProof/>
              </w:rPr>
              <w:t>92</w:t>
            </w:r>
          </w:p>
        </w:tc>
        <w:tc>
          <w:tcPr>
            <w:tcW w:w="2069" w:type="pct"/>
            <w:shd w:val="clear" w:color="auto" w:fill="C6EFCE"/>
            <w:noWrap/>
            <w:vAlign w:val="center"/>
            <w:hideMark/>
          </w:tcPr>
          <w:p w14:paraId="3C609DAE" w14:textId="77777777" w:rsidR="00235E11" w:rsidRDefault="00F837E4">
            <w:pPr>
              <w:pStyle w:val="P68B1DB1-Normal59"/>
              <w:spacing w:after="0"/>
              <w:rPr>
                <w:noProof/>
              </w:rPr>
            </w:pPr>
            <w:r>
              <w:rPr>
                <w:noProof/>
              </w:rPr>
              <w:t>Въвеждане на 5G — Национален план за фиксиран и мобилен широколентов достъп (R-2.03)</w:t>
            </w:r>
          </w:p>
        </w:tc>
        <w:tc>
          <w:tcPr>
            <w:tcW w:w="417" w:type="pct"/>
            <w:shd w:val="clear" w:color="auto" w:fill="C6EFCE"/>
            <w:noWrap/>
            <w:vAlign w:val="center"/>
            <w:hideMark/>
          </w:tcPr>
          <w:p w14:paraId="618DEF61"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1D254DE8" w14:textId="77777777" w:rsidR="00235E11" w:rsidRDefault="00F837E4">
            <w:pPr>
              <w:pStyle w:val="P68B1DB1-Normal59"/>
              <w:spacing w:after="0"/>
              <w:rPr>
                <w:noProof/>
              </w:rPr>
            </w:pPr>
            <w:r>
              <w:rPr>
                <w:noProof/>
              </w:rPr>
              <w:t>Прилагане на инструментариума за свързаност със статус</w:t>
            </w:r>
          </w:p>
        </w:tc>
      </w:tr>
      <w:tr w:rsidR="00235E11" w14:paraId="2C904151" w14:textId="77777777">
        <w:trPr>
          <w:trHeight w:val="315"/>
        </w:trPr>
        <w:tc>
          <w:tcPr>
            <w:tcW w:w="345" w:type="pct"/>
            <w:shd w:val="clear" w:color="auto" w:fill="C6EFCE"/>
            <w:noWrap/>
            <w:vAlign w:val="center"/>
            <w:hideMark/>
          </w:tcPr>
          <w:p w14:paraId="695C4FCE" w14:textId="77777777" w:rsidR="00235E11" w:rsidRDefault="00F837E4">
            <w:pPr>
              <w:pStyle w:val="P68B1DB1-Normal59"/>
              <w:spacing w:after="0"/>
              <w:jc w:val="center"/>
              <w:rPr>
                <w:noProof/>
              </w:rPr>
            </w:pPr>
            <w:r>
              <w:rPr>
                <w:noProof/>
              </w:rPr>
              <w:t>93</w:t>
            </w:r>
          </w:p>
        </w:tc>
        <w:tc>
          <w:tcPr>
            <w:tcW w:w="2069" w:type="pct"/>
            <w:shd w:val="clear" w:color="auto" w:fill="C6EFCE"/>
            <w:noWrap/>
            <w:vAlign w:val="center"/>
            <w:hideMark/>
          </w:tcPr>
          <w:p w14:paraId="156E8A79" w14:textId="77777777" w:rsidR="00235E11" w:rsidRDefault="00F837E4">
            <w:pPr>
              <w:pStyle w:val="P68B1DB1-Normal59"/>
              <w:spacing w:after="0"/>
              <w:rPr>
                <w:noProof/>
              </w:rPr>
            </w:pPr>
            <w:r>
              <w:rPr>
                <w:noProof/>
              </w:rPr>
              <w:t>Въвеждане на 5G — Национален план за фиксиран и мобилен широколентов достъп (R-2.03)</w:t>
            </w:r>
          </w:p>
        </w:tc>
        <w:tc>
          <w:tcPr>
            <w:tcW w:w="417" w:type="pct"/>
            <w:shd w:val="clear" w:color="auto" w:fill="C6EFCE"/>
            <w:noWrap/>
            <w:vAlign w:val="center"/>
            <w:hideMark/>
          </w:tcPr>
          <w:p w14:paraId="4CC3085E"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124D1C4" w14:textId="77777777" w:rsidR="00235E11" w:rsidRDefault="00F837E4">
            <w:pPr>
              <w:pStyle w:val="P68B1DB1-Normal59"/>
              <w:spacing w:after="0"/>
              <w:rPr>
                <w:noProof/>
              </w:rPr>
            </w:pPr>
            <w:r>
              <w:rPr>
                <w:noProof/>
              </w:rPr>
              <w:t>Преразглеждане на законодателната рамка на трите региона относно радиационните стандарти</w:t>
            </w:r>
          </w:p>
        </w:tc>
      </w:tr>
      <w:tr w:rsidR="00235E11" w14:paraId="19413A81" w14:textId="77777777">
        <w:trPr>
          <w:trHeight w:val="315"/>
        </w:trPr>
        <w:tc>
          <w:tcPr>
            <w:tcW w:w="345" w:type="pct"/>
            <w:shd w:val="clear" w:color="auto" w:fill="C6EFCE"/>
            <w:noWrap/>
            <w:vAlign w:val="center"/>
            <w:hideMark/>
          </w:tcPr>
          <w:p w14:paraId="352696AB" w14:textId="77777777" w:rsidR="00235E11" w:rsidRDefault="00F837E4">
            <w:pPr>
              <w:pStyle w:val="P68B1DB1-Normal59"/>
              <w:spacing w:after="0"/>
              <w:jc w:val="center"/>
              <w:rPr>
                <w:noProof/>
              </w:rPr>
            </w:pPr>
            <w:r>
              <w:rPr>
                <w:noProof/>
              </w:rPr>
              <w:t>103</w:t>
            </w:r>
          </w:p>
        </w:tc>
        <w:tc>
          <w:tcPr>
            <w:tcW w:w="2069" w:type="pct"/>
            <w:shd w:val="clear" w:color="auto" w:fill="C6EFCE"/>
            <w:noWrap/>
            <w:vAlign w:val="center"/>
            <w:hideMark/>
          </w:tcPr>
          <w:p w14:paraId="246EFA96" w14:textId="77777777" w:rsidR="00235E11" w:rsidRDefault="00F837E4">
            <w:pPr>
              <w:pStyle w:val="P68B1DB1-Normal59"/>
              <w:spacing w:after="0"/>
              <w:rPr>
                <w:noProof/>
              </w:rPr>
            </w:pPr>
            <w:r>
              <w:rPr>
                <w:noProof/>
              </w:rPr>
              <w:t>Дейности по обновяване на железниците и достъпност на гарите (I-3В)</w:t>
            </w:r>
          </w:p>
        </w:tc>
        <w:tc>
          <w:tcPr>
            <w:tcW w:w="417" w:type="pct"/>
            <w:shd w:val="clear" w:color="auto" w:fill="C6EFCE"/>
            <w:noWrap/>
            <w:vAlign w:val="center"/>
            <w:hideMark/>
          </w:tcPr>
          <w:p w14:paraId="50900583" w14:textId="77777777" w:rsidR="00235E11" w:rsidRDefault="00F837E4">
            <w:pPr>
              <w:pStyle w:val="P68B1DB1-Normal59"/>
              <w:spacing w:after="0"/>
              <w:jc w:val="center"/>
              <w:rPr>
                <w:noProof/>
              </w:rPr>
            </w:pPr>
            <w:r>
              <w:rPr>
                <w:noProof/>
              </w:rPr>
              <w:t>T</w:t>
            </w:r>
          </w:p>
        </w:tc>
        <w:tc>
          <w:tcPr>
            <w:tcW w:w="2169" w:type="pct"/>
            <w:shd w:val="clear" w:color="auto" w:fill="C6EFCE"/>
            <w:noWrap/>
            <w:vAlign w:val="center"/>
            <w:hideMark/>
          </w:tcPr>
          <w:p w14:paraId="40305532" w14:textId="77777777" w:rsidR="00235E11" w:rsidRDefault="00F837E4">
            <w:pPr>
              <w:pStyle w:val="P68B1DB1-Normal59"/>
              <w:spacing w:after="0"/>
              <w:rPr>
                <w:noProof/>
              </w:rPr>
            </w:pPr>
            <w:r>
              <w:rPr>
                <w:noProof/>
              </w:rPr>
              <w:t>Приключване на ремонтни и модернизационни работи на железопътната линия и работи по достъпност на гарите (стъпка 1)</w:t>
            </w:r>
          </w:p>
        </w:tc>
      </w:tr>
      <w:tr w:rsidR="00235E11" w14:paraId="3A8EFAD2" w14:textId="77777777">
        <w:trPr>
          <w:trHeight w:val="315"/>
        </w:trPr>
        <w:tc>
          <w:tcPr>
            <w:tcW w:w="345" w:type="pct"/>
            <w:shd w:val="clear" w:color="auto" w:fill="C6EFCE"/>
            <w:noWrap/>
            <w:vAlign w:val="center"/>
            <w:hideMark/>
          </w:tcPr>
          <w:p w14:paraId="766E2A72" w14:textId="77777777" w:rsidR="00235E11" w:rsidRDefault="00F837E4">
            <w:pPr>
              <w:pStyle w:val="P68B1DB1-Normal59"/>
              <w:spacing w:after="0"/>
              <w:jc w:val="center"/>
              <w:rPr>
                <w:noProof/>
              </w:rPr>
            </w:pPr>
            <w:r>
              <w:rPr>
                <w:noProof/>
              </w:rPr>
              <w:t>112</w:t>
            </w:r>
          </w:p>
        </w:tc>
        <w:tc>
          <w:tcPr>
            <w:tcW w:w="2069" w:type="pct"/>
            <w:shd w:val="clear" w:color="auto" w:fill="C6EFCE"/>
            <w:noWrap/>
            <w:vAlign w:val="center"/>
            <w:hideMark/>
          </w:tcPr>
          <w:p w14:paraId="7B5F5178" w14:textId="77777777" w:rsidR="00235E11" w:rsidRDefault="00F837E4">
            <w:pPr>
              <w:pStyle w:val="P68B1DB1-Normal59"/>
              <w:spacing w:after="0"/>
              <w:rPr>
                <w:noProof/>
              </w:rPr>
            </w:pPr>
            <w:r>
              <w:rPr>
                <w:noProof/>
              </w:rPr>
              <w:t>Интелигентен транспорт (I-3.15)</w:t>
            </w:r>
          </w:p>
        </w:tc>
        <w:tc>
          <w:tcPr>
            <w:tcW w:w="417" w:type="pct"/>
            <w:shd w:val="clear" w:color="auto" w:fill="C6EFCE"/>
            <w:noWrap/>
            <w:vAlign w:val="center"/>
            <w:hideMark/>
          </w:tcPr>
          <w:p w14:paraId="12C564C1"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39B6F2D7" w14:textId="77777777" w:rsidR="00235E11" w:rsidRDefault="00F837E4">
            <w:pPr>
              <w:pStyle w:val="P68B1DB1-Normal59"/>
              <w:spacing w:after="0"/>
              <w:rPr>
                <w:noProof/>
              </w:rPr>
            </w:pPr>
            <w:r>
              <w:rPr>
                <w:noProof/>
              </w:rPr>
              <w:t>Приложението Smart Move функционира</w:t>
            </w:r>
          </w:p>
        </w:tc>
      </w:tr>
      <w:tr w:rsidR="00235E11" w14:paraId="073F0073" w14:textId="77777777">
        <w:trPr>
          <w:trHeight w:val="315"/>
        </w:trPr>
        <w:tc>
          <w:tcPr>
            <w:tcW w:w="345" w:type="pct"/>
            <w:shd w:val="clear" w:color="auto" w:fill="C6EFCE"/>
            <w:noWrap/>
            <w:vAlign w:val="center"/>
            <w:hideMark/>
          </w:tcPr>
          <w:p w14:paraId="1A392687" w14:textId="77777777" w:rsidR="00235E11" w:rsidRDefault="00F837E4">
            <w:pPr>
              <w:pStyle w:val="P68B1DB1-Normal59"/>
              <w:spacing w:after="0"/>
              <w:jc w:val="center"/>
              <w:rPr>
                <w:noProof/>
              </w:rPr>
            </w:pPr>
            <w:r>
              <w:rPr>
                <w:noProof/>
              </w:rPr>
              <w:t>117</w:t>
            </w:r>
          </w:p>
        </w:tc>
        <w:tc>
          <w:tcPr>
            <w:tcW w:w="2069" w:type="pct"/>
            <w:shd w:val="clear" w:color="auto" w:fill="C6EFCE"/>
            <w:noWrap/>
            <w:vAlign w:val="center"/>
            <w:hideMark/>
          </w:tcPr>
          <w:p w14:paraId="1D87D386" w14:textId="77777777" w:rsidR="00235E11" w:rsidRDefault="00F837E4">
            <w:pPr>
              <w:pStyle w:val="P68B1DB1-Normal59"/>
              <w:spacing w:after="0"/>
              <w:rPr>
                <w:noProof/>
              </w:rPr>
            </w:pPr>
            <w:r>
              <w:rPr>
                <w:noProof/>
              </w:rPr>
              <w:t>Станции за зареждане — VLA (I-3.19)</w:t>
            </w:r>
          </w:p>
        </w:tc>
        <w:tc>
          <w:tcPr>
            <w:tcW w:w="417" w:type="pct"/>
            <w:shd w:val="clear" w:color="auto" w:fill="C6EFCE"/>
            <w:noWrap/>
            <w:vAlign w:val="center"/>
            <w:hideMark/>
          </w:tcPr>
          <w:p w14:paraId="7ECA8448"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3A41BEBC" w14:textId="77777777" w:rsidR="00235E11" w:rsidRDefault="00F837E4">
            <w:pPr>
              <w:pStyle w:val="P68B1DB1-Normal59"/>
              <w:spacing w:after="0"/>
              <w:rPr>
                <w:noProof/>
              </w:rPr>
            </w:pPr>
            <w:r>
              <w:rPr>
                <w:noProof/>
              </w:rPr>
              <w:t>Възлагане на концесии за инфраструктура за зареждане</w:t>
            </w:r>
          </w:p>
        </w:tc>
      </w:tr>
      <w:tr w:rsidR="00235E11" w14:paraId="641D2000" w14:textId="77777777">
        <w:trPr>
          <w:trHeight w:val="315"/>
        </w:trPr>
        <w:tc>
          <w:tcPr>
            <w:tcW w:w="345" w:type="pct"/>
            <w:shd w:val="clear" w:color="auto" w:fill="C6EFCE"/>
            <w:noWrap/>
            <w:vAlign w:val="center"/>
            <w:hideMark/>
          </w:tcPr>
          <w:p w14:paraId="17010090" w14:textId="77777777" w:rsidR="00235E11" w:rsidRDefault="00F837E4">
            <w:pPr>
              <w:pStyle w:val="P68B1DB1-Normal59"/>
              <w:spacing w:after="0"/>
              <w:jc w:val="center"/>
              <w:rPr>
                <w:noProof/>
              </w:rPr>
            </w:pPr>
            <w:r>
              <w:rPr>
                <w:noProof/>
              </w:rPr>
              <w:t>118</w:t>
            </w:r>
          </w:p>
        </w:tc>
        <w:tc>
          <w:tcPr>
            <w:tcW w:w="2069" w:type="pct"/>
            <w:shd w:val="clear" w:color="auto" w:fill="C6EFCE"/>
            <w:noWrap/>
            <w:vAlign w:val="center"/>
            <w:hideMark/>
          </w:tcPr>
          <w:p w14:paraId="1C7F646A" w14:textId="77777777" w:rsidR="00235E11" w:rsidRDefault="00F837E4">
            <w:pPr>
              <w:pStyle w:val="P68B1DB1-Normal59"/>
              <w:spacing w:after="0"/>
              <w:rPr>
                <w:noProof/>
              </w:rPr>
            </w:pPr>
            <w:r>
              <w:rPr>
                <w:noProof/>
              </w:rPr>
              <w:t>Станции за зареждане — RBC (R-3.05)</w:t>
            </w:r>
          </w:p>
        </w:tc>
        <w:tc>
          <w:tcPr>
            <w:tcW w:w="417" w:type="pct"/>
            <w:shd w:val="clear" w:color="auto" w:fill="C6EFCE"/>
            <w:noWrap/>
            <w:vAlign w:val="center"/>
            <w:hideMark/>
          </w:tcPr>
          <w:p w14:paraId="5E3BF0A7"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3C8C0EB6" w14:textId="77777777" w:rsidR="00235E11" w:rsidRDefault="00F837E4">
            <w:pPr>
              <w:pStyle w:val="P68B1DB1-Normal59"/>
              <w:spacing w:after="0"/>
              <w:rPr>
                <w:noProof/>
              </w:rPr>
            </w:pPr>
            <w:r>
              <w:rPr>
                <w:noProof/>
              </w:rPr>
              <w:t>Приемане на постановление за определяне на стандартите за сигурност и на план за изграждане на инфраструктура</w:t>
            </w:r>
          </w:p>
        </w:tc>
      </w:tr>
      <w:tr w:rsidR="00235E11" w14:paraId="0482413D" w14:textId="77777777">
        <w:trPr>
          <w:trHeight w:val="315"/>
        </w:trPr>
        <w:tc>
          <w:tcPr>
            <w:tcW w:w="345" w:type="pct"/>
            <w:shd w:val="clear" w:color="auto" w:fill="C6EFCE"/>
            <w:noWrap/>
            <w:vAlign w:val="center"/>
            <w:hideMark/>
          </w:tcPr>
          <w:p w14:paraId="4C618F91" w14:textId="77777777" w:rsidR="00235E11" w:rsidRDefault="00F837E4">
            <w:pPr>
              <w:pStyle w:val="P68B1DB1-Normal59"/>
              <w:spacing w:after="0"/>
              <w:jc w:val="center"/>
              <w:rPr>
                <w:noProof/>
              </w:rPr>
            </w:pPr>
            <w:r>
              <w:rPr>
                <w:noProof/>
              </w:rPr>
              <w:t>119</w:t>
            </w:r>
          </w:p>
        </w:tc>
        <w:tc>
          <w:tcPr>
            <w:tcW w:w="2069" w:type="pct"/>
            <w:shd w:val="clear" w:color="auto" w:fill="C6EFCE"/>
            <w:noWrap/>
            <w:vAlign w:val="center"/>
            <w:hideMark/>
          </w:tcPr>
          <w:p w14:paraId="55CD9946" w14:textId="77777777" w:rsidR="00235E11" w:rsidRDefault="00F837E4">
            <w:pPr>
              <w:pStyle w:val="P68B1DB1-Normal59"/>
              <w:spacing w:after="0"/>
              <w:rPr>
                <w:noProof/>
              </w:rPr>
            </w:pPr>
            <w:r>
              <w:rPr>
                <w:noProof/>
              </w:rPr>
              <w:t>Станции за зареждане — WAL (R-3.04)</w:t>
            </w:r>
          </w:p>
        </w:tc>
        <w:tc>
          <w:tcPr>
            <w:tcW w:w="417" w:type="pct"/>
            <w:shd w:val="clear" w:color="auto" w:fill="C6EFCE"/>
            <w:noWrap/>
            <w:vAlign w:val="center"/>
            <w:hideMark/>
          </w:tcPr>
          <w:p w14:paraId="4B7DE5F9"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37EC6F9A" w14:textId="77777777" w:rsidR="00235E11" w:rsidRDefault="00F837E4">
            <w:pPr>
              <w:pStyle w:val="P68B1DB1-Normal59"/>
              <w:spacing w:after="0"/>
              <w:rPr>
                <w:noProof/>
              </w:rPr>
            </w:pPr>
            <w:r>
              <w:rPr>
                <w:noProof/>
              </w:rPr>
              <w:t>Приемане на план за разполагане на станции за зареждане с електроенергия</w:t>
            </w:r>
          </w:p>
        </w:tc>
      </w:tr>
      <w:tr w:rsidR="00235E11" w14:paraId="75891C86" w14:textId="77777777">
        <w:trPr>
          <w:trHeight w:val="315"/>
        </w:trPr>
        <w:tc>
          <w:tcPr>
            <w:tcW w:w="345" w:type="pct"/>
            <w:shd w:val="clear" w:color="auto" w:fill="C6EFCE"/>
            <w:noWrap/>
            <w:vAlign w:val="center"/>
            <w:hideMark/>
          </w:tcPr>
          <w:p w14:paraId="140D6FEB" w14:textId="77777777" w:rsidR="00235E11" w:rsidRDefault="00F837E4">
            <w:pPr>
              <w:pStyle w:val="P68B1DB1-Normal59"/>
              <w:spacing w:after="0"/>
              <w:jc w:val="center"/>
              <w:rPr>
                <w:noProof/>
              </w:rPr>
            </w:pPr>
            <w:r>
              <w:rPr>
                <w:noProof/>
              </w:rPr>
              <w:t>131</w:t>
            </w:r>
          </w:p>
        </w:tc>
        <w:tc>
          <w:tcPr>
            <w:tcW w:w="2069" w:type="pct"/>
            <w:shd w:val="clear" w:color="auto" w:fill="C6EFCE"/>
            <w:noWrap/>
            <w:vAlign w:val="center"/>
            <w:hideMark/>
          </w:tcPr>
          <w:p w14:paraId="628B4B08" w14:textId="77777777" w:rsidR="00235E11" w:rsidRDefault="00F837E4">
            <w:pPr>
              <w:pStyle w:val="P68B1DB1-Normal59"/>
              <w:spacing w:after="0"/>
              <w:rPr>
                <w:noProof/>
              </w:rPr>
            </w:pPr>
            <w:r>
              <w:rPr>
                <w:noProof/>
              </w:rPr>
              <w:t>Предоставяне на цифрово оборудване и ИТ инфраструктура на училищата (I-4)</w:t>
            </w:r>
          </w:p>
        </w:tc>
        <w:tc>
          <w:tcPr>
            <w:tcW w:w="417" w:type="pct"/>
            <w:shd w:val="clear" w:color="auto" w:fill="C6EFCE"/>
            <w:noWrap/>
            <w:vAlign w:val="center"/>
            <w:hideMark/>
          </w:tcPr>
          <w:p w14:paraId="14CA68BF" w14:textId="77777777" w:rsidR="00235E11" w:rsidRDefault="00F837E4">
            <w:pPr>
              <w:pStyle w:val="P68B1DB1-Normal59"/>
              <w:spacing w:after="0"/>
              <w:jc w:val="center"/>
              <w:rPr>
                <w:noProof/>
              </w:rPr>
            </w:pPr>
            <w:r>
              <w:rPr>
                <w:noProof/>
              </w:rPr>
              <w:t>T</w:t>
            </w:r>
          </w:p>
        </w:tc>
        <w:tc>
          <w:tcPr>
            <w:tcW w:w="2169" w:type="pct"/>
            <w:shd w:val="clear" w:color="auto" w:fill="C6EFCE"/>
            <w:noWrap/>
            <w:vAlign w:val="center"/>
            <w:hideMark/>
          </w:tcPr>
          <w:p w14:paraId="34211E03" w14:textId="77777777" w:rsidR="00235E11" w:rsidRDefault="00F837E4">
            <w:pPr>
              <w:pStyle w:val="P68B1DB1-Normal59"/>
              <w:spacing w:after="0"/>
              <w:rPr>
                <w:noProof/>
              </w:rPr>
            </w:pPr>
            <w:r>
              <w:rPr>
                <w:noProof/>
              </w:rPr>
              <w:t>Оборудване на училищата/институциите с подходящи ИКТ устройства и инфраструктура за подобряване на цялостното функциониране на образователните системи</w:t>
            </w:r>
          </w:p>
        </w:tc>
      </w:tr>
      <w:tr w:rsidR="00235E11" w14:paraId="6E670E84" w14:textId="77777777">
        <w:trPr>
          <w:trHeight w:val="315"/>
        </w:trPr>
        <w:tc>
          <w:tcPr>
            <w:tcW w:w="345" w:type="pct"/>
            <w:shd w:val="clear" w:color="auto" w:fill="C6EFCE"/>
            <w:noWrap/>
            <w:vAlign w:val="center"/>
            <w:hideMark/>
          </w:tcPr>
          <w:p w14:paraId="28182CCE" w14:textId="77777777" w:rsidR="00235E11" w:rsidRDefault="00F837E4">
            <w:pPr>
              <w:pStyle w:val="P68B1DB1-Normal59"/>
              <w:spacing w:after="0"/>
              <w:jc w:val="center"/>
              <w:rPr>
                <w:noProof/>
              </w:rPr>
            </w:pPr>
            <w:r>
              <w:rPr>
                <w:noProof/>
              </w:rPr>
              <w:t>136</w:t>
            </w:r>
          </w:p>
        </w:tc>
        <w:tc>
          <w:tcPr>
            <w:tcW w:w="2069" w:type="pct"/>
            <w:shd w:val="clear" w:color="auto" w:fill="C6EFCE"/>
            <w:noWrap/>
            <w:vAlign w:val="center"/>
            <w:hideMark/>
          </w:tcPr>
          <w:p w14:paraId="427B9282" w14:textId="77777777" w:rsidR="00235E11" w:rsidRDefault="00F837E4">
            <w:pPr>
              <w:pStyle w:val="P68B1DB1-Normal59"/>
              <w:spacing w:after="0"/>
              <w:rPr>
                <w:noProof/>
              </w:rPr>
            </w:pPr>
            <w:r>
              <w:rPr>
                <w:noProof/>
              </w:rPr>
              <w:t>Персонализирано ориентиране в задължителното образование (I-4.03)</w:t>
            </w:r>
          </w:p>
        </w:tc>
        <w:tc>
          <w:tcPr>
            <w:tcW w:w="417" w:type="pct"/>
            <w:shd w:val="clear" w:color="auto" w:fill="C6EFCE"/>
            <w:noWrap/>
            <w:vAlign w:val="center"/>
            <w:hideMark/>
          </w:tcPr>
          <w:p w14:paraId="19B05D7F" w14:textId="77777777" w:rsidR="00235E11" w:rsidRDefault="00F837E4">
            <w:pPr>
              <w:pStyle w:val="P68B1DB1-Normal59"/>
              <w:spacing w:after="0"/>
              <w:jc w:val="center"/>
              <w:rPr>
                <w:noProof/>
              </w:rPr>
            </w:pPr>
            <w:r>
              <w:rPr>
                <w:noProof/>
              </w:rPr>
              <w:t>T</w:t>
            </w:r>
          </w:p>
        </w:tc>
        <w:tc>
          <w:tcPr>
            <w:tcW w:w="2169" w:type="pct"/>
            <w:shd w:val="clear" w:color="auto" w:fill="C6EFCE"/>
            <w:noWrap/>
            <w:vAlign w:val="center"/>
            <w:hideMark/>
          </w:tcPr>
          <w:p w14:paraId="1DFF8391" w14:textId="77777777" w:rsidR="00235E11" w:rsidRDefault="00F837E4">
            <w:pPr>
              <w:pStyle w:val="P68B1DB1-Normal59"/>
              <w:spacing w:after="0"/>
              <w:rPr>
                <w:noProof/>
              </w:rPr>
            </w:pPr>
            <w:r>
              <w:rPr>
                <w:noProof/>
              </w:rPr>
              <w:t>Разгръщане на засилен механизъм за подкрепа на нуждаещите се студенти</w:t>
            </w:r>
          </w:p>
        </w:tc>
      </w:tr>
      <w:tr w:rsidR="00235E11" w14:paraId="02B375F2" w14:textId="77777777">
        <w:trPr>
          <w:trHeight w:val="315"/>
        </w:trPr>
        <w:tc>
          <w:tcPr>
            <w:tcW w:w="345" w:type="pct"/>
            <w:shd w:val="clear" w:color="auto" w:fill="C6EFCE"/>
            <w:noWrap/>
            <w:vAlign w:val="center"/>
            <w:hideMark/>
          </w:tcPr>
          <w:p w14:paraId="02A4CAAE" w14:textId="77777777" w:rsidR="00235E11" w:rsidRDefault="00F837E4">
            <w:pPr>
              <w:pStyle w:val="P68B1DB1-Normal59"/>
              <w:spacing w:after="0"/>
              <w:jc w:val="center"/>
              <w:rPr>
                <w:noProof/>
              </w:rPr>
            </w:pPr>
            <w:r>
              <w:rPr>
                <w:noProof/>
              </w:rPr>
              <w:t>149</w:t>
            </w:r>
          </w:p>
        </w:tc>
        <w:tc>
          <w:tcPr>
            <w:tcW w:w="2069" w:type="pct"/>
            <w:shd w:val="clear" w:color="auto" w:fill="C6EFCE"/>
            <w:noWrap/>
            <w:vAlign w:val="center"/>
            <w:hideMark/>
          </w:tcPr>
          <w:p w14:paraId="070017E8" w14:textId="77777777" w:rsidR="00235E11" w:rsidRDefault="00F837E4">
            <w:pPr>
              <w:pStyle w:val="P68B1DB1-Normal59"/>
              <w:spacing w:after="0"/>
              <w:rPr>
                <w:noProof/>
              </w:rPr>
            </w:pPr>
            <w:r>
              <w:rPr>
                <w:noProof/>
              </w:rPr>
              <w:t>Digibank (I-4.11)</w:t>
            </w:r>
          </w:p>
        </w:tc>
        <w:tc>
          <w:tcPr>
            <w:tcW w:w="417" w:type="pct"/>
            <w:shd w:val="clear" w:color="auto" w:fill="C6EFCE"/>
            <w:noWrap/>
            <w:vAlign w:val="center"/>
            <w:hideMark/>
          </w:tcPr>
          <w:p w14:paraId="29A1D695" w14:textId="77777777" w:rsidR="00235E11" w:rsidRDefault="00F837E4">
            <w:pPr>
              <w:pStyle w:val="P68B1DB1-Normal59"/>
              <w:spacing w:after="0"/>
              <w:jc w:val="center"/>
              <w:rPr>
                <w:noProof/>
              </w:rPr>
            </w:pPr>
            <w:r>
              <w:rPr>
                <w:noProof/>
              </w:rPr>
              <w:t>T</w:t>
            </w:r>
          </w:p>
        </w:tc>
        <w:tc>
          <w:tcPr>
            <w:tcW w:w="2169" w:type="pct"/>
            <w:shd w:val="clear" w:color="auto" w:fill="C6EFCE"/>
            <w:noWrap/>
            <w:vAlign w:val="center"/>
            <w:hideMark/>
          </w:tcPr>
          <w:p w14:paraId="40B1DE8C" w14:textId="77777777" w:rsidR="00235E11" w:rsidRDefault="00F837E4">
            <w:pPr>
              <w:pStyle w:val="P68B1DB1-Normal59"/>
              <w:spacing w:after="0"/>
              <w:rPr>
                <w:noProof/>
              </w:rPr>
            </w:pPr>
            <w:r>
              <w:rPr>
                <w:noProof/>
              </w:rPr>
              <w:t>Подписване на партньорства за насърчаване на цифровото приобщаване</w:t>
            </w:r>
          </w:p>
        </w:tc>
      </w:tr>
      <w:tr w:rsidR="00235E11" w14:paraId="4A0CF8E9" w14:textId="77777777">
        <w:trPr>
          <w:trHeight w:val="315"/>
        </w:trPr>
        <w:tc>
          <w:tcPr>
            <w:tcW w:w="345" w:type="pct"/>
            <w:shd w:val="clear" w:color="auto" w:fill="C6EFCE"/>
            <w:noWrap/>
            <w:vAlign w:val="center"/>
            <w:hideMark/>
          </w:tcPr>
          <w:p w14:paraId="39C06EE0" w14:textId="77777777" w:rsidR="00235E11" w:rsidRDefault="00F837E4">
            <w:pPr>
              <w:pStyle w:val="P68B1DB1-Normal59"/>
              <w:spacing w:after="0"/>
              <w:jc w:val="center"/>
              <w:rPr>
                <w:noProof/>
              </w:rPr>
            </w:pPr>
            <w:r>
              <w:rPr>
                <w:noProof/>
              </w:rPr>
              <w:t>156</w:t>
            </w:r>
          </w:p>
        </w:tc>
        <w:tc>
          <w:tcPr>
            <w:tcW w:w="2069" w:type="pct"/>
            <w:shd w:val="clear" w:color="auto" w:fill="C6EFCE"/>
            <w:noWrap/>
            <w:vAlign w:val="center"/>
            <w:hideMark/>
          </w:tcPr>
          <w:p w14:paraId="266A566E" w14:textId="77777777" w:rsidR="00235E11" w:rsidRDefault="00F837E4">
            <w:pPr>
              <w:pStyle w:val="P68B1DB1-Normal59"/>
              <w:spacing w:after="0"/>
              <w:rPr>
                <w:noProof/>
              </w:rPr>
            </w:pPr>
            <w:r>
              <w:rPr>
                <w:noProof/>
              </w:rPr>
              <w:t>Пенсия и край на кариерата (R-4.07)</w:t>
            </w:r>
          </w:p>
        </w:tc>
        <w:tc>
          <w:tcPr>
            <w:tcW w:w="417" w:type="pct"/>
            <w:shd w:val="clear" w:color="auto" w:fill="C6EFCE"/>
            <w:noWrap/>
            <w:vAlign w:val="center"/>
            <w:hideMark/>
          </w:tcPr>
          <w:p w14:paraId="58827647"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2000641A" w14:textId="77777777" w:rsidR="00235E11" w:rsidRDefault="00F837E4">
            <w:pPr>
              <w:pStyle w:val="P68B1DB1-Normal59"/>
              <w:spacing w:after="0"/>
              <w:rPr>
                <w:noProof/>
              </w:rPr>
            </w:pPr>
            <w:r>
              <w:rPr>
                <w:noProof/>
              </w:rPr>
              <w:t>План за действие, основан на резултатите от конференцията по заетостта</w:t>
            </w:r>
          </w:p>
        </w:tc>
      </w:tr>
      <w:tr w:rsidR="00235E11" w14:paraId="0BE8D66A" w14:textId="77777777">
        <w:trPr>
          <w:trHeight w:val="315"/>
        </w:trPr>
        <w:tc>
          <w:tcPr>
            <w:tcW w:w="345" w:type="pct"/>
            <w:shd w:val="clear" w:color="auto" w:fill="C6EFCE"/>
            <w:noWrap/>
            <w:vAlign w:val="center"/>
            <w:hideMark/>
          </w:tcPr>
          <w:p w14:paraId="6EB5D6B6" w14:textId="77777777" w:rsidR="00235E11" w:rsidRDefault="00F837E4">
            <w:pPr>
              <w:pStyle w:val="P68B1DB1-Normal59"/>
              <w:spacing w:after="0"/>
              <w:jc w:val="center"/>
              <w:rPr>
                <w:noProof/>
              </w:rPr>
            </w:pPr>
            <w:r>
              <w:rPr>
                <w:noProof/>
              </w:rPr>
              <w:t>164</w:t>
            </w:r>
          </w:p>
        </w:tc>
        <w:tc>
          <w:tcPr>
            <w:tcW w:w="2069" w:type="pct"/>
            <w:shd w:val="clear" w:color="auto" w:fill="C6EFCE"/>
            <w:noWrap/>
            <w:vAlign w:val="center"/>
            <w:hideMark/>
          </w:tcPr>
          <w:p w14:paraId="50FAFCAD" w14:textId="77777777" w:rsidR="00235E11" w:rsidRDefault="00F837E4">
            <w:pPr>
              <w:pStyle w:val="P68B1DB1-Normal59"/>
              <w:spacing w:after="0"/>
              <w:rPr>
                <w:noProof/>
              </w:rPr>
            </w:pPr>
            <w:r>
              <w:rPr>
                <w:noProof/>
              </w:rPr>
              <w:t>Офанзива за учене и професионално развитие (I-5.04)</w:t>
            </w:r>
          </w:p>
        </w:tc>
        <w:tc>
          <w:tcPr>
            <w:tcW w:w="417" w:type="pct"/>
            <w:shd w:val="clear" w:color="auto" w:fill="C6EFCE"/>
            <w:noWrap/>
            <w:vAlign w:val="center"/>
            <w:hideMark/>
          </w:tcPr>
          <w:p w14:paraId="47BC5CBA" w14:textId="77777777" w:rsidR="00235E11" w:rsidRDefault="00F837E4">
            <w:pPr>
              <w:pStyle w:val="P68B1DB1-Normal59"/>
              <w:spacing w:after="0"/>
              <w:jc w:val="center"/>
              <w:rPr>
                <w:noProof/>
              </w:rPr>
            </w:pPr>
            <w:r>
              <w:rPr>
                <w:noProof/>
              </w:rPr>
              <w:t>T</w:t>
            </w:r>
          </w:p>
        </w:tc>
        <w:tc>
          <w:tcPr>
            <w:tcW w:w="2169" w:type="pct"/>
            <w:shd w:val="clear" w:color="auto" w:fill="C6EFCE"/>
            <w:noWrap/>
            <w:vAlign w:val="center"/>
            <w:hideMark/>
          </w:tcPr>
          <w:p w14:paraId="203E2A48" w14:textId="77777777" w:rsidR="00235E11" w:rsidRDefault="00F837E4">
            <w:pPr>
              <w:pStyle w:val="P68B1DB1-Normal59"/>
              <w:spacing w:after="0"/>
              <w:rPr>
                <w:noProof/>
              </w:rPr>
            </w:pPr>
            <w:r>
              <w:rPr>
                <w:noProof/>
              </w:rPr>
              <w:t>Подкрепа за отпуски за обучение и предлагане на онлайн обучение във Фландрия</w:t>
            </w:r>
          </w:p>
        </w:tc>
      </w:tr>
      <w:tr w:rsidR="00235E11" w14:paraId="1A62336F" w14:textId="77777777">
        <w:trPr>
          <w:trHeight w:val="315"/>
        </w:trPr>
        <w:tc>
          <w:tcPr>
            <w:tcW w:w="345" w:type="pct"/>
            <w:shd w:val="clear" w:color="auto" w:fill="C6EFCE"/>
            <w:noWrap/>
            <w:vAlign w:val="center"/>
            <w:hideMark/>
          </w:tcPr>
          <w:p w14:paraId="7E765434" w14:textId="77777777" w:rsidR="00235E11" w:rsidRDefault="00F837E4">
            <w:pPr>
              <w:pStyle w:val="P68B1DB1-Normal59"/>
              <w:spacing w:after="0"/>
              <w:jc w:val="center"/>
              <w:rPr>
                <w:noProof/>
              </w:rPr>
            </w:pPr>
            <w:r>
              <w:rPr>
                <w:noProof/>
              </w:rPr>
              <w:t>167</w:t>
            </w:r>
          </w:p>
        </w:tc>
        <w:tc>
          <w:tcPr>
            <w:tcW w:w="2069" w:type="pct"/>
            <w:shd w:val="clear" w:color="auto" w:fill="C6EFCE"/>
            <w:noWrap/>
            <w:vAlign w:val="center"/>
            <w:hideMark/>
          </w:tcPr>
          <w:p w14:paraId="1C895BD5" w14:textId="77777777" w:rsidR="00235E11" w:rsidRDefault="00F837E4">
            <w:pPr>
              <w:pStyle w:val="P68B1DB1-Normal59"/>
              <w:spacing w:after="0"/>
              <w:rPr>
                <w:noProof/>
              </w:rPr>
            </w:pPr>
            <w:r>
              <w:rPr>
                <w:noProof/>
              </w:rPr>
              <w:t>Учене и кариерно развитие (I-5.04)</w:t>
            </w:r>
          </w:p>
        </w:tc>
        <w:tc>
          <w:tcPr>
            <w:tcW w:w="417" w:type="pct"/>
            <w:shd w:val="clear" w:color="auto" w:fill="C6EFCE"/>
            <w:noWrap/>
            <w:vAlign w:val="center"/>
            <w:hideMark/>
          </w:tcPr>
          <w:p w14:paraId="5C94C77B"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52B59000" w14:textId="77777777" w:rsidR="00235E11" w:rsidRDefault="00F837E4">
            <w:pPr>
              <w:pStyle w:val="P68B1DB1-Normal59"/>
              <w:spacing w:after="0"/>
              <w:rPr>
                <w:noProof/>
              </w:rPr>
            </w:pPr>
            <w:r>
              <w:rPr>
                <w:noProof/>
              </w:rPr>
              <w:t>Подкрепа за временно безработните във Фландрия</w:t>
            </w:r>
          </w:p>
        </w:tc>
      </w:tr>
      <w:tr w:rsidR="00235E11" w14:paraId="1B3A0913" w14:textId="77777777">
        <w:trPr>
          <w:trHeight w:val="315"/>
        </w:trPr>
        <w:tc>
          <w:tcPr>
            <w:tcW w:w="345" w:type="pct"/>
            <w:shd w:val="clear" w:color="auto" w:fill="C6EFCE"/>
            <w:noWrap/>
            <w:vAlign w:val="center"/>
            <w:hideMark/>
          </w:tcPr>
          <w:p w14:paraId="445BDE39" w14:textId="77777777" w:rsidR="00235E11" w:rsidRDefault="00F837E4">
            <w:pPr>
              <w:pStyle w:val="P68B1DB1-Normal59"/>
              <w:spacing w:after="0"/>
              <w:jc w:val="center"/>
              <w:rPr>
                <w:noProof/>
              </w:rPr>
            </w:pPr>
            <w:r>
              <w:rPr>
                <w:noProof/>
              </w:rPr>
              <w:t>168</w:t>
            </w:r>
          </w:p>
        </w:tc>
        <w:tc>
          <w:tcPr>
            <w:tcW w:w="2069" w:type="pct"/>
            <w:shd w:val="clear" w:color="auto" w:fill="C6EFCE"/>
            <w:noWrap/>
            <w:vAlign w:val="center"/>
            <w:hideMark/>
          </w:tcPr>
          <w:p w14:paraId="136913B1" w14:textId="77777777" w:rsidR="00235E11" w:rsidRDefault="00F837E4">
            <w:pPr>
              <w:pStyle w:val="P68B1DB1-Normal59"/>
              <w:spacing w:after="0"/>
              <w:rPr>
                <w:noProof/>
              </w:rPr>
            </w:pPr>
            <w:r>
              <w:rPr>
                <w:noProof/>
              </w:rPr>
              <w:t>Учене през целия живот във Фламандската общност (R-5.04)</w:t>
            </w:r>
          </w:p>
        </w:tc>
        <w:tc>
          <w:tcPr>
            <w:tcW w:w="417" w:type="pct"/>
            <w:shd w:val="clear" w:color="auto" w:fill="C6EFCE"/>
            <w:noWrap/>
            <w:vAlign w:val="center"/>
            <w:hideMark/>
          </w:tcPr>
          <w:p w14:paraId="41251EC1"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4819A775" w14:textId="77777777" w:rsidR="00235E11" w:rsidRDefault="00F837E4">
            <w:pPr>
              <w:pStyle w:val="P68B1DB1-Normal59"/>
              <w:spacing w:after="0"/>
              <w:rPr>
                <w:noProof/>
              </w:rPr>
            </w:pPr>
            <w:r>
              <w:rPr>
                <w:noProof/>
              </w:rPr>
              <w:t>Документ за визия относно профила за учене и професионално развитие във Фландрия</w:t>
            </w:r>
          </w:p>
        </w:tc>
      </w:tr>
      <w:tr w:rsidR="00235E11" w14:paraId="7EF209CE" w14:textId="77777777">
        <w:trPr>
          <w:trHeight w:val="315"/>
        </w:trPr>
        <w:tc>
          <w:tcPr>
            <w:tcW w:w="345" w:type="pct"/>
            <w:shd w:val="clear" w:color="auto" w:fill="C6EFCE"/>
            <w:noWrap/>
            <w:vAlign w:val="center"/>
            <w:hideMark/>
          </w:tcPr>
          <w:p w14:paraId="1C7AE204" w14:textId="77777777" w:rsidR="00235E11" w:rsidRDefault="00F837E4">
            <w:pPr>
              <w:pStyle w:val="P68B1DB1-Normal59"/>
              <w:spacing w:after="0"/>
              <w:jc w:val="center"/>
              <w:rPr>
                <w:noProof/>
              </w:rPr>
            </w:pPr>
            <w:r>
              <w:rPr>
                <w:noProof/>
              </w:rPr>
              <w:t>169</w:t>
            </w:r>
          </w:p>
        </w:tc>
        <w:tc>
          <w:tcPr>
            <w:tcW w:w="2069" w:type="pct"/>
            <w:shd w:val="clear" w:color="auto" w:fill="C6EFCE"/>
            <w:noWrap/>
            <w:vAlign w:val="center"/>
            <w:hideMark/>
          </w:tcPr>
          <w:p w14:paraId="313D6B33" w14:textId="77777777" w:rsidR="00235E11" w:rsidRDefault="00F837E4">
            <w:pPr>
              <w:pStyle w:val="P68B1DB1-Normal59"/>
              <w:spacing w:after="0"/>
              <w:rPr>
                <w:noProof/>
              </w:rPr>
            </w:pPr>
            <w:r>
              <w:rPr>
                <w:noProof/>
              </w:rPr>
              <w:t>Цифрови умения (I-5.06)</w:t>
            </w:r>
          </w:p>
        </w:tc>
        <w:tc>
          <w:tcPr>
            <w:tcW w:w="417" w:type="pct"/>
            <w:shd w:val="clear" w:color="auto" w:fill="C6EFCE"/>
            <w:noWrap/>
            <w:vAlign w:val="center"/>
            <w:hideMark/>
          </w:tcPr>
          <w:p w14:paraId="1C4662C4" w14:textId="77777777" w:rsidR="00235E11" w:rsidRDefault="00F837E4">
            <w:pPr>
              <w:pStyle w:val="P68B1DB1-Normal59"/>
              <w:spacing w:after="0"/>
              <w:jc w:val="center"/>
              <w:rPr>
                <w:noProof/>
              </w:rPr>
            </w:pPr>
            <w:r>
              <w:rPr>
                <w:noProof/>
              </w:rPr>
              <w:t>T</w:t>
            </w:r>
          </w:p>
        </w:tc>
        <w:tc>
          <w:tcPr>
            <w:tcW w:w="2169" w:type="pct"/>
            <w:shd w:val="clear" w:color="auto" w:fill="C6EFCE"/>
            <w:noWrap/>
            <w:vAlign w:val="center"/>
            <w:hideMark/>
          </w:tcPr>
          <w:p w14:paraId="5347A782" w14:textId="77777777" w:rsidR="00235E11" w:rsidRDefault="00F837E4">
            <w:pPr>
              <w:pStyle w:val="P68B1DB1-Normal59"/>
              <w:spacing w:after="0"/>
              <w:rPr>
                <w:noProof/>
              </w:rPr>
            </w:pPr>
            <w:r>
              <w:rPr>
                <w:noProof/>
              </w:rPr>
              <w:t>Разработване на предложения за електронно обучение във Фландрия</w:t>
            </w:r>
          </w:p>
        </w:tc>
      </w:tr>
      <w:tr w:rsidR="00235E11" w14:paraId="3BEE7A95" w14:textId="77777777">
        <w:trPr>
          <w:trHeight w:val="315"/>
        </w:trPr>
        <w:tc>
          <w:tcPr>
            <w:tcW w:w="345" w:type="pct"/>
            <w:shd w:val="clear" w:color="auto" w:fill="C6EFCE"/>
            <w:noWrap/>
            <w:vAlign w:val="center"/>
            <w:hideMark/>
          </w:tcPr>
          <w:p w14:paraId="266F0D0A" w14:textId="77777777" w:rsidR="00235E11" w:rsidRDefault="00F837E4">
            <w:pPr>
              <w:pStyle w:val="P68B1DB1-Normal59"/>
              <w:spacing w:after="0"/>
              <w:jc w:val="center"/>
              <w:rPr>
                <w:noProof/>
              </w:rPr>
            </w:pPr>
            <w:r>
              <w:rPr>
                <w:noProof/>
              </w:rPr>
              <w:t>186</w:t>
            </w:r>
          </w:p>
        </w:tc>
        <w:tc>
          <w:tcPr>
            <w:tcW w:w="2069" w:type="pct"/>
            <w:shd w:val="clear" w:color="auto" w:fill="C6EFCE"/>
            <w:noWrap/>
            <w:vAlign w:val="center"/>
            <w:hideMark/>
          </w:tcPr>
          <w:p w14:paraId="0D53ED03" w14:textId="77777777" w:rsidR="00235E11" w:rsidRDefault="00F837E4">
            <w:pPr>
              <w:pStyle w:val="P68B1DB1-Normal59"/>
              <w:spacing w:after="0"/>
              <w:rPr>
                <w:noProof/>
              </w:rPr>
            </w:pPr>
            <w:r>
              <w:rPr>
                <w:noProof/>
              </w:rPr>
              <w:t>Укрепване на НИРД (I-5.11)</w:t>
            </w:r>
          </w:p>
        </w:tc>
        <w:tc>
          <w:tcPr>
            <w:tcW w:w="417" w:type="pct"/>
            <w:shd w:val="clear" w:color="auto" w:fill="C6EFCE"/>
            <w:noWrap/>
            <w:vAlign w:val="center"/>
            <w:hideMark/>
          </w:tcPr>
          <w:p w14:paraId="67B83E4A"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223A918C" w14:textId="77777777" w:rsidR="00235E11" w:rsidRDefault="00F837E4">
            <w:pPr>
              <w:pStyle w:val="P68B1DB1-Normal59"/>
              <w:spacing w:after="0"/>
              <w:rPr>
                <w:noProof/>
              </w:rPr>
            </w:pPr>
            <w:r>
              <w:rPr>
                <w:noProof/>
              </w:rPr>
              <w:t>Възлагане на обществени поръчки за научноизследователски и инфраструктурни проекти</w:t>
            </w:r>
          </w:p>
        </w:tc>
      </w:tr>
      <w:tr w:rsidR="00235E11" w14:paraId="3D20A79C" w14:textId="77777777">
        <w:trPr>
          <w:trHeight w:val="315"/>
        </w:trPr>
        <w:tc>
          <w:tcPr>
            <w:tcW w:w="345" w:type="pct"/>
            <w:shd w:val="clear" w:color="auto" w:fill="C6EFCE"/>
            <w:noWrap/>
            <w:vAlign w:val="center"/>
            <w:hideMark/>
          </w:tcPr>
          <w:p w14:paraId="46E16DFC" w14:textId="77777777" w:rsidR="00235E11" w:rsidRDefault="00F837E4">
            <w:pPr>
              <w:pStyle w:val="P68B1DB1-Normal59"/>
              <w:spacing w:after="0"/>
              <w:jc w:val="center"/>
              <w:rPr>
                <w:noProof/>
              </w:rPr>
            </w:pPr>
            <w:r>
              <w:rPr>
                <w:noProof/>
              </w:rPr>
              <w:t>189</w:t>
            </w:r>
          </w:p>
        </w:tc>
        <w:tc>
          <w:tcPr>
            <w:tcW w:w="2069" w:type="pct"/>
            <w:shd w:val="clear" w:color="auto" w:fill="C6EFCE"/>
            <w:noWrap/>
            <w:vAlign w:val="center"/>
            <w:hideMark/>
          </w:tcPr>
          <w:p w14:paraId="51453DCE" w14:textId="77777777" w:rsidR="00235E11" w:rsidRDefault="00F837E4">
            <w:pPr>
              <w:pStyle w:val="P68B1DB1-Normal59"/>
              <w:spacing w:after="0"/>
              <w:rPr>
                <w:noProof/>
              </w:rPr>
            </w:pPr>
            <w:r>
              <w:rPr>
                <w:noProof/>
              </w:rPr>
              <w:t>Преместване на храни и разработване на логистични платформи (I-5.12)</w:t>
            </w:r>
          </w:p>
        </w:tc>
        <w:tc>
          <w:tcPr>
            <w:tcW w:w="417" w:type="pct"/>
            <w:shd w:val="clear" w:color="auto" w:fill="C6EFCE"/>
            <w:noWrap/>
            <w:vAlign w:val="center"/>
            <w:hideMark/>
          </w:tcPr>
          <w:p w14:paraId="6860D8D5" w14:textId="77777777" w:rsidR="00235E11" w:rsidRDefault="00F837E4">
            <w:pPr>
              <w:pStyle w:val="P68B1DB1-Normal59"/>
              <w:spacing w:after="0"/>
              <w:jc w:val="center"/>
              <w:rPr>
                <w:noProof/>
              </w:rPr>
            </w:pPr>
            <w:r>
              <w:rPr>
                <w:noProof/>
              </w:rPr>
              <w:t>T</w:t>
            </w:r>
          </w:p>
        </w:tc>
        <w:tc>
          <w:tcPr>
            <w:tcW w:w="2169" w:type="pct"/>
            <w:shd w:val="clear" w:color="auto" w:fill="C6EFCE"/>
            <w:noWrap/>
            <w:vAlign w:val="center"/>
            <w:hideMark/>
          </w:tcPr>
          <w:p w14:paraId="666B4AC7" w14:textId="77777777" w:rsidR="00235E11" w:rsidRDefault="00F837E4">
            <w:pPr>
              <w:pStyle w:val="P68B1DB1-Normal59"/>
              <w:spacing w:after="0"/>
              <w:rPr>
                <w:noProof/>
              </w:rPr>
            </w:pPr>
            <w:r>
              <w:rPr>
                <w:noProof/>
              </w:rPr>
              <w:t>Подкрепа за 30 проекта за преместване на хранителни продукти, четири нововъзникващи сектора и 5 инфраструктурни единици</w:t>
            </w:r>
          </w:p>
        </w:tc>
      </w:tr>
      <w:tr w:rsidR="00235E11" w14:paraId="41CD5EAC" w14:textId="77777777">
        <w:trPr>
          <w:trHeight w:val="315"/>
        </w:trPr>
        <w:tc>
          <w:tcPr>
            <w:tcW w:w="345" w:type="pct"/>
            <w:shd w:val="clear" w:color="auto" w:fill="C6EFCE"/>
            <w:noWrap/>
            <w:vAlign w:val="center"/>
            <w:hideMark/>
          </w:tcPr>
          <w:p w14:paraId="28CAD40E" w14:textId="77777777" w:rsidR="00235E11" w:rsidRDefault="00F837E4">
            <w:pPr>
              <w:pStyle w:val="P68B1DB1-Normal59"/>
              <w:spacing w:after="0"/>
              <w:jc w:val="center"/>
              <w:rPr>
                <w:noProof/>
              </w:rPr>
            </w:pPr>
            <w:r>
              <w:rPr>
                <w:noProof/>
              </w:rPr>
              <w:t>193</w:t>
            </w:r>
          </w:p>
        </w:tc>
        <w:tc>
          <w:tcPr>
            <w:tcW w:w="2069" w:type="pct"/>
            <w:shd w:val="clear" w:color="auto" w:fill="C6EFCE"/>
            <w:noWrap/>
            <w:vAlign w:val="center"/>
            <w:hideMark/>
          </w:tcPr>
          <w:p w14:paraId="0835E266" w14:textId="77777777" w:rsidR="00235E11" w:rsidRDefault="00F837E4">
            <w:pPr>
              <w:pStyle w:val="P68B1DB1-Normal59"/>
              <w:spacing w:after="0"/>
              <w:rPr>
                <w:noProof/>
              </w:rPr>
            </w:pPr>
            <w:r>
              <w:rPr>
                <w:noProof/>
              </w:rPr>
              <w:t>Реформа — Процедури за издаване на разрешителни и обжалване (R-5.06)</w:t>
            </w:r>
          </w:p>
        </w:tc>
        <w:tc>
          <w:tcPr>
            <w:tcW w:w="417" w:type="pct"/>
            <w:shd w:val="clear" w:color="auto" w:fill="C6EFCE"/>
            <w:noWrap/>
            <w:vAlign w:val="center"/>
            <w:hideMark/>
          </w:tcPr>
          <w:p w14:paraId="163B1735"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3F60FE9" w14:textId="77777777" w:rsidR="00235E11" w:rsidRDefault="00F837E4">
            <w:pPr>
              <w:pStyle w:val="P68B1DB1-Normal59"/>
              <w:spacing w:after="0"/>
              <w:rPr>
                <w:noProof/>
              </w:rPr>
            </w:pPr>
            <w:r>
              <w:rPr>
                <w:noProof/>
              </w:rPr>
              <w:t>Реформа на екологичното разрешително и процедурите за обжалване</w:t>
            </w:r>
          </w:p>
        </w:tc>
      </w:tr>
      <w:tr w:rsidR="00235E11" w14:paraId="02189565" w14:textId="77777777">
        <w:trPr>
          <w:trHeight w:val="315"/>
        </w:trPr>
        <w:tc>
          <w:tcPr>
            <w:tcW w:w="345" w:type="pct"/>
            <w:shd w:val="clear" w:color="auto" w:fill="C6EFCE"/>
            <w:noWrap/>
            <w:vAlign w:val="center"/>
            <w:hideMark/>
          </w:tcPr>
          <w:p w14:paraId="7EB5BE3A" w14:textId="77777777" w:rsidR="00235E11" w:rsidRDefault="00F837E4">
            <w:pPr>
              <w:pStyle w:val="P68B1DB1-Normal59"/>
              <w:spacing w:after="0"/>
              <w:jc w:val="center"/>
              <w:rPr>
                <w:noProof/>
              </w:rPr>
            </w:pPr>
            <w:r>
              <w:rPr>
                <w:noProof/>
              </w:rPr>
              <w:t>194</w:t>
            </w:r>
          </w:p>
        </w:tc>
        <w:tc>
          <w:tcPr>
            <w:tcW w:w="2069" w:type="pct"/>
            <w:shd w:val="clear" w:color="auto" w:fill="C6EFCE"/>
            <w:noWrap/>
            <w:vAlign w:val="center"/>
            <w:hideMark/>
          </w:tcPr>
          <w:p w14:paraId="1D4FBDCB" w14:textId="77777777" w:rsidR="00235E11" w:rsidRDefault="00F837E4">
            <w:pPr>
              <w:pStyle w:val="P68B1DB1-Normal59"/>
              <w:spacing w:after="0"/>
              <w:rPr>
                <w:noProof/>
              </w:rPr>
            </w:pPr>
            <w:r>
              <w:rPr>
                <w:noProof/>
              </w:rPr>
              <w:t>Реформа — Разширяване на базата за иновации (R-5.07)</w:t>
            </w:r>
          </w:p>
        </w:tc>
        <w:tc>
          <w:tcPr>
            <w:tcW w:w="417" w:type="pct"/>
            <w:shd w:val="clear" w:color="auto" w:fill="C6EFCE"/>
            <w:noWrap/>
            <w:vAlign w:val="center"/>
            <w:hideMark/>
          </w:tcPr>
          <w:p w14:paraId="1730DF01"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48E7DD10" w14:textId="77777777" w:rsidR="00235E11" w:rsidRDefault="00F837E4">
            <w:pPr>
              <w:pStyle w:val="P68B1DB1-Normal59"/>
              <w:spacing w:after="0"/>
              <w:rPr>
                <w:noProof/>
              </w:rPr>
            </w:pPr>
            <w:r>
              <w:rPr>
                <w:noProof/>
              </w:rPr>
              <w:t>Реформа на регламента за подкрепа на иновациите</w:t>
            </w:r>
          </w:p>
        </w:tc>
      </w:tr>
      <w:tr w:rsidR="00235E11" w14:paraId="5F7FB8E9" w14:textId="77777777">
        <w:trPr>
          <w:trHeight w:val="315"/>
        </w:trPr>
        <w:tc>
          <w:tcPr>
            <w:tcW w:w="345" w:type="pct"/>
            <w:shd w:val="clear" w:color="auto" w:fill="C6EFCE"/>
            <w:noWrap/>
            <w:vAlign w:val="center"/>
            <w:hideMark/>
          </w:tcPr>
          <w:p w14:paraId="0427EA5C" w14:textId="77777777" w:rsidR="00235E11" w:rsidRDefault="00F837E4">
            <w:pPr>
              <w:pStyle w:val="P68B1DB1-Normal59"/>
              <w:spacing w:after="0"/>
              <w:jc w:val="center"/>
              <w:rPr>
                <w:noProof/>
              </w:rPr>
            </w:pPr>
            <w:r>
              <w:rPr>
                <w:noProof/>
              </w:rPr>
              <w:t>195</w:t>
            </w:r>
          </w:p>
        </w:tc>
        <w:tc>
          <w:tcPr>
            <w:tcW w:w="2069" w:type="pct"/>
            <w:shd w:val="clear" w:color="auto" w:fill="C6EFCE"/>
            <w:noWrap/>
            <w:vAlign w:val="center"/>
            <w:hideMark/>
          </w:tcPr>
          <w:p w14:paraId="0A56746A" w14:textId="77777777" w:rsidR="00235E11" w:rsidRDefault="00F837E4">
            <w:pPr>
              <w:pStyle w:val="P68B1DB1-Normal59"/>
              <w:spacing w:after="0"/>
              <w:rPr>
                <w:noProof/>
              </w:rPr>
            </w:pPr>
            <w:r>
              <w:rPr>
                <w:noProof/>
              </w:rPr>
              <w:t>Брюкселска регионална стратегия за икономически преход (R-5.08)</w:t>
            </w:r>
          </w:p>
        </w:tc>
        <w:tc>
          <w:tcPr>
            <w:tcW w:w="417" w:type="pct"/>
            <w:shd w:val="clear" w:color="auto" w:fill="C6EFCE"/>
            <w:noWrap/>
            <w:vAlign w:val="center"/>
            <w:hideMark/>
          </w:tcPr>
          <w:p w14:paraId="31BCB854"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2FF83115" w14:textId="77777777" w:rsidR="00235E11" w:rsidRDefault="00F837E4">
            <w:pPr>
              <w:pStyle w:val="P68B1DB1-Normal59"/>
              <w:spacing w:after="0"/>
              <w:rPr>
                <w:noProof/>
              </w:rPr>
            </w:pPr>
            <w:r>
              <w:rPr>
                <w:noProof/>
              </w:rPr>
              <w:t>Приемане на регионалната стратегия за икономически преход</w:t>
            </w:r>
          </w:p>
        </w:tc>
      </w:tr>
      <w:tr w:rsidR="00235E11" w14:paraId="42222984" w14:textId="77777777">
        <w:trPr>
          <w:trHeight w:val="315"/>
        </w:trPr>
        <w:tc>
          <w:tcPr>
            <w:tcW w:w="345" w:type="pct"/>
            <w:shd w:val="clear" w:color="auto" w:fill="C6EFCE"/>
            <w:noWrap/>
            <w:vAlign w:val="center"/>
            <w:hideMark/>
          </w:tcPr>
          <w:p w14:paraId="41E5AB05" w14:textId="77777777" w:rsidR="00235E11" w:rsidRDefault="00F837E4">
            <w:pPr>
              <w:pStyle w:val="P68B1DB1-Normal59"/>
              <w:spacing w:after="0"/>
              <w:jc w:val="center"/>
              <w:rPr>
                <w:noProof/>
              </w:rPr>
            </w:pPr>
            <w:r>
              <w:rPr>
                <w:noProof/>
              </w:rPr>
              <w:t>197</w:t>
            </w:r>
          </w:p>
        </w:tc>
        <w:tc>
          <w:tcPr>
            <w:tcW w:w="2069" w:type="pct"/>
            <w:shd w:val="clear" w:color="auto" w:fill="C6EFCE"/>
            <w:noWrap/>
            <w:vAlign w:val="center"/>
            <w:hideMark/>
          </w:tcPr>
          <w:p w14:paraId="22DEB9A2" w14:textId="77777777" w:rsidR="00235E11" w:rsidRDefault="00F837E4">
            <w:pPr>
              <w:pStyle w:val="P68B1DB1-Normal59"/>
              <w:spacing w:after="0"/>
              <w:rPr>
                <w:noProof/>
              </w:rPr>
            </w:pPr>
            <w:r>
              <w:rPr>
                <w:noProof/>
              </w:rPr>
              <w:t>Център за рециклиране (I-5.14)</w:t>
            </w:r>
          </w:p>
        </w:tc>
        <w:tc>
          <w:tcPr>
            <w:tcW w:w="417" w:type="pct"/>
            <w:shd w:val="clear" w:color="auto" w:fill="C6EFCE"/>
            <w:noWrap/>
            <w:vAlign w:val="center"/>
            <w:hideMark/>
          </w:tcPr>
          <w:p w14:paraId="55843505" w14:textId="77777777" w:rsidR="00235E11" w:rsidRDefault="00F837E4">
            <w:pPr>
              <w:pStyle w:val="P68B1DB1-Normal59"/>
              <w:spacing w:after="0"/>
              <w:jc w:val="center"/>
              <w:rPr>
                <w:noProof/>
              </w:rPr>
            </w:pPr>
            <w:r>
              <w:rPr>
                <w:noProof/>
              </w:rPr>
              <w:t>T</w:t>
            </w:r>
          </w:p>
        </w:tc>
        <w:tc>
          <w:tcPr>
            <w:tcW w:w="2169" w:type="pct"/>
            <w:shd w:val="clear" w:color="auto" w:fill="C6EFCE"/>
            <w:noWrap/>
            <w:vAlign w:val="center"/>
            <w:hideMark/>
          </w:tcPr>
          <w:p w14:paraId="4BF2F15C" w14:textId="77777777" w:rsidR="00235E11" w:rsidRDefault="00F837E4">
            <w:pPr>
              <w:pStyle w:val="P68B1DB1-Normal59"/>
              <w:spacing w:after="0"/>
              <w:rPr>
                <w:noProof/>
              </w:rPr>
            </w:pPr>
            <w:r>
              <w:rPr>
                <w:noProof/>
              </w:rPr>
              <w:t>Възлагане на шест обществени поръчки за съоръжения за рециклиране</w:t>
            </w:r>
          </w:p>
        </w:tc>
      </w:tr>
      <w:tr w:rsidR="00235E11" w14:paraId="0F0A5175" w14:textId="77777777">
        <w:trPr>
          <w:trHeight w:val="315"/>
        </w:trPr>
        <w:tc>
          <w:tcPr>
            <w:tcW w:w="345" w:type="pct"/>
            <w:shd w:val="clear" w:color="auto" w:fill="C6EFCE"/>
            <w:noWrap/>
            <w:vAlign w:val="center"/>
            <w:hideMark/>
          </w:tcPr>
          <w:p w14:paraId="339F97A7" w14:textId="77777777" w:rsidR="00235E11" w:rsidRDefault="00F837E4">
            <w:pPr>
              <w:pStyle w:val="P68B1DB1-Normal59"/>
              <w:spacing w:after="0"/>
              <w:jc w:val="center"/>
              <w:rPr>
                <w:noProof/>
              </w:rPr>
            </w:pPr>
            <w:r>
              <w:rPr>
                <w:noProof/>
              </w:rPr>
              <w:t>201</w:t>
            </w:r>
          </w:p>
        </w:tc>
        <w:tc>
          <w:tcPr>
            <w:tcW w:w="2069" w:type="pct"/>
            <w:shd w:val="clear" w:color="auto" w:fill="C6EFCE"/>
            <w:noWrap/>
            <w:vAlign w:val="center"/>
            <w:hideMark/>
          </w:tcPr>
          <w:p w14:paraId="0C89AE53" w14:textId="77777777" w:rsidR="00235E11" w:rsidRDefault="00F837E4">
            <w:pPr>
              <w:pStyle w:val="P68B1DB1-Normal59"/>
              <w:spacing w:after="0"/>
              <w:rPr>
                <w:noProof/>
              </w:rPr>
            </w:pPr>
            <w:r>
              <w:rPr>
                <w:noProof/>
              </w:rPr>
              <w:t>Внедряване на кръговата икономика във Валония (I-5.16)</w:t>
            </w:r>
          </w:p>
        </w:tc>
        <w:tc>
          <w:tcPr>
            <w:tcW w:w="417" w:type="pct"/>
            <w:shd w:val="clear" w:color="auto" w:fill="C6EFCE"/>
            <w:noWrap/>
            <w:vAlign w:val="center"/>
            <w:hideMark/>
          </w:tcPr>
          <w:p w14:paraId="18F152AA"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CFCF32F" w14:textId="77777777" w:rsidR="00235E11" w:rsidRDefault="00F837E4">
            <w:pPr>
              <w:pStyle w:val="P68B1DB1-Normal59"/>
              <w:spacing w:after="0"/>
              <w:rPr>
                <w:noProof/>
              </w:rPr>
            </w:pPr>
            <w:r>
              <w:rPr>
                <w:noProof/>
              </w:rPr>
              <w:t>Възлагане на обществени поръчки за проекти за насърчаване на кръговата икономика във Валония</w:t>
            </w:r>
          </w:p>
        </w:tc>
      </w:tr>
      <w:tr w:rsidR="00235E11" w14:paraId="353364C4" w14:textId="77777777">
        <w:trPr>
          <w:trHeight w:val="315"/>
        </w:trPr>
        <w:tc>
          <w:tcPr>
            <w:tcW w:w="345" w:type="pct"/>
            <w:shd w:val="clear" w:color="auto" w:fill="C6EFCE"/>
            <w:noWrap/>
            <w:vAlign w:val="center"/>
            <w:hideMark/>
          </w:tcPr>
          <w:p w14:paraId="19E3A0E4" w14:textId="77777777" w:rsidR="00235E11" w:rsidRDefault="00F837E4">
            <w:pPr>
              <w:pStyle w:val="P68B1DB1-Normal59"/>
              <w:spacing w:after="0"/>
              <w:jc w:val="center"/>
              <w:rPr>
                <w:noProof/>
              </w:rPr>
            </w:pPr>
            <w:r>
              <w:rPr>
                <w:noProof/>
              </w:rPr>
              <w:t>206</w:t>
            </w:r>
          </w:p>
        </w:tc>
        <w:tc>
          <w:tcPr>
            <w:tcW w:w="2069" w:type="pct"/>
            <w:shd w:val="clear" w:color="auto" w:fill="C6EFCE"/>
            <w:noWrap/>
            <w:vAlign w:val="center"/>
            <w:hideMark/>
          </w:tcPr>
          <w:p w14:paraId="4CA004D2" w14:textId="77777777" w:rsidR="00235E11" w:rsidRDefault="00F837E4">
            <w:pPr>
              <w:pStyle w:val="P68B1DB1-Normal59"/>
              <w:spacing w:after="0"/>
              <w:rPr>
                <w:noProof/>
              </w:rPr>
            </w:pPr>
            <w:r>
              <w:rPr>
                <w:noProof/>
              </w:rPr>
              <w:t>Прегледи на разходите (R-6)</w:t>
            </w:r>
          </w:p>
        </w:tc>
        <w:tc>
          <w:tcPr>
            <w:tcW w:w="417" w:type="pct"/>
            <w:shd w:val="clear" w:color="auto" w:fill="C6EFCE"/>
            <w:noWrap/>
            <w:vAlign w:val="center"/>
            <w:hideMark/>
          </w:tcPr>
          <w:p w14:paraId="31E5DCC2"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5A52CA9A" w14:textId="77777777" w:rsidR="00235E11" w:rsidRDefault="00F837E4">
            <w:pPr>
              <w:pStyle w:val="P68B1DB1-Normal59"/>
              <w:spacing w:after="0"/>
              <w:rPr>
                <w:noProof/>
              </w:rPr>
            </w:pPr>
            <w:r>
              <w:rPr>
                <w:noProof/>
              </w:rPr>
              <w:t>Преглед на разходите — интегриране в бюджетния процес (1) или приключване на пилотния проект</w:t>
            </w:r>
          </w:p>
        </w:tc>
      </w:tr>
      <w:tr w:rsidR="00235E11" w14:paraId="3FEB9BE4" w14:textId="77777777">
        <w:trPr>
          <w:trHeight w:val="315"/>
        </w:trPr>
        <w:tc>
          <w:tcPr>
            <w:tcW w:w="345" w:type="pct"/>
            <w:shd w:val="clear" w:color="auto" w:fill="C6EFCE"/>
            <w:noWrap/>
            <w:vAlign w:val="center"/>
            <w:hideMark/>
          </w:tcPr>
          <w:p w14:paraId="0FAD7F7C" w14:textId="77777777" w:rsidR="00235E11" w:rsidRDefault="00F837E4">
            <w:pPr>
              <w:pStyle w:val="P68B1DB1-Normal59"/>
              <w:spacing w:after="0"/>
              <w:jc w:val="center"/>
              <w:rPr>
                <w:noProof/>
              </w:rPr>
            </w:pPr>
            <w:r>
              <w:rPr>
                <w:noProof/>
              </w:rPr>
              <w:t>213</w:t>
            </w:r>
          </w:p>
        </w:tc>
        <w:tc>
          <w:tcPr>
            <w:tcW w:w="2069" w:type="pct"/>
            <w:shd w:val="clear" w:color="auto" w:fill="C6EFCE"/>
            <w:noWrap/>
            <w:vAlign w:val="center"/>
            <w:hideMark/>
          </w:tcPr>
          <w:p w14:paraId="0E006814" w14:textId="77777777" w:rsidR="00235E11" w:rsidRDefault="00F837E4">
            <w:pPr>
              <w:pStyle w:val="P68B1DB1-Normal59"/>
              <w:spacing w:after="0"/>
              <w:rPr>
                <w:noProof/>
              </w:rPr>
            </w:pPr>
            <w:r>
              <w:rPr>
                <w:noProof/>
              </w:rPr>
              <w:t>Подобрена схема за енергийни субсидии на Фламандския регион (I-7.02)</w:t>
            </w:r>
          </w:p>
        </w:tc>
        <w:tc>
          <w:tcPr>
            <w:tcW w:w="417" w:type="pct"/>
            <w:shd w:val="clear" w:color="auto" w:fill="C6EFCE"/>
            <w:noWrap/>
            <w:vAlign w:val="center"/>
            <w:hideMark/>
          </w:tcPr>
          <w:p w14:paraId="40A58B4D"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29DDE01E" w14:textId="77777777" w:rsidR="00235E11" w:rsidRDefault="00F837E4">
            <w:pPr>
              <w:pStyle w:val="P68B1DB1-Normal59"/>
              <w:spacing w:after="0"/>
              <w:rPr>
                <w:noProof/>
              </w:rPr>
            </w:pPr>
            <w:r>
              <w:rPr>
                <w:noProof/>
              </w:rPr>
              <w:t>Схема за увеличаване на енергийните субсидии на Фламандския регион</w:t>
            </w:r>
          </w:p>
        </w:tc>
      </w:tr>
      <w:tr w:rsidR="00235E11" w14:paraId="51EC28FF" w14:textId="77777777">
        <w:trPr>
          <w:trHeight w:val="315"/>
        </w:trPr>
        <w:tc>
          <w:tcPr>
            <w:tcW w:w="345" w:type="pct"/>
            <w:shd w:val="clear" w:color="auto" w:fill="C6EFCE"/>
            <w:noWrap/>
            <w:vAlign w:val="center"/>
            <w:hideMark/>
          </w:tcPr>
          <w:p w14:paraId="4CC84E1F" w14:textId="77777777" w:rsidR="00235E11" w:rsidRDefault="00F837E4">
            <w:pPr>
              <w:pStyle w:val="P68B1DB1-Normal59"/>
              <w:spacing w:after="0"/>
              <w:jc w:val="center"/>
              <w:rPr>
                <w:noProof/>
              </w:rPr>
            </w:pPr>
            <w:r>
              <w:rPr>
                <w:noProof/>
              </w:rPr>
              <w:t>250</w:t>
            </w:r>
          </w:p>
        </w:tc>
        <w:tc>
          <w:tcPr>
            <w:tcW w:w="2069" w:type="pct"/>
            <w:shd w:val="clear" w:color="auto" w:fill="C6EFCE"/>
            <w:noWrap/>
            <w:vAlign w:val="center"/>
            <w:hideMark/>
          </w:tcPr>
          <w:p w14:paraId="3B69E25D" w14:textId="77777777" w:rsidR="00235E11" w:rsidRDefault="00F837E4">
            <w:pPr>
              <w:pStyle w:val="P68B1DB1-Normal59"/>
              <w:spacing w:after="0"/>
              <w:rPr>
                <w:noProof/>
              </w:rPr>
            </w:pPr>
            <w:r>
              <w:rPr>
                <w:noProof/>
              </w:rPr>
              <w:t>Мониторинг и изпълнение на плана</w:t>
            </w:r>
          </w:p>
        </w:tc>
        <w:tc>
          <w:tcPr>
            <w:tcW w:w="417" w:type="pct"/>
            <w:shd w:val="clear" w:color="auto" w:fill="C6EFCE"/>
            <w:noWrap/>
            <w:vAlign w:val="center"/>
            <w:hideMark/>
          </w:tcPr>
          <w:p w14:paraId="681DE139"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5D5646EF" w14:textId="77777777" w:rsidR="00235E11" w:rsidRDefault="00F837E4">
            <w:pPr>
              <w:pStyle w:val="P68B1DB1-Normal59"/>
              <w:spacing w:after="0"/>
              <w:ind w:right="-1100"/>
              <w:rPr>
                <w:noProof/>
              </w:rPr>
            </w:pPr>
            <w:r>
              <w:rPr>
                <w:noProof/>
              </w:rPr>
              <w:t>Адаптиране на системата за управление и контрол на плана за възстановяване и устойчивост</w:t>
            </w:r>
          </w:p>
        </w:tc>
      </w:tr>
      <w:tr w:rsidR="00235E11" w14:paraId="19F30609" w14:textId="77777777">
        <w:trPr>
          <w:trHeight w:val="315"/>
        </w:trPr>
        <w:tc>
          <w:tcPr>
            <w:tcW w:w="345" w:type="pct"/>
            <w:shd w:val="clear" w:color="auto" w:fill="C6EFCE"/>
            <w:noWrap/>
            <w:vAlign w:val="center"/>
            <w:hideMark/>
          </w:tcPr>
          <w:p w14:paraId="6BEDA73C" w14:textId="77777777" w:rsidR="00235E11" w:rsidRDefault="00F837E4">
            <w:pPr>
              <w:pStyle w:val="P68B1DB1-Normal59"/>
              <w:spacing w:after="0"/>
              <w:jc w:val="center"/>
              <w:rPr>
                <w:noProof/>
              </w:rPr>
            </w:pPr>
            <w:r>
              <w:rPr>
                <w:noProof/>
              </w:rPr>
              <w:t>251</w:t>
            </w:r>
          </w:p>
        </w:tc>
        <w:tc>
          <w:tcPr>
            <w:tcW w:w="2069" w:type="pct"/>
            <w:shd w:val="clear" w:color="auto" w:fill="C6EFCE"/>
            <w:noWrap/>
            <w:vAlign w:val="center"/>
            <w:hideMark/>
          </w:tcPr>
          <w:p w14:paraId="17359885" w14:textId="77777777" w:rsidR="00235E11" w:rsidRDefault="00F837E4">
            <w:pPr>
              <w:pStyle w:val="P68B1DB1-Normal59"/>
              <w:spacing w:after="0"/>
              <w:rPr>
                <w:noProof/>
              </w:rPr>
            </w:pPr>
            <w:r>
              <w:rPr>
                <w:noProof/>
              </w:rPr>
              <w:t>Мониторинг и изпълнение на плана</w:t>
            </w:r>
          </w:p>
        </w:tc>
        <w:tc>
          <w:tcPr>
            <w:tcW w:w="417" w:type="pct"/>
            <w:shd w:val="clear" w:color="auto" w:fill="C6EFCE"/>
            <w:noWrap/>
            <w:vAlign w:val="center"/>
            <w:hideMark/>
          </w:tcPr>
          <w:p w14:paraId="7E28D332" w14:textId="77777777" w:rsidR="00235E11" w:rsidRDefault="00F837E4">
            <w:pPr>
              <w:pStyle w:val="P68B1DB1-Normal59"/>
              <w:spacing w:after="0"/>
              <w:jc w:val="center"/>
              <w:rPr>
                <w:noProof/>
              </w:rPr>
            </w:pPr>
            <w:r>
              <w:rPr>
                <w:noProof/>
              </w:rPr>
              <w:t>M</w:t>
            </w:r>
          </w:p>
        </w:tc>
        <w:tc>
          <w:tcPr>
            <w:tcW w:w="2169" w:type="pct"/>
            <w:shd w:val="clear" w:color="auto" w:fill="C6EFCE"/>
            <w:noWrap/>
            <w:vAlign w:val="center"/>
            <w:hideMark/>
          </w:tcPr>
          <w:p w14:paraId="7F3B1DCC" w14:textId="77777777" w:rsidR="00235E11" w:rsidRDefault="00F837E4">
            <w:pPr>
              <w:pStyle w:val="P68B1DB1-Normal59"/>
              <w:spacing w:after="0"/>
              <w:rPr>
                <w:noProof/>
              </w:rPr>
            </w:pPr>
            <w:r>
              <w:rPr>
                <w:noProof/>
              </w:rPr>
              <w:t>Предотвратяване, разкриване и възпиране на конфликти на интереси</w:t>
            </w:r>
          </w:p>
        </w:tc>
      </w:tr>
      <w:tr w:rsidR="00235E11" w14:paraId="5AA82E6B" w14:textId="77777777">
        <w:trPr>
          <w:trHeight w:val="315"/>
        </w:trPr>
        <w:tc>
          <w:tcPr>
            <w:tcW w:w="345" w:type="pct"/>
            <w:shd w:val="clear" w:color="auto" w:fill="C6EFCE"/>
            <w:noWrap/>
            <w:vAlign w:val="center"/>
          </w:tcPr>
          <w:p w14:paraId="1B3B428A" w14:textId="77777777" w:rsidR="00235E11" w:rsidRDefault="00235E11">
            <w:pPr>
              <w:spacing w:after="0"/>
              <w:jc w:val="center"/>
              <w:rPr>
                <w:rFonts w:ascii="Times New Roman" w:eastAsia="Times New Roman" w:hAnsi="Times New Roman" w:cs="Times New Roman"/>
                <w:noProof/>
                <w:color w:val="006100"/>
                <w:sz w:val="20"/>
              </w:rPr>
            </w:pPr>
          </w:p>
        </w:tc>
        <w:tc>
          <w:tcPr>
            <w:tcW w:w="2486" w:type="pct"/>
            <w:gridSpan w:val="2"/>
            <w:shd w:val="clear" w:color="auto" w:fill="C6EFCE"/>
            <w:noWrap/>
            <w:vAlign w:val="center"/>
          </w:tcPr>
          <w:p w14:paraId="4B74759C" w14:textId="77777777" w:rsidR="00235E11" w:rsidRDefault="00F837E4">
            <w:pPr>
              <w:pStyle w:val="P68B1DB1-Normal59"/>
              <w:spacing w:after="0"/>
              <w:jc w:val="right"/>
              <w:rPr>
                <w:noProof/>
              </w:rPr>
            </w:pPr>
            <w:r>
              <w:rPr>
                <w:noProof/>
              </w:rPr>
              <w:t>Размер на вноската</w:t>
            </w:r>
          </w:p>
        </w:tc>
        <w:tc>
          <w:tcPr>
            <w:tcW w:w="2169" w:type="pct"/>
            <w:shd w:val="clear" w:color="auto" w:fill="C6EFCE"/>
            <w:noWrap/>
            <w:vAlign w:val="center"/>
          </w:tcPr>
          <w:p w14:paraId="4DD0B478" w14:textId="0EC4859F"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6101 006 646 EUR</w:t>
            </w:r>
          </w:p>
        </w:tc>
      </w:tr>
    </w:tbl>
    <w:p w14:paraId="68B2CA19" w14:textId="77777777" w:rsidR="00235E11" w:rsidRDefault="00235E11">
      <w:pPr>
        <w:rPr>
          <w:rFonts w:ascii="Times New Roman" w:hAnsi="Times New Roman" w:cs="Times New Roman"/>
          <w:noProof/>
        </w:rPr>
      </w:pPr>
    </w:p>
    <w:p w14:paraId="2E0004F7" w14:textId="1CF4A20E" w:rsidR="00235E11" w:rsidRDefault="00F837E4">
      <w:pPr>
        <w:pStyle w:val="ManualNumPar1"/>
        <w:rPr>
          <w:noProof/>
        </w:rPr>
      </w:pPr>
      <w:r>
        <w:rPr>
          <w:noProof/>
        </w:rPr>
        <w:t>Трета вноска (безвъзмездна подкрепа):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704"/>
        <w:gridCol w:w="4536"/>
        <w:gridCol w:w="682"/>
        <w:gridCol w:w="4284"/>
      </w:tblGrid>
      <w:tr w:rsidR="00235E11" w14:paraId="43AF2E47" w14:textId="77777777">
        <w:trPr>
          <w:trHeight w:val="300"/>
          <w:tblHeader/>
        </w:trPr>
        <w:tc>
          <w:tcPr>
            <w:tcW w:w="345" w:type="pct"/>
            <w:shd w:val="clear" w:color="auto" w:fill="BDD7EE"/>
            <w:noWrap/>
            <w:vAlign w:val="center"/>
            <w:hideMark/>
          </w:tcPr>
          <w:p w14:paraId="51CB3B8A" w14:textId="77777777" w:rsidR="00235E11" w:rsidRDefault="00F837E4">
            <w:pPr>
              <w:pStyle w:val="P68B1DB1-Normal58"/>
              <w:spacing w:before="120" w:after="120"/>
              <w:jc w:val="center"/>
              <w:rPr>
                <w:noProof/>
              </w:rPr>
            </w:pPr>
            <w:r>
              <w:rPr>
                <w:noProof/>
              </w:rPr>
              <w:t>Следващи. nb</w:t>
            </w:r>
          </w:p>
        </w:tc>
        <w:tc>
          <w:tcPr>
            <w:tcW w:w="2222" w:type="pct"/>
            <w:shd w:val="clear" w:color="auto" w:fill="BDD7EE"/>
            <w:noWrap/>
            <w:vAlign w:val="center"/>
            <w:hideMark/>
          </w:tcPr>
          <w:p w14:paraId="7CB805BB" w14:textId="77777777" w:rsidR="00235E11" w:rsidRDefault="00F837E4">
            <w:pPr>
              <w:pStyle w:val="P68B1DB1-Normal58"/>
              <w:spacing w:before="120" w:after="120"/>
              <w:jc w:val="center"/>
              <w:rPr>
                <w:noProof/>
              </w:rPr>
            </w:pPr>
            <w:r>
              <w:rPr>
                <w:noProof/>
              </w:rPr>
              <w:t>Наименование на мярката</w:t>
            </w:r>
          </w:p>
        </w:tc>
        <w:tc>
          <w:tcPr>
            <w:tcW w:w="334" w:type="pct"/>
            <w:shd w:val="clear" w:color="auto" w:fill="BDD7EE"/>
            <w:noWrap/>
            <w:vAlign w:val="center"/>
            <w:hideMark/>
          </w:tcPr>
          <w:p w14:paraId="3AC0C6A7" w14:textId="77777777" w:rsidR="00235E11" w:rsidRDefault="00F837E4">
            <w:pPr>
              <w:pStyle w:val="P68B1DB1-Normal58"/>
              <w:spacing w:before="120" w:after="120"/>
              <w:jc w:val="center"/>
              <w:rPr>
                <w:noProof/>
              </w:rPr>
            </w:pPr>
            <w:r>
              <w:rPr>
                <w:noProof/>
              </w:rPr>
              <w:t>M/T</w:t>
            </w:r>
          </w:p>
        </w:tc>
        <w:tc>
          <w:tcPr>
            <w:tcW w:w="2099" w:type="pct"/>
            <w:shd w:val="clear" w:color="auto" w:fill="BDD7EE"/>
            <w:noWrap/>
            <w:vAlign w:val="center"/>
            <w:hideMark/>
          </w:tcPr>
          <w:p w14:paraId="1091C7EB" w14:textId="77777777" w:rsidR="00235E11" w:rsidRDefault="00F837E4">
            <w:pPr>
              <w:pStyle w:val="P68B1DB1-Normal58"/>
              <w:spacing w:before="120" w:after="120"/>
              <w:jc w:val="center"/>
              <w:rPr>
                <w:noProof/>
              </w:rPr>
            </w:pPr>
            <w:r>
              <w:rPr>
                <w:noProof/>
              </w:rPr>
              <w:t>Име</w:t>
            </w:r>
          </w:p>
        </w:tc>
      </w:tr>
      <w:tr w:rsidR="00235E11" w14:paraId="5441C559" w14:textId="77777777">
        <w:trPr>
          <w:trHeight w:val="315"/>
        </w:trPr>
        <w:tc>
          <w:tcPr>
            <w:tcW w:w="345" w:type="pct"/>
            <w:shd w:val="clear" w:color="auto" w:fill="C6EFCE"/>
            <w:noWrap/>
            <w:vAlign w:val="center"/>
            <w:hideMark/>
          </w:tcPr>
          <w:p w14:paraId="328F4491" w14:textId="77777777" w:rsidR="00235E11" w:rsidRDefault="00F837E4">
            <w:pPr>
              <w:pStyle w:val="P68B1DB1-Normal59"/>
              <w:spacing w:after="0"/>
              <w:jc w:val="center"/>
              <w:rPr>
                <w:noProof/>
              </w:rPr>
            </w:pPr>
            <w:r>
              <w:rPr>
                <w:noProof/>
              </w:rPr>
              <w:t>5</w:t>
            </w:r>
          </w:p>
        </w:tc>
        <w:tc>
          <w:tcPr>
            <w:tcW w:w="2222" w:type="pct"/>
            <w:shd w:val="clear" w:color="auto" w:fill="C6EFCE"/>
            <w:noWrap/>
            <w:vAlign w:val="center"/>
            <w:hideMark/>
          </w:tcPr>
          <w:p w14:paraId="3D46424C" w14:textId="77777777" w:rsidR="00235E11" w:rsidRDefault="00F837E4">
            <w:pPr>
              <w:pStyle w:val="P68B1DB1-Normal59"/>
              <w:spacing w:after="0"/>
              <w:rPr>
                <w:noProof/>
              </w:rPr>
            </w:pPr>
            <w:r>
              <w:rPr>
                <w:noProof/>
              </w:rPr>
              <w:t>Обновяване на частни и социални жилища (I-1A)</w:t>
            </w:r>
          </w:p>
        </w:tc>
        <w:tc>
          <w:tcPr>
            <w:tcW w:w="334" w:type="pct"/>
            <w:shd w:val="clear" w:color="auto" w:fill="C6EFCE"/>
            <w:noWrap/>
            <w:vAlign w:val="center"/>
            <w:hideMark/>
          </w:tcPr>
          <w:p w14:paraId="4B6A2C5C"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43349B97" w14:textId="77777777" w:rsidR="00235E11" w:rsidRDefault="00F837E4">
            <w:pPr>
              <w:pStyle w:val="P68B1DB1-Normal59"/>
              <w:spacing w:after="0"/>
              <w:rPr>
                <w:noProof/>
              </w:rPr>
            </w:pPr>
            <w:r>
              <w:rPr>
                <w:noProof/>
              </w:rPr>
              <w:t>Обновяване на частни жилищни и социални жилища (стъпка 1)</w:t>
            </w:r>
          </w:p>
        </w:tc>
      </w:tr>
      <w:tr w:rsidR="00235E11" w14:paraId="7E79A81B" w14:textId="77777777">
        <w:trPr>
          <w:trHeight w:val="315"/>
        </w:trPr>
        <w:tc>
          <w:tcPr>
            <w:tcW w:w="345" w:type="pct"/>
            <w:shd w:val="clear" w:color="auto" w:fill="C6EFCE"/>
            <w:noWrap/>
            <w:vAlign w:val="center"/>
            <w:hideMark/>
          </w:tcPr>
          <w:p w14:paraId="7A3CCAD5" w14:textId="77777777" w:rsidR="00235E11" w:rsidRDefault="00F837E4">
            <w:pPr>
              <w:pStyle w:val="P68B1DB1-Normal59"/>
              <w:spacing w:after="0"/>
              <w:jc w:val="center"/>
              <w:rPr>
                <w:noProof/>
              </w:rPr>
            </w:pPr>
            <w:r>
              <w:rPr>
                <w:noProof/>
              </w:rPr>
              <w:t>9</w:t>
            </w:r>
          </w:p>
        </w:tc>
        <w:tc>
          <w:tcPr>
            <w:tcW w:w="2222" w:type="pct"/>
            <w:shd w:val="clear" w:color="auto" w:fill="C6EFCE"/>
            <w:noWrap/>
            <w:vAlign w:val="center"/>
            <w:hideMark/>
          </w:tcPr>
          <w:p w14:paraId="093E55FA" w14:textId="77777777" w:rsidR="00235E11" w:rsidRDefault="00F837E4">
            <w:pPr>
              <w:pStyle w:val="P68B1DB1-Normal59"/>
              <w:spacing w:after="0"/>
              <w:rPr>
                <w:noProof/>
              </w:rPr>
            </w:pPr>
            <w:r>
              <w:rPr>
                <w:noProof/>
              </w:rPr>
              <w:t>Обновяване на частни и социални жилища (R-1.01, iii)</w:t>
            </w:r>
          </w:p>
        </w:tc>
        <w:tc>
          <w:tcPr>
            <w:tcW w:w="334" w:type="pct"/>
            <w:shd w:val="clear" w:color="auto" w:fill="C6EFCE"/>
            <w:noWrap/>
            <w:vAlign w:val="center"/>
            <w:hideMark/>
          </w:tcPr>
          <w:p w14:paraId="37751064"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2102AB7D" w14:textId="77777777" w:rsidR="00235E11" w:rsidRDefault="00F837E4">
            <w:pPr>
              <w:pStyle w:val="P68B1DB1-Normal59"/>
              <w:spacing w:after="0"/>
              <w:rPr>
                <w:noProof/>
              </w:rPr>
            </w:pPr>
            <w:r>
              <w:rPr>
                <w:noProof/>
              </w:rPr>
              <w:t>Отпускане на безвъзмездни средства за битови батерии във Фландрия</w:t>
            </w:r>
          </w:p>
        </w:tc>
      </w:tr>
      <w:tr w:rsidR="00235E11" w14:paraId="47363D27" w14:textId="77777777">
        <w:trPr>
          <w:trHeight w:val="315"/>
        </w:trPr>
        <w:tc>
          <w:tcPr>
            <w:tcW w:w="345" w:type="pct"/>
            <w:shd w:val="clear" w:color="auto" w:fill="C6EFCE"/>
            <w:noWrap/>
            <w:vAlign w:val="center"/>
            <w:hideMark/>
          </w:tcPr>
          <w:p w14:paraId="1C3321E0" w14:textId="77777777" w:rsidR="00235E11" w:rsidRDefault="00F837E4">
            <w:pPr>
              <w:pStyle w:val="P68B1DB1-Normal59"/>
              <w:spacing w:after="0"/>
              <w:jc w:val="center"/>
              <w:rPr>
                <w:noProof/>
              </w:rPr>
            </w:pPr>
            <w:r>
              <w:rPr>
                <w:noProof/>
              </w:rPr>
              <w:t>38</w:t>
            </w:r>
          </w:p>
        </w:tc>
        <w:tc>
          <w:tcPr>
            <w:tcW w:w="2222" w:type="pct"/>
            <w:shd w:val="clear" w:color="auto" w:fill="C6EFCE"/>
            <w:noWrap/>
            <w:vAlign w:val="center"/>
            <w:hideMark/>
          </w:tcPr>
          <w:p w14:paraId="70A750D5" w14:textId="77777777" w:rsidR="00235E11" w:rsidRDefault="00F837E4">
            <w:pPr>
              <w:pStyle w:val="P68B1DB1-Normal59"/>
              <w:spacing w:after="0"/>
              <w:rPr>
                <w:noProof/>
              </w:rPr>
            </w:pPr>
            <w:r>
              <w:rPr>
                <w:noProof/>
              </w:rPr>
              <w:t>Биологично разнообразие и адаптиране към изменението на климата (I-1.22)</w:t>
            </w:r>
          </w:p>
        </w:tc>
        <w:tc>
          <w:tcPr>
            <w:tcW w:w="334" w:type="pct"/>
            <w:shd w:val="clear" w:color="auto" w:fill="C6EFCE"/>
            <w:noWrap/>
            <w:vAlign w:val="center"/>
            <w:hideMark/>
          </w:tcPr>
          <w:p w14:paraId="5DD50000"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4F6DED52" w14:textId="77777777" w:rsidR="00235E11" w:rsidRDefault="00F837E4">
            <w:pPr>
              <w:pStyle w:val="P68B1DB1-Normal59"/>
              <w:spacing w:after="0"/>
              <w:rPr>
                <w:noProof/>
              </w:rPr>
            </w:pPr>
            <w:r>
              <w:rPr>
                <w:noProof/>
              </w:rPr>
              <w:t>Възлагане на договори за проекти за създаване на два национални парка</w:t>
            </w:r>
          </w:p>
        </w:tc>
      </w:tr>
      <w:tr w:rsidR="00235E11" w14:paraId="30522667" w14:textId="77777777">
        <w:trPr>
          <w:trHeight w:val="315"/>
        </w:trPr>
        <w:tc>
          <w:tcPr>
            <w:tcW w:w="345" w:type="pct"/>
            <w:shd w:val="clear" w:color="auto" w:fill="C6EFCE"/>
            <w:noWrap/>
            <w:vAlign w:val="center"/>
            <w:hideMark/>
          </w:tcPr>
          <w:p w14:paraId="06D4DD42" w14:textId="77777777" w:rsidR="00235E11" w:rsidRDefault="00F837E4">
            <w:pPr>
              <w:pStyle w:val="P68B1DB1-Normal59"/>
              <w:spacing w:after="0"/>
              <w:jc w:val="center"/>
              <w:rPr>
                <w:noProof/>
              </w:rPr>
            </w:pPr>
            <w:r>
              <w:rPr>
                <w:noProof/>
              </w:rPr>
              <w:t>41</w:t>
            </w:r>
          </w:p>
        </w:tc>
        <w:tc>
          <w:tcPr>
            <w:tcW w:w="2222" w:type="pct"/>
            <w:shd w:val="clear" w:color="auto" w:fill="C6EFCE"/>
            <w:noWrap/>
            <w:vAlign w:val="center"/>
            <w:hideMark/>
          </w:tcPr>
          <w:p w14:paraId="2F38E985" w14:textId="77777777" w:rsidR="00235E11" w:rsidRDefault="00F837E4">
            <w:pPr>
              <w:pStyle w:val="P68B1DB1-Normal59"/>
              <w:spacing w:after="0"/>
              <w:rPr>
                <w:noProof/>
              </w:rPr>
            </w:pPr>
            <w:r>
              <w:rPr>
                <w:noProof/>
              </w:rPr>
              <w:t>Син пакт (I-1.24)</w:t>
            </w:r>
          </w:p>
        </w:tc>
        <w:tc>
          <w:tcPr>
            <w:tcW w:w="334" w:type="pct"/>
            <w:shd w:val="clear" w:color="auto" w:fill="C6EFCE"/>
            <w:noWrap/>
            <w:vAlign w:val="center"/>
            <w:hideMark/>
          </w:tcPr>
          <w:p w14:paraId="3563642A"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410678B9" w14:textId="77777777" w:rsidR="00235E11" w:rsidRDefault="00F837E4">
            <w:pPr>
              <w:pStyle w:val="P68B1DB1-Normal59"/>
              <w:spacing w:after="0"/>
              <w:rPr>
                <w:noProof/>
              </w:rPr>
            </w:pPr>
            <w:r>
              <w:rPr>
                <w:noProof/>
              </w:rPr>
              <w:t>Стартиране на проекти за укрепване на биологичното разнообразие и/или смекчаване на последиците от изменението на климата</w:t>
            </w:r>
          </w:p>
        </w:tc>
      </w:tr>
      <w:tr w:rsidR="00235E11" w14:paraId="366E6AEA" w14:textId="77777777">
        <w:trPr>
          <w:trHeight w:val="315"/>
        </w:trPr>
        <w:tc>
          <w:tcPr>
            <w:tcW w:w="345" w:type="pct"/>
            <w:shd w:val="clear" w:color="auto" w:fill="C6EFCE"/>
            <w:noWrap/>
            <w:vAlign w:val="center"/>
            <w:hideMark/>
          </w:tcPr>
          <w:p w14:paraId="5A98050C" w14:textId="77777777" w:rsidR="00235E11" w:rsidRDefault="00F837E4">
            <w:pPr>
              <w:pStyle w:val="P68B1DB1-Normal59"/>
              <w:spacing w:after="0"/>
              <w:jc w:val="center"/>
              <w:rPr>
                <w:noProof/>
              </w:rPr>
            </w:pPr>
            <w:r>
              <w:rPr>
                <w:noProof/>
              </w:rPr>
              <w:t>42</w:t>
            </w:r>
          </w:p>
        </w:tc>
        <w:tc>
          <w:tcPr>
            <w:tcW w:w="2222" w:type="pct"/>
            <w:shd w:val="clear" w:color="auto" w:fill="C6EFCE"/>
            <w:noWrap/>
            <w:vAlign w:val="center"/>
            <w:hideMark/>
          </w:tcPr>
          <w:p w14:paraId="15069014" w14:textId="77777777" w:rsidR="00235E11" w:rsidRDefault="00F837E4">
            <w:pPr>
              <w:pStyle w:val="P68B1DB1-Normal59"/>
              <w:spacing w:after="0"/>
              <w:rPr>
                <w:noProof/>
              </w:rPr>
            </w:pPr>
            <w:r>
              <w:rPr>
                <w:noProof/>
              </w:rPr>
              <w:t>Син пакт (I-1.24)</w:t>
            </w:r>
          </w:p>
        </w:tc>
        <w:tc>
          <w:tcPr>
            <w:tcW w:w="334" w:type="pct"/>
            <w:shd w:val="clear" w:color="auto" w:fill="C6EFCE"/>
            <w:noWrap/>
            <w:vAlign w:val="center"/>
            <w:hideMark/>
          </w:tcPr>
          <w:p w14:paraId="37D20644"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0F471E9F" w14:textId="77777777" w:rsidR="00235E11" w:rsidRDefault="00F837E4">
            <w:pPr>
              <w:pStyle w:val="P68B1DB1-Normal59"/>
              <w:spacing w:after="0"/>
              <w:rPr>
                <w:noProof/>
              </w:rPr>
            </w:pPr>
            <w:r>
              <w:rPr>
                <w:noProof/>
              </w:rPr>
              <w:t>Закупуване на земя за укрепване на биологичното разнообразие и/или смекчаване на последиците от изменението на климата</w:t>
            </w:r>
          </w:p>
        </w:tc>
      </w:tr>
      <w:tr w:rsidR="00235E11" w14:paraId="51E6A83F" w14:textId="77777777">
        <w:trPr>
          <w:trHeight w:val="315"/>
        </w:trPr>
        <w:tc>
          <w:tcPr>
            <w:tcW w:w="345" w:type="pct"/>
            <w:shd w:val="clear" w:color="auto" w:fill="C6EFCE"/>
            <w:noWrap/>
            <w:vAlign w:val="center"/>
            <w:hideMark/>
          </w:tcPr>
          <w:p w14:paraId="450872D7" w14:textId="77777777" w:rsidR="00235E11" w:rsidRDefault="00F837E4">
            <w:pPr>
              <w:pStyle w:val="P68B1DB1-Normal59"/>
              <w:spacing w:after="0"/>
              <w:jc w:val="center"/>
              <w:rPr>
                <w:noProof/>
              </w:rPr>
            </w:pPr>
            <w:r>
              <w:rPr>
                <w:noProof/>
              </w:rPr>
              <w:t>47</w:t>
            </w:r>
          </w:p>
        </w:tc>
        <w:tc>
          <w:tcPr>
            <w:tcW w:w="2222" w:type="pct"/>
            <w:shd w:val="clear" w:color="auto" w:fill="C6EFCE"/>
            <w:noWrap/>
            <w:vAlign w:val="center"/>
            <w:hideMark/>
          </w:tcPr>
          <w:p w14:paraId="702A8828" w14:textId="77777777" w:rsidR="00235E11" w:rsidRDefault="00F837E4">
            <w:pPr>
              <w:pStyle w:val="P68B1DB1-Normal59"/>
              <w:spacing w:after="0"/>
              <w:rPr>
                <w:noProof/>
              </w:rPr>
            </w:pPr>
            <w:r>
              <w:rPr>
                <w:noProof/>
              </w:rPr>
              <w:t>Киберсигурност и устойчиво цифрово общество (I-2.01)</w:t>
            </w:r>
          </w:p>
        </w:tc>
        <w:tc>
          <w:tcPr>
            <w:tcW w:w="334" w:type="pct"/>
            <w:shd w:val="clear" w:color="auto" w:fill="C6EFCE"/>
            <w:noWrap/>
            <w:vAlign w:val="center"/>
            <w:hideMark/>
          </w:tcPr>
          <w:p w14:paraId="2AB64F82"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2F14F423" w14:textId="77777777" w:rsidR="00235E11" w:rsidRDefault="00F837E4">
            <w:pPr>
              <w:pStyle w:val="P68B1DB1-Normal59"/>
              <w:spacing w:after="0"/>
              <w:rPr>
                <w:noProof/>
              </w:rPr>
            </w:pPr>
            <w:r>
              <w:rPr>
                <w:noProof/>
              </w:rPr>
              <w:t xml:space="preserve">Глобална рамка за управление на киберсигурността в рамките на Министерството на външните работи </w:t>
            </w:r>
          </w:p>
        </w:tc>
      </w:tr>
      <w:tr w:rsidR="00235E11" w14:paraId="34B3F8D2" w14:textId="77777777">
        <w:trPr>
          <w:trHeight w:val="315"/>
        </w:trPr>
        <w:tc>
          <w:tcPr>
            <w:tcW w:w="345" w:type="pct"/>
            <w:shd w:val="clear" w:color="auto" w:fill="C6EFCE"/>
            <w:noWrap/>
            <w:vAlign w:val="center"/>
            <w:hideMark/>
          </w:tcPr>
          <w:p w14:paraId="18D1684F" w14:textId="77777777" w:rsidR="00235E11" w:rsidRDefault="00F837E4">
            <w:pPr>
              <w:pStyle w:val="P68B1DB1-Normal59"/>
              <w:spacing w:after="0"/>
              <w:jc w:val="center"/>
              <w:rPr>
                <w:noProof/>
              </w:rPr>
            </w:pPr>
            <w:r>
              <w:rPr>
                <w:noProof/>
              </w:rPr>
              <w:t>58</w:t>
            </w:r>
          </w:p>
        </w:tc>
        <w:tc>
          <w:tcPr>
            <w:tcW w:w="2222" w:type="pct"/>
            <w:shd w:val="clear" w:color="auto" w:fill="C6EFCE"/>
            <w:noWrap/>
            <w:vAlign w:val="center"/>
            <w:hideMark/>
          </w:tcPr>
          <w:p w14:paraId="349B55FF" w14:textId="77777777" w:rsidR="00235E11" w:rsidRDefault="00F837E4">
            <w:pPr>
              <w:pStyle w:val="P68B1DB1-Normal59"/>
              <w:spacing w:after="0"/>
              <w:rPr>
                <w:noProof/>
              </w:rPr>
            </w:pPr>
            <w:r>
              <w:rPr>
                <w:noProof/>
              </w:rPr>
              <w:t>Цифровизация на SPF (I-2.05) (подмярка 1: Цифрова трансформация на правосъдието)</w:t>
            </w:r>
          </w:p>
        </w:tc>
        <w:tc>
          <w:tcPr>
            <w:tcW w:w="334" w:type="pct"/>
            <w:shd w:val="clear" w:color="auto" w:fill="C6EFCE"/>
            <w:noWrap/>
            <w:vAlign w:val="center"/>
            <w:hideMark/>
          </w:tcPr>
          <w:p w14:paraId="463EF36C"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780D63A0" w14:textId="77777777" w:rsidR="00235E11" w:rsidRDefault="00F837E4">
            <w:pPr>
              <w:pStyle w:val="P68B1DB1-Normal59"/>
              <w:spacing w:after="0"/>
              <w:rPr>
                <w:noProof/>
              </w:rPr>
            </w:pPr>
            <w:r>
              <w:rPr>
                <w:noProof/>
              </w:rPr>
              <w:t>Вътрешна централизация на съдебните решения</w:t>
            </w:r>
          </w:p>
        </w:tc>
      </w:tr>
      <w:tr w:rsidR="00235E11" w14:paraId="5363DD91" w14:textId="77777777">
        <w:trPr>
          <w:trHeight w:val="315"/>
        </w:trPr>
        <w:tc>
          <w:tcPr>
            <w:tcW w:w="345" w:type="pct"/>
            <w:shd w:val="clear" w:color="auto" w:fill="C6EFCE"/>
            <w:noWrap/>
            <w:vAlign w:val="center"/>
            <w:hideMark/>
          </w:tcPr>
          <w:p w14:paraId="775D6854" w14:textId="77777777" w:rsidR="00235E11" w:rsidRDefault="00F837E4">
            <w:pPr>
              <w:pStyle w:val="P68B1DB1-Normal59"/>
              <w:spacing w:after="0"/>
              <w:jc w:val="center"/>
              <w:rPr>
                <w:noProof/>
              </w:rPr>
            </w:pPr>
            <w:r>
              <w:rPr>
                <w:noProof/>
              </w:rPr>
              <w:t>77</w:t>
            </w:r>
          </w:p>
        </w:tc>
        <w:tc>
          <w:tcPr>
            <w:tcW w:w="2222" w:type="pct"/>
            <w:shd w:val="clear" w:color="auto" w:fill="C6EFCE"/>
            <w:noWrap/>
            <w:vAlign w:val="center"/>
            <w:hideMark/>
          </w:tcPr>
          <w:p w14:paraId="557848C3" w14:textId="77777777" w:rsidR="00235E11" w:rsidRDefault="00F837E4">
            <w:pPr>
              <w:pStyle w:val="P68B1DB1-Normal59"/>
              <w:spacing w:after="0"/>
              <w:rPr>
                <w:noProof/>
              </w:rPr>
            </w:pPr>
            <w:r>
              <w:rPr>
                <w:noProof/>
              </w:rPr>
              <w:t>Опростяване на административните процедури (R-2.01)</w:t>
            </w:r>
          </w:p>
        </w:tc>
        <w:tc>
          <w:tcPr>
            <w:tcW w:w="334" w:type="pct"/>
            <w:shd w:val="clear" w:color="auto" w:fill="C6EFCE"/>
            <w:noWrap/>
            <w:vAlign w:val="center"/>
            <w:hideMark/>
          </w:tcPr>
          <w:p w14:paraId="028C5090"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5BFB511E" w14:textId="77777777" w:rsidR="00235E11" w:rsidRDefault="00F837E4">
            <w:pPr>
              <w:pStyle w:val="P68B1DB1-Normal59"/>
              <w:spacing w:after="0"/>
              <w:rPr>
                <w:noProof/>
              </w:rPr>
            </w:pPr>
            <w:r>
              <w:rPr>
                <w:noProof/>
              </w:rPr>
              <w:t>Влизане в сила на мерки за опростяване на онлайн създаването на предприятия</w:t>
            </w:r>
          </w:p>
        </w:tc>
      </w:tr>
      <w:tr w:rsidR="00235E11" w14:paraId="1B503382" w14:textId="77777777">
        <w:trPr>
          <w:trHeight w:val="315"/>
        </w:trPr>
        <w:tc>
          <w:tcPr>
            <w:tcW w:w="345" w:type="pct"/>
            <w:shd w:val="clear" w:color="auto" w:fill="C6EFCE"/>
            <w:noWrap/>
            <w:vAlign w:val="center"/>
            <w:hideMark/>
          </w:tcPr>
          <w:p w14:paraId="3937E336" w14:textId="77777777" w:rsidR="00235E11" w:rsidRDefault="00F837E4">
            <w:pPr>
              <w:pStyle w:val="P68B1DB1-Normal59"/>
              <w:spacing w:after="0"/>
              <w:jc w:val="center"/>
              <w:rPr>
                <w:noProof/>
              </w:rPr>
            </w:pPr>
            <w:r>
              <w:rPr>
                <w:noProof/>
              </w:rPr>
              <w:t>82</w:t>
            </w:r>
          </w:p>
        </w:tc>
        <w:tc>
          <w:tcPr>
            <w:tcW w:w="2222" w:type="pct"/>
            <w:shd w:val="clear" w:color="auto" w:fill="C6EFCE"/>
            <w:noWrap/>
            <w:vAlign w:val="center"/>
            <w:hideMark/>
          </w:tcPr>
          <w:p w14:paraId="301458CC" w14:textId="77777777" w:rsidR="00235E11" w:rsidRDefault="00F837E4">
            <w:pPr>
              <w:pStyle w:val="P68B1DB1-Normal59"/>
              <w:spacing w:after="0"/>
              <w:rPr>
                <w:noProof/>
              </w:rPr>
            </w:pPr>
            <w:r>
              <w:rPr>
                <w:noProof/>
              </w:rPr>
              <w:t>Разработване на институт за ИИ с цел използване на тази технология за посрещане на обществени предизвикателства (I-2.14)</w:t>
            </w:r>
          </w:p>
        </w:tc>
        <w:tc>
          <w:tcPr>
            <w:tcW w:w="334" w:type="pct"/>
            <w:shd w:val="clear" w:color="auto" w:fill="C6EFCE"/>
            <w:noWrap/>
            <w:vAlign w:val="center"/>
            <w:hideMark/>
          </w:tcPr>
          <w:p w14:paraId="179F5D35"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57C77E96" w14:textId="77777777" w:rsidR="00235E11" w:rsidRDefault="00F837E4">
            <w:pPr>
              <w:pStyle w:val="P68B1DB1-Normal59"/>
              <w:spacing w:after="0"/>
              <w:rPr>
                <w:noProof/>
              </w:rPr>
            </w:pPr>
            <w:r>
              <w:rPr>
                <w:noProof/>
              </w:rPr>
              <w:t>Екип от експерти, създаден в рамките на Института за ИИ за общото благо</w:t>
            </w:r>
          </w:p>
        </w:tc>
      </w:tr>
      <w:tr w:rsidR="00235E11" w14:paraId="6921DC18" w14:textId="77777777">
        <w:trPr>
          <w:trHeight w:val="315"/>
        </w:trPr>
        <w:tc>
          <w:tcPr>
            <w:tcW w:w="345" w:type="pct"/>
            <w:shd w:val="clear" w:color="auto" w:fill="C6EFCE"/>
            <w:noWrap/>
            <w:vAlign w:val="center"/>
            <w:hideMark/>
          </w:tcPr>
          <w:p w14:paraId="6ED4D518" w14:textId="77777777" w:rsidR="00235E11" w:rsidRDefault="00F837E4">
            <w:pPr>
              <w:pStyle w:val="P68B1DB1-Normal59"/>
              <w:spacing w:after="0"/>
              <w:jc w:val="center"/>
              <w:rPr>
                <w:noProof/>
              </w:rPr>
            </w:pPr>
            <w:r>
              <w:rPr>
                <w:noProof/>
              </w:rPr>
              <w:t>99</w:t>
            </w:r>
          </w:p>
        </w:tc>
        <w:tc>
          <w:tcPr>
            <w:tcW w:w="2222" w:type="pct"/>
            <w:shd w:val="clear" w:color="auto" w:fill="C6EFCE"/>
            <w:noWrap/>
            <w:vAlign w:val="center"/>
            <w:hideMark/>
          </w:tcPr>
          <w:p w14:paraId="75FFF5DF" w14:textId="77777777" w:rsidR="00235E11" w:rsidRDefault="00F837E4">
            <w:pPr>
              <w:pStyle w:val="P68B1DB1-Normal59"/>
              <w:spacing w:after="0"/>
              <w:rPr>
                <w:noProof/>
              </w:rPr>
            </w:pPr>
            <w:r>
              <w:rPr>
                <w:noProof/>
              </w:rPr>
              <w:t>Подобряване на обществения транспорт във Валония (I-3B)</w:t>
            </w:r>
          </w:p>
        </w:tc>
        <w:tc>
          <w:tcPr>
            <w:tcW w:w="334" w:type="pct"/>
            <w:shd w:val="clear" w:color="auto" w:fill="C6EFCE"/>
            <w:noWrap/>
            <w:vAlign w:val="center"/>
            <w:hideMark/>
          </w:tcPr>
          <w:p w14:paraId="77886B76"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478F8D05" w14:textId="17E73468" w:rsidR="00235E11" w:rsidRDefault="00F837E4">
            <w:pPr>
              <w:pStyle w:val="P68B1DB1-Normal59"/>
              <w:spacing w:after="0"/>
              <w:rPr>
                <w:noProof/>
              </w:rPr>
            </w:pPr>
            <w:r>
              <w:rPr>
                <w:noProof/>
              </w:rPr>
              <w:t>Начало на основните инфраструктурни работи за автобусите (интелигентни пътни сигнали и леко метро (Шарлероа))</w:t>
            </w:r>
          </w:p>
        </w:tc>
      </w:tr>
      <w:tr w:rsidR="00235E11" w14:paraId="00E448D4" w14:textId="77777777">
        <w:trPr>
          <w:trHeight w:val="315"/>
        </w:trPr>
        <w:tc>
          <w:tcPr>
            <w:tcW w:w="345" w:type="pct"/>
            <w:shd w:val="clear" w:color="auto" w:fill="C6EFCE"/>
            <w:noWrap/>
            <w:vAlign w:val="center"/>
            <w:hideMark/>
          </w:tcPr>
          <w:p w14:paraId="53057868" w14:textId="77777777" w:rsidR="00235E11" w:rsidRDefault="00F837E4">
            <w:pPr>
              <w:pStyle w:val="P68B1DB1-Normal59"/>
              <w:spacing w:after="0"/>
              <w:jc w:val="center"/>
              <w:rPr>
                <w:noProof/>
              </w:rPr>
            </w:pPr>
            <w:r>
              <w:rPr>
                <w:noProof/>
              </w:rPr>
              <w:t>104</w:t>
            </w:r>
          </w:p>
        </w:tc>
        <w:tc>
          <w:tcPr>
            <w:tcW w:w="2222" w:type="pct"/>
            <w:shd w:val="clear" w:color="auto" w:fill="C6EFCE"/>
            <w:noWrap/>
            <w:vAlign w:val="center"/>
            <w:hideMark/>
          </w:tcPr>
          <w:p w14:paraId="13E91902" w14:textId="77777777" w:rsidR="00235E11" w:rsidRDefault="00F837E4">
            <w:pPr>
              <w:pStyle w:val="P68B1DB1-Normal59"/>
              <w:spacing w:after="0"/>
              <w:rPr>
                <w:noProof/>
              </w:rPr>
            </w:pPr>
            <w:r>
              <w:rPr>
                <w:noProof/>
              </w:rPr>
              <w:t>Дейности по обновяване на железниците и достъпност на гарите (I-3В)</w:t>
            </w:r>
          </w:p>
        </w:tc>
        <w:tc>
          <w:tcPr>
            <w:tcW w:w="334" w:type="pct"/>
            <w:shd w:val="clear" w:color="auto" w:fill="C6EFCE"/>
            <w:noWrap/>
            <w:vAlign w:val="center"/>
            <w:hideMark/>
          </w:tcPr>
          <w:p w14:paraId="7071126D"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3CDCE259" w14:textId="77777777" w:rsidR="00235E11" w:rsidRDefault="00F837E4">
            <w:pPr>
              <w:pStyle w:val="P68B1DB1-Normal59"/>
              <w:spacing w:after="0"/>
              <w:rPr>
                <w:noProof/>
              </w:rPr>
            </w:pPr>
            <w:r>
              <w:rPr>
                <w:noProof/>
              </w:rPr>
              <w:t>Приключване на ремонтни и модернизационни работи на железопътната линия и работи по достъпност на гарите (стъпка 2)</w:t>
            </w:r>
          </w:p>
        </w:tc>
      </w:tr>
      <w:tr w:rsidR="00235E11" w14:paraId="3DF984B2" w14:textId="77777777">
        <w:trPr>
          <w:trHeight w:val="315"/>
        </w:trPr>
        <w:tc>
          <w:tcPr>
            <w:tcW w:w="345" w:type="pct"/>
            <w:shd w:val="clear" w:color="auto" w:fill="C6EFCE"/>
            <w:noWrap/>
            <w:vAlign w:val="center"/>
            <w:hideMark/>
          </w:tcPr>
          <w:p w14:paraId="50CA8DFC" w14:textId="77777777" w:rsidR="00235E11" w:rsidRDefault="00F837E4">
            <w:pPr>
              <w:pStyle w:val="P68B1DB1-Normal59"/>
              <w:spacing w:after="0"/>
              <w:jc w:val="center"/>
              <w:rPr>
                <w:noProof/>
              </w:rPr>
            </w:pPr>
            <w:r>
              <w:rPr>
                <w:noProof/>
              </w:rPr>
              <w:t>111</w:t>
            </w:r>
          </w:p>
        </w:tc>
        <w:tc>
          <w:tcPr>
            <w:tcW w:w="2222" w:type="pct"/>
            <w:shd w:val="clear" w:color="auto" w:fill="C6EFCE"/>
            <w:noWrap/>
            <w:vAlign w:val="center"/>
            <w:hideMark/>
          </w:tcPr>
          <w:p w14:paraId="05B5D365" w14:textId="77777777" w:rsidR="00235E11" w:rsidRDefault="00F837E4">
            <w:pPr>
              <w:pStyle w:val="P68B1DB1-Normal59"/>
              <w:spacing w:after="0"/>
              <w:rPr>
                <w:noProof/>
              </w:rPr>
            </w:pPr>
            <w:r>
              <w:rPr>
                <w:noProof/>
              </w:rPr>
              <w:t>Резултати на SNCB/INFRABEL (R-3.01)</w:t>
            </w:r>
          </w:p>
        </w:tc>
        <w:tc>
          <w:tcPr>
            <w:tcW w:w="334" w:type="pct"/>
            <w:shd w:val="clear" w:color="auto" w:fill="C6EFCE"/>
            <w:noWrap/>
            <w:vAlign w:val="center"/>
            <w:hideMark/>
          </w:tcPr>
          <w:p w14:paraId="2B7B7646"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3A753831" w14:textId="77777777" w:rsidR="00235E11" w:rsidRDefault="00F837E4">
            <w:pPr>
              <w:pStyle w:val="P68B1DB1-Normal59"/>
              <w:spacing w:after="0"/>
              <w:rPr>
                <w:noProof/>
              </w:rPr>
            </w:pPr>
            <w:r>
              <w:rPr>
                <w:noProof/>
              </w:rPr>
              <w:t>Одобряване на новите договори за изпълнение на NMBS-SNCB и Infrabel и на многогодишния инвестиционен план,</w:t>
            </w:r>
          </w:p>
        </w:tc>
      </w:tr>
      <w:tr w:rsidR="00235E11" w14:paraId="058F9203" w14:textId="77777777">
        <w:trPr>
          <w:trHeight w:val="315"/>
        </w:trPr>
        <w:tc>
          <w:tcPr>
            <w:tcW w:w="345" w:type="pct"/>
            <w:shd w:val="clear" w:color="auto" w:fill="C6EFCE"/>
            <w:noWrap/>
            <w:vAlign w:val="center"/>
            <w:hideMark/>
          </w:tcPr>
          <w:p w14:paraId="286472CA" w14:textId="77777777" w:rsidR="00235E11" w:rsidRDefault="00F837E4">
            <w:pPr>
              <w:pStyle w:val="P68B1DB1-Normal59"/>
              <w:spacing w:after="0"/>
              <w:jc w:val="center"/>
              <w:rPr>
                <w:noProof/>
              </w:rPr>
            </w:pPr>
            <w:r>
              <w:rPr>
                <w:noProof/>
              </w:rPr>
              <w:t>113</w:t>
            </w:r>
          </w:p>
        </w:tc>
        <w:tc>
          <w:tcPr>
            <w:tcW w:w="2222" w:type="pct"/>
            <w:shd w:val="clear" w:color="auto" w:fill="C6EFCE"/>
            <w:noWrap/>
            <w:vAlign w:val="center"/>
            <w:hideMark/>
          </w:tcPr>
          <w:p w14:paraId="309465DB" w14:textId="77777777" w:rsidR="00235E11" w:rsidRDefault="00F837E4">
            <w:pPr>
              <w:pStyle w:val="P68B1DB1-Normal59"/>
              <w:spacing w:after="0"/>
              <w:rPr>
                <w:noProof/>
              </w:rPr>
            </w:pPr>
            <w:r>
              <w:rPr>
                <w:noProof/>
              </w:rPr>
              <w:t>Безвъзмездни средства за прехвърляне на товари (I-3.14)</w:t>
            </w:r>
          </w:p>
        </w:tc>
        <w:tc>
          <w:tcPr>
            <w:tcW w:w="334" w:type="pct"/>
            <w:shd w:val="clear" w:color="auto" w:fill="C6EFCE"/>
            <w:noWrap/>
            <w:vAlign w:val="center"/>
            <w:hideMark/>
          </w:tcPr>
          <w:p w14:paraId="48145E6C"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5077233C" w14:textId="77777777" w:rsidR="00235E11" w:rsidRDefault="00F837E4">
            <w:pPr>
              <w:pStyle w:val="P68B1DB1-Normal59"/>
              <w:spacing w:after="0"/>
              <w:rPr>
                <w:noProof/>
              </w:rPr>
            </w:pPr>
            <w:r>
              <w:rPr>
                <w:noProof/>
              </w:rPr>
              <w:t>Първи 4375 нови заявления за безвъзмездни средства за преминаване към други видове транспорт</w:t>
            </w:r>
          </w:p>
        </w:tc>
      </w:tr>
      <w:tr w:rsidR="00235E11" w14:paraId="5C534C7A" w14:textId="77777777">
        <w:trPr>
          <w:trHeight w:val="315"/>
        </w:trPr>
        <w:tc>
          <w:tcPr>
            <w:tcW w:w="345" w:type="pct"/>
            <w:shd w:val="clear" w:color="auto" w:fill="C6EFCE"/>
            <w:noWrap/>
            <w:vAlign w:val="center"/>
            <w:hideMark/>
          </w:tcPr>
          <w:p w14:paraId="6FE12F10" w14:textId="77777777" w:rsidR="00235E11" w:rsidRDefault="00F837E4">
            <w:pPr>
              <w:pStyle w:val="P68B1DB1-Normal59"/>
              <w:spacing w:after="0"/>
              <w:jc w:val="center"/>
              <w:rPr>
                <w:noProof/>
              </w:rPr>
            </w:pPr>
            <w:r>
              <w:rPr>
                <w:noProof/>
              </w:rPr>
              <w:t>121</w:t>
            </w:r>
          </w:p>
        </w:tc>
        <w:tc>
          <w:tcPr>
            <w:tcW w:w="2222" w:type="pct"/>
            <w:shd w:val="clear" w:color="auto" w:fill="C6EFCE"/>
            <w:noWrap/>
            <w:vAlign w:val="center"/>
            <w:hideMark/>
          </w:tcPr>
          <w:p w14:paraId="2CD77EF0" w14:textId="77777777" w:rsidR="00235E11" w:rsidRDefault="00F837E4">
            <w:pPr>
              <w:pStyle w:val="P68B1DB1-Normal59"/>
              <w:spacing w:after="0"/>
              <w:rPr>
                <w:noProof/>
              </w:rPr>
            </w:pPr>
            <w:r>
              <w:rPr>
                <w:noProof/>
              </w:rPr>
              <w:t>Станции за зареждане (I-3F)</w:t>
            </w:r>
          </w:p>
        </w:tc>
        <w:tc>
          <w:tcPr>
            <w:tcW w:w="334" w:type="pct"/>
            <w:shd w:val="clear" w:color="auto" w:fill="C6EFCE"/>
            <w:noWrap/>
            <w:vAlign w:val="center"/>
            <w:hideMark/>
          </w:tcPr>
          <w:p w14:paraId="622D760E"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0516F21F" w14:textId="77777777" w:rsidR="00235E11" w:rsidRDefault="00F837E4">
            <w:pPr>
              <w:pStyle w:val="P68B1DB1-Normal59"/>
              <w:spacing w:after="0"/>
              <w:rPr>
                <w:noProof/>
              </w:rPr>
            </w:pPr>
            <w:r>
              <w:rPr>
                <w:noProof/>
              </w:rPr>
              <w:t>Допълнителни оперативни полупублични и обществени зарядни точки (стъпка 1)</w:t>
            </w:r>
          </w:p>
        </w:tc>
      </w:tr>
      <w:tr w:rsidR="00235E11" w14:paraId="1C49FC1D" w14:textId="77777777">
        <w:trPr>
          <w:trHeight w:val="315"/>
        </w:trPr>
        <w:tc>
          <w:tcPr>
            <w:tcW w:w="345" w:type="pct"/>
            <w:shd w:val="clear" w:color="auto" w:fill="C6EFCE"/>
            <w:noWrap/>
            <w:vAlign w:val="center"/>
            <w:hideMark/>
          </w:tcPr>
          <w:p w14:paraId="02A9CD86" w14:textId="77777777" w:rsidR="00235E11" w:rsidRDefault="00F837E4">
            <w:pPr>
              <w:pStyle w:val="P68B1DB1-Normal59"/>
              <w:spacing w:after="0"/>
              <w:jc w:val="center"/>
              <w:rPr>
                <w:noProof/>
              </w:rPr>
            </w:pPr>
            <w:r>
              <w:rPr>
                <w:noProof/>
              </w:rPr>
              <w:t>124</w:t>
            </w:r>
          </w:p>
        </w:tc>
        <w:tc>
          <w:tcPr>
            <w:tcW w:w="2222" w:type="pct"/>
            <w:shd w:val="clear" w:color="auto" w:fill="C6EFCE"/>
            <w:noWrap/>
            <w:vAlign w:val="center"/>
            <w:hideMark/>
          </w:tcPr>
          <w:p w14:paraId="473E420E" w14:textId="77777777" w:rsidR="00235E11" w:rsidRDefault="00F837E4">
            <w:pPr>
              <w:pStyle w:val="P68B1DB1-Normal59"/>
              <w:spacing w:after="0"/>
              <w:rPr>
                <w:noProof/>
              </w:rPr>
            </w:pPr>
            <w:r>
              <w:rPr>
                <w:noProof/>
              </w:rPr>
              <w:t>Измами с емисии (R-3.07)</w:t>
            </w:r>
          </w:p>
        </w:tc>
        <w:tc>
          <w:tcPr>
            <w:tcW w:w="334" w:type="pct"/>
            <w:shd w:val="clear" w:color="auto" w:fill="C6EFCE"/>
            <w:noWrap/>
            <w:vAlign w:val="center"/>
            <w:hideMark/>
          </w:tcPr>
          <w:p w14:paraId="3A78EBA7"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4BF54AF8" w14:textId="77777777" w:rsidR="00235E11" w:rsidRDefault="00F837E4">
            <w:pPr>
              <w:pStyle w:val="P68B1DB1-Normal59"/>
              <w:spacing w:after="0"/>
              <w:rPr>
                <w:noProof/>
              </w:rPr>
            </w:pPr>
            <w:r>
              <w:rPr>
                <w:noProof/>
              </w:rPr>
              <w:t>Приемане на правната рамка за мониторинг на емисиите от превозни средства във Фландрия</w:t>
            </w:r>
          </w:p>
        </w:tc>
      </w:tr>
      <w:tr w:rsidR="00235E11" w14:paraId="0050B394" w14:textId="77777777">
        <w:trPr>
          <w:trHeight w:val="315"/>
        </w:trPr>
        <w:tc>
          <w:tcPr>
            <w:tcW w:w="345" w:type="pct"/>
            <w:shd w:val="clear" w:color="auto" w:fill="C6EFCE"/>
            <w:noWrap/>
            <w:vAlign w:val="center"/>
            <w:hideMark/>
          </w:tcPr>
          <w:p w14:paraId="5D59AD37" w14:textId="77777777" w:rsidR="00235E11" w:rsidRDefault="00F837E4">
            <w:pPr>
              <w:pStyle w:val="P68B1DB1-Normal59"/>
              <w:spacing w:after="0"/>
              <w:jc w:val="center"/>
              <w:rPr>
                <w:noProof/>
              </w:rPr>
            </w:pPr>
            <w:r>
              <w:rPr>
                <w:noProof/>
              </w:rPr>
              <w:t>127</w:t>
            </w:r>
          </w:p>
        </w:tc>
        <w:tc>
          <w:tcPr>
            <w:tcW w:w="2222" w:type="pct"/>
            <w:shd w:val="clear" w:color="auto" w:fill="C6EFCE"/>
            <w:noWrap/>
            <w:vAlign w:val="center"/>
            <w:hideMark/>
          </w:tcPr>
          <w:p w14:paraId="5456F829" w14:textId="77777777" w:rsidR="00235E11" w:rsidRDefault="00F837E4">
            <w:pPr>
              <w:pStyle w:val="P68B1DB1-Normal59"/>
              <w:spacing w:after="0"/>
              <w:rPr>
                <w:noProof/>
              </w:rPr>
            </w:pPr>
            <w:r>
              <w:rPr>
                <w:noProof/>
              </w:rPr>
              <w:t>Digisprong (R-4.01)</w:t>
            </w:r>
          </w:p>
        </w:tc>
        <w:tc>
          <w:tcPr>
            <w:tcW w:w="334" w:type="pct"/>
            <w:shd w:val="clear" w:color="auto" w:fill="C6EFCE"/>
            <w:noWrap/>
            <w:vAlign w:val="center"/>
            <w:hideMark/>
          </w:tcPr>
          <w:p w14:paraId="277B2D4A"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3B85350B" w14:textId="77777777" w:rsidR="00235E11" w:rsidRDefault="00F837E4">
            <w:pPr>
              <w:pStyle w:val="P68B1DB1-Normal59"/>
              <w:spacing w:after="0"/>
              <w:rPr>
                <w:noProof/>
              </w:rPr>
            </w:pPr>
            <w:r>
              <w:rPr>
                <w:noProof/>
              </w:rPr>
              <w:t>Приемане на нова рамка за ИКТ за задължително образование във Фландрия</w:t>
            </w:r>
          </w:p>
        </w:tc>
      </w:tr>
      <w:tr w:rsidR="00235E11" w14:paraId="034AE2B2" w14:textId="77777777">
        <w:trPr>
          <w:trHeight w:val="315"/>
        </w:trPr>
        <w:tc>
          <w:tcPr>
            <w:tcW w:w="345" w:type="pct"/>
            <w:shd w:val="clear" w:color="auto" w:fill="C6EFCE"/>
            <w:noWrap/>
            <w:vAlign w:val="center"/>
            <w:hideMark/>
          </w:tcPr>
          <w:p w14:paraId="3305DA4E" w14:textId="77777777" w:rsidR="00235E11" w:rsidRDefault="00F837E4">
            <w:pPr>
              <w:pStyle w:val="P68B1DB1-Normal59"/>
              <w:spacing w:after="0"/>
              <w:jc w:val="center"/>
              <w:rPr>
                <w:noProof/>
              </w:rPr>
            </w:pPr>
            <w:r>
              <w:rPr>
                <w:noProof/>
              </w:rPr>
              <w:t>128</w:t>
            </w:r>
          </w:p>
        </w:tc>
        <w:tc>
          <w:tcPr>
            <w:tcW w:w="2222" w:type="pct"/>
            <w:shd w:val="clear" w:color="auto" w:fill="C6EFCE"/>
            <w:noWrap/>
            <w:vAlign w:val="center"/>
            <w:hideMark/>
          </w:tcPr>
          <w:p w14:paraId="0294BC41" w14:textId="77777777" w:rsidR="00235E11" w:rsidRDefault="00F837E4">
            <w:pPr>
              <w:pStyle w:val="P68B1DB1-Normal59"/>
              <w:spacing w:after="0"/>
              <w:rPr>
                <w:noProof/>
              </w:rPr>
            </w:pPr>
            <w:r>
              <w:rPr>
                <w:noProof/>
              </w:rPr>
              <w:t>Фонд за повишаване на висшето образование (R-4.02)</w:t>
            </w:r>
          </w:p>
        </w:tc>
        <w:tc>
          <w:tcPr>
            <w:tcW w:w="334" w:type="pct"/>
            <w:shd w:val="clear" w:color="auto" w:fill="C6EFCE"/>
            <w:noWrap/>
            <w:vAlign w:val="center"/>
            <w:hideMark/>
          </w:tcPr>
          <w:p w14:paraId="1F06CA47"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628AD644" w14:textId="77777777" w:rsidR="00235E11" w:rsidRDefault="00F837E4">
            <w:pPr>
              <w:pStyle w:val="P68B1DB1-Normal59"/>
              <w:spacing w:after="0"/>
              <w:rPr>
                <w:noProof/>
              </w:rPr>
            </w:pPr>
            <w:r>
              <w:rPr>
                <w:noProof/>
              </w:rPr>
              <w:t>Документ за визия за ориентирано към бъдещето, гъвкаво и цифрово висше образование</w:t>
            </w:r>
          </w:p>
        </w:tc>
      </w:tr>
      <w:tr w:rsidR="00235E11" w14:paraId="4E784E5C" w14:textId="77777777">
        <w:trPr>
          <w:trHeight w:val="315"/>
        </w:trPr>
        <w:tc>
          <w:tcPr>
            <w:tcW w:w="345" w:type="pct"/>
            <w:shd w:val="clear" w:color="auto" w:fill="C6EFCE"/>
            <w:noWrap/>
            <w:vAlign w:val="center"/>
            <w:hideMark/>
          </w:tcPr>
          <w:p w14:paraId="6AE78108" w14:textId="77777777" w:rsidR="00235E11" w:rsidRDefault="00F837E4">
            <w:pPr>
              <w:pStyle w:val="P68B1DB1-Normal59"/>
              <w:spacing w:after="0"/>
              <w:jc w:val="center"/>
              <w:rPr>
                <w:noProof/>
              </w:rPr>
            </w:pPr>
            <w:r>
              <w:rPr>
                <w:noProof/>
              </w:rPr>
              <w:t>134</w:t>
            </w:r>
          </w:p>
        </w:tc>
        <w:tc>
          <w:tcPr>
            <w:tcW w:w="2222" w:type="pct"/>
            <w:shd w:val="clear" w:color="auto" w:fill="C6EFCE"/>
            <w:noWrap/>
            <w:vAlign w:val="center"/>
            <w:hideMark/>
          </w:tcPr>
          <w:p w14:paraId="4E4DFCDB" w14:textId="77777777" w:rsidR="00235E11" w:rsidRDefault="00F837E4">
            <w:pPr>
              <w:pStyle w:val="P68B1DB1-Normal59"/>
              <w:spacing w:after="0"/>
              <w:rPr>
                <w:noProof/>
              </w:rPr>
            </w:pPr>
            <w:r>
              <w:rPr>
                <w:noProof/>
              </w:rPr>
              <w:t>Фонд за развитие на висшето образование (I-4.02)</w:t>
            </w:r>
          </w:p>
        </w:tc>
        <w:tc>
          <w:tcPr>
            <w:tcW w:w="334" w:type="pct"/>
            <w:shd w:val="clear" w:color="auto" w:fill="C6EFCE"/>
            <w:noWrap/>
            <w:vAlign w:val="center"/>
            <w:hideMark/>
          </w:tcPr>
          <w:p w14:paraId="20EA2C29"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52ACE920" w14:textId="77777777" w:rsidR="00235E11" w:rsidRDefault="00F837E4">
            <w:pPr>
              <w:pStyle w:val="P68B1DB1-Normal59"/>
              <w:spacing w:after="0"/>
              <w:rPr>
                <w:noProof/>
              </w:rPr>
            </w:pPr>
            <w:r>
              <w:rPr>
                <w:noProof/>
              </w:rPr>
              <w:t>Подобряване на предлагането на висше образование във Фландрия, за да стане то по-ориентирано към бъдещето и гъвкаво</w:t>
            </w:r>
          </w:p>
        </w:tc>
      </w:tr>
      <w:tr w:rsidR="00235E11" w14:paraId="50564A33" w14:textId="77777777">
        <w:trPr>
          <w:trHeight w:val="315"/>
        </w:trPr>
        <w:tc>
          <w:tcPr>
            <w:tcW w:w="345" w:type="pct"/>
            <w:shd w:val="clear" w:color="auto" w:fill="C6EFCE"/>
            <w:noWrap/>
            <w:vAlign w:val="center"/>
            <w:hideMark/>
          </w:tcPr>
          <w:p w14:paraId="7863022D" w14:textId="77777777" w:rsidR="00235E11" w:rsidRDefault="00F837E4">
            <w:pPr>
              <w:pStyle w:val="P68B1DB1-Normal59"/>
              <w:spacing w:after="0"/>
              <w:jc w:val="center"/>
              <w:rPr>
                <w:noProof/>
              </w:rPr>
            </w:pPr>
            <w:r>
              <w:rPr>
                <w:noProof/>
              </w:rPr>
              <w:t>140</w:t>
            </w:r>
          </w:p>
        </w:tc>
        <w:tc>
          <w:tcPr>
            <w:tcW w:w="2222" w:type="pct"/>
            <w:shd w:val="clear" w:color="auto" w:fill="C6EFCE"/>
            <w:noWrap/>
            <w:vAlign w:val="center"/>
            <w:hideMark/>
          </w:tcPr>
          <w:p w14:paraId="095761A0" w14:textId="77777777" w:rsidR="00235E11" w:rsidRDefault="00F837E4">
            <w:pPr>
              <w:pStyle w:val="P68B1DB1-Normal59"/>
              <w:spacing w:after="0"/>
              <w:rPr>
                <w:noProof/>
              </w:rPr>
            </w:pPr>
            <w:r>
              <w:rPr>
                <w:noProof/>
              </w:rPr>
              <w:t>Борба с дискриминацията на пазара на труда (R-4.04)</w:t>
            </w:r>
          </w:p>
        </w:tc>
        <w:tc>
          <w:tcPr>
            <w:tcW w:w="334" w:type="pct"/>
            <w:shd w:val="clear" w:color="auto" w:fill="C6EFCE"/>
            <w:noWrap/>
            <w:vAlign w:val="center"/>
            <w:hideMark/>
          </w:tcPr>
          <w:p w14:paraId="7848F28A"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218D99E9" w14:textId="77777777" w:rsidR="00235E11" w:rsidRDefault="00F837E4">
            <w:pPr>
              <w:pStyle w:val="P68B1DB1-Normal59"/>
              <w:spacing w:after="0"/>
              <w:rPr>
                <w:noProof/>
              </w:rPr>
            </w:pPr>
            <w:r>
              <w:rPr>
                <w:noProof/>
              </w:rPr>
              <w:t>Адаптирана регулаторна рамка и подобрено прилагане на разграничителни тестове</w:t>
            </w:r>
          </w:p>
        </w:tc>
      </w:tr>
      <w:tr w:rsidR="00235E11" w14:paraId="43CE8BE3" w14:textId="77777777">
        <w:trPr>
          <w:trHeight w:val="315"/>
        </w:trPr>
        <w:tc>
          <w:tcPr>
            <w:tcW w:w="345" w:type="pct"/>
            <w:shd w:val="clear" w:color="auto" w:fill="C6EFCE"/>
            <w:noWrap/>
            <w:vAlign w:val="center"/>
            <w:hideMark/>
          </w:tcPr>
          <w:p w14:paraId="1969561B" w14:textId="77777777" w:rsidR="00235E11" w:rsidRDefault="00F837E4">
            <w:pPr>
              <w:pStyle w:val="P68B1DB1-Normal59"/>
              <w:spacing w:after="0"/>
              <w:jc w:val="center"/>
              <w:rPr>
                <w:noProof/>
              </w:rPr>
            </w:pPr>
            <w:r>
              <w:rPr>
                <w:noProof/>
              </w:rPr>
              <w:t>141</w:t>
            </w:r>
          </w:p>
        </w:tc>
        <w:tc>
          <w:tcPr>
            <w:tcW w:w="2222" w:type="pct"/>
            <w:shd w:val="clear" w:color="auto" w:fill="C6EFCE"/>
            <w:noWrap/>
            <w:vAlign w:val="center"/>
            <w:hideMark/>
          </w:tcPr>
          <w:p w14:paraId="7918F989" w14:textId="77777777" w:rsidR="00235E11" w:rsidRDefault="00F837E4">
            <w:pPr>
              <w:pStyle w:val="P68B1DB1-Normal59"/>
              <w:spacing w:after="0"/>
              <w:rPr>
                <w:noProof/>
              </w:rPr>
            </w:pPr>
            <w:r>
              <w:rPr>
                <w:noProof/>
              </w:rPr>
              <w:t>Приобщаващ пазар на труда (R-4.06)</w:t>
            </w:r>
          </w:p>
        </w:tc>
        <w:tc>
          <w:tcPr>
            <w:tcW w:w="334" w:type="pct"/>
            <w:shd w:val="clear" w:color="auto" w:fill="C6EFCE"/>
            <w:noWrap/>
            <w:vAlign w:val="center"/>
            <w:hideMark/>
          </w:tcPr>
          <w:p w14:paraId="4E29F1A8"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3A28A1A8" w14:textId="77777777" w:rsidR="00235E11" w:rsidRDefault="00F837E4">
            <w:pPr>
              <w:pStyle w:val="P68B1DB1-Normal59"/>
              <w:spacing w:after="0"/>
              <w:rPr>
                <w:noProof/>
              </w:rPr>
            </w:pPr>
            <w:r>
              <w:rPr>
                <w:noProof/>
              </w:rPr>
              <w:t>Приключване на секторни действия за недопускане на дискриминация</w:t>
            </w:r>
          </w:p>
        </w:tc>
      </w:tr>
      <w:tr w:rsidR="00235E11" w14:paraId="4FB3C571" w14:textId="77777777">
        <w:trPr>
          <w:trHeight w:val="315"/>
        </w:trPr>
        <w:tc>
          <w:tcPr>
            <w:tcW w:w="345" w:type="pct"/>
            <w:shd w:val="clear" w:color="auto" w:fill="C6EFCE"/>
            <w:noWrap/>
            <w:vAlign w:val="center"/>
            <w:hideMark/>
          </w:tcPr>
          <w:p w14:paraId="65D965D8" w14:textId="77777777" w:rsidR="00235E11" w:rsidRDefault="00F837E4">
            <w:pPr>
              <w:pStyle w:val="P68B1DB1-Normal59"/>
              <w:spacing w:after="0"/>
              <w:jc w:val="center"/>
              <w:rPr>
                <w:noProof/>
              </w:rPr>
            </w:pPr>
            <w:r>
              <w:rPr>
                <w:noProof/>
              </w:rPr>
              <w:t>142</w:t>
            </w:r>
          </w:p>
        </w:tc>
        <w:tc>
          <w:tcPr>
            <w:tcW w:w="2222" w:type="pct"/>
            <w:shd w:val="clear" w:color="auto" w:fill="C6EFCE"/>
            <w:noWrap/>
            <w:vAlign w:val="center"/>
            <w:hideMark/>
          </w:tcPr>
          <w:p w14:paraId="6024FC43" w14:textId="77777777" w:rsidR="00235E11" w:rsidRDefault="00F837E4">
            <w:pPr>
              <w:pStyle w:val="P68B1DB1-Normal59"/>
              <w:spacing w:after="0"/>
              <w:rPr>
                <w:noProof/>
              </w:rPr>
            </w:pPr>
            <w:r>
              <w:rPr>
                <w:noProof/>
              </w:rPr>
              <w:t>Приобщаващ пазар на труда (R-4.06)</w:t>
            </w:r>
          </w:p>
        </w:tc>
        <w:tc>
          <w:tcPr>
            <w:tcW w:w="334" w:type="pct"/>
            <w:shd w:val="clear" w:color="auto" w:fill="C6EFCE"/>
            <w:noWrap/>
            <w:vAlign w:val="center"/>
            <w:hideMark/>
          </w:tcPr>
          <w:p w14:paraId="05EE8CA8"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2B96B53E" w14:textId="77777777" w:rsidR="00235E11" w:rsidRDefault="00F837E4">
            <w:pPr>
              <w:pStyle w:val="P68B1DB1-Normal59"/>
              <w:spacing w:after="0"/>
              <w:rPr>
                <w:noProof/>
              </w:rPr>
            </w:pPr>
            <w:r>
              <w:rPr>
                <w:noProof/>
              </w:rPr>
              <w:t>Нова интегрирана пътека за новодошлите</w:t>
            </w:r>
          </w:p>
        </w:tc>
      </w:tr>
      <w:tr w:rsidR="00235E11" w14:paraId="4B6241F5" w14:textId="77777777">
        <w:trPr>
          <w:trHeight w:val="315"/>
        </w:trPr>
        <w:tc>
          <w:tcPr>
            <w:tcW w:w="345" w:type="pct"/>
            <w:shd w:val="clear" w:color="auto" w:fill="C6EFCE"/>
            <w:noWrap/>
            <w:vAlign w:val="center"/>
            <w:hideMark/>
          </w:tcPr>
          <w:p w14:paraId="3EAA698D" w14:textId="77777777" w:rsidR="00235E11" w:rsidRDefault="00F837E4">
            <w:pPr>
              <w:pStyle w:val="P68B1DB1-Normal59"/>
              <w:spacing w:after="0"/>
              <w:jc w:val="center"/>
              <w:rPr>
                <w:noProof/>
              </w:rPr>
            </w:pPr>
            <w:r>
              <w:rPr>
                <w:noProof/>
              </w:rPr>
              <w:t>143</w:t>
            </w:r>
          </w:p>
        </w:tc>
        <w:tc>
          <w:tcPr>
            <w:tcW w:w="2222" w:type="pct"/>
            <w:shd w:val="clear" w:color="auto" w:fill="C6EFCE"/>
            <w:noWrap/>
            <w:vAlign w:val="center"/>
            <w:hideMark/>
          </w:tcPr>
          <w:p w14:paraId="2AA01679" w14:textId="77777777" w:rsidR="00235E11" w:rsidRDefault="00F837E4">
            <w:pPr>
              <w:pStyle w:val="P68B1DB1-Normal59"/>
              <w:spacing w:after="0"/>
              <w:rPr>
                <w:noProof/>
              </w:rPr>
            </w:pPr>
            <w:r>
              <w:rPr>
                <w:noProof/>
              </w:rPr>
              <w:t>Стратегия за преквалифициране (I-4.07)</w:t>
            </w:r>
          </w:p>
        </w:tc>
        <w:tc>
          <w:tcPr>
            <w:tcW w:w="334" w:type="pct"/>
            <w:shd w:val="clear" w:color="auto" w:fill="C6EFCE"/>
            <w:noWrap/>
            <w:vAlign w:val="center"/>
            <w:hideMark/>
          </w:tcPr>
          <w:p w14:paraId="5A8AE809"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1DF4976F" w14:textId="77777777" w:rsidR="00235E11" w:rsidRDefault="00F837E4">
            <w:pPr>
              <w:pStyle w:val="P68B1DB1-Normal59"/>
              <w:spacing w:after="0"/>
              <w:rPr>
                <w:noProof/>
              </w:rPr>
            </w:pPr>
            <w:r>
              <w:rPr>
                <w:noProof/>
              </w:rPr>
              <w:t>Отпускане на безвъзмездни средства, свързани с инициативи за социални иновации</w:t>
            </w:r>
          </w:p>
        </w:tc>
      </w:tr>
      <w:tr w:rsidR="00235E11" w14:paraId="3EE9885D" w14:textId="77777777">
        <w:trPr>
          <w:trHeight w:val="315"/>
        </w:trPr>
        <w:tc>
          <w:tcPr>
            <w:tcW w:w="345" w:type="pct"/>
            <w:shd w:val="clear" w:color="auto" w:fill="C6EFCE"/>
            <w:noWrap/>
            <w:vAlign w:val="center"/>
            <w:hideMark/>
          </w:tcPr>
          <w:p w14:paraId="13893C88" w14:textId="77777777" w:rsidR="00235E11" w:rsidRDefault="00F837E4">
            <w:pPr>
              <w:pStyle w:val="P68B1DB1-Normal59"/>
              <w:spacing w:after="0"/>
              <w:jc w:val="center"/>
              <w:rPr>
                <w:noProof/>
              </w:rPr>
            </w:pPr>
            <w:r>
              <w:rPr>
                <w:noProof/>
              </w:rPr>
              <w:t>154</w:t>
            </w:r>
          </w:p>
        </w:tc>
        <w:tc>
          <w:tcPr>
            <w:tcW w:w="2222" w:type="pct"/>
            <w:shd w:val="clear" w:color="auto" w:fill="C6EFCE"/>
            <w:noWrap/>
            <w:vAlign w:val="center"/>
            <w:hideMark/>
          </w:tcPr>
          <w:p w14:paraId="12E3EFCC" w14:textId="77777777" w:rsidR="00235E11" w:rsidRDefault="00F837E4">
            <w:pPr>
              <w:pStyle w:val="P68B1DB1-Normal59"/>
              <w:spacing w:after="0"/>
              <w:rPr>
                <w:noProof/>
              </w:rPr>
            </w:pPr>
            <w:r>
              <w:rPr>
                <w:noProof/>
              </w:rPr>
              <w:t>Изграждане и обновяване на инфраструктура за грижи за деца в ранна детска възраст (I-4.13)</w:t>
            </w:r>
          </w:p>
        </w:tc>
        <w:tc>
          <w:tcPr>
            <w:tcW w:w="334" w:type="pct"/>
            <w:shd w:val="clear" w:color="auto" w:fill="C6EFCE"/>
            <w:noWrap/>
            <w:vAlign w:val="center"/>
            <w:hideMark/>
          </w:tcPr>
          <w:p w14:paraId="4D731609" w14:textId="77777777" w:rsidR="00235E11" w:rsidRDefault="00F837E4">
            <w:pPr>
              <w:pStyle w:val="P68B1DB1-Normal59"/>
              <w:spacing w:after="0"/>
              <w:jc w:val="center"/>
              <w:rPr>
                <w:noProof/>
              </w:rPr>
            </w:pPr>
            <w:r>
              <w:rPr>
                <w:noProof/>
              </w:rPr>
              <w:t>T</w:t>
            </w:r>
          </w:p>
        </w:tc>
        <w:tc>
          <w:tcPr>
            <w:tcW w:w="2099" w:type="pct"/>
            <w:shd w:val="clear" w:color="auto" w:fill="C6EFCE"/>
            <w:noWrap/>
            <w:vAlign w:val="center"/>
            <w:hideMark/>
          </w:tcPr>
          <w:p w14:paraId="5321488F" w14:textId="77777777" w:rsidR="00235E11" w:rsidRDefault="00F837E4">
            <w:pPr>
              <w:pStyle w:val="P68B1DB1-Normal59"/>
              <w:spacing w:after="0"/>
              <w:rPr>
                <w:noProof/>
              </w:rPr>
            </w:pPr>
            <w:r>
              <w:rPr>
                <w:noProof/>
              </w:rPr>
              <w:t>Възлагане на поръчки за строителни работи за организаторите на проекти</w:t>
            </w:r>
          </w:p>
        </w:tc>
      </w:tr>
      <w:tr w:rsidR="00235E11" w14:paraId="11E28454" w14:textId="77777777">
        <w:trPr>
          <w:trHeight w:val="315"/>
        </w:trPr>
        <w:tc>
          <w:tcPr>
            <w:tcW w:w="345" w:type="pct"/>
            <w:shd w:val="clear" w:color="auto" w:fill="C6EFCE"/>
            <w:noWrap/>
            <w:vAlign w:val="center"/>
            <w:hideMark/>
          </w:tcPr>
          <w:p w14:paraId="20213FA3" w14:textId="77777777" w:rsidR="00235E11" w:rsidRDefault="00F837E4">
            <w:pPr>
              <w:pStyle w:val="P68B1DB1-Normal59"/>
              <w:spacing w:after="0"/>
              <w:jc w:val="center"/>
              <w:rPr>
                <w:noProof/>
              </w:rPr>
            </w:pPr>
            <w:r>
              <w:rPr>
                <w:noProof/>
              </w:rPr>
              <w:t>159</w:t>
            </w:r>
          </w:p>
        </w:tc>
        <w:tc>
          <w:tcPr>
            <w:tcW w:w="2222" w:type="pct"/>
            <w:shd w:val="clear" w:color="auto" w:fill="C6EFCE"/>
            <w:noWrap/>
            <w:vAlign w:val="center"/>
            <w:hideMark/>
          </w:tcPr>
          <w:p w14:paraId="3693209D" w14:textId="77777777" w:rsidR="00235E11" w:rsidRDefault="00F837E4">
            <w:pPr>
              <w:pStyle w:val="P68B1DB1-Normal59"/>
              <w:spacing w:after="0"/>
              <w:rPr>
                <w:noProof/>
              </w:rPr>
            </w:pPr>
            <w:r>
              <w:rPr>
                <w:noProof/>
              </w:rPr>
              <w:t>A6K/E6K Център за цифрови и технологични иновации и обучение (I-5.01)</w:t>
            </w:r>
          </w:p>
        </w:tc>
        <w:tc>
          <w:tcPr>
            <w:tcW w:w="334" w:type="pct"/>
            <w:shd w:val="clear" w:color="auto" w:fill="C6EFCE"/>
            <w:noWrap/>
            <w:vAlign w:val="center"/>
            <w:hideMark/>
          </w:tcPr>
          <w:p w14:paraId="4556FD0E"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3536C9A5" w14:textId="77777777" w:rsidR="00235E11" w:rsidRDefault="00F837E4">
            <w:pPr>
              <w:pStyle w:val="P68B1DB1-Normal59"/>
              <w:spacing w:after="0"/>
              <w:rPr>
                <w:noProof/>
              </w:rPr>
            </w:pPr>
            <w:r>
              <w:rPr>
                <w:noProof/>
              </w:rPr>
              <w:t>Дейност, развивана чрез A6K-E6K</w:t>
            </w:r>
          </w:p>
        </w:tc>
      </w:tr>
      <w:tr w:rsidR="00235E11" w14:paraId="3F3BCCA6" w14:textId="77777777">
        <w:trPr>
          <w:trHeight w:val="315"/>
        </w:trPr>
        <w:tc>
          <w:tcPr>
            <w:tcW w:w="345" w:type="pct"/>
            <w:shd w:val="clear" w:color="auto" w:fill="C6EFCE"/>
            <w:noWrap/>
            <w:vAlign w:val="center"/>
            <w:hideMark/>
          </w:tcPr>
          <w:p w14:paraId="39FB45A2" w14:textId="77777777" w:rsidR="00235E11" w:rsidRDefault="00F837E4">
            <w:pPr>
              <w:pStyle w:val="P68B1DB1-Normal59"/>
              <w:spacing w:after="0"/>
              <w:jc w:val="center"/>
              <w:rPr>
                <w:noProof/>
              </w:rPr>
            </w:pPr>
            <w:r>
              <w:rPr>
                <w:noProof/>
              </w:rPr>
              <w:t>174</w:t>
            </w:r>
          </w:p>
        </w:tc>
        <w:tc>
          <w:tcPr>
            <w:tcW w:w="2222" w:type="pct"/>
            <w:shd w:val="clear" w:color="auto" w:fill="C6EFCE"/>
            <w:noWrap/>
            <w:vAlign w:val="center"/>
            <w:hideMark/>
          </w:tcPr>
          <w:p w14:paraId="77AB3DC0" w14:textId="77777777" w:rsidR="00235E11" w:rsidRDefault="00F837E4">
            <w:pPr>
              <w:pStyle w:val="P68B1DB1-Normal59"/>
              <w:spacing w:after="0"/>
              <w:rPr>
                <w:noProof/>
              </w:rPr>
            </w:pPr>
            <w:r>
              <w:rPr>
                <w:noProof/>
              </w:rPr>
              <w:t>Сметка за обучение (R-5.03)</w:t>
            </w:r>
          </w:p>
        </w:tc>
        <w:tc>
          <w:tcPr>
            <w:tcW w:w="334" w:type="pct"/>
            <w:shd w:val="clear" w:color="auto" w:fill="C6EFCE"/>
            <w:noWrap/>
            <w:vAlign w:val="center"/>
            <w:hideMark/>
          </w:tcPr>
          <w:p w14:paraId="7F6CF026"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1145D652" w14:textId="77777777" w:rsidR="00235E11" w:rsidRDefault="00F837E4">
            <w:pPr>
              <w:pStyle w:val="P68B1DB1-Normal59"/>
              <w:spacing w:after="0"/>
              <w:rPr>
                <w:noProof/>
              </w:rPr>
            </w:pPr>
            <w:r>
              <w:rPr>
                <w:noProof/>
              </w:rPr>
              <w:t>Разпоредби в постановлението, указващи влизането в сила</w:t>
            </w:r>
          </w:p>
        </w:tc>
      </w:tr>
      <w:tr w:rsidR="00235E11" w14:paraId="5C594F24" w14:textId="77777777">
        <w:trPr>
          <w:trHeight w:val="315"/>
        </w:trPr>
        <w:tc>
          <w:tcPr>
            <w:tcW w:w="345" w:type="pct"/>
            <w:shd w:val="clear" w:color="auto" w:fill="C6EFCE"/>
            <w:noWrap/>
            <w:vAlign w:val="center"/>
            <w:hideMark/>
          </w:tcPr>
          <w:p w14:paraId="7426D35E" w14:textId="77777777" w:rsidR="00235E11" w:rsidRDefault="00F837E4">
            <w:pPr>
              <w:pStyle w:val="P68B1DB1-Normal59"/>
              <w:spacing w:after="0"/>
              <w:jc w:val="center"/>
              <w:rPr>
                <w:noProof/>
              </w:rPr>
            </w:pPr>
            <w:r>
              <w:rPr>
                <w:noProof/>
              </w:rPr>
              <w:t>175</w:t>
            </w:r>
          </w:p>
        </w:tc>
        <w:tc>
          <w:tcPr>
            <w:tcW w:w="2222" w:type="pct"/>
            <w:shd w:val="clear" w:color="auto" w:fill="C6EFCE"/>
            <w:noWrap/>
            <w:vAlign w:val="center"/>
            <w:hideMark/>
          </w:tcPr>
          <w:p w14:paraId="1087BFE7" w14:textId="77777777" w:rsidR="00235E11" w:rsidRDefault="00F837E4">
            <w:pPr>
              <w:pStyle w:val="P68B1DB1-Normal59"/>
              <w:spacing w:after="0"/>
              <w:rPr>
                <w:noProof/>
              </w:rPr>
            </w:pPr>
            <w:r>
              <w:rPr>
                <w:noProof/>
              </w:rPr>
              <w:t>Режим на натрупване и мобилност към сектори с недостиг (R-5.01)</w:t>
            </w:r>
          </w:p>
        </w:tc>
        <w:tc>
          <w:tcPr>
            <w:tcW w:w="334" w:type="pct"/>
            <w:shd w:val="clear" w:color="auto" w:fill="C6EFCE"/>
            <w:noWrap/>
            <w:vAlign w:val="center"/>
            <w:hideMark/>
          </w:tcPr>
          <w:p w14:paraId="42D9B30C"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34B69AB1" w14:textId="77777777" w:rsidR="00235E11" w:rsidRDefault="00F837E4">
            <w:pPr>
              <w:pStyle w:val="P68B1DB1-Normal59"/>
              <w:spacing w:after="0"/>
              <w:rPr>
                <w:noProof/>
              </w:rPr>
            </w:pPr>
            <w:r>
              <w:rPr>
                <w:noProof/>
              </w:rPr>
              <w:t>Федерална реформа на режима на кумулация</w:t>
            </w:r>
          </w:p>
        </w:tc>
      </w:tr>
      <w:tr w:rsidR="00235E11" w14:paraId="1CDCFC14" w14:textId="77777777">
        <w:trPr>
          <w:trHeight w:val="315"/>
        </w:trPr>
        <w:tc>
          <w:tcPr>
            <w:tcW w:w="345" w:type="pct"/>
            <w:shd w:val="clear" w:color="auto" w:fill="C6EFCE"/>
            <w:noWrap/>
            <w:vAlign w:val="center"/>
            <w:hideMark/>
          </w:tcPr>
          <w:p w14:paraId="693E05EC" w14:textId="77777777" w:rsidR="00235E11" w:rsidRDefault="00F837E4">
            <w:pPr>
              <w:pStyle w:val="P68B1DB1-Normal59"/>
              <w:spacing w:after="0"/>
              <w:jc w:val="center"/>
              <w:rPr>
                <w:noProof/>
              </w:rPr>
            </w:pPr>
            <w:r>
              <w:rPr>
                <w:noProof/>
              </w:rPr>
              <w:t>176</w:t>
            </w:r>
          </w:p>
        </w:tc>
        <w:tc>
          <w:tcPr>
            <w:tcW w:w="2222" w:type="pct"/>
            <w:shd w:val="clear" w:color="auto" w:fill="C6EFCE"/>
            <w:noWrap/>
            <w:vAlign w:val="center"/>
            <w:hideMark/>
          </w:tcPr>
          <w:p w14:paraId="0B761384" w14:textId="77777777" w:rsidR="00235E11" w:rsidRDefault="00F837E4">
            <w:pPr>
              <w:pStyle w:val="P68B1DB1-Normal59"/>
              <w:spacing w:after="0"/>
              <w:rPr>
                <w:noProof/>
              </w:rPr>
            </w:pPr>
            <w:r>
              <w:rPr>
                <w:noProof/>
              </w:rPr>
              <w:t>Режим на натрупване и мобилност към сектори с недостиг (R-5.01)</w:t>
            </w:r>
          </w:p>
        </w:tc>
        <w:tc>
          <w:tcPr>
            <w:tcW w:w="334" w:type="pct"/>
            <w:shd w:val="clear" w:color="auto" w:fill="C6EFCE"/>
            <w:noWrap/>
            <w:vAlign w:val="center"/>
            <w:hideMark/>
          </w:tcPr>
          <w:p w14:paraId="4BD76E31"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22AB3355" w14:textId="77777777" w:rsidR="00235E11" w:rsidRDefault="00F837E4">
            <w:pPr>
              <w:pStyle w:val="P68B1DB1-Normal59"/>
              <w:spacing w:after="0"/>
              <w:rPr>
                <w:noProof/>
              </w:rPr>
            </w:pPr>
            <w:r>
              <w:rPr>
                <w:noProof/>
              </w:rPr>
              <w:t>Федерална реформа на мобилността в сектори с недостиг</w:t>
            </w:r>
          </w:p>
        </w:tc>
      </w:tr>
      <w:tr w:rsidR="00235E11" w14:paraId="67983F81" w14:textId="77777777">
        <w:trPr>
          <w:trHeight w:val="315"/>
        </w:trPr>
        <w:tc>
          <w:tcPr>
            <w:tcW w:w="345" w:type="pct"/>
            <w:shd w:val="clear" w:color="auto" w:fill="C6EFCE"/>
            <w:noWrap/>
            <w:vAlign w:val="center"/>
            <w:hideMark/>
          </w:tcPr>
          <w:p w14:paraId="64BF4795" w14:textId="77777777" w:rsidR="00235E11" w:rsidRDefault="00F837E4">
            <w:pPr>
              <w:pStyle w:val="P68B1DB1-Normal59"/>
              <w:spacing w:after="0"/>
              <w:jc w:val="center"/>
              <w:rPr>
                <w:noProof/>
              </w:rPr>
            </w:pPr>
            <w:r>
              <w:rPr>
                <w:noProof/>
              </w:rPr>
              <w:t>184</w:t>
            </w:r>
          </w:p>
        </w:tc>
        <w:tc>
          <w:tcPr>
            <w:tcW w:w="2222" w:type="pct"/>
            <w:shd w:val="clear" w:color="auto" w:fill="C6EFCE"/>
            <w:noWrap/>
            <w:vAlign w:val="center"/>
            <w:hideMark/>
          </w:tcPr>
          <w:p w14:paraId="192A0170" w14:textId="77777777" w:rsidR="00235E11" w:rsidRDefault="00F837E4">
            <w:pPr>
              <w:pStyle w:val="P68B1DB1-Normal59"/>
              <w:spacing w:after="0"/>
              <w:rPr>
                <w:noProof/>
              </w:rPr>
            </w:pPr>
            <w:r>
              <w:rPr>
                <w:noProof/>
              </w:rPr>
              <w:t>Р-Г: Свеждане до минимум на отпадъците по време на демонтаж (I-5.10)</w:t>
            </w:r>
          </w:p>
        </w:tc>
        <w:tc>
          <w:tcPr>
            <w:tcW w:w="334" w:type="pct"/>
            <w:shd w:val="clear" w:color="auto" w:fill="C6EFCE"/>
            <w:noWrap/>
            <w:vAlign w:val="center"/>
            <w:hideMark/>
          </w:tcPr>
          <w:p w14:paraId="7B85E526"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5AB4DD3C" w14:textId="77777777" w:rsidR="00235E11" w:rsidRDefault="00F837E4">
            <w:pPr>
              <w:pStyle w:val="P68B1DB1-Normal59"/>
              <w:spacing w:after="0"/>
              <w:rPr>
                <w:noProof/>
              </w:rPr>
            </w:pPr>
            <w:r>
              <w:rPr>
                <w:noProof/>
              </w:rPr>
              <w:t>Възлагане на обществена поръчка за изграждане на съоръжение за обработка на материали (MaT)</w:t>
            </w:r>
          </w:p>
        </w:tc>
      </w:tr>
      <w:tr w:rsidR="00235E11" w14:paraId="13878D5D" w14:textId="77777777">
        <w:trPr>
          <w:trHeight w:val="315"/>
        </w:trPr>
        <w:tc>
          <w:tcPr>
            <w:tcW w:w="345" w:type="pct"/>
            <w:shd w:val="clear" w:color="auto" w:fill="C6EFCE"/>
            <w:noWrap/>
            <w:vAlign w:val="center"/>
            <w:hideMark/>
          </w:tcPr>
          <w:p w14:paraId="56C9299A" w14:textId="77777777" w:rsidR="00235E11" w:rsidRDefault="00F837E4">
            <w:pPr>
              <w:pStyle w:val="P68B1DB1-Normal59"/>
              <w:spacing w:after="0"/>
              <w:jc w:val="center"/>
              <w:rPr>
                <w:noProof/>
              </w:rPr>
            </w:pPr>
            <w:r>
              <w:rPr>
                <w:noProof/>
              </w:rPr>
              <w:t>207</w:t>
            </w:r>
          </w:p>
        </w:tc>
        <w:tc>
          <w:tcPr>
            <w:tcW w:w="2222" w:type="pct"/>
            <w:shd w:val="clear" w:color="auto" w:fill="C6EFCE"/>
            <w:noWrap/>
            <w:vAlign w:val="center"/>
            <w:hideMark/>
          </w:tcPr>
          <w:p w14:paraId="7E4DEECE" w14:textId="77777777" w:rsidR="00235E11" w:rsidRDefault="00F837E4">
            <w:pPr>
              <w:pStyle w:val="P68B1DB1-Normal59"/>
              <w:spacing w:after="0"/>
              <w:rPr>
                <w:noProof/>
              </w:rPr>
            </w:pPr>
            <w:r>
              <w:rPr>
                <w:noProof/>
              </w:rPr>
              <w:t>Прегледи на разходите (R-6)</w:t>
            </w:r>
          </w:p>
        </w:tc>
        <w:tc>
          <w:tcPr>
            <w:tcW w:w="334" w:type="pct"/>
            <w:shd w:val="clear" w:color="auto" w:fill="C6EFCE"/>
            <w:noWrap/>
            <w:vAlign w:val="center"/>
            <w:hideMark/>
          </w:tcPr>
          <w:p w14:paraId="0ECF4A54" w14:textId="77777777" w:rsidR="00235E11" w:rsidRDefault="00F837E4">
            <w:pPr>
              <w:pStyle w:val="P68B1DB1-Normal59"/>
              <w:spacing w:after="0"/>
              <w:jc w:val="center"/>
              <w:rPr>
                <w:noProof/>
              </w:rPr>
            </w:pPr>
            <w:r>
              <w:rPr>
                <w:noProof/>
              </w:rPr>
              <w:t>M</w:t>
            </w:r>
          </w:p>
        </w:tc>
        <w:tc>
          <w:tcPr>
            <w:tcW w:w="2099" w:type="pct"/>
            <w:shd w:val="clear" w:color="auto" w:fill="C6EFCE"/>
            <w:noWrap/>
            <w:vAlign w:val="center"/>
            <w:hideMark/>
          </w:tcPr>
          <w:p w14:paraId="416324CC" w14:textId="77777777" w:rsidR="00235E11" w:rsidRDefault="00F837E4">
            <w:pPr>
              <w:pStyle w:val="P68B1DB1-Normal59"/>
              <w:spacing w:after="0"/>
              <w:rPr>
                <w:noProof/>
              </w:rPr>
            </w:pPr>
            <w:r>
              <w:rPr>
                <w:noProof/>
              </w:rPr>
              <w:t>Преглед на разходите — интегриране в бюджетния процес (1) или (2)</w:t>
            </w:r>
          </w:p>
        </w:tc>
      </w:tr>
      <w:tr w:rsidR="00235E11" w14:paraId="5D333E09" w14:textId="77777777">
        <w:trPr>
          <w:trHeight w:val="315"/>
        </w:trPr>
        <w:tc>
          <w:tcPr>
            <w:tcW w:w="345" w:type="pct"/>
            <w:shd w:val="clear" w:color="auto" w:fill="C6EFCE"/>
            <w:noWrap/>
            <w:vAlign w:val="center"/>
          </w:tcPr>
          <w:p w14:paraId="770DBC8A" w14:textId="5D9F46FD" w:rsidR="00235E11" w:rsidRDefault="00F837E4">
            <w:pPr>
              <w:pStyle w:val="P68B1DB1-Normal59"/>
              <w:spacing w:after="0"/>
              <w:jc w:val="center"/>
              <w:rPr>
                <w:noProof/>
              </w:rPr>
            </w:pPr>
            <w:r>
              <w:rPr>
                <w:noProof/>
              </w:rPr>
              <w:t>229</w:t>
            </w:r>
          </w:p>
        </w:tc>
        <w:tc>
          <w:tcPr>
            <w:tcW w:w="2222" w:type="pct"/>
            <w:shd w:val="clear" w:color="auto" w:fill="C6EFCE"/>
            <w:noWrap/>
            <w:vAlign w:val="center"/>
          </w:tcPr>
          <w:p w14:paraId="6506FC22" w14:textId="427330ED" w:rsidR="00235E11" w:rsidRDefault="00F837E4">
            <w:pPr>
              <w:pStyle w:val="P68B1DB1-Normal59"/>
              <w:spacing w:after="0"/>
              <w:rPr>
                <w:noProof/>
              </w:rPr>
            </w:pPr>
            <w:r>
              <w:rPr>
                <w:noProof/>
              </w:rPr>
              <w:t>Задължение за големите потребители (R-7.03)</w:t>
            </w:r>
          </w:p>
        </w:tc>
        <w:tc>
          <w:tcPr>
            <w:tcW w:w="334" w:type="pct"/>
            <w:shd w:val="clear" w:color="auto" w:fill="C6EFCE"/>
            <w:noWrap/>
            <w:vAlign w:val="center"/>
          </w:tcPr>
          <w:p w14:paraId="580383E2" w14:textId="5828C5D8" w:rsidR="00235E11" w:rsidRDefault="00F837E4">
            <w:pPr>
              <w:pStyle w:val="P68B1DB1-Normal59"/>
              <w:spacing w:after="0"/>
              <w:jc w:val="center"/>
              <w:rPr>
                <w:noProof/>
              </w:rPr>
            </w:pPr>
            <w:r>
              <w:rPr>
                <w:noProof/>
              </w:rPr>
              <w:t>M</w:t>
            </w:r>
          </w:p>
        </w:tc>
        <w:tc>
          <w:tcPr>
            <w:tcW w:w="2099" w:type="pct"/>
            <w:shd w:val="clear" w:color="auto" w:fill="C6EFCE"/>
            <w:noWrap/>
            <w:vAlign w:val="center"/>
          </w:tcPr>
          <w:p w14:paraId="19E765A6" w14:textId="2F3ACFD4" w:rsidR="00235E11" w:rsidRDefault="00F837E4">
            <w:pPr>
              <w:pStyle w:val="P68B1DB1-Normal59"/>
              <w:spacing w:after="0"/>
              <w:rPr>
                <w:noProof/>
              </w:rPr>
            </w:pPr>
            <w:r>
              <w:rPr>
                <w:noProof/>
              </w:rPr>
              <w:t>Влизане в сила на законодателството</w:t>
            </w:r>
          </w:p>
        </w:tc>
      </w:tr>
      <w:tr w:rsidR="00235E11" w14:paraId="51ED5FA1" w14:textId="77777777">
        <w:trPr>
          <w:trHeight w:val="315"/>
        </w:trPr>
        <w:tc>
          <w:tcPr>
            <w:tcW w:w="345" w:type="pct"/>
            <w:shd w:val="clear" w:color="auto" w:fill="C6EFCE"/>
            <w:noWrap/>
            <w:vAlign w:val="center"/>
          </w:tcPr>
          <w:p w14:paraId="58C552B3" w14:textId="77777777" w:rsidR="00235E11" w:rsidRDefault="00235E11">
            <w:pPr>
              <w:spacing w:after="0"/>
              <w:jc w:val="center"/>
              <w:rPr>
                <w:rFonts w:ascii="Times New Roman" w:eastAsia="Times New Roman" w:hAnsi="Times New Roman" w:cs="Times New Roman"/>
                <w:noProof/>
                <w:color w:val="006100"/>
                <w:sz w:val="20"/>
              </w:rPr>
            </w:pPr>
          </w:p>
        </w:tc>
        <w:tc>
          <w:tcPr>
            <w:tcW w:w="2556" w:type="pct"/>
            <w:gridSpan w:val="2"/>
            <w:shd w:val="clear" w:color="auto" w:fill="C6EFCE"/>
            <w:noWrap/>
            <w:vAlign w:val="center"/>
          </w:tcPr>
          <w:p w14:paraId="25027273" w14:textId="77777777" w:rsidR="00235E11" w:rsidRDefault="00F837E4">
            <w:pPr>
              <w:pStyle w:val="P68B1DB1-Normal59"/>
              <w:spacing w:after="0"/>
              <w:jc w:val="right"/>
              <w:rPr>
                <w:noProof/>
              </w:rPr>
            </w:pPr>
            <w:r>
              <w:rPr>
                <w:noProof/>
              </w:rPr>
              <w:t>Размер на вноската</w:t>
            </w:r>
          </w:p>
        </w:tc>
        <w:tc>
          <w:tcPr>
            <w:tcW w:w="2099" w:type="pct"/>
            <w:shd w:val="clear" w:color="auto" w:fill="C6EFCE"/>
            <w:noWrap/>
            <w:vAlign w:val="center"/>
          </w:tcPr>
          <w:p w14:paraId="69ED5BF3" w14:textId="4D1BEB3F"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283EUR 711</w:t>
            </w:r>
            <w:r>
              <w:rPr>
                <w:noProof/>
              </w:rPr>
              <w:t xml:space="preserve"> </w:t>
            </w:r>
            <w:r>
              <w:rPr>
                <w:rFonts w:ascii="Times New Roman" w:eastAsia="Times New Roman" w:hAnsi="Times New Roman" w:cs="Times New Roman"/>
                <w:noProof/>
                <w:color w:val="006100"/>
                <w:sz w:val="20"/>
              </w:rPr>
              <w:t>711</w:t>
            </w:r>
          </w:p>
        </w:tc>
      </w:tr>
    </w:tbl>
    <w:p w14:paraId="3C1AE9D9" w14:textId="0D64AA45" w:rsidR="00235E11" w:rsidRDefault="00235E11">
      <w:pPr>
        <w:spacing w:before="120" w:after="120"/>
        <w:rPr>
          <w:rFonts w:ascii="Times New Roman" w:hAnsi="Times New Roman" w:cs="Times New Roman"/>
          <w:noProof/>
        </w:rPr>
      </w:pPr>
    </w:p>
    <w:p w14:paraId="68D9092B" w14:textId="739023B1" w:rsidR="00235E11" w:rsidRDefault="00F837E4">
      <w:pPr>
        <w:pStyle w:val="ManualNumPar1"/>
        <w:rPr>
          <w:noProof/>
        </w:rPr>
      </w:pPr>
      <w:r>
        <w:rPr>
          <w:noProof/>
        </w:rPr>
        <w:t>Четвърта вноска (безвъзмездна подкрепа):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792"/>
        <w:gridCol w:w="4031"/>
        <w:gridCol w:w="782"/>
        <w:gridCol w:w="4601"/>
      </w:tblGrid>
      <w:tr w:rsidR="00235E11" w14:paraId="23480F07" w14:textId="77777777">
        <w:trPr>
          <w:trHeight w:val="300"/>
          <w:tblHeader/>
        </w:trPr>
        <w:tc>
          <w:tcPr>
            <w:tcW w:w="388" w:type="pct"/>
            <w:shd w:val="clear" w:color="auto" w:fill="BDD7EE"/>
            <w:noWrap/>
            <w:vAlign w:val="center"/>
            <w:hideMark/>
          </w:tcPr>
          <w:p w14:paraId="69419D0C" w14:textId="77777777" w:rsidR="00235E11" w:rsidRDefault="00F837E4">
            <w:pPr>
              <w:pStyle w:val="P68B1DB1-Normal58"/>
              <w:spacing w:before="120" w:after="120"/>
              <w:jc w:val="center"/>
              <w:rPr>
                <w:noProof/>
              </w:rPr>
            </w:pPr>
            <w:r>
              <w:rPr>
                <w:noProof/>
              </w:rPr>
              <w:t>Следващи. nb</w:t>
            </w:r>
          </w:p>
        </w:tc>
        <w:tc>
          <w:tcPr>
            <w:tcW w:w="1975" w:type="pct"/>
            <w:shd w:val="clear" w:color="auto" w:fill="BDD7EE"/>
            <w:noWrap/>
            <w:vAlign w:val="center"/>
            <w:hideMark/>
          </w:tcPr>
          <w:p w14:paraId="1532BAD1" w14:textId="77777777" w:rsidR="00235E11" w:rsidRDefault="00F837E4">
            <w:pPr>
              <w:pStyle w:val="P68B1DB1-Normal58"/>
              <w:spacing w:before="120" w:after="120"/>
              <w:jc w:val="center"/>
              <w:rPr>
                <w:noProof/>
              </w:rPr>
            </w:pPr>
            <w:r>
              <w:rPr>
                <w:noProof/>
              </w:rPr>
              <w:t>Наименование на мярката</w:t>
            </w:r>
          </w:p>
        </w:tc>
        <w:tc>
          <w:tcPr>
            <w:tcW w:w="383" w:type="pct"/>
            <w:shd w:val="clear" w:color="auto" w:fill="BDD7EE"/>
            <w:noWrap/>
            <w:vAlign w:val="center"/>
            <w:hideMark/>
          </w:tcPr>
          <w:p w14:paraId="56359527" w14:textId="77777777" w:rsidR="00235E11" w:rsidRDefault="00F837E4">
            <w:pPr>
              <w:pStyle w:val="P68B1DB1-Normal58"/>
              <w:spacing w:before="120" w:after="120"/>
              <w:jc w:val="center"/>
              <w:rPr>
                <w:noProof/>
              </w:rPr>
            </w:pPr>
            <w:r>
              <w:rPr>
                <w:noProof/>
              </w:rPr>
              <w:t>M/T</w:t>
            </w:r>
          </w:p>
        </w:tc>
        <w:tc>
          <w:tcPr>
            <w:tcW w:w="2254" w:type="pct"/>
            <w:shd w:val="clear" w:color="auto" w:fill="BDD7EE"/>
            <w:noWrap/>
            <w:vAlign w:val="center"/>
            <w:hideMark/>
          </w:tcPr>
          <w:p w14:paraId="60A7DFF8" w14:textId="77777777" w:rsidR="00235E11" w:rsidRDefault="00F837E4">
            <w:pPr>
              <w:pStyle w:val="P68B1DB1-Normal58"/>
              <w:spacing w:before="120" w:after="120"/>
              <w:jc w:val="center"/>
              <w:rPr>
                <w:noProof/>
              </w:rPr>
            </w:pPr>
            <w:r>
              <w:rPr>
                <w:noProof/>
              </w:rPr>
              <w:t>Име</w:t>
            </w:r>
          </w:p>
        </w:tc>
      </w:tr>
      <w:tr w:rsidR="00235E11" w14:paraId="41963B44" w14:textId="77777777">
        <w:trPr>
          <w:trHeight w:val="315"/>
        </w:trPr>
        <w:tc>
          <w:tcPr>
            <w:tcW w:w="388" w:type="pct"/>
            <w:shd w:val="clear" w:color="auto" w:fill="C6EFCE"/>
            <w:noWrap/>
            <w:vAlign w:val="center"/>
            <w:hideMark/>
          </w:tcPr>
          <w:p w14:paraId="1E69F66B" w14:textId="77777777" w:rsidR="00235E11" w:rsidRDefault="00F837E4">
            <w:pPr>
              <w:pStyle w:val="P68B1DB1-Normal59"/>
              <w:spacing w:after="0"/>
              <w:jc w:val="center"/>
              <w:rPr>
                <w:noProof/>
              </w:rPr>
            </w:pPr>
            <w:r>
              <w:rPr>
                <w:noProof/>
              </w:rPr>
              <w:t>6</w:t>
            </w:r>
          </w:p>
        </w:tc>
        <w:tc>
          <w:tcPr>
            <w:tcW w:w="1975" w:type="pct"/>
            <w:shd w:val="clear" w:color="auto" w:fill="C6EFCE"/>
            <w:noWrap/>
            <w:vAlign w:val="center"/>
            <w:hideMark/>
          </w:tcPr>
          <w:p w14:paraId="621F3372" w14:textId="77777777" w:rsidR="00235E11" w:rsidRDefault="00F837E4">
            <w:pPr>
              <w:pStyle w:val="P68B1DB1-Normal59"/>
              <w:spacing w:after="0"/>
              <w:rPr>
                <w:noProof/>
              </w:rPr>
            </w:pPr>
            <w:r>
              <w:rPr>
                <w:noProof/>
              </w:rPr>
              <w:t>Обновяване на частни и социални жилища (I-1A)</w:t>
            </w:r>
          </w:p>
        </w:tc>
        <w:tc>
          <w:tcPr>
            <w:tcW w:w="383" w:type="pct"/>
            <w:shd w:val="clear" w:color="auto" w:fill="C6EFCE"/>
            <w:noWrap/>
            <w:vAlign w:val="center"/>
            <w:hideMark/>
          </w:tcPr>
          <w:p w14:paraId="62058EAE"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0A3F8321" w14:textId="77777777" w:rsidR="00235E11" w:rsidRDefault="00F837E4">
            <w:pPr>
              <w:pStyle w:val="P68B1DB1-Normal59"/>
              <w:spacing w:after="0"/>
              <w:rPr>
                <w:noProof/>
              </w:rPr>
            </w:pPr>
            <w:r>
              <w:rPr>
                <w:noProof/>
              </w:rPr>
              <w:t>Обновяване на частни жилищни и социални жилища (стъпка 2)</w:t>
            </w:r>
          </w:p>
        </w:tc>
      </w:tr>
      <w:tr w:rsidR="00235E11" w14:paraId="335724AC" w14:textId="77777777">
        <w:trPr>
          <w:trHeight w:val="315"/>
        </w:trPr>
        <w:tc>
          <w:tcPr>
            <w:tcW w:w="388" w:type="pct"/>
            <w:shd w:val="clear" w:color="auto" w:fill="C6EFCE"/>
            <w:noWrap/>
            <w:vAlign w:val="center"/>
            <w:hideMark/>
          </w:tcPr>
          <w:p w14:paraId="3B6C74F9" w14:textId="77777777" w:rsidR="00235E11" w:rsidRDefault="00F837E4">
            <w:pPr>
              <w:pStyle w:val="P68B1DB1-Normal59"/>
              <w:spacing w:after="0"/>
              <w:jc w:val="center"/>
              <w:rPr>
                <w:noProof/>
              </w:rPr>
            </w:pPr>
            <w:r>
              <w:rPr>
                <w:noProof/>
              </w:rPr>
              <w:t>12</w:t>
            </w:r>
          </w:p>
        </w:tc>
        <w:tc>
          <w:tcPr>
            <w:tcW w:w="1975" w:type="pct"/>
            <w:shd w:val="clear" w:color="auto" w:fill="C6EFCE"/>
            <w:noWrap/>
            <w:vAlign w:val="center"/>
            <w:hideMark/>
          </w:tcPr>
          <w:p w14:paraId="4AD0430E" w14:textId="77777777" w:rsidR="00235E11" w:rsidRDefault="00F837E4">
            <w:pPr>
              <w:pStyle w:val="P68B1DB1-Normal59"/>
              <w:spacing w:after="0"/>
              <w:rPr>
                <w:noProof/>
              </w:rPr>
            </w:pPr>
            <w:r>
              <w:rPr>
                <w:noProof/>
              </w:rPr>
              <w:t>Саниране на обществени сгради (I-1Б)</w:t>
            </w:r>
          </w:p>
        </w:tc>
        <w:tc>
          <w:tcPr>
            <w:tcW w:w="383" w:type="pct"/>
            <w:shd w:val="clear" w:color="auto" w:fill="C6EFCE"/>
            <w:noWrap/>
            <w:vAlign w:val="center"/>
            <w:hideMark/>
          </w:tcPr>
          <w:p w14:paraId="32A95EAE"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26A216F3" w14:textId="77777777" w:rsidR="00235E11" w:rsidRDefault="00F837E4">
            <w:pPr>
              <w:pStyle w:val="P68B1DB1-Normal59"/>
              <w:spacing w:after="0"/>
              <w:rPr>
                <w:noProof/>
              </w:rPr>
            </w:pPr>
            <w:r>
              <w:rPr>
                <w:noProof/>
              </w:rPr>
              <w:t>Саниране на обществени сгради (стъпка 1)</w:t>
            </w:r>
          </w:p>
        </w:tc>
      </w:tr>
      <w:tr w:rsidR="00235E11" w14:paraId="63197C8C" w14:textId="77777777">
        <w:trPr>
          <w:trHeight w:val="315"/>
        </w:trPr>
        <w:tc>
          <w:tcPr>
            <w:tcW w:w="388" w:type="pct"/>
            <w:shd w:val="clear" w:color="auto" w:fill="C6EFCE"/>
            <w:noWrap/>
            <w:vAlign w:val="center"/>
            <w:hideMark/>
          </w:tcPr>
          <w:p w14:paraId="31269D66" w14:textId="77777777" w:rsidR="00235E11" w:rsidRDefault="00F837E4">
            <w:pPr>
              <w:pStyle w:val="P68B1DB1-Normal59"/>
              <w:spacing w:after="0"/>
              <w:jc w:val="center"/>
              <w:rPr>
                <w:noProof/>
              </w:rPr>
            </w:pPr>
            <w:r>
              <w:rPr>
                <w:noProof/>
              </w:rPr>
              <w:t>15</w:t>
            </w:r>
          </w:p>
        </w:tc>
        <w:tc>
          <w:tcPr>
            <w:tcW w:w="1975" w:type="pct"/>
            <w:shd w:val="clear" w:color="auto" w:fill="C6EFCE"/>
            <w:noWrap/>
            <w:vAlign w:val="center"/>
            <w:hideMark/>
          </w:tcPr>
          <w:p w14:paraId="31710D66" w14:textId="77777777" w:rsidR="00235E11" w:rsidRDefault="00F837E4">
            <w:pPr>
              <w:pStyle w:val="P68B1DB1-Normal59"/>
              <w:spacing w:after="0"/>
              <w:rPr>
                <w:noProof/>
              </w:rPr>
            </w:pPr>
            <w:r>
              <w:rPr>
                <w:noProof/>
              </w:rPr>
              <w:t>Регулаторна рамка за пазара на „Хоризонт 2“ (R-1.04)</w:t>
            </w:r>
          </w:p>
        </w:tc>
        <w:tc>
          <w:tcPr>
            <w:tcW w:w="383" w:type="pct"/>
            <w:shd w:val="clear" w:color="auto" w:fill="C6EFCE"/>
            <w:noWrap/>
            <w:vAlign w:val="center"/>
            <w:hideMark/>
          </w:tcPr>
          <w:p w14:paraId="591BD67F"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1C00BB2D" w14:textId="77777777" w:rsidR="00235E11" w:rsidRDefault="00F837E4">
            <w:pPr>
              <w:pStyle w:val="P68B1DB1-Normal59"/>
              <w:spacing w:after="0"/>
              <w:rPr>
                <w:noProof/>
              </w:rPr>
            </w:pPr>
            <w:r>
              <w:rPr>
                <w:noProof/>
              </w:rPr>
              <w:t>Влизане в сила на новите или изменените законови и подзаконови актове, за да се даде възможност за развитие на пазара на „Хоризонт 2“</w:t>
            </w:r>
          </w:p>
        </w:tc>
      </w:tr>
      <w:tr w:rsidR="00235E11" w14:paraId="452C3FBA" w14:textId="77777777">
        <w:trPr>
          <w:trHeight w:val="315"/>
        </w:trPr>
        <w:tc>
          <w:tcPr>
            <w:tcW w:w="388" w:type="pct"/>
            <w:shd w:val="clear" w:color="auto" w:fill="C6EFCE"/>
            <w:noWrap/>
            <w:vAlign w:val="center"/>
            <w:hideMark/>
          </w:tcPr>
          <w:p w14:paraId="63CBE079" w14:textId="77777777" w:rsidR="00235E11" w:rsidRDefault="00F837E4">
            <w:pPr>
              <w:pStyle w:val="P68B1DB1-Normal59"/>
              <w:spacing w:after="0"/>
              <w:jc w:val="center"/>
              <w:rPr>
                <w:noProof/>
              </w:rPr>
            </w:pPr>
            <w:r>
              <w:rPr>
                <w:noProof/>
              </w:rPr>
              <w:t>15а</w:t>
            </w:r>
          </w:p>
        </w:tc>
        <w:tc>
          <w:tcPr>
            <w:tcW w:w="1975" w:type="pct"/>
            <w:shd w:val="clear" w:color="auto" w:fill="C6EFCE"/>
            <w:noWrap/>
            <w:vAlign w:val="center"/>
            <w:hideMark/>
          </w:tcPr>
          <w:p w14:paraId="1F6F6517" w14:textId="77777777" w:rsidR="00235E11" w:rsidRDefault="00F837E4">
            <w:pPr>
              <w:pStyle w:val="P68B1DB1-Normal59"/>
              <w:spacing w:after="0"/>
              <w:rPr>
                <w:noProof/>
              </w:rPr>
            </w:pPr>
            <w:r>
              <w:rPr>
                <w:noProof/>
              </w:rPr>
              <w:t>Регулаторна рамка за пазара на CO2 във Фландрия (R-1.05)</w:t>
            </w:r>
          </w:p>
        </w:tc>
        <w:tc>
          <w:tcPr>
            <w:tcW w:w="383" w:type="pct"/>
            <w:shd w:val="clear" w:color="auto" w:fill="C6EFCE"/>
            <w:noWrap/>
            <w:vAlign w:val="center"/>
            <w:hideMark/>
          </w:tcPr>
          <w:p w14:paraId="0F85E2C0"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1E58867E" w14:textId="77777777" w:rsidR="00235E11" w:rsidRDefault="00F837E4">
            <w:pPr>
              <w:pStyle w:val="P68B1DB1-Normal59"/>
              <w:spacing w:after="0"/>
              <w:rPr>
                <w:noProof/>
              </w:rPr>
            </w:pPr>
            <w:r>
              <w:rPr>
                <w:noProof/>
              </w:rPr>
              <w:t>Влизане в сила на новите или изменените укази и свързаните с тях разпоредби, за да се даде възможност за развитие на пазара на CO2 във Фландрия</w:t>
            </w:r>
          </w:p>
        </w:tc>
      </w:tr>
      <w:tr w:rsidR="00235E11" w14:paraId="1372FA28" w14:textId="77777777">
        <w:trPr>
          <w:trHeight w:val="315"/>
        </w:trPr>
        <w:tc>
          <w:tcPr>
            <w:tcW w:w="388" w:type="pct"/>
            <w:shd w:val="clear" w:color="auto" w:fill="C6EFCE"/>
            <w:noWrap/>
            <w:vAlign w:val="center"/>
            <w:hideMark/>
          </w:tcPr>
          <w:p w14:paraId="4D95A600" w14:textId="77777777" w:rsidR="00235E11" w:rsidRDefault="00F837E4">
            <w:pPr>
              <w:pStyle w:val="P68B1DB1-Normal59"/>
              <w:spacing w:after="0"/>
              <w:jc w:val="center"/>
              <w:rPr>
                <w:noProof/>
              </w:rPr>
            </w:pPr>
            <w:r>
              <w:rPr>
                <w:noProof/>
              </w:rPr>
              <w:t>15ter</w:t>
            </w:r>
          </w:p>
        </w:tc>
        <w:tc>
          <w:tcPr>
            <w:tcW w:w="1975" w:type="pct"/>
            <w:shd w:val="clear" w:color="auto" w:fill="C6EFCE"/>
            <w:noWrap/>
            <w:vAlign w:val="center"/>
            <w:hideMark/>
          </w:tcPr>
          <w:p w14:paraId="010E2944" w14:textId="77777777" w:rsidR="00235E11" w:rsidRDefault="00F837E4">
            <w:pPr>
              <w:pStyle w:val="P68B1DB1-Normal59"/>
              <w:spacing w:after="0"/>
              <w:rPr>
                <w:noProof/>
              </w:rPr>
            </w:pPr>
            <w:r>
              <w:rPr>
                <w:noProof/>
              </w:rPr>
              <w:t>Регулаторна рамка за пазара на CO2 във Валония (R-1.06)</w:t>
            </w:r>
          </w:p>
        </w:tc>
        <w:tc>
          <w:tcPr>
            <w:tcW w:w="383" w:type="pct"/>
            <w:shd w:val="clear" w:color="auto" w:fill="C6EFCE"/>
            <w:noWrap/>
            <w:vAlign w:val="center"/>
            <w:hideMark/>
          </w:tcPr>
          <w:p w14:paraId="1751D253"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38FE6B9B" w14:textId="77777777" w:rsidR="00235E11" w:rsidRDefault="00F837E4">
            <w:pPr>
              <w:pStyle w:val="P68B1DB1-Normal59"/>
              <w:spacing w:after="0"/>
              <w:rPr>
                <w:noProof/>
              </w:rPr>
            </w:pPr>
            <w:r>
              <w:rPr>
                <w:noProof/>
              </w:rPr>
              <w:t>Влизане в сила на новите или изменените укази и свързаните с тях разпоредби, за да се даде възможност за развитие на пазара на CO2 във Валония</w:t>
            </w:r>
          </w:p>
        </w:tc>
      </w:tr>
      <w:tr w:rsidR="00235E11" w14:paraId="27D4D29F" w14:textId="77777777">
        <w:trPr>
          <w:trHeight w:val="315"/>
        </w:trPr>
        <w:tc>
          <w:tcPr>
            <w:tcW w:w="388" w:type="pct"/>
            <w:shd w:val="clear" w:color="auto" w:fill="C6EFCE"/>
            <w:noWrap/>
            <w:vAlign w:val="center"/>
            <w:hideMark/>
          </w:tcPr>
          <w:p w14:paraId="3CF38E6C" w14:textId="77777777" w:rsidR="00235E11" w:rsidRDefault="00F837E4">
            <w:pPr>
              <w:pStyle w:val="P68B1DB1-Normal59"/>
              <w:spacing w:after="0"/>
              <w:jc w:val="center"/>
              <w:rPr>
                <w:noProof/>
              </w:rPr>
            </w:pPr>
            <w:r>
              <w:rPr>
                <w:noProof/>
              </w:rPr>
              <w:t>19</w:t>
            </w:r>
          </w:p>
        </w:tc>
        <w:tc>
          <w:tcPr>
            <w:tcW w:w="1975" w:type="pct"/>
            <w:shd w:val="clear" w:color="auto" w:fill="C6EFCE"/>
            <w:noWrap/>
            <w:vAlign w:val="center"/>
            <w:hideMark/>
          </w:tcPr>
          <w:p w14:paraId="66ABA06C" w14:textId="77777777" w:rsidR="00235E11" w:rsidRDefault="00F837E4">
            <w:pPr>
              <w:pStyle w:val="P68B1DB1-Normal59"/>
              <w:spacing w:after="0"/>
              <w:rPr>
                <w:noProof/>
              </w:rPr>
            </w:pPr>
            <w:r>
              <w:rPr>
                <w:noProof/>
              </w:rPr>
              <w:t>Промишлена верига за създаване на стойност за прехода към водород (I-1.15)</w:t>
            </w:r>
          </w:p>
        </w:tc>
        <w:tc>
          <w:tcPr>
            <w:tcW w:w="383" w:type="pct"/>
            <w:shd w:val="clear" w:color="auto" w:fill="C6EFCE"/>
            <w:noWrap/>
            <w:vAlign w:val="center"/>
            <w:hideMark/>
          </w:tcPr>
          <w:p w14:paraId="61362B3F"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7625EBD2" w14:textId="77777777" w:rsidR="00235E11" w:rsidRDefault="00F837E4">
            <w:pPr>
              <w:pStyle w:val="P68B1DB1-Normal59"/>
              <w:spacing w:after="0"/>
              <w:rPr>
                <w:noProof/>
              </w:rPr>
            </w:pPr>
            <w:r>
              <w:rPr>
                <w:noProof/>
              </w:rPr>
              <w:t>Възлагане на поръчки в рамките на 2-рата покана за представяне на оферти</w:t>
            </w:r>
          </w:p>
        </w:tc>
      </w:tr>
      <w:tr w:rsidR="00235E11" w14:paraId="2C998E6B" w14:textId="77777777">
        <w:trPr>
          <w:trHeight w:val="315"/>
        </w:trPr>
        <w:tc>
          <w:tcPr>
            <w:tcW w:w="388" w:type="pct"/>
            <w:shd w:val="clear" w:color="auto" w:fill="C6EFCE"/>
            <w:noWrap/>
            <w:vAlign w:val="center"/>
            <w:hideMark/>
          </w:tcPr>
          <w:p w14:paraId="2AA0F701" w14:textId="77777777" w:rsidR="00235E11" w:rsidRDefault="00F837E4">
            <w:pPr>
              <w:pStyle w:val="P68B1DB1-Normal59"/>
              <w:spacing w:after="0"/>
              <w:jc w:val="center"/>
              <w:rPr>
                <w:noProof/>
              </w:rPr>
            </w:pPr>
            <w:r>
              <w:rPr>
                <w:noProof/>
              </w:rPr>
              <w:t>36</w:t>
            </w:r>
          </w:p>
        </w:tc>
        <w:tc>
          <w:tcPr>
            <w:tcW w:w="1975" w:type="pct"/>
            <w:shd w:val="clear" w:color="auto" w:fill="C6EFCE"/>
            <w:noWrap/>
            <w:vAlign w:val="center"/>
            <w:hideMark/>
          </w:tcPr>
          <w:p w14:paraId="7C30A1A6" w14:textId="77777777" w:rsidR="00235E11" w:rsidRDefault="00F837E4">
            <w:pPr>
              <w:pStyle w:val="P68B1DB1-Normal59"/>
              <w:spacing w:after="0"/>
              <w:rPr>
                <w:noProof/>
              </w:rPr>
            </w:pPr>
            <w:r>
              <w:rPr>
                <w:noProof/>
              </w:rPr>
              <w:t>Биологично разнообразие и адаптиране към изменението на климата (I-1.22)</w:t>
            </w:r>
          </w:p>
        </w:tc>
        <w:tc>
          <w:tcPr>
            <w:tcW w:w="383" w:type="pct"/>
            <w:shd w:val="clear" w:color="auto" w:fill="C6EFCE"/>
            <w:noWrap/>
            <w:vAlign w:val="center"/>
            <w:hideMark/>
          </w:tcPr>
          <w:p w14:paraId="70B657A9"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1E4DE010" w14:textId="77777777" w:rsidR="00235E11" w:rsidRDefault="00F837E4">
            <w:pPr>
              <w:pStyle w:val="P68B1DB1-Normal59"/>
              <w:spacing w:after="0"/>
              <w:rPr>
                <w:noProof/>
              </w:rPr>
            </w:pPr>
            <w:r>
              <w:rPr>
                <w:noProof/>
              </w:rPr>
              <w:t>Приложени мерки за управление на земята (гори, защитени зони) и преосмисляне на текущи проекти</w:t>
            </w:r>
          </w:p>
        </w:tc>
      </w:tr>
      <w:tr w:rsidR="00235E11" w14:paraId="57754A21" w14:textId="77777777">
        <w:trPr>
          <w:trHeight w:val="315"/>
        </w:trPr>
        <w:tc>
          <w:tcPr>
            <w:tcW w:w="388" w:type="pct"/>
            <w:shd w:val="clear" w:color="auto" w:fill="C6EFCE"/>
            <w:noWrap/>
            <w:vAlign w:val="center"/>
            <w:hideMark/>
          </w:tcPr>
          <w:p w14:paraId="19F97916" w14:textId="77777777" w:rsidR="00235E11" w:rsidRDefault="00F837E4">
            <w:pPr>
              <w:pStyle w:val="P68B1DB1-Normal59"/>
              <w:spacing w:after="0"/>
              <w:jc w:val="center"/>
              <w:rPr>
                <w:noProof/>
              </w:rPr>
            </w:pPr>
            <w:r>
              <w:rPr>
                <w:noProof/>
              </w:rPr>
              <w:t>44</w:t>
            </w:r>
          </w:p>
        </w:tc>
        <w:tc>
          <w:tcPr>
            <w:tcW w:w="1975" w:type="pct"/>
            <w:shd w:val="clear" w:color="auto" w:fill="C6EFCE"/>
            <w:noWrap/>
            <w:vAlign w:val="center"/>
            <w:hideMark/>
          </w:tcPr>
          <w:p w14:paraId="12A70F25" w14:textId="77777777" w:rsidR="00235E11" w:rsidRDefault="00F837E4">
            <w:pPr>
              <w:pStyle w:val="P68B1DB1-Normal59"/>
              <w:spacing w:after="0"/>
              <w:rPr>
                <w:noProof/>
              </w:rPr>
            </w:pPr>
            <w:r>
              <w:rPr>
                <w:noProof/>
              </w:rPr>
              <w:t>Киберсигурност и устойчиво цифрово общество (I-2.01)</w:t>
            </w:r>
          </w:p>
        </w:tc>
        <w:tc>
          <w:tcPr>
            <w:tcW w:w="383" w:type="pct"/>
            <w:shd w:val="clear" w:color="auto" w:fill="C6EFCE"/>
            <w:noWrap/>
            <w:vAlign w:val="center"/>
            <w:hideMark/>
          </w:tcPr>
          <w:p w14:paraId="2DFCC33A"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54DA582B" w14:textId="77777777" w:rsidR="00235E11" w:rsidRDefault="00F837E4">
            <w:pPr>
              <w:pStyle w:val="P68B1DB1-Normal59"/>
              <w:spacing w:after="0"/>
              <w:rPr>
                <w:noProof/>
              </w:rPr>
            </w:pPr>
            <w:r>
              <w:rPr>
                <w:noProof/>
              </w:rPr>
              <w:t>Уведомление за възлагане на осем обществени поръчки</w:t>
            </w:r>
          </w:p>
        </w:tc>
      </w:tr>
      <w:tr w:rsidR="00235E11" w14:paraId="6E3753EB" w14:textId="77777777">
        <w:trPr>
          <w:trHeight w:val="315"/>
        </w:trPr>
        <w:tc>
          <w:tcPr>
            <w:tcW w:w="388" w:type="pct"/>
            <w:shd w:val="clear" w:color="auto" w:fill="C6EFCE"/>
            <w:noWrap/>
            <w:vAlign w:val="center"/>
            <w:hideMark/>
          </w:tcPr>
          <w:p w14:paraId="49A9AC07" w14:textId="77777777" w:rsidR="00235E11" w:rsidRDefault="00F837E4">
            <w:pPr>
              <w:pStyle w:val="P68B1DB1-Normal59"/>
              <w:spacing w:after="0"/>
              <w:jc w:val="center"/>
              <w:rPr>
                <w:noProof/>
              </w:rPr>
            </w:pPr>
            <w:r>
              <w:rPr>
                <w:noProof/>
              </w:rPr>
              <w:t>46</w:t>
            </w:r>
          </w:p>
        </w:tc>
        <w:tc>
          <w:tcPr>
            <w:tcW w:w="1975" w:type="pct"/>
            <w:shd w:val="clear" w:color="auto" w:fill="C6EFCE"/>
            <w:noWrap/>
            <w:vAlign w:val="center"/>
            <w:hideMark/>
          </w:tcPr>
          <w:p w14:paraId="0D3972CB" w14:textId="77777777" w:rsidR="00235E11" w:rsidRDefault="00F837E4">
            <w:pPr>
              <w:pStyle w:val="P68B1DB1-Normal59"/>
              <w:spacing w:after="0"/>
              <w:rPr>
                <w:noProof/>
              </w:rPr>
            </w:pPr>
            <w:r>
              <w:rPr>
                <w:noProof/>
              </w:rPr>
              <w:t>Киберсигурност и устойчиво цифрово общество (I-2.01)</w:t>
            </w:r>
          </w:p>
        </w:tc>
        <w:tc>
          <w:tcPr>
            <w:tcW w:w="383" w:type="pct"/>
            <w:shd w:val="clear" w:color="auto" w:fill="C6EFCE"/>
            <w:noWrap/>
            <w:vAlign w:val="center"/>
            <w:hideMark/>
          </w:tcPr>
          <w:p w14:paraId="6FF59EF3"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3CDFBBE0" w14:textId="77777777" w:rsidR="00235E11" w:rsidRDefault="00F837E4">
            <w:pPr>
              <w:pStyle w:val="P68B1DB1-Normal59"/>
              <w:spacing w:after="0"/>
              <w:rPr>
                <w:noProof/>
              </w:rPr>
            </w:pPr>
            <w:r>
              <w:rPr>
                <w:noProof/>
              </w:rPr>
              <w:t>Инструменти за повишаване на киберустойчивостта, достъпни за широката общественост</w:t>
            </w:r>
          </w:p>
        </w:tc>
      </w:tr>
      <w:tr w:rsidR="00235E11" w14:paraId="1A4D49EE" w14:textId="77777777">
        <w:trPr>
          <w:trHeight w:val="315"/>
        </w:trPr>
        <w:tc>
          <w:tcPr>
            <w:tcW w:w="388" w:type="pct"/>
            <w:shd w:val="clear" w:color="auto" w:fill="C6EFCE"/>
            <w:noWrap/>
            <w:vAlign w:val="center"/>
            <w:hideMark/>
          </w:tcPr>
          <w:p w14:paraId="5B9B4C84" w14:textId="77777777" w:rsidR="00235E11" w:rsidRDefault="00F837E4">
            <w:pPr>
              <w:pStyle w:val="P68B1DB1-Normal59"/>
              <w:spacing w:after="0"/>
              <w:jc w:val="center"/>
              <w:rPr>
                <w:noProof/>
              </w:rPr>
            </w:pPr>
            <w:r>
              <w:rPr>
                <w:noProof/>
              </w:rPr>
              <w:t>51</w:t>
            </w:r>
          </w:p>
        </w:tc>
        <w:tc>
          <w:tcPr>
            <w:tcW w:w="1975" w:type="pct"/>
            <w:shd w:val="clear" w:color="auto" w:fill="C6EFCE"/>
            <w:noWrap/>
            <w:vAlign w:val="center"/>
            <w:hideMark/>
          </w:tcPr>
          <w:p w14:paraId="6FD33E64" w14:textId="77777777" w:rsidR="00235E11" w:rsidRDefault="00F837E4">
            <w:pPr>
              <w:pStyle w:val="P68B1DB1-Normal59"/>
              <w:spacing w:after="0"/>
              <w:rPr>
                <w:noProof/>
              </w:rPr>
            </w:pPr>
            <w:r>
              <w:rPr>
                <w:noProof/>
              </w:rPr>
              <w:t>Цифровизация на IPSS (I-2.04) (подмярка 2)</w:t>
            </w:r>
          </w:p>
        </w:tc>
        <w:tc>
          <w:tcPr>
            <w:tcW w:w="383" w:type="pct"/>
            <w:shd w:val="clear" w:color="auto" w:fill="C6EFCE"/>
            <w:noWrap/>
            <w:vAlign w:val="center"/>
            <w:hideMark/>
          </w:tcPr>
          <w:p w14:paraId="160D6563"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1AF73F8A" w14:textId="77777777" w:rsidR="00235E11" w:rsidRDefault="00F837E4">
            <w:pPr>
              <w:pStyle w:val="P68B1DB1-Normal59"/>
              <w:spacing w:after="0"/>
              <w:rPr>
                <w:noProof/>
              </w:rPr>
            </w:pPr>
            <w:r>
              <w:rPr>
                <w:noProof/>
              </w:rPr>
              <w:t>Всички комуникации на Публичния институт за социална сигурност (IPSS) са цифрови и данните са централизирани/консолидирани</w:t>
            </w:r>
          </w:p>
        </w:tc>
      </w:tr>
      <w:tr w:rsidR="00235E11" w14:paraId="47AB97EF" w14:textId="77777777">
        <w:trPr>
          <w:trHeight w:val="315"/>
        </w:trPr>
        <w:tc>
          <w:tcPr>
            <w:tcW w:w="388" w:type="pct"/>
            <w:shd w:val="clear" w:color="auto" w:fill="C6EFCE"/>
            <w:noWrap/>
            <w:vAlign w:val="center"/>
            <w:hideMark/>
          </w:tcPr>
          <w:p w14:paraId="2219FD2A" w14:textId="77777777" w:rsidR="00235E11" w:rsidRDefault="00F837E4">
            <w:pPr>
              <w:pStyle w:val="P68B1DB1-Normal59"/>
              <w:spacing w:after="0"/>
              <w:jc w:val="center"/>
              <w:rPr>
                <w:noProof/>
              </w:rPr>
            </w:pPr>
            <w:r>
              <w:rPr>
                <w:noProof/>
              </w:rPr>
              <w:t>59</w:t>
            </w:r>
          </w:p>
        </w:tc>
        <w:tc>
          <w:tcPr>
            <w:tcW w:w="1975" w:type="pct"/>
            <w:shd w:val="clear" w:color="auto" w:fill="C6EFCE"/>
            <w:noWrap/>
            <w:vAlign w:val="center"/>
            <w:hideMark/>
          </w:tcPr>
          <w:p w14:paraId="5A11F598" w14:textId="77777777" w:rsidR="00235E11" w:rsidRDefault="00F837E4">
            <w:pPr>
              <w:pStyle w:val="P68B1DB1-Normal59"/>
              <w:spacing w:after="0"/>
              <w:rPr>
                <w:noProof/>
              </w:rPr>
            </w:pPr>
            <w:r>
              <w:rPr>
                <w:noProof/>
              </w:rPr>
              <w:t xml:space="preserve">Цифровизация на SPF (I-2.05) (подмярка 1: Цифрова трансформация на правосъдието) </w:t>
            </w:r>
          </w:p>
        </w:tc>
        <w:tc>
          <w:tcPr>
            <w:tcW w:w="383" w:type="pct"/>
            <w:shd w:val="clear" w:color="auto" w:fill="C6EFCE"/>
            <w:noWrap/>
            <w:vAlign w:val="center"/>
            <w:hideMark/>
          </w:tcPr>
          <w:p w14:paraId="7E07B10A"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081FD142" w14:textId="77777777" w:rsidR="00235E11" w:rsidRDefault="00F837E4">
            <w:pPr>
              <w:pStyle w:val="P68B1DB1-Normal59"/>
              <w:spacing w:after="0"/>
              <w:rPr>
                <w:noProof/>
              </w:rPr>
            </w:pPr>
            <w:r>
              <w:rPr>
                <w:noProof/>
              </w:rPr>
              <w:t>База данни за събиране на данни в реално време</w:t>
            </w:r>
          </w:p>
        </w:tc>
      </w:tr>
      <w:tr w:rsidR="00235E11" w14:paraId="2F1EB812" w14:textId="77777777">
        <w:trPr>
          <w:trHeight w:val="315"/>
        </w:trPr>
        <w:tc>
          <w:tcPr>
            <w:tcW w:w="388" w:type="pct"/>
            <w:shd w:val="clear" w:color="auto" w:fill="C6EFCE"/>
            <w:noWrap/>
            <w:vAlign w:val="center"/>
            <w:hideMark/>
          </w:tcPr>
          <w:p w14:paraId="1CF08631" w14:textId="77777777" w:rsidR="00235E11" w:rsidRDefault="00F837E4">
            <w:pPr>
              <w:pStyle w:val="P68B1DB1-Normal59"/>
              <w:spacing w:after="0"/>
              <w:jc w:val="center"/>
              <w:rPr>
                <w:noProof/>
              </w:rPr>
            </w:pPr>
            <w:r>
              <w:rPr>
                <w:noProof/>
              </w:rPr>
              <w:t>71</w:t>
            </w:r>
          </w:p>
        </w:tc>
        <w:tc>
          <w:tcPr>
            <w:tcW w:w="1975" w:type="pct"/>
            <w:shd w:val="clear" w:color="auto" w:fill="C6EFCE"/>
            <w:noWrap/>
            <w:vAlign w:val="center"/>
            <w:hideMark/>
          </w:tcPr>
          <w:p w14:paraId="5258BB86" w14:textId="77777777" w:rsidR="00235E11" w:rsidRDefault="00F837E4">
            <w:pPr>
              <w:pStyle w:val="P68B1DB1-Normal59"/>
              <w:spacing w:after="0"/>
              <w:rPr>
                <w:noProof/>
              </w:rPr>
            </w:pPr>
            <w:r>
              <w:rPr>
                <w:noProof/>
              </w:rPr>
              <w:t>Регионална платформа за обмен на данни (I-2.10)</w:t>
            </w:r>
          </w:p>
        </w:tc>
        <w:tc>
          <w:tcPr>
            <w:tcW w:w="383" w:type="pct"/>
            <w:shd w:val="clear" w:color="auto" w:fill="C6EFCE"/>
            <w:noWrap/>
            <w:vAlign w:val="center"/>
            <w:hideMark/>
          </w:tcPr>
          <w:p w14:paraId="311EE696"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0980D958" w14:textId="77777777" w:rsidR="00235E11" w:rsidRDefault="00F837E4">
            <w:pPr>
              <w:pStyle w:val="P68B1DB1-Normal59"/>
              <w:spacing w:after="0"/>
              <w:rPr>
                <w:noProof/>
              </w:rPr>
            </w:pPr>
            <w:r>
              <w:rPr>
                <w:noProof/>
              </w:rPr>
              <w:t>10 публични администрации получават подкрепа за разгръщането на проекти на регионалната платформа за данни</w:t>
            </w:r>
          </w:p>
        </w:tc>
      </w:tr>
      <w:tr w:rsidR="00235E11" w14:paraId="71BD2002" w14:textId="77777777">
        <w:trPr>
          <w:trHeight w:val="315"/>
        </w:trPr>
        <w:tc>
          <w:tcPr>
            <w:tcW w:w="388" w:type="pct"/>
            <w:shd w:val="clear" w:color="auto" w:fill="C6EFCE"/>
            <w:noWrap/>
            <w:vAlign w:val="center"/>
            <w:hideMark/>
          </w:tcPr>
          <w:p w14:paraId="48885FBB" w14:textId="77777777" w:rsidR="00235E11" w:rsidRDefault="00F837E4">
            <w:pPr>
              <w:pStyle w:val="P68B1DB1-Normal59"/>
              <w:spacing w:after="0"/>
              <w:jc w:val="center"/>
              <w:rPr>
                <w:noProof/>
              </w:rPr>
            </w:pPr>
            <w:r>
              <w:rPr>
                <w:noProof/>
              </w:rPr>
              <w:t>79</w:t>
            </w:r>
          </w:p>
        </w:tc>
        <w:tc>
          <w:tcPr>
            <w:tcW w:w="1975" w:type="pct"/>
            <w:shd w:val="clear" w:color="auto" w:fill="C6EFCE"/>
            <w:noWrap/>
            <w:vAlign w:val="center"/>
            <w:hideMark/>
          </w:tcPr>
          <w:p w14:paraId="32CD76EE" w14:textId="77777777" w:rsidR="00235E11" w:rsidRDefault="00F837E4">
            <w:pPr>
              <w:pStyle w:val="P68B1DB1-Normal59"/>
              <w:spacing w:after="0"/>
              <w:rPr>
                <w:noProof/>
              </w:rPr>
            </w:pPr>
            <w:r>
              <w:rPr>
                <w:noProof/>
              </w:rPr>
              <w:t>Електронно правителство: тръжна процедура (R-2.02)</w:t>
            </w:r>
          </w:p>
        </w:tc>
        <w:tc>
          <w:tcPr>
            <w:tcW w:w="383" w:type="pct"/>
            <w:shd w:val="clear" w:color="auto" w:fill="C6EFCE"/>
            <w:noWrap/>
            <w:vAlign w:val="center"/>
            <w:hideMark/>
          </w:tcPr>
          <w:p w14:paraId="0F5854D1"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4ABA8CEC" w14:textId="77777777" w:rsidR="00235E11" w:rsidRDefault="00F837E4">
            <w:pPr>
              <w:pStyle w:val="P68B1DB1-Normal59"/>
              <w:spacing w:after="0"/>
              <w:rPr>
                <w:noProof/>
              </w:rPr>
            </w:pPr>
            <w:r>
              <w:rPr>
                <w:noProof/>
              </w:rPr>
              <w:t>Прилагане на новия инструмент</w:t>
            </w:r>
          </w:p>
        </w:tc>
      </w:tr>
      <w:tr w:rsidR="00235E11" w14:paraId="0546D49C" w14:textId="77777777">
        <w:trPr>
          <w:trHeight w:val="315"/>
        </w:trPr>
        <w:tc>
          <w:tcPr>
            <w:tcW w:w="388" w:type="pct"/>
            <w:shd w:val="clear" w:color="auto" w:fill="C6EFCE"/>
            <w:noWrap/>
            <w:vAlign w:val="center"/>
            <w:hideMark/>
          </w:tcPr>
          <w:p w14:paraId="7F81EA9A" w14:textId="77777777" w:rsidR="00235E11" w:rsidRDefault="00F837E4">
            <w:pPr>
              <w:pStyle w:val="P68B1DB1-Normal59"/>
              <w:spacing w:after="0"/>
              <w:jc w:val="center"/>
              <w:rPr>
                <w:noProof/>
              </w:rPr>
            </w:pPr>
            <w:r>
              <w:rPr>
                <w:noProof/>
              </w:rPr>
              <w:t>83</w:t>
            </w:r>
          </w:p>
        </w:tc>
        <w:tc>
          <w:tcPr>
            <w:tcW w:w="1975" w:type="pct"/>
            <w:shd w:val="clear" w:color="auto" w:fill="C6EFCE"/>
            <w:noWrap/>
            <w:vAlign w:val="center"/>
            <w:hideMark/>
          </w:tcPr>
          <w:p w14:paraId="36121C25" w14:textId="77777777" w:rsidR="00235E11" w:rsidRDefault="00F837E4">
            <w:pPr>
              <w:pStyle w:val="P68B1DB1-Normal59"/>
              <w:spacing w:after="0"/>
              <w:rPr>
                <w:noProof/>
              </w:rPr>
            </w:pPr>
            <w:r>
              <w:rPr>
                <w:noProof/>
              </w:rPr>
              <w:t>Разработване на институт за ИИ с цел използване на тази технология за посрещане на обществени предизвикателства (I-2.14)</w:t>
            </w:r>
          </w:p>
        </w:tc>
        <w:tc>
          <w:tcPr>
            <w:tcW w:w="383" w:type="pct"/>
            <w:shd w:val="clear" w:color="auto" w:fill="C6EFCE"/>
            <w:noWrap/>
            <w:vAlign w:val="center"/>
            <w:hideMark/>
          </w:tcPr>
          <w:p w14:paraId="6FCE7734"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5EBFF5D5" w14:textId="77777777" w:rsidR="00235E11" w:rsidRDefault="00F837E4">
            <w:pPr>
              <w:pStyle w:val="P68B1DB1-Normal59"/>
              <w:spacing w:after="0"/>
              <w:rPr>
                <w:noProof/>
              </w:rPr>
            </w:pPr>
            <w:r>
              <w:rPr>
                <w:noProof/>
              </w:rPr>
              <w:t>Услуги в областта на ИИ, предоставяни от Института за общо благо</w:t>
            </w:r>
          </w:p>
        </w:tc>
      </w:tr>
      <w:tr w:rsidR="00235E11" w14:paraId="7834C4E2" w14:textId="77777777">
        <w:trPr>
          <w:trHeight w:val="315"/>
        </w:trPr>
        <w:tc>
          <w:tcPr>
            <w:tcW w:w="388" w:type="pct"/>
            <w:shd w:val="clear" w:color="auto" w:fill="C6EFCE"/>
            <w:noWrap/>
            <w:vAlign w:val="center"/>
            <w:hideMark/>
          </w:tcPr>
          <w:p w14:paraId="09570B30" w14:textId="77777777" w:rsidR="00235E11" w:rsidRDefault="00F837E4">
            <w:pPr>
              <w:pStyle w:val="P68B1DB1-Normal59"/>
              <w:spacing w:after="0"/>
              <w:jc w:val="center"/>
              <w:rPr>
                <w:noProof/>
              </w:rPr>
            </w:pPr>
            <w:r>
              <w:rPr>
                <w:noProof/>
              </w:rPr>
              <w:t>94</w:t>
            </w:r>
          </w:p>
        </w:tc>
        <w:tc>
          <w:tcPr>
            <w:tcW w:w="1975" w:type="pct"/>
            <w:shd w:val="clear" w:color="auto" w:fill="C6EFCE"/>
            <w:noWrap/>
            <w:vAlign w:val="center"/>
            <w:hideMark/>
          </w:tcPr>
          <w:p w14:paraId="6B54F1D9" w14:textId="77777777" w:rsidR="00235E11" w:rsidRDefault="00F837E4">
            <w:pPr>
              <w:pStyle w:val="P68B1DB1-Normal59"/>
              <w:spacing w:after="0"/>
              <w:rPr>
                <w:noProof/>
              </w:rPr>
            </w:pPr>
            <w:r>
              <w:rPr>
                <w:noProof/>
              </w:rPr>
              <w:t>Велосипедна инфраструктура (I-3A)</w:t>
            </w:r>
          </w:p>
        </w:tc>
        <w:tc>
          <w:tcPr>
            <w:tcW w:w="383" w:type="pct"/>
            <w:shd w:val="clear" w:color="auto" w:fill="C6EFCE"/>
            <w:noWrap/>
            <w:vAlign w:val="center"/>
            <w:hideMark/>
          </w:tcPr>
          <w:p w14:paraId="34CF01A0"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047E3145" w14:textId="77777777" w:rsidR="00235E11" w:rsidRDefault="00F837E4">
            <w:pPr>
              <w:pStyle w:val="P68B1DB1-Normal59"/>
              <w:spacing w:after="0"/>
              <w:rPr>
                <w:noProof/>
              </w:rPr>
            </w:pPr>
            <w:r>
              <w:rPr>
                <w:noProof/>
              </w:rPr>
              <w:t>Начало на всички проекти за колоездене и ходене пеша</w:t>
            </w:r>
          </w:p>
        </w:tc>
      </w:tr>
      <w:tr w:rsidR="00235E11" w14:paraId="57E0D143" w14:textId="77777777">
        <w:trPr>
          <w:trHeight w:val="315"/>
        </w:trPr>
        <w:tc>
          <w:tcPr>
            <w:tcW w:w="388" w:type="pct"/>
            <w:shd w:val="clear" w:color="auto" w:fill="C6EFCE"/>
            <w:noWrap/>
            <w:vAlign w:val="center"/>
            <w:hideMark/>
          </w:tcPr>
          <w:p w14:paraId="1B72015F" w14:textId="77777777" w:rsidR="00235E11" w:rsidRDefault="00F837E4">
            <w:pPr>
              <w:pStyle w:val="P68B1DB1-Normal59"/>
              <w:spacing w:after="0"/>
              <w:jc w:val="center"/>
              <w:rPr>
                <w:noProof/>
              </w:rPr>
            </w:pPr>
            <w:r>
              <w:rPr>
                <w:noProof/>
              </w:rPr>
              <w:t>95</w:t>
            </w:r>
          </w:p>
        </w:tc>
        <w:tc>
          <w:tcPr>
            <w:tcW w:w="1975" w:type="pct"/>
            <w:shd w:val="clear" w:color="auto" w:fill="C6EFCE"/>
            <w:noWrap/>
            <w:vAlign w:val="center"/>
            <w:hideMark/>
          </w:tcPr>
          <w:p w14:paraId="7FAB694F" w14:textId="77777777" w:rsidR="00235E11" w:rsidRDefault="00F837E4">
            <w:pPr>
              <w:pStyle w:val="P68B1DB1-Normal59"/>
              <w:spacing w:after="0"/>
              <w:rPr>
                <w:noProof/>
              </w:rPr>
            </w:pPr>
            <w:r>
              <w:rPr>
                <w:noProof/>
              </w:rPr>
              <w:t>Велосипедна инфраструктура (I-3A)</w:t>
            </w:r>
          </w:p>
        </w:tc>
        <w:tc>
          <w:tcPr>
            <w:tcW w:w="383" w:type="pct"/>
            <w:shd w:val="clear" w:color="auto" w:fill="C6EFCE"/>
            <w:noWrap/>
            <w:vAlign w:val="center"/>
            <w:hideMark/>
          </w:tcPr>
          <w:p w14:paraId="6DF3E6B2"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40E62330" w14:textId="77777777" w:rsidR="00235E11" w:rsidRDefault="00F837E4">
            <w:pPr>
              <w:pStyle w:val="P68B1DB1-Normal59"/>
              <w:spacing w:after="0"/>
              <w:rPr>
                <w:noProof/>
              </w:rPr>
            </w:pPr>
            <w:r>
              <w:rPr>
                <w:noProof/>
              </w:rPr>
              <w:t>Нови и ремонтирани велосипедни пътища</w:t>
            </w:r>
          </w:p>
        </w:tc>
      </w:tr>
      <w:tr w:rsidR="00235E11" w14:paraId="6A423A05" w14:textId="77777777">
        <w:trPr>
          <w:trHeight w:val="315"/>
        </w:trPr>
        <w:tc>
          <w:tcPr>
            <w:tcW w:w="388" w:type="pct"/>
            <w:shd w:val="clear" w:color="auto" w:fill="C6EFCE"/>
            <w:noWrap/>
            <w:vAlign w:val="center"/>
            <w:hideMark/>
          </w:tcPr>
          <w:p w14:paraId="66C8D599" w14:textId="77777777" w:rsidR="00235E11" w:rsidRDefault="00F837E4">
            <w:pPr>
              <w:pStyle w:val="P68B1DB1-Normal59"/>
              <w:spacing w:after="0"/>
              <w:jc w:val="center"/>
              <w:rPr>
                <w:noProof/>
              </w:rPr>
            </w:pPr>
            <w:r>
              <w:rPr>
                <w:noProof/>
              </w:rPr>
              <w:t>102</w:t>
            </w:r>
          </w:p>
        </w:tc>
        <w:tc>
          <w:tcPr>
            <w:tcW w:w="1975" w:type="pct"/>
            <w:shd w:val="clear" w:color="auto" w:fill="C6EFCE"/>
            <w:noWrap/>
            <w:vAlign w:val="center"/>
            <w:hideMark/>
          </w:tcPr>
          <w:p w14:paraId="41B73BC1" w14:textId="77777777" w:rsidR="00235E11" w:rsidRDefault="00F837E4">
            <w:pPr>
              <w:pStyle w:val="P68B1DB1-Normal59"/>
              <w:spacing w:after="0"/>
              <w:rPr>
                <w:noProof/>
              </w:rPr>
            </w:pPr>
            <w:r>
              <w:rPr>
                <w:noProof/>
              </w:rPr>
              <w:t>Подобряване на обществения транспорт във Валония (I-3B)</w:t>
            </w:r>
          </w:p>
        </w:tc>
        <w:tc>
          <w:tcPr>
            <w:tcW w:w="383" w:type="pct"/>
            <w:shd w:val="clear" w:color="auto" w:fill="C6EFCE"/>
            <w:noWrap/>
            <w:vAlign w:val="center"/>
            <w:hideMark/>
          </w:tcPr>
          <w:p w14:paraId="2D7C278B"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0F05BD77" w14:textId="77777777" w:rsidR="00235E11" w:rsidRDefault="00F837E4">
            <w:pPr>
              <w:pStyle w:val="P68B1DB1-Normal59"/>
              <w:spacing w:after="0"/>
              <w:rPr>
                <w:noProof/>
              </w:rPr>
            </w:pPr>
            <w:r>
              <w:rPr>
                <w:noProof/>
              </w:rPr>
              <w:t>Подписване на ревизиран договор за обществена услуга на OTW („Organisme de Transport de Wallonie“)</w:t>
            </w:r>
          </w:p>
        </w:tc>
      </w:tr>
      <w:tr w:rsidR="00235E11" w14:paraId="7B81E82F" w14:textId="77777777">
        <w:trPr>
          <w:trHeight w:val="315"/>
        </w:trPr>
        <w:tc>
          <w:tcPr>
            <w:tcW w:w="388" w:type="pct"/>
            <w:shd w:val="clear" w:color="auto" w:fill="C6EFCE"/>
            <w:noWrap/>
            <w:vAlign w:val="center"/>
            <w:hideMark/>
          </w:tcPr>
          <w:p w14:paraId="09B8D013" w14:textId="77777777" w:rsidR="00235E11" w:rsidRDefault="00F837E4">
            <w:pPr>
              <w:pStyle w:val="P68B1DB1-Normal59"/>
              <w:spacing w:after="0"/>
              <w:jc w:val="center"/>
              <w:rPr>
                <w:noProof/>
              </w:rPr>
            </w:pPr>
            <w:r>
              <w:rPr>
                <w:noProof/>
              </w:rPr>
              <w:t>109</w:t>
            </w:r>
          </w:p>
        </w:tc>
        <w:tc>
          <w:tcPr>
            <w:tcW w:w="1975" w:type="pct"/>
            <w:shd w:val="clear" w:color="auto" w:fill="C6EFCE"/>
            <w:noWrap/>
            <w:vAlign w:val="center"/>
            <w:hideMark/>
          </w:tcPr>
          <w:p w14:paraId="12131EDB" w14:textId="77777777" w:rsidR="00235E11" w:rsidRDefault="00F837E4">
            <w:pPr>
              <w:pStyle w:val="P68B1DB1-Normal59"/>
              <w:spacing w:after="0"/>
              <w:rPr>
                <w:noProof/>
              </w:rPr>
            </w:pPr>
            <w:r>
              <w:rPr>
                <w:noProof/>
              </w:rPr>
              <w:t>Going Live of rail IT модули (I-3E)</w:t>
            </w:r>
          </w:p>
        </w:tc>
        <w:tc>
          <w:tcPr>
            <w:tcW w:w="383" w:type="pct"/>
            <w:shd w:val="clear" w:color="auto" w:fill="C6EFCE"/>
            <w:noWrap/>
            <w:vAlign w:val="center"/>
            <w:hideMark/>
          </w:tcPr>
          <w:p w14:paraId="029362A5"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6B3C186C" w14:textId="77777777" w:rsidR="00235E11" w:rsidRDefault="00F837E4">
            <w:pPr>
              <w:pStyle w:val="P68B1DB1-Normal59"/>
              <w:spacing w:after="0"/>
              <w:rPr>
                <w:noProof/>
              </w:rPr>
            </w:pPr>
            <w:r>
              <w:rPr>
                <w:noProof/>
              </w:rPr>
              <w:t>Влизане в действие на ИТ модулите на железопътния транспорт</w:t>
            </w:r>
          </w:p>
        </w:tc>
      </w:tr>
      <w:tr w:rsidR="00235E11" w14:paraId="22E2AB3E" w14:textId="77777777">
        <w:trPr>
          <w:trHeight w:val="315"/>
        </w:trPr>
        <w:tc>
          <w:tcPr>
            <w:tcW w:w="388" w:type="pct"/>
            <w:shd w:val="clear" w:color="auto" w:fill="C6EFCE"/>
            <w:noWrap/>
            <w:vAlign w:val="center"/>
            <w:hideMark/>
          </w:tcPr>
          <w:p w14:paraId="41B55B12" w14:textId="77777777" w:rsidR="00235E11" w:rsidRDefault="00F837E4">
            <w:pPr>
              <w:pStyle w:val="P68B1DB1-Normal59"/>
              <w:spacing w:after="0"/>
              <w:jc w:val="center"/>
              <w:rPr>
                <w:noProof/>
              </w:rPr>
            </w:pPr>
            <w:r>
              <w:rPr>
                <w:noProof/>
              </w:rPr>
              <w:t>114</w:t>
            </w:r>
          </w:p>
        </w:tc>
        <w:tc>
          <w:tcPr>
            <w:tcW w:w="1975" w:type="pct"/>
            <w:shd w:val="clear" w:color="auto" w:fill="C6EFCE"/>
            <w:noWrap/>
            <w:vAlign w:val="center"/>
            <w:hideMark/>
          </w:tcPr>
          <w:p w14:paraId="65738F16" w14:textId="77777777" w:rsidR="00235E11" w:rsidRDefault="00F837E4">
            <w:pPr>
              <w:pStyle w:val="P68B1DB1-Normal59"/>
              <w:spacing w:after="0"/>
              <w:rPr>
                <w:noProof/>
              </w:rPr>
            </w:pPr>
            <w:r>
              <w:rPr>
                <w:noProof/>
              </w:rPr>
              <w:t>Екологизиране на автобусния парк (I-3G)</w:t>
            </w:r>
          </w:p>
        </w:tc>
        <w:tc>
          <w:tcPr>
            <w:tcW w:w="383" w:type="pct"/>
            <w:shd w:val="clear" w:color="auto" w:fill="C6EFCE"/>
            <w:noWrap/>
            <w:vAlign w:val="center"/>
            <w:hideMark/>
          </w:tcPr>
          <w:p w14:paraId="1D453F1F"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049352F8" w14:textId="77777777" w:rsidR="00235E11" w:rsidRDefault="00F837E4">
            <w:pPr>
              <w:pStyle w:val="P68B1DB1-Normal59"/>
              <w:spacing w:after="0"/>
              <w:rPr>
                <w:noProof/>
              </w:rPr>
            </w:pPr>
            <w:r>
              <w:rPr>
                <w:noProof/>
              </w:rPr>
              <w:t>Официален ред за зелени автобуси и свързаната с тях инфраструктура за зареждане във Фландрия и Брюксел</w:t>
            </w:r>
          </w:p>
        </w:tc>
      </w:tr>
      <w:tr w:rsidR="00235E11" w14:paraId="4B9BF15E" w14:textId="77777777">
        <w:trPr>
          <w:trHeight w:val="315"/>
        </w:trPr>
        <w:tc>
          <w:tcPr>
            <w:tcW w:w="388" w:type="pct"/>
            <w:shd w:val="clear" w:color="auto" w:fill="C6EFCE"/>
            <w:noWrap/>
            <w:vAlign w:val="center"/>
            <w:hideMark/>
          </w:tcPr>
          <w:p w14:paraId="6CD0375F" w14:textId="77777777" w:rsidR="00235E11" w:rsidRDefault="00F837E4">
            <w:pPr>
              <w:pStyle w:val="P68B1DB1-Normal59"/>
              <w:spacing w:after="0"/>
              <w:jc w:val="center"/>
              <w:rPr>
                <w:noProof/>
              </w:rPr>
            </w:pPr>
            <w:r>
              <w:rPr>
                <w:noProof/>
              </w:rPr>
              <w:t>125</w:t>
            </w:r>
          </w:p>
        </w:tc>
        <w:tc>
          <w:tcPr>
            <w:tcW w:w="1975" w:type="pct"/>
            <w:shd w:val="clear" w:color="auto" w:fill="C6EFCE"/>
            <w:noWrap/>
            <w:vAlign w:val="center"/>
            <w:hideMark/>
          </w:tcPr>
          <w:p w14:paraId="0AE92D27" w14:textId="77777777" w:rsidR="00235E11" w:rsidRDefault="00F837E4">
            <w:pPr>
              <w:pStyle w:val="P68B1DB1-Normal59"/>
              <w:spacing w:after="0"/>
              <w:rPr>
                <w:noProof/>
              </w:rPr>
            </w:pPr>
            <w:r>
              <w:rPr>
                <w:noProof/>
              </w:rPr>
              <w:t>Измами с емисии (R-3.07)</w:t>
            </w:r>
          </w:p>
        </w:tc>
        <w:tc>
          <w:tcPr>
            <w:tcW w:w="383" w:type="pct"/>
            <w:shd w:val="clear" w:color="auto" w:fill="C6EFCE"/>
            <w:noWrap/>
            <w:vAlign w:val="center"/>
            <w:hideMark/>
          </w:tcPr>
          <w:p w14:paraId="2E75EB8A"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7CD9D3B6" w14:textId="77777777" w:rsidR="00235E11" w:rsidRDefault="00F837E4">
            <w:pPr>
              <w:pStyle w:val="P68B1DB1-Normal59"/>
              <w:spacing w:after="0"/>
              <w:rPr>
                <w:noProof/>
              </w:rPr>
            </w:pPr>
            <w:r>
              <w:rPr>
                <w:noProof/>
              </w:rPr>
              <w:t>ИТ система, която обединява данни за емисиите със наблюдения на периодични технически инспекции и инспекции за пътна безопасност при експлоатация</w:t>
            </w:r>
          </w:p>
        </w:tc>
      </w:tr>
      <w:tr w:rsidR="00235E11" w14:paraId="4AEDD63C" w14:textId="77777777">
        <w:trPr>
          <w:trHeight w:val="315"/>
        </w:trPr>
        <w:tc>
          <w:tcPr>
            <w:tcW w:w="388" w:type="pct"/>
            <w:shd w:val="clear" w:color="auto" w:fill="C6EFCE"/>
            <w:noWrap/>
            <w:vAlign w:val="center"/>
            <w:hideMark/>
          </w:tcPr>
          <w:p w14:paraId="38876D8E" w14:textId="77777777" w:rsidR="00235E11" w:rsidRDefault="00F837E4">
            <w:pPr>
              <w:pStyle w:val="P68B1DB1-Normal59"/>
              <w:spacing w:after="0"/>
              <w:jc w:val="center"/>
              <w:rPr>
                <w:noProof/>
              </w:rPr>
            </w:pPr>
            <w:r>
              <w:rPr>
                <w:noProof/>
              </w:rPr>
              <w:t>129</w:t>
            </w:r>
          </w:p>
        </w:tc>
        <w:tc>
          <w:tcPr>
            <w:tcW w:w="1975" w:type="pct"/>
            <w:shd w:val="clear" w:color="auto" w:fill="C6EFCE"/>
            <w:noWrap/>
            <w:vAlign w:val="center"/>
            <w:hideMark/>
          </w:tcPr>
          <w:p w14:paraId="3E82A239" w14:textId="77777777" w:rsidR="00235E11" w:rsidRDefault="00F837E4">
            <w:pPr>
              <w:pStyle w:val="P68B1DB1-Normal59"/>
              <w:spacing w:after="0"/>
              <w:rPr>
                <w:noProof/>
              </w:rPr>
            </w:pPr>
            <w:r>
              <w:rPr>
                <w:noProof/>
              </w:rPr>
              <w:t>Глобален план за действие срещу преждевременното напускане на училище (R-4.03)</w:t>
            </w:r>
          </w:p>
        </w:tc>
        <w:tc>
          <w:tcPr>
            <w:tcW w:w="383" w:type="pct"/>
            <w:shd w:val="clear" w:color="auto" w:fill="C6EFCE"/>
            <w:noWrap/>
            <w:vAlign w:val="center"/>
            <w:hideMark/>
          </w:tcPr>
          <w:p w14:paraId="3496430B"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0396CAC7" w14:textId="77777777" w:rsidR="00235E11" w:rsidRDefault="00F837E4">
            <w:pPr>
              <w:pStyle w:val="P68B1DB1-Normal59"/>
              <w:spacing w:after="0"/>
              <w:rPr>
                <w:noProof/>
              </w:rPr>
            </w:pPr>
            <w:r>
              <w:rPr>
                <w:noProof/>
              </w:rPr>
              <w:t>Нов всеобхватен план за борба с отпадането от училище</w:t>
            </w:r>
          </w:p>
        </w:tc>
      </w:tr>
      <w:tr w:rsidR="00235E11" w14:paraId="513D0A47" w14:textId="77777777">
        <w:trPr>
          <w:trHeight w:val="315"/>
        </w:trPr>
        <w:tc>
          <w:tcPr>
            <w:tcW w:w="388" w:type="pct"/>
            <w:shd w:val="clear" w:color="auto" w:fill="C6EFCE"/>
            <w:noWrap/>
            <w:vAlign w:val="center"/>
            <w:hideMark/>
          </w:tcPr>
          <w:p w14:paraId="2140A081" w14:textId="77777777" w:rsidR="00235E11" w:rsidRDefault="00F837E4">
            <w:pPr>
              <w:pStyle w:val="P68B1DB1-Normal59"/>
              <w:spacing w:after="0"/>
              <w:jc w:val="center"/>
              <w:rPr>
                <w:noProof/>
              </w:rPr>
            </w:pPr>
            <w:r>
              <w:rPr>
                <w:noProof/>
              </w:rPr>
              <w:t>138</w:t>
            </w:r>
          </w:p>
        </w:tc>
        <w:tc>
          <w:tcPr>
            <w:tcW w:w="1975" w:type="pct"/>
            <w:shd w:val="clear" w:color="auto" w:fill="C6EFCE"/>
            <w:noWrap/>
            <w:vAlign w:val="center"/>
            <w:hideMark/>
          </w:tcPr>
          <w:p w14:paraId="475A2D22" w14:textId="77777777" w:rsidR="00235E11" w:rsidRDefault="00F837E4">
            <w:pPr>
              <w:pStyle w:val="P68B1DB1-Normal59"/>
              <w:spacing w:after="0"/>
              <w:rPr>
                <w:noProof/>
              </w:rPr>
            </w:pPr>
            <w:r>
              <w:rPr>
                <w:noProof/>
              </w:rPr>
              <w:t>Цифрова трансформация за училищата в Брюксел (I-4.05)</w:t>
            </w:r>
          </w:p>
        </w:tc>
        <w:tc>
          <w:tcPr>
            <w:tcW w:w="383" w:type="pct"/>
            <w:shd w:val="clear" w:color="auto" w:fill="C6EFCE"/>
            <w:noWrap/>
            <w:vAlign w:val="center"/>
            <w:hideMark/>
          </w:tcPr>
          <w:p w14:paraId="69825B00"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48E9ED2F" w14:textId="77777777" w:rsidR="00235E11" w:rsidRDefault="00F837E4">
            <w:pPr>
              <w:pStyle w:val="P68B1DB1-Normal59"/>
              <w:spacing w:after="0"/>
              <w:rPr>
                <w:noProof/>
              </w:rPr>
            </w:pPr>
            <w:r>
              <w:rPr>
                <w:noProof/>
              </w:rPr>
              <w:t>Оборудване на училищата/институциите с подходящи ИКТ устройства и инфраструктура за подобряване на цялостното функциониране на образователните системи</w:t>
            </w:r>
          </w:p>
        </w:tc>
      </w:tr>
      <w:tr w:rsidR="00235E11" w14:paraId="063FFE34" w14:textId="77777777">
        <w:trPr>
          <w:trHeight w:val="315"/>
        </w:trPr>
        <w:tc>
          <w:tcPr>
            <w:tcW w:w="388" w:type="pct"/>
            <w:shd w:val="clear" w:color="auto" w:fill="C6EFCE"/>
            <w:noWrap/>
            <w:vAlign w:val="center"/>
            <w:hideMark/>
          </w:tcPr>
          <w:p w14:paraId="2DC01658" w14:textId="77777777" w:rsidR="00235E11" w:rsidRDefault="00F837E4">
            <w:pPr>
              <w:pStyle w:val="P68B1DB1-Normal59"/>
              <w:spacing w:after="0"/>
              <w:jc w:val="center"/>
              <w:rPr>
                <w:noProof/>
              </w:rPr>
            </w:pPr>
            <w:r>
              <w:rPr>
                <w:noProof/>
              </w:rPr>
              <w:t>139</w:t>
            </w:r>
          </w:p>
        </w:tc>
        <w:tc>
          <w:tcPr>
            <w:tcW w:w="1975" w:type="pct"/>
            <w:shd w:val="clear" w:color="auto" w:fill="C6EFCE"/>
            <w:noWrap/>
            <w:vAlign w:val="center"/>
            <w:hideMark/>
          </w:tcPr>
          <w:p w14:paraId="3D25EB8F" w14:textId="77777777" w:rsidR="00235E11" w:rsidRDefault="00F837E4">
            <w:pPr>
              <w:pStyle w:val="P68B1DB1-Normal59"/>
              <w:spacing w:after="0"/>
              <w:rPr>
                <w:noProof/>
              </w:rPr>
            </w:pPr>
            <w:r>
              <w:rPr>
                <w:noProof/>
              </w:rPr>
              <w:t>Стратегия за преквалифициране (R-4.05)</w:t>
            </w:r>
          </w:p>
        </w:tc>
        <w:tc>
          <w:tcPr>
            <w:tcW w:w="383" w:type="pct"/>
            <w:shd w:val="clear" w:color="auto" w:fill="C6EFCE"/>
            <w:noWrap/>
            <w:vAlign w:val="center"/>
            <w:hideMark/>
          </w:tcPr>
          <w:p w14:paraId="72CAB2A0"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6533909F" w14:textId="77777777" w:rsidR="00235E11" w:rsidRDefault="00F837E4">
            <w:pPr>
              <w:pStyle w:val="P68B1DB1-Normal59"/>
              <w:spacing w:after="0"/>
              <w:rPr>
                <w:noProof/>
              </w:rPr>
            </w:pPr>
            <w:r>
              <w:rPr>
                <w:noProof/>
              </w:rPr>
              <w:t>Приемане на нормативни текстове от правителството на Брюксел за насърчаване на интеграцията на уязвимите групи на пазара на труда</w:t>
            </w:r>
          </w:p>
        </w:tc>
      </w:tr>
      <w:tr w:rsidR="00235E11" w14:paraId="60B4EBD3" w14:textId="77777777">
        <w:trPr>
          <w:trHeight w:val="315"/>
        </w:trPr>
        <w:tc>
          <w:tcPr>
            <w:tcW w:w="388" w:type="pct"/>
            <w:shd w:val="clear" w:color="auto" w:fill="C6EFCE"/>
            <w:noWrap/>
            <w:vAlign w:val="center"/>
            <w:hideMark/>
          </w:tcPr>
          <w:p w14:paraId="6007CD95" w14:textId="77777777" w:rsidR="00235E11" w:rsidRDefault="00F837E4">
            <w:pPr>
              <w:pStyle w:val="P68B1DB1-Normal59"/>
              <w:spacing w:after="0"/>
              <w:jc w:val="center"/>
              <w:rPr>
                <w:noProof/>
              </w:rPr>
            </w:pPr>
            <w:r>
              <w:rPr>
                <w:noProof/>
              </w:rPr>
              <w:t>144</w:t>
            </w:r>
          </w:p>
        </w:tc>
        <w:tc>
          <w:tcPr>
            <w:tcW w:w="1975" w:type="pct"/>
            <w:shd w:val="clear" w:color="auto" w:fill="C6EFCE"/>
            <w:noWrap/>
            <w:vAlign w:val="center"/>
            <w:hideMark/>
          </w:tcPr>
          <w:p w14:paraId="2666ABEA" w14:textId="77777777" w:rsidR="00235E11" w:rsidRDefault="00F837E4">
            <w:pPr>
              <w:pStyle w:val="P68B1DB1-Normal59"/>
              <w:spacing w:after="0"/>
              <w:rPr>
                <w:noProof/>
              </w:rPr>
            </w:pPr>
            <w:r>
              <w:rPr>
                <w:noProof/>
              </w:rPr>
              <w:t>Стратегия за преквалифициране (I-4.07)</w:t>
            </w:r>
          </w:p>
        </w:tc>
        <w:tc>
          <w:tcPr>
            <w:tcW w:w="383" w:type="pct"/>
            <w:shd w:val="clear" w:color="auto" w:fill="C6EFCE"/>
            <w:noWrap/>
            <w:vAlign w:val="center"/>
            <w:hideMark/>
          </w:tcPr>
          <w:p w14:paraId="4BDE013B"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1EE20A61" w14:textId="77777777" w:rsidR="00235E11" w:rsidRDefault="00F837E4">
            <w:pPr>
              <w:pStyle w:val="P68B1DB1-Normal59"/>
              <w:spacing w:after="0"/>
              <w:rPr>
                <w:noProof/>
              </w:rPr>
            </w:pPr>
            <w:r>
              <w:rPr>
                <w:noProof/>
              </w:rPr>
              <w:t>Профил на компетентност и съвети за работа</w:t>
            </w:r>
          </w:p>
        </w:tc>
      </w:tr>
      <w:tr w:rsidR="00235E11" w14:paraId="0DA92500" w14:textId="77777777">
        <w:trPr>
          <w:trHeight w:val="315"/>
        </w:trPr>
        <w:tc>
          <w:tcPr>
            <w:tcW w:w="388" w:type="pct"/>
            <w:shd w:val="clear" w:color="auto" w:fill="C6EFCE"/>
            <w:noWrap/>
            <w:vAlign w:val="center"/>
            <w:hideMark/>
          </w:tcPr>
          <w:p w14:paraId="17C7ED86" w14:textId="77777777" w:rsidR="00235E11" w:rsidRDefault="00F837E4">
            <w:pPr>
              <w:pStyle w:val="P68B1DB1-Normal59"/>
              <w:spacing w:after="0"/>
              <w:jc w:val="center"/>
              <w:rPr>
                <w:noProof/>
              </w:rPr>
            </w:pPr>
            <w:r>
              <w:rPr>
                <w:noProof/>
              </w:rPr>
              <w:t>146</w:t>
            </w:r>
          </w:p>
        </w:tc>
        <w:tc>
          <w:tcPr>
            <w:tcW w:w="1975" w:type="pct"/>
            <w:shd w:val="clear" w:color="auto" w:fill="C6EFCE"/>
            <w:noWrap/>
            <w:vAlign w:val="center"/>
            <w:hideMark/>
          </w:tcPr>
          <w:p w14:paraId="6BEFE86C" w14:textId="77777777" w:rsidR="00235E11" w:rsidRDefault="00F837E4">
            <w:pPr>
              <w:pStyle w:val="P68B1DB1-Normal59"/>
              <w:spacing w:after="0"/>
              <w:rPr>
                <w:noProof/>
              </w:rPr>
            </w:pPr>
            <w:r>
              <w:rPr>
                <w:noProof/>
              </w:rPr>
              <w:t>Електронно приобщаване за Белгия (I-4.08)</w:t>
            </w:r>
          </w:p>
        </w:tc>
        <w:tc>
          <w:tcPr>
            <w:tcW w:w="383" w:type="pct"/>
            <w:shd w:val="clear" w:color="auto" w:fill="C6EFCE"/>
            <w:noWrap/>
            <w:vAlign w:val="center"/>
            <w:hideMark/>
          </w:tcPr>
          <w:p w14:paraId="6DB460A8"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3BECFCC0" w14:textId="77777777" w:rsidR="00235E11" w:rsidRDefault="00F837E4">
            <w:pPr>
              <w:pStyle w:val="P68B1DB1-Normal59"/>
              <w:spacing w:after="0"/>
              <w:rPr>
                <w:noProof/>
              </w:rPr>
            </w:pPr>
            <w:r>
              <w:rPr>
                <w:noProof/>
              </w:rPr>
              <w:t>Отпускане на безвъзмездни средства</w:t>
            </w:r>
          </w:p>
        </w:tc>
      </w:tr>
      <w:tr w:rsidR="00235E11" w14:paraId="53773408" w14:textId="77777777">
        <w:trPr>
          <w:trHeight w:val="315"/>
        </w:trPr>
        <w:tc>
          <w:tcPr>
            <w:tcW w:w="388" w:type="pct"/>
            <w:shd w:val="clear" w:color="auto" w:fill="C6EFCE"/>
            <w:noWrap/>
            <w:vAlign w:val="center"/>
            <w:hideMark/>
          </w:tcPr>
          <w:p w14:paraId="2CFD1CE9" w14:textId="77777777" w:rsidR="00235E11" w:rsidRDefault="00F837E4">
            <w:pPr>
              <w:pStyle w:val="P68B1DB1-Normal59"/>
              <w:spacing w:after="0"/>
              <w:jc w:val="center"/>
              <w:rPr>
                <w:noProof/>
              </w:rPr>
            </w:pPr>
            <w:r>
              <w:rPr>
                <w:noProof/>
              </w:rPr>
              <w:t>147</w:t>
            </w:r>
          </w:p>
        </w:tc>
        <w:tc>
          <w:tcPr>
            <w:tcW w:w="1975" w:type="pct"/>
            <w:shd w:val="clear" w:color="auto" w:fill="C6EFCE"/>
            <w:noWrap/>
            <w:vAlign w:val="center"/>
            <w:hideMark/>
          </w:tcPr>
          <w:p w14:paraId="054ADB0F" w14:textId="77777777" w:rsidR="00235E11" w:rsidRDefault="00F837E4">
            <w:pPr>
              <w:pStyle w:val="P68B1DB1-Normal59"/>
              <w:spacing w:after="0"/>
              <w:rPr>
                <w:noProof/>
              </w:rPr>
            </w:pPr>
            <w:r>
              <w:rPr>
                <w:noProof/>
              </w:rPr>
              <w:t>Цифрови платформи за затворници (I-4.09)</w:t>
            </w:r>
          </w:p>
        </w:tc>
        <w:tc>
          <w:tcPr>
            <w:tcW w:w="383" w:type="pct"/>
            <w:shd w:val="clear" w:color="auto" w:fill="C6EFCE"/>
            <w:noWrap/>
            <w:vAlign w:val="center"/>
            <w:hideMark/>
          </w:tcPr>
          <w:p w14:paraId="23C27BB5"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77109D80" w14:textId="77777777" w:rsidR="00235E11" w:rsidRDefault="00F837E4">
            <w:pPr>
              <w:pStyle w:val="P68B1DB1-Normal59"/>
              <w:spacing w:after="0"/>
              <w:rPr>
                <w:noProof/>
              </w:rPr>
            </w:pPr>
            <w:r>
              <w:rPr>
                <w:noProof/>
              </w:rPr>
              <w:t>Приключване на въвеждането</w:t>
            </w:r>
          </w:p>
        </w:tc>
      </w:tr>
      <w:tr w:rsidR="00235E11" w14:paraId="71A996F7" w14:textId="77777777">
        <w:trPr>
          <w:trHeight w:val="315"/>
        </w:trPr>
        <w:tc>
          <w:tcPr>
            <w:tcW w:w="388" w:type="pct"/>
            <w:shd w:val="clear" w:color="auto" w:fill="C6EFCE"/>
            <w:noWrap/>
            <w:vAlign w:val="center"/>
            <w:hideMark/>
          </w:tcPr>
          <w:p w14:paraId="1F13EC8D" w14:textId="77777777" w:rsidR="00235E11" w:rsidRDefault="00F837E4">
            <w:pPr>
              <w:pStyle w:val="P68B1DB1-Normal59"/>
              <w:spacing w:after="0"/>
              <w:jc w:val="center"/>
              <w:rPr>
                <w:noProof/>
              </w:rPr>
            </w:pPr>
            <w:r>
              <w:rPr>
                <w:noProof/>
              </w:rPr>
              <w:t>148</w:t>
            </w:r>
          </w:p>
        </w:tc>
        <w:tc>
          <w:tcPr>
            <w:tcW w:w="1975" w:type="pct"/>
            <w:shd w:val="clear" w:color="auto" w:fill="C6EFCE"/>
            <w:noWrap/>
            <w:vAlign w:val="center"/>
            <w:hideMark/>
          </w:tcPr>
          <w:p w14:paraId="5A66A84D" w14:textId="77777777" w:rsidR="00235E11" w:rsidRDefault="00F837E4">
            <w:pPr>
              <w:pStyle w:val="P68B1DB1-Normal59"/>
              <w:spacing w:after="0"/>
              <w:rPr>
                <w:noProof/>
              </w:rPr>
            </w:pPr>
            <w:r>
              <w:rPr>
                <w:noProof/>
              </w:rPr>
              <w:t>Пол и труд (I-4.10)</w:t>
            </w:r>
          </w:p>
        </w:tc>
        <w:tc>
          <w:tcPr>
            <w:tcW w:w="383" w:type="pct"/>
            <w:shd w:val="clear" w:color="auto" w:fill="C6EFCE"/>
            <w:noWrap/>
            <w:vAlign w:val="center"/>
            <w:hideMark/>
          </w:tcPr>
          <w:p w14:paraId="2F536BF6"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2E619BFA" w14:textId="77777777" w:rsidR="00235E11" w:rsidRDefault="00F837E4">
            <w:pPr>
              <w:pStyle w:val="P68B1DB1-Normal59"/>
              <w:spacing w:after="0"/>
              <w:rPr>
                <w:noProof/>
              </w:rPr>
            </w:pPr>
            <w:r>
              <w:rPr>
                <w:noProof/>
              </w:rPr>
              <w:t>Участие на жените в проекти на място</w:t>
            </w:r>
          </w:p>
        </w:tc>
      </w:tr>
      <w:tr w:rsidR="00235E11" w14:paraId="4EC52FB8" w14:textId="77777777">
        <w:trPr>
          <w:trHeight w:val="315"/>
        </w:trPr>
        <w:tc>
          <w:tcPr>
            <w:tcW w:w="388" w:type="pct"/>
            <w:shd w:val="clear" w:color="auto" w:fill="C6EFCE"/>
            <w:noWrap/>
            <w:vAlign w:val="center"/>
            <w:hideMark/>
          </w:tcPr>
          <w:p w14:paraId="12117712" w14:textId="77777777" w:rsidR="00235E11" w:rsidRDefault="00F837E4">
            <w:pPr>
              <w:pStyle w:val="P68B1DB1-Normal59"/>
              <w:spacing w:after="0"/>
              <w:jc w:val="center"/>
              <w:rPr>
                <w:noProof/>
              </w:rPr>
            </w:pPr>
            <w:r>
              <w:rPr>
                <w:noProof/>
              </w:rPr>
              <w:t>151</w:t>
            </w:r>
          </w:p>
        </w:tc>
        <w:tc>
          <w:tcPr>
            <w:tcW w:w="1975" w:type="pct"/>
            <w:shd w:val="clear" w:color="auto" w:fill="C6EFCE"/>
            <w:noWrap/>
            <w:vAlign w:val="center"/>
            <w:hideMark/>
          </w:tcPr>
          <w:p w14:paraId="4311B266" w14:textId="77777777" w:rsidR="00235E11" w:rsidRDefault="00F837E4">
            <w:pPr>
              <w:pStyle w:val="P68B1DB1-Normal59"/>
              <w:spacing w:after="0"/>
              <w:rPr>
                <w:noProof/>
              </w:rPr>
            </w:pPr>
            <w:r>
              <w:rPr>
                <w:noProof/>
              </w:rPr>
              <w:t>Развитие на комунални жилища и жилища за уязвими лица (I-4.12)</w:t>
            </w:r>
          </w:p>
        </w:tc>
        <w:tc>
          <w:tcPr>
            <w:tcW w:w="383" w:type="pct"/>
            <w:shd w:val="clear" w:color="auto" w:fill="C6EFCE"/>
            <w:noWrap/>
            <w:vAlign w:val="center"/>
            <w:hideMark/>
          </w:tcPr>
          <w:p w14:paraId="18F5CA20"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2857E3A6" w14:textId="77777777" w:rsidR="00235E11" w:rsidRDefault="00F837E4">
            <w:pPr>
              <w:pStyle w:val="P68B1DB1-Normal59"/>
              <w:spacing w:after="0"/>
              <w:rPr>
                <w:noProof/>
              </w:rPr>
            </w:pPr>
            <w:r>
              <w:rPr>
                <w:noProof/>
              </w:rPr>
              <w:t>Възлагане на част от строителните работи</w:t>
            </w:r>
          </w:p>
        </w:tc>
      </w:tr>
      <w:tr w:rsidR="00235E11" w14:paraId="63205CC3" w14:textId="77777777">
        <w:trPr>
          <w:trHeight w:val="315"/>
        </w:trPr>
        <w:tc>
          <w:tcPr>
            <w:tcW w:w="388" w:type="pct"/>
            <w:shd w:val="clear" w:color="auto" w:fill="C6EFCE"/>
            <w:noWrap/>
            <w:vAlign w:val="center"/>
            <w:hideMark/>
          </w:tcPr>
          <w:p w14:paraId="7DC48C91" w14:textId="77777777" w:rsidR="00235E11" w:rsidRDefault="00F837E4">
            <w:pPr>
              <w:pStyle w:val="P68B1DB1-Normal59"/>
              <w:spacing w:after="0"/>
              <w:jc w:val="center"/>
              <w:rPr>
                <w:noProof/>
              </w:rPr>
            </w:pPr>
            <w:r>
              <w:rPr>
                <w:noProof/>
              </w:rPr>
              <w:t>158</w:t>
            </w:r>
          </w:p>
        </w:tc>
        <w:tc>
          <w:tcPr>
            <w:tcW w:w="1975" w:type="pct"/>
            <w:shd w:val="clear" w:color="auto" w:fill="C6EFCE"/>
            <w:noWrap/>
            <w:vAlign w:val="center"/>
            <w:hideMark/>
          </w:tcPr>
          <w:p w14:paraId="78519800" w14:textId="77777777" w:rsidR="00235E11" w:rsidRDefault="00F837E4">
            <w:pPr>
              <w:pStyle w:val="P68B1DB1-Normal59"/>
              <w:spacing w:after="0"/>
              <w:rPr>
                <w:noProof/>
              </w:rPr>
            </w:pPr>
            <w:r>
              <w:rPr>
                <w:noProof/>
              </w:rPr>
              <w:t>Пенсия и край на кариерата (R-4.07)</w:t>
            </w:r>
          </w:p>
        </w:tc>
        <w:tc>
          <w:tcPr>
            <w:tcW w:w="383" w:type="pct"/>
            <w:shd w:val="clear" w:color="auto" w:fill="C6EFCE"/>
            <w:noWrap/>
            <w:vAlign w:val="center"/>
            <w:hideMark/>
          </w:tcPr>
          <w:p w14:paraId="6D41259E"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774D14B5" w14:textId="77777777" w:rsidR="00235E11" w:rsidRDefault="00F837E4">
            <w:pPr>
              <w:pStyle w:val="P68B1DB1-Normal59"/>
              <w:spacing w:after="0"/>
              <w:rPr>
                <w:noProof/>
              </w:rPr>
            </w:pPr>
            <w:r>
              <w:rPr>
                <w:noProof/>
              </w:rPr>
              <w:t>Приемане на пенсионната реформа</w:t>
            </w:r>
          </w:p>
        </w:tc>
      </w:tr>
      <w:tr w:rsidR="00235E11" w14:paraId="4E1AFEF4" w14:textId="77777777">
        <w:trPr>
          <w:trHeight w:val="315"/>
        </w:trPr>
        <w:tc>
          <w:tcPr>
            <w:tcW w:w="388" w:type="pct"/>
            <w:shd w:val="clear" w:color="auto" w:fill="C6EFCE"/>
            <w:noWrap/>
            <w:vAlign w:val="center"/>
            <w:hideMark/>
          </w:tcPr>
          <w:p w14:paraId="6B938C2A" w14:textId="77777777" w:rsidR="00235E11" w:rsidRDefault="00F837E4">
            <w:pPr>
              <w:pStyle w:val="P68B1DB1-Normal59"/>
              <w:spacing w:after="0"/>
              <w:jc w:val="center"/>
              <w:rPr>
                <w:noProof/>
              </w:rPr>
            </w:pPr>
            <w:r>
              <w:rPr>
                <w:noProof/>
              </w:rPr>
              <w:t>165</w:t>
            </w:r>
          </w:p>
        </w:tc>
        <w:tc>
          <w:tcPr>
            <w:tcW w:w="1975" w:type="pct"/>
            <w:shd w:val="clear" w:color="auto" w:fill="C6EFCE"/>
            <w:noWrap/>
            <w:vAlign w:val="center"/>
            <w:hideMark/>
          </w:tcPr>
          <w:p w14:paraId="1675139B" w14:textId="77777777" w:rsidR="00235E11" w:rsidRDefault="00F837E4">
            <w:pPr>
              <w:pStyle w:val="P68B1DB1-Normal59"/>
              <w:spacing w:after="0"/>
              <w:rPr>
                <w:noProof/>
              </w:rPr>
            </w:pPr>
            <w:r>
              <w:rPr>
                <w:noProof/>
              </w:rPr>
              <w:t>Учене и кариерно развитие (I-5.04)</w:t>
            </w:r>
          </w:p>
        </w:tc>
        <w:tc>
          <w:tcPr>
            <w:tcW w:w="383" w:type="pct"/>
            <w:shd w:val="clear" w:color="auto" w:fill="C6EFCE"/>
            <w:noWrap/>
            <w:vAlign w:val="center"/>
            <w:hideMark/>
          </w:tcPr>
          <w:p w14:paraId="247DEDF6"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0E1EC93E" w14:textId="77777777" w:rsidR="00235E11" w:rsidRDefault="00F837E4">
            <w:pPr>
              <w:pStyle w:val="P68B1DB1-Normal59"/>
              <w:spacing w:after="0"/>
              <w:rPr>
                <w:noProof/>
              </w:rPr>
            </w:pPr>
            <w:r>
              <w:rPr>
                <w:noProof/>
              </w:rPr>
              <w:t xml:space="preserve">Подкрепа за предприятията във Фландрия чрез проверки на компетентността и покани за представяне на проекти </w:t>
            </w:r>
          </w:p>
        </w:tc>
      </w:tr>
      <w:tr w:rsidR="00235E11" w14:paraId="354608F3" w14:textId="77777777">
        <w:trPr>
          <w:trHeight w:val="315"/>
        </w:trPr>
        <w:tc>
          <w:tcPr>
            <w:tcW w:w="388" w:type="pct"/>
            <w:shd w:val="clear" w:color="auto" w:fill="C6EFCE"/>
            <w:noWrap/>
            <w:vAlign w:val="center"/>
            <w:hideMark/>
          </w:tcPr>
          <w:p w14:paraId="7CB3AFA7" w14:textId="77777777" w:rsidR="00235E11" w:rsidRDefault="00F837E4">
            <w:pPr>
              <w:pStyle w:val="P68B1DB1-Normal59"/>
              <w:spacing w:after="0"/>
              <w:jc w:val="center"/>
              <w:rPr>
                <w:noProof/>
              </w:rPr>
            </w:pPr>
            <w:r>
              <w:rPr>
                <w:noProof/>
              </w:rPr>
              <w:t>166</w:t>
            </w:r>
          </w:p>
        </w:tc>
        <w:tc>
          <w:tcPr>
            <w:tcW w:w="1975" w:type="pct"/>
            <w:shd w:val="clear" w:color="auto" w:fill="C6EFCE"/>
            <w:noWrap/>
            <w:vAlign w:val="center"/>
            <w:hideMark/>
          </w:tcPr>
          <w:p w14:paraId="146691C8" w14:textId="77777777" w:rsidR="00235E11" w:rsidRDefault="00F837E4">
            <w:pPr>
              <w:pStyle w:val="P68B1DB1-Normal59"/>
              <w:spacing w:after="0"/>
              <w:rPr>
                <w:noProof/>
              </w:rPr>
            </w:pPr>
            <w:r>
              <w:rPr>
                <w:noProof/>
              </w:rPr>
              <w:t>Стратегия за съживяване на пазара на труда, съсредоточена върху ефективността и оптимизирането на политиките за активизиране и обучение (I-5.05)</w:t>
            </w:r>
          </w:p>
        </w:tc>
        <w:tc>
          <w:tcPr>
            <w:tcW w:w="383" w:type="pct"/>
            <w:shd w:val="clear" w:color="auto" w:fill="C6EFCE"/>
            <w:noWrap/>
            <w:vAlign w:val="center"/>
            <w:hideMark/>
          </w:tcPr>
          <w:p w14:paraId="3DF35FBA"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3CAC33A5" w14:textId="77777777" w:rsidR="00235E11" w:rsidRDefault="00F837E4">
            <w:pPr>
              <w:pStyle w:val="P68B1DB1-Normal59"/>
              <w:spacing w:after="0"/>
              <w:rPr>
                <w:noProof/>
              </w:rPr>
            </w:pPr>
            <w:r>
              <w:rPr>
                <w:noProof/>
              </w:rPr>
              <w:t>Подкрепа за активизиране на търсещите работа и работниците в Брюксел</w:t>
            </w:r>
          </w:p>
        </w:tc>
      </w:tr>
      <w:tr w:rsidR="00235E11" w14:paraId="57CB6C6D" w14:textId="77777777">
        <w:trPr>
          <w:trHeight w:val="315"/>
        </w:trPr>
        <w:tc>
          <w:tcPr>
            <w:tcW w:w="388" w:type="pct"/>
            <w:shd w:val="clear" w:color="auto" w:fill="C6EFCE"/>
            <w:noWrap/>
            <w:vAlign w:val="center"/>
            <w:hideMark/>
          </w:tcPr>
          <w:p w14:paraId="5AD21B1B" w14:textId="77777777" w:rsidR="00235E11" w:rsidRDefault="00F837E4">
            <w:pPr>
              <w:pStyle w:val="P68B1DB1-Normal59"/>
              <w:spacing w:after="0"/>
              <w:jc w:val="center"/>
              <w:rPr>
                <w:noProof/>
              </w:rPr>
            </w:pPr>
            <w:r>
              <w:rPr>
                <w:noProof/>
              </w:rPr>
              <w:t>170</w:t>
            </w:r>
          </w:p>
        </w:tc>
        <w:tc>
          <w:tcPr>
            <w:tcW w:w="1975" w:type="pct"/>
            <w:shd w:val="clear" w:color="auto" w:fill="C6EFCE"/>
            <w:noWrap/>
            <w:vAlign w:val="center"/>
            <w:hideMark/>
          </w:tcPr>
          <w:p w14:paraId="4966C9ED" w14:textId="77777777" w:rsidR="00235E11" w:rsidRDefault="00F837E4">
            <w:pPr>
              <w:pStyle w:val="P68B1DB1-Normal59"/>
              <w:spacing w:after="0"/>
              <w:rPr>
                <w:noProof/>
              </w:rPr>
            </w:pPr>
            <w:r>
              <w:rPr>
                <w:noProof/>
              </w:rPr>
              <w:t>Цифрови умения (I-5.06)</w:t>
            </w:r>
          </w:p>
        </w:tc>
        <w:tc>
          <w:tcPr>
            <w:tcW w:w="383" w:type="pct"/>
            <w:shd w:val="clear" w:color="auto" w:fill="C6EFCE"/>
            <w:noWrap/>
            <w:vAlign w:val="center"/>
            <w:hideMark/>
          </w:tcPr>
          <w:p w14:paraId="075D7140"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26CE6A29" w14:textId="77777777" w:rsidR="00235E11" w:rsidRDefault="00F837E4">
            <w:pPr>
              <w:pStyle w:val="P68B1DB1-Normal59"/>
              <w:spacing w:after="0"/>
              <w:rPr>
                <w:noProof/>
              </w:rPr>
            </w:pPr>
            <w:r>
              <w:rPr>
                <w:noProof/>
              </w:rPr>
              <w:t>Цифрови инструменти и услуги за гражданите, работодателите и фламандските публични служби по заетостта (VDAB), изцяло внедрени във Фландрия</w:t>
            </w:r>
          </w:p>
        </w:tc>
      </w:tr>
      <w:tr w:rsidR="00235E11" w14:paraId="2ED63F5A" w14:textId="77777777">
        <w:trPr>
          <w:trHeight w:val="315"/>
        </w:trPr>
        <w:tc>
          <w:tcPr>
            <w:tcW w:w="388" w:type="pct"/>
            <w:shd w:val="clear" w:color="auto" w:fill="C6EFCE"/>
            <w:noWrap/>
            <w:vAlign w:val="center"/>
            <w:hideMark/>
          </w:tcPr>
          <w:p w14:paraId="320B8104" w14:textId="77777777" w:rsidR="00235E11" w:rsidRDefault="00F837E4">
            <w:pPr>
              <w:pStyle w:val="P68B1DB1-Normal59"/>
              <w:spacing w:after="0"/>
              <w:jc w:val="center"/>
              <w:rPr>
                <w:noProof/>
              </w:rPr>
            </w:pPr>
            <w:r>
              <w:rPr>
                <w:noProof/>
              </w:rPr>
              <w:t>180</w:t>
            </w:r>
          </w:p>
        </w:tc>
        <w:tc>
          <w:tcPr>
            <w:tcW w:w="1975" w:type="pct"/>
            <w:shd w:val="clear" w:color="auto" w:fill="C6EFCE"/>
            <w:noWrap/>
            <w:vAlign w:val="center"/>
            <w:hideMark/>
          </w:tcPr>
          <w:p w14:paraId="7E61541C" w14:textId="77777777" w:rsidR="00235E11" w:rsidRDefault="00F837E4">
            <w:pPr>
              <w:pStyle w:val="P68B1DB1-Normal59"/>
              <w:spacing w:after="0"/>
              <w:rPr>
                <w:noProof/>
              </w:rPr>
            </w:pPr>
            <w:r>
              <w:rPr>
                <w:noProof/>
              </w:rPr>
              <w:t>Нуклеарна медицина (I-5.08)</w:t>
            </w:r>
          </w:p>
        </w:tc>
        <w:tc>
          <w:tcPr>
            <w:tcW w:w="383" w:type="pct"/>
            <w:shd w:val="clear" w:color="auto" w:fill="C6EFCE"/>
            <w:noWrap/>
            <w:vAlign w:val="center"/>
            <w:hideMark/>
          </w:tcPr>
          <w:p w14:paraId="76E4B852"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3F800F42" w14:textId="77777777" w:rsidR="00235E11" w:rsidRDefault="00F837E4">
            <w:pPr>
              <w:pStyle w:val="P68B1DB1-Normal59"/>
              <w:spacing w:after="0"/>
              <w:rPr>
                <w:noProof/>
              </w:rPr>
            </w:pPr>
            <w:r>
              <w:rPr>
                <w:noProof/>
              </w:rPr>
              <w:t>Финализиран технологичен пакет</w:t>
            </w:r>
          </w:p>
        </w:tc>
      </w:tr>
      <w:tr w:rsidR="00235E11" w14:paraId="1053C03C" w14:textId="77777777">
        <w:trPr>
          <w:trHeight w:val="315"/>
        </w:trPr>
        <w:tc>
          <w:tcPr>
            <w:tcW w:w="388" w:type="pct"/>
            <w:shd w:val="clear" w:color="auto" w:fill="C6EFCE"/>
            <w:noWrap/>
            <w:vAlign w:val="center"/>
            <w:hideMark/>
          </w:tcPr>
          <w:p w14:paraId="6C493A82" w14:textId="77777777" w:rsidR="00235E11" w:rsidRDefault="00F837E4">
            <w:pPr>
              <w:pStyle w:val="P68B1DB1-Normal59"/>
              <w:spacing w:after="0"/>
              <w:jc w:val="center"/>
              <w:rPr>
                <w:noProof/>
              </w:rPr>
            </w:pPr>
            <w:r>
              <w:rPr>
                <w:noProof/>
              </w:rPr>
              <w:t>188</w:t>
            </w:r>
          </w:p>
        </w:tc>
        <w:tc>
          <w:tcPr>
            <w:tcW w:w="1975" w:type="pct"/>
            <w:shd w:val="clear" w:color="auto" w:fill="C6EFCE"/>
            <w:noWrap/>
            <w:vAlign w:val="center"/>
            <w:hideMark/>
          </w:tcPr>
          <w:p w14:paraId="50566CC2" w14:textId="77777777" w:rsidR="00235E11" w:rsidRDefault="00F837E4">
            <w:pPr>
              <w:pStyle w:val="P68B1DB1-Normal59"/>
              <w:spacing w:after="0"/>
              <w:rPr>
                <w:noProof/>
              </w:rPr>
            </w:pPr>
            <w:r>
              <w:rPr>
                <w:noProof/>
              </w:rPr>
              <w:t>Преместване на храни и разработване на логистични платформи (I-5.12)</w:t>
            </w:r>
          </w:p>
        </w:tc>
        <w:tc>
          <w:tcPr>
            <w:tcW w:w="383" w:type="pct"/>
            <w:shd w:val="clear" w:color="auto" w:fill="C6EFCE"/>
            <w:noWrap/>
            <w:vAlign w:val="center"/>
            <w:hideMark/>
          </w:tcPr>
          <w:p w14:paraId="1E973F19"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2B5C55C9" w14:textId="6955AC30" w:rsidR="00235E11" w:rsidRDefault="00F837E4">
            <w:pPr>
              <w:pStyle w:val="P68B1DB1-Normal59"/>
              <w:spacing w:after="0"/>
              <w:rPr>
                <w:noProof/>
              </w:rPr>
            </w:pPr>
            <w:r>
              <w:rPr>
                <w:noProof/>
              </w:rPr>
              <w:t>Възлагане на обществени поръчки за строителство от 2-те междуобщински дружества (SPI, IGRETEC) за изграждане на инфраструктура в хранителния сектор</w:t>
            </w:r>
          </w:p>
        </w:tc>
      </w:tr>
      <w:tr w:rsidR="00235E11" w14:paraId="342B3D91" w14:textId="77777777">
        <w:trPr>
          <w:trHeight w:val="315"/>
        </w:trPr>
        <w:tc>
          <w:tcPr>
            <w:tcW w:w="388" w:type="pct"/>
            <w:shd w:val="clear" w:color="auto" w:fill="C6EFCE"/>
            <w:noWrap/>
            <w:vAlign w:val="center"/>
            <w:hideMark/>
          </w:tcPr>
          <w:p w14:paraId="78028AD2" w14:textId="77777777" w:rsidR="00235E11" w:rsidRDefault="00F837E4">
            <w:pPr>
              <w:pStyle w:val="P68B1DB1-Normal59"/>
              <w:spacing w:after="0"/>
              <w:jc w:val="center"/>
              <w:rPr>
                <w:noProof/>
              </w:rPr>
            </w:pPr>
            <w:r>
              <w:rPr>
                <w:noProof/>
              </w:rPr>
              <w:t>199</w:t>
            </w:r>
          </w:p>
        </w:tc>
        <w:tc>
          <w:tcPr>
            <w:tcW w:w="1975" w:type="pct"/>
            <w:shd w:val="clear" w:color="auto" w:fill="C6EFCE"/>
            <w:noWrap/>
            <w:vAlign w:val="center"/>
            <w:hideMark/>
          </w:tcPr>
          <w:p w14:paraId="14949001" w14:textId="77777777" w:rsidR="00235E11" w:rsidRDefault="00F837E4">
            <w:pPr>
              <w:pStyle w:val="P68B1DB1-Normal59"/>
              <w:spacing w:after="0"/>
              <w:rPr>
                <w:noProof/>
              </w:rPr>
            </w:pPr>
            <w:r>
              <w:rPr>
                <w:noProof/>
              </w:rPr>
              <w:t>Белгия изгражда контракулярно циркулярно писмо (I-5.15)</w:t>
            </w:r>
          </w:p>
        </w:tc>
        <w:tc>
          <w:tcPr>
            <w:tcW w:w="383" w:type="pct"/>
            <w:shd w:val="clear" w:color="auto" w:fill="C6EFCE"/>
            <w:noWrap/>
            <w:vAlign w:val="center"/>
            <w:hideMark/>
          </w:tcPr>
          <w:p w14:paraId="226537A1"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2013D6FC" w14:textId="77777777" w:rsidR="00235E11" w:rsidRDefault="00F837E4">
            <w:pPr>
              <w:pStyle w:val="P68B1DB1-Normal59"/>
              <w:spacing w:after="0"/>
              <w:rPr>
                <w:noProof/>
              </w:rPr>
            </w:pPr>
            <w:r>
              <w:rPr>
                <w:noProof/>
              </w:rPr>
              <w:t>Възлагане на обществени поръчки за кръгови проекти</w:t>
            </w:r>
          </w:p>
        </w:tc>
      </w:tr>
      <w:tr w:rsidR="00235E11" w14:paraId="203388A8" w14:textId="77777777">
        <w:trPr>
          <w:trHeight w:val="315"/>
        </w:trPr>
        <w:tc>
          <w:tcPr>
            <w:tcW w:w="388" w:type="pct"/>
            <w:shd w:val="clear" w:color="auto" w:fill="C6EFCE"/>
            <w:noWrap/>
            <w:vAlign w:val="center"/>
            <w:hideMark/>
          </w:tcPr>
          <w:p w14:paraId="79E5AA1B" w14:textId="77777777" w:rsidR="00235E11" w:rsidRDefault="00F837E4">
            <w:pPr>
              <w:pStyle w:val="P68B1DB1-Normal59"/>
              <w:spacing w:after="0"/>
              <w:jc w:val="center"/>
              <w:rPr>
                <w:noProof/>
              </w:rPr>
            </w:pPr>
            <w:r>
              <w:rPr>
                <w:noProof/>
              </w:rPr>
              <w:t>208</w:t>
            </w:r>
          </w:p>
        </w:tc>
        <w:tc>
          <w:tcPr>
            <w:tcW w:w="1975" w:type="pct"/>
            <w:shd w:val="clear" w:color="auto" w:fill="C6EFCE"/>
            <w:noWrap/>
            <w:vAlign w:val="center"/>
            <w:hideMark/>
          </w:tcPr>
          <w:p w14:paraId="7ABBC41E" w14:textId="77777777" w:rsidR="00235E11" w:rsidRDefault="00F837E4">
            <w:pPr>
              <w:pStyle w:val="P68B1DB1-Normal59"/>
              <w:spacing w:after="0"/>
              <w:rPr>
                <w:noProof/>
              </w:rPr>
            </w:pPr>
            <w:r>
              <w:rPr>
                <w:noProof/>
              </w:rPr>
              <w:t>Прегледи на разходите (R-6)</w:t>
            </w:r>
          </w:p>
        </w:tc>
        <w:tc>
          <w:tcPr>
            <w:tcW w:w="383" w:type="pct"/>
            <w:shd w:val="clear" w:color="auto" w:fill="C6EFCE"/>
            <w:noWrap/>
            <w:vAlign w:val="center"/>
            <w:hideMark/>
          </w:tcPr>
          <w:p w14:paraId="105FABE9"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4152CA9C" w14:textId="77777777" w:rsidR="00235E11" w:rsidRDefault="00F837E4">
            <w:pPr>
              <w:pStyle w:val="P68B1DB1-Normal59"/>
              <w:spacing w:after="0"/>
              <w:rPr>
                <w:noProof/>
              </w:rPr>
            </w:pPr>
            <w:r>
              <w:rPr>
                <w:noProof/>
              </w:rPr>
              <w:t>Последващ анализ на прегледа на разходите</w:t>
            </w:r>
          </w:p>
        </w:tc>
      </w:tr>
      <w:tr w:rsidR="00235E11" w14:paraId="4642CC13" w14:textId="77777777">
        <w:trPr>
          <w:trHeight w:val="315"/>
        </w:trPr>
        <w:tc>
          <w:tcPr>
            <w:tcW w:w="388" w:type="pct"/>
            <w:shd w:val="clear" w:color="auto" w:fill="C6EFCE"/>
            <w:noWrap/>
            <w:vAlign w:val="center"/>
            <w:hideMark/>
          </w:tcPr>
          <w:p w14:paraId="740E6188" w14:textId="77777777" w:rsidR="00235E11" w:rsidRDefault="00F837E4">
            <w:pPr>
              <w:pStyle w:val="P68B1DB1-Normal59"/>
              <w:spacing w:after="0"/>
              <w:jc w:val="center"/>
              <w:rPr>
                <w:noProof/>
              </w:rPr>
            </w:pPr>
            <w:r>
              <w:rPr>
                <w:noProof/>
              </w:rPr>
              <w:t>211</w:t>
            </w:r>
          </w:p>
        </w:tc>
        <w:tc>
          <w:tcPr>
            <w:tcW w:w="1975" w:type="pct"/>
            <w:shd w:val="clear" w:color="auto" w:fill="C6EFCE"/>
            <w:noWrap/>
            <w:vAlign w:val="center"/>
            <w:hideMark/>
          </w:tcPr>
          <w:p w14:paraId="66C089B4" w14:textId="77777777" w:rsidR="00235E11" w:rsidRDefault="00F837E4">
            <w:pPr>
              <w:pStyle w:val="P68B1DB1-Normal59"/>
              <w:spacing w:after="0"/>
              <w:rPr>
                <w:noProof/>
              </w:rPr>
            </w:pPr>
            <w:r>
              <w:rPr>
                <w:noProof/>
              </w:rPr>
              <w:t>Преразглеждане на кодекса за въздуха, климата и енергетиката — RBC (R-7.01)</w:t>
            </w:r>
          </w:p>
        </w:tc>
        <w:tc>
          <w:tcPr>
            <w:tcW w:w="383" w:type="pct"/>
            <w:shd w:val="clear" w:color="auto" w:fill="C6EFCE"/>
            <w:noWrap/>
            <w:vAlign w:val="center"/>
            <w:hideMark/>
          </w:tcPr>
          <w:p w14:paraId="036F9C6E"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6BD0D9DC" w14:textId="77777777" w:rsidR="00235E11" w:rsidRDefault="00F837E4">
            <w:pPr>
              <w:pStyle w:val="P68B1DB1-Normal59"/>
              <w:spacing w:after="0"/>
              <w:rPr>
                <w:noProof/>
              </w:rPr>
            </w:pPr>
            <w:r>
              <w:rPr>
                <w:noProof/>
              </w:rPr>
              <w:t>Нови задължения за саниране на сгради</w:t>
            </w:r>
          </w:p>
        </w:tc>
      </w:tr>
      <w:tr w:rsidR="00235E11" w14:paraId="14A36A2F" w14:textId="77777777">
        <w:trPr>
          <w:trHeight w:val="315"/>
        </w:trPr>
        <w:tc>
          <w:tcPr>
            <w:tcW w:w="388" w:type="pct"/>
            <w:shd w:val="clear" w:color="auto" w:fill="C6EFCE"/>
            <w:noWrap/>
            <w:vAlign w:val="center"/>
            <w:hideMark/>
          </w:tcPr>
          <w:p w14:paraId="0B9BD830" w14:textId="77777777" w:rsidR="00235E11" w:rsidRDefault="00F837E4">
            <w:pPr>
              <w:pStyle w:val="P68B1DB1-Normal59"/>
              <w:spacing w:after="0"/>
              <w:jc w:val="center"/>
              <w:rPr>
                <w:noProof/>
              </w:rPr>
            </w:pPr>
            <w:r>
              <w:rPr>
                <w:noProof/>
              </w:rPr>
              <w:t>212</w:t>
            </w:r>
          </w:p>
        </w:tc>
        <w:tc>
          <w:tcPr>
            <w:tcW w:w="1975" w:type="pct"/>
            <w:shd w:val="clear" w:color="auto" w:fill="C6EFCE"/>
            <w:noWrap/>
            <w:vAlign w:val="center"/>
            <w:hideMark/>
          </w:tcPr>
          <w:p w14:paraId="74C15066" w14:textId="77777777" w:rsidR="00235E11" w:rsidRDefault="00F837E4">
            <w:pPr>
              <w:pStyle w:val="P68B1DB1-Normal59"/>
              <w:spacing w:after="0"/>
              <w:rPr>
                <w:noProof/>
              </w:rPr>
            </w:pPr>
            <w:r>
              <w:rPr>
                <w:noProof/>
              </w:rPr>
              <w:t>Подобрена схема за енергийни субсидии — RBC (I-7.01)</w:t>
            </w:r>
          </w:p>
        </w:tc>
        <w:tc>
          <w:tcPr>
            <w:tcW w:w="383" w:type="pct"/>
            <w:shd w:val="clear" w:color="auto" w:fill="C6EFCE"/>
            <w:noWrap/>
            <w:vAlign w:val="center"/>
            <w:hideMark/>
          </w:tcPr>
          <w:p w14:paraId="37364447"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37E62EEF" w14:textId="77777777" w:rsidR="00235E11" w:rsidRDefault="00F837E4">
            <w:pPr>
              <w:pStyle w:val="P68B1DB1-Normal59"/>
              <w:spacing w:after="0"/>
              <w:rPr>
                <w:noProof/>
              </w:rPr>
            </w:pPr>
            <w:r>
              <w:rPr>
                <w:noProof/>
              </w:rPr>
              <w:t>Енергийни субсидии за домакинства с ниски доходи</w:t>
            </w:r>
          </w:p>
        </w:tc>
      </w:tr>
      <w:tr w:rsidR="00235E11" w14:paraId="3BE07B82" w14:textId="77777777">
        <w:trPr>
          <w:trHeight w:val="315"/>
        </w:trPr>
        <w:tc>
          <w:tcPr>
            <w:tcW w:w="388" w:type="pct"/>
            <w:shd w:val="clear" w:color="auto" w:fill="C6EFCE"/>
            <w:noWrap/>
            <w:vAlign w:val="center"/>
            <w:hideMark/>
          </w:tcPr>
          <w:p w14:paraId="5C2D3B01" w14:textId="77777777" w:rsidR="00235E11" w:rsidRDefault="00F837E4">
            <w:pPr>
              <w:pStyle w:val="P68B1DB1-Normal59"/>
              <w:spacing w:after="0"/>
              <w:jc w:val="center"/>
              <w:rPr>
                <w:noProof/>
              </w:rPr>
            </w:pPr>
            <w:r>
              <w:rPr>
                <w:noProof/>
              </w:rPr>
              <w:t>214</w:t>
            </w:r>
          </w:p>
        </w:tc>
        <w:tc>
          <w:tcPr>
            <w:tcW w:w="1975" w:type="pct"/>
            <w:shd w:val="clear" w:color="auto" w:fill="C6EFCE"/>
            <w:noWrap/>
            <w:vAlign w:val="center"/>
            <w:hideMark/>
          </w:tcPr>
          <w:p w14:paraId="4E3D7C77" w14:textId="1BA77F30" w:rsidR="00235E11" w:rsidRDefault="00F837E4">
            <w:pPr>
              <w:pStyle w:val="P68B1DB1-Normal59"/>
              <w:spacing w:after="0"/>
              <w:rPr>
                <w:noProof/>
              </w:rPr>
            </w:pPr>
            <w:r>
              <w:rPr>
                <w:noProof/>
              </w:rPr>
              <w:t>Енергийни субсидии — немскоезична общност (I-7.03)</w:t>
            </w:r>
          </w:p>
        </w:tc>
        <w:tc>
          <w:tcPr>
            <w:tcW w:w="383" w:type="pct"/>
            <w:shd w:val="clear" w:color="auto" w:fill="C6EFCE"/>
            <w:noWrap/>
            <w:vAlign w:val="center"/>
            <w:hideMark/>
          </w:tcPr>
          <w:p w14:paraId="27DCB8AC" w14:textId="77777777" w:rsidR="00235E11" w:rsidRDefault="00F837E4">
            <w:pPr>
              <w:pStyle w:val="P68B1DB1-Normal59"/>
              <w:spacing w:after="0"/>
              <w:jc w:val="center"/>
              <w:rPr>
                <w:noProof/>
              </w:rPr>
            </w:pPr>
            <w:r>
              <w:rPr>
                <w:noProof/>
              </w:rPr>
              <w:t>T</w:t>
            </w:r>
          </w:p>
        </w:tc>
        <w:tc>
          <w:tcPr>
            <w:tcW w:w="2254" w:type="pct"/>
            <w:shd w:val="clear" w:color="auto" w:fill="C6EFCE"/>
            <w:noWrap/>
            <w:vAlign w:val="center"/>
            <w:hideMark/>
          </w:tcPr>
          <w:p w14:paraId="59A57759" w14:textId="77777777" w:rsidR="00235E11" w:rsidRDefault="00F837E4">
            <w:pPr>
              <w:pStyle w:val="P68B1DB1-Normal59"/>
              <w:spacing w:after="0"/>
              <w:rPr>
                <w:noProof/>
              </w:rPr>
            </w:pPr>
            <w:r>
              <w:rPr>
                <w:noProof/>
              </w:rPr>
              <w:t>Обновяване на частни жилища</w:t>
            </w:r>
          </w:p>
        </w:tc>
      </w:tr>
      <w:tr w:rsidR="00235E11" w14:paraId="45D07658" w14:textId="77777777">
        <w:trPr>
          <w:trHeight w:val="315"/>
        </w:trPr>
        <w:tc>
          <w:tcPr>
            <w:tcW w:w="388" w:type="pct"/>
            <w:shd w:val="clear" w:color="auto" w:fill="C6EFCE"/>
            <w:noWrap/>
            <w:vAlign w:val="center"/>
            <w:hideMark/>
          </w:tcPr>
          <w:p w14:paraId="2DEEEC77" w14:textId="77777777" w:rsidR="00235E11" w:rsidRDefault="00F837E4">
            <w:pPr>
              <w:pStyle w:val="P68B1DB1-Normal59"/>
              <w:spacing w:after="0"/>
              <w:jc w:val="center"/>
              <w:rPr>
                <w:noProof/>
              </w:rPr>
            </w:pPr>
            <w:r>
              <w:rPr>
                <w:noProof/>
              </w:rPr>
              <w:t>219</w:t>
            </w:r>
          </w:p>
        </w:tc>
        <w:tc>
          <w:tcPr>
            <w:tcW w:w="1975" w:type="pct"/>
            <w:shd w:val="clear" w:color="auto" w:fill="C6EFCE"/>
            <w:noWrap/>
            <w:vAlign w:val="center"/>
            <w:hideMark/>
          </w:tcPr>
          <w:p w14:paraId="41F25A96" w14:textId="77777777" w:rsidR="00235E11" w:rsidRDefault="00F837E4">
            <w:pPr>
              <w:pStyle w:val="P68B1DB1-Normal59"/>
              <w:spacing w:after="0"/>
              <w:rPr>
                <w:noProof/>
              </w:rPr>
            </w:pPr>
            <w:r>
              <w:rPr>
                <w:noProof/>
              </w:rPr>
              <w:t>Изследователска платформа за енергиен преход (I-7.11)</w:t>
            </w:r>
          </w:p>
        </w:tc>
        <w:tc>
          <w:tcPr>
            <w:tcW w:w="383" w:type="pct"/>
            <w:shd w:val="clear" w:color="auto" w:fill="C6EFCE"/>
            <w:noWrap/>
            <w:vAlign w:val="center"/>
            <w:hideMark/>
          </w:tcPr>
          <w:p w14:paraId="0989FFAB"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0E21E810" w14:textId="77777777" w:rsidR="00235E11" w:rsidRDefault="00F837E4">
            <w:pPr>
              <w:pStyle w:val="P68B1DB1-Normal59"/>
              <w:spacing w:after="0"/>
              <w:rPr>
                <w:noProof/>
              </w:rPr>
            </w:pPr>
            <w:r>
              <w:rPr>
                <w:noProof/>
              </w:rPr>
              <w:t>Освобождаване на обществени поръчки за оборудване</w:t>
            </w:r>
          </w:p>
        </w:tc>
      </w:tr>
      <w:tr w:rsidR="00235E11" w14:paraId="6943CF38" w14:textId="77777777">
        <w:trPr>
          <w:trHeight w:val="315"/>
        </w:trPr>
        <w:tc>
          <w:tcPr>
            <w:tcW w:w="388" w:type="pct"/>
            <w:shd w:val="clear" w:color="auto" w:fill="C6EFCE"/>
            <w:noWrap/>
            <w:vAlign w:val="center"/>
            <w:hideMark/>
          </w:tcPr>
          <w:p w14:paraId="6958E136" w14:textId="77777777" w:rsidR="00235E11" w:rsidRDefault="00F837E4">
            <w:pPr>
              <w:pStyle w:val="P68B1DB1-Normal59"/>
              <w:spacing w:after="0"/>
              <w:jc w:val="center"/>
              <w:rPr>
                <w:noProof/>
              </w:rPr>
            </w:pPr>
            <w:r>
              <w:rPr>
                <w:noProof/>
              </w:rPr>
              <w:t>221</w:t>
            </w:r>
          </w:p>
        </w:tc>
        <w:tc>
          <w:tcPr>
            <w:tcW w:w="1975" w:type="pct"/>
            <w:shd w:val="clear" w:color="auto" w:fill="C6EFCE"/>
            <w:noWrap/>
            <w:vAlign w:val="center"/>
            <w:hideMark/>
          </w:tcPr>
          <w:p w14:paraId="11C4CD41" w14:textId="77777777" w:rsidR="00235E11" w:rsidRDefault="00F837E4">
            <w:pPr>
              <w:pStyle w:val="P68B1DB1-Normal59"/>
              <w:spacing w:after="0"/>
              <w:rPr>
                <w:noProof/>
              </w:rPr>
            </w:pPr>
            <w:r>
              <w:rPr>
                <w:noProof/>
              </w:rPr>
              <w:t>Инфраструктура за внос на енергия (I-7.12)</w:t>
            </w:r>
          </w:p>
        </w:tc>
        <w:tc>
          <w:tcPr>
            <w:tcW w:w="383" w:type="pct"/>
            <w:shd w:val="clear" w:color="auto" w:fill="C6EFCE"/>
            <w:noWrap/>
            <w:vAlign w:val="center"/>
            <w:hideMark/>
          </w:tcPr>
          <w:p w14:paraId="4602FB06"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7B64E8CC" w14:textId="77777777" w:rsidR="00235E11" w:rsidRDefault="00F837E4">
            <w:pPr>
              <w:pStyle w:val="P68B1DB1-Normal59"/>
              <w:spacing w:after="0"/>
              <w:rPr>
                <w:noProof/>
              </w:rPr>
            </w:pPr>
            <w:r>
              <w:rPr>
                <w:noProof/>
              </w:rPr>
              <w:t>Възлагане на договори в рамките на поканата за представяне на проекти</w:t>
            </w:r>
          </w:p>
        </w:tc>
      </w:tr>
      <w:tr w:rsidR="00235E11" w14:paraId="0DC91251" w14:textId="77777777">
        <w:trPr>
          <w:trHeight w:val="315"/>
        </w:trPr>
        <w:tc>
          <w:tcPr>
            <w:tcW w:w="388" w:type="pct"/>
            <w:shd w:val="clear" w:color="auto" w:fill="C6EFCE"/>
            <w:noWrap/>
            <w:vAlign w:val="center"/>
          </w:tcPr>
          <w:p w14:paraId="7E60ADE7" w14:textId="275BC1C6" w:rsidR="00235E11" w:rsidRDefault="00F837E4">
            <w:pPr>
              <w:pStyle w:val="P68B1DB1-Normal59"/>
              <w:spacing w:after="0"/>
              <w:jc w:val="center"/>
              <w:rPr>
                <w:noProof/>
              </w:rPr>
            </w:pPr>
            <w:r>
              <w:rPr>
                <w:noProof/>
              </w:rPr>
              <w:t>223</w:t>
            </w:r>
          </w:p>
        </w:tc>
        <w:tc>
          <w:tcPr>
            <w:tcW w:w="1975" w:type="pct"/>
            <w:shd w:val="clear" w:color="auto" w:fill="C6EFCE"/>
            <w:noWrap/>
            <w:vAlign w:val="center"/>
          </w:tcPr>
          <w:p w14:paraId="5DFC7791" w14:textId="0625A0D3" w:rsidR="00235E11" w:rsidRDefault="00F837E4">
            <w:pPr>
              <w:pStyle w:val="P68B1DB1-Normal59"/>
              <w:spacing w:after="0"/>
              <w:rPr>
                <w:noProof/>
              </w:rPr>
            </w:pPr>
            <w:r>
              <w:rPr>
                <w:noProof/>
              </w:rPr>
              <w:t>Призив за декарбонизация на промишлеността (I-7.13)</w:t>
            </w:r>
          </w:p>
        </w:tc>
        <w:tc>
          <w:tcPr>
            <w:tcW w:w="383" w:type="pct"/>
            <w:shd w:val="clear" w:color="auto" w:fill="C6EFCE"/>
            <w:noWrap/>
            <w:vAlign w:val="center"/>
          </w:tcPr>
          <w:p w14:paraId="3983F13C" w14:textId="6C977499" w:rsidR="00235E11" w:rsidRDefault="00F837E4">
            <w:pPr>
              <w:pStyle w:val="P68B1DB1-Normal59"/>
              <w:spacing w:after="0"/>
              <w:jc w:val="center"/>
              <w:rPr>
                <w:noProof/>
              </w:rPr>
            </w:pPr>
            <w:r>
              <w:rPr>
                <w:noProof/>
              </w:rPr>
              <w:t>M</w:t>
            </w:r>
          </w:p>
        </w:tc>
        <w:tc>
          <w:tcPr>
            <w:tcW w:w="2254" w:type="pct"/>
            <w:shd w:val="clear" w:color="auto" w:fill="C6EFCE"/>
            <w:noWrap/>
            <w:vAlign w:val="center"/>
          </w:tcPr>
          <w:p w14:paraId="15CA526E" w14:textId="553CAC5D" w:rsidR="00235E11" w:rsidRDefault="00F837E4">
            <w:pPr>
              <w:pStyle w:val="P68B1DB1-Normal59"/>
              <w:spacing w:after="0"/>
              <w:rPr>
                <w:noProof/>
              </w:rPr>
            </w:pPr>
            <w:r>
              <w:rPr>
                <w:noProof/>
              </w:rPr>
              <w:t>Възлагане на договори в рамките на поканата за представяне на проекти</w:t>
            </w:r>
          </w:p>
        </w:tc>
      </w:tr>
      <w:tr w:rsidR="00235E11" w14:paraId="0361FA49" w14:textId="77777777">
        <w:trPr>
          <w:trHeight w:val="315"/>
        </w:trPr>
        <w:tc>
          <w:tcPr>
            <w:tcW w:w="388" w:type="pct"/>
            <w:shd w:val="clear" w:color="auto" w:fill="C6EFCE"/>
            <w:noWrap/>
            <w:vAlign w:val="center"/>
            <w:hideMark/>
          </w:tcPr>
          <w:p w14:paraId="697193F3" w14:textId="77777777" w:rsidR="00235E11" w:rsidRDefault="00F837E4">
            <w:pPr>
              <w:pStyle w:val="P68B1DB1-Normal59"/>
              <w:spacing w:after="0"/>
              <w:jc w:val="center"/>
              <w:rPr>
                <w:noProof/>
              </w:rPr>
            </w:pPr>
            <w:r>
              <w:rPr>
                <w:noProof/>
              </w:rPr>
              <w:t>228</w:t>
            </w:r>
          </w:p>
        </w:tc>
        <w:tc>
          <w:tcPr>
            <w:tcW w:w="1975" w:type="pct"/>
            <w:shd w:val="clear" w:color="auto" w:fill="C6EFCE"/>
            <w:noWrap/>
            <w:vAlign w:val="center"/>
            <w:hideMark/>
          </w:tcPr>
          <w:p w14:paraId="4545ADBD" w14:textId="77777777" w:rsidR="00235E11" w:rsidRDefault="00F837E4">
            <w:pPr>
              <w:pStyle w:val="P68B1DB1-Normal59"/>
              <w:spacing w:after="0"/>
              <w:rPr>
                <w:noProof/>
              </w:rPr>
            </w:pPr>
            <w:r>
              <w:rPr>
                <w:noProof/>
              </w:rPr>
              <w:t>Процедура за обжалване пред Държавния съвет (R-7.02)</w:t>
            </w:r>
          </w:p>
        </w:tc>
        <w:tc>
          <w:tcPr>
            <w:tcW w:w="383" w:type="pct"/>
            <w:shd w:val="clear" w:color="auto" w:fill="C6EFCE"/>
            <w:noWrap/>
            <w:vAlign w:val="center"/>
            <w:hideMark/>
          </w:tcPr>
          <w:p w14:paraId="1D270B0C"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7DDF8799" w14:textId="77777777" w:rsidR="00235E11" w:rsidRDefault="00F837E4">
            <w:pPr>
              <w:pStyle w:val="P68B1DB1-Normal59"/>
              <w:spacing w:after="0"/>
              <w:rPr>
                <w:noProof/>
              </w:rPr>
            </w:pPr>
            <w:r>
              <w:rPr>
                <w:noProof/>
              </w:rPr>
              <w:t>Влизане в сила на законодателството</w:t>
            </w:r>
          </w:p>
        </w:tc>
      </w:tr>
      <w:tr w:rsidR="00235E11" w14:paraId="4201D475" w14:textId="77777777">
        <w:trPr>
          <w:trHeight w:val="315"/>
        </w:trPr>
        <w:tc>
          <w:tcPr>
            <w:tcW w:w="388" w:type="pct"/>
            <w:shd w:val="clear" w:color="auto" w:fill="C6EFCE"/>
            <w:noWrap/>
            <w:vAlign w:val="center"/>
            <w:hideMark/>
          </w:tcPr>
          <w:p w14:paraId="60CB862E" w14:textId="77777777" w:rsidR="00235E11" w:rsidRDefault="00F837E4">
            <w:pPr>
              <w:pStyle w:val="P68B1DB1-Normal59"/>
              <w:spacing w:after="0"/>
              <w:jc w:val="center"/>
              <w:rPr>
                <w:noProof/>
              </w:rPr>
            </w:pPr>
            <w:r>
              <w:rPr>
                <w:noProof/>
              </w:rPr>
              <w:t>230</w:t>
            </w:r>
          </w:p>
        </w:tc>
        <w:tc>
          <w:tcPr>
            <w:tcW w:w="1975" w:type="pct"/>
            <w:shd w:val="clear" w:color="auto" w:fill="C6EFCE"/>
            <w:noWrap/>
            <w:vAlign w:val="center"/>
            <w:hideMark/>
          </w:tcPr>
          <w:p w14:paraId="7AE76D5F" w14:textId="77777777" w:rsidR="00235E11" w:rsidRDefault="00F837E4">
            <w:pPr>
              <w:pStyle w:val="P68B1DB1-Normal59"/>
              <w:spacing w:after="0"/>
              <w:rPr>
                <w:noProof/>
              </w:rPr>
            </w:pPr>
            <w:r>
              <w:rPr>
                <w:noProof/>
              </w:rPr>
              <w:t>Ускоряване на енергийния преход (R-7.04)</w:t>
            </w:r>
          </w:p>
        </w:tc>
        <w:tc>
          <w:tcPr>
            <w:tcW w:w="383" w:type="pct"/>
            <w:shd w:val="clear" w:color="auto" w:fill="C6EFCE"/>
            <w:noWrap/>
            <w:vAlign w:val="center"/>
            <w:hideMark/>
          </w:tcPr>
          <w:p w14:paraId="1B5BCD79"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2BE66D74" w14:textId="77777777" w:rsidR="00235E11" w:rsidRDefault="00F837E4">
            <w:pPr>
              <w:pStyle w:val="P68B1DB1-Normal59"/>
              <w:spacing w:after="0"/>
              <w:rPr>
                <w:noProof/>
              </w:rPr>
            </w:pPr>
            <w:r>
              <w:rPr>
                <w:noProof/>
              </w:rPr>
              <w:t>Влизане в сила на законодателството</w:t>
            </w:r>
          </w:p>
        </w:tc>
      </w:tr>
      <w:tr w:rsidR="00235E11" w14:paraId="1BF28558" w14:textId="77777777">
        <w:trPr>
          <w:trHeight w:val="315"/>
        </w:trPr>
        <w:tc>
          <w:tcPr>
            <w:tcW w:w="388" w:type="pct"/>
            <w:shd w:val="clear" w:color="auto" w:fill="C6EFCE"/>
            <w:noWrap/>
            <w:vAlign w:val="center"/>
          </w:tcPr>
          <w:p w14:paraId="36F2FA7C" w14:textId="77777777" w:rsidR="00235E11" w:rsidRDefault="00F837E4">
            <w:pPr>
              <w:pStyle w:val="P68B1DB1-Normal59"/>
              <w:spacing w:after="0"/>
              <w:jc w:val="center"/>
              <w:rPr>
                <w:noProof/>
              </w:rPr>
            </w:pPr>
            <w:r>
              <w:rPr>
                <w:noProof/>
              </w:rPr>
              <w:t>233</w:t>
            </w:r>
          </w:p>
        </w:tc>
        <w:tc>
          <w:tcPr>
            <w:tcW w:w="1975" w:type="pct"/>
            <w:shd w:val="clear" w:color="auto" w:fill="C6EFCE"/>
            <w:noWrap/>
            <w:vAlign w:val="center"/>
          </w:tcPr>
          <w:p w14:paraId="22802E28" w14:textId="77777777" w:rsidR="00235E11" w:rsidRDefault="00F837E4">
            <w:pPr>
              <w:pStyle w:val="P68B1DB1-Normal59"/>
              <w:spacing w:after="0"/>
              <w:rPr>
                <w:noProof/>
              </w:rPr>
            </w:pPr>
            <w:r>
              <w:rPr>
                <w:noProof/>
              </w:rPr>
              <w:t>Оптимизиране на разпределението на енергията (I-7.17)</w:t>
            </w:r>
          </w:p>
        </w:tc>
        <w:tc>
          <w:tcPr>
            <w:tcW w:w="383" w:type="pct"/>
            <w:shd w:val="clear" w:color="auto" w:fill="C6EFCE"/>
            <w:noWrap/>
            <w:vAlign w:val="center"/>
          </w:tcPr>
          <w:p w14:paraId="2A777678"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tcPr>
          <w:p w14:paraId="4408AD70" w14:textId="77777777" w:rsidR="00235E11" w:rsidRDefault="00F837E4">
            <w:pPr>
              <w:pStyle w:val="P68B1DB1-Normal59"/>
              <w:spacing w:after="0"/>
              <w:rPr>
                <w:noProof/>
              </w:rPr>
            </w:pPr>
            <w:r>
              <w:rPr>
                <w:noProof/>
              </w:rPr>
              <w:t>Предоставяне на субсидии на двата основни оператора на електроенергийната мрежа във Валонския регион</w:t>
            </w:r>
          </w:p>
        </w:tc>
      </w:tr>
      <w:tr w:rsidR="00235E11" w14:paraId="5444A108" w14:textId="77777777">
        <w:trPr>
          <w:trHeight w:val="315"/>
        </w:trPr>
        <w:tc>
          <w:tcPr>
            <w:tcW w:w="388" w:type="pct"/>
            <w:shd w:val="clear" w:color="auto" w:fill="C6EFCE"/>
            <w:noWrap/>
            <w:vAlign w:val="center"/>
            <w:hideMark/>
          </w:tcPr>
          <w:p w14:paraId="5B4053C2" w14:textId="77777777" w:rsidR="00235E11" w:rsidRDefault="00F837E4">
            <w:pPr>
              <w:pStyle w:val="P68B1DB1-Normal59"/>
              <w:spacing w:after="0"/>
              <w:jc w:val="center"/>
              <w:rPr>
                <w:noProof/>
              </w:rPr>
            </w:pPr>
            <w:r>
              <w:rPr>
                <w:noProof/>
              </w:rPr>
              <w:t>235</w:t>
            </w:r>
          </w:p>
        </w:tc>
        <w:tc>
          <w:tcPr>
            <w:tcW w:w="1975" w:type="pct"/>
            <w:shd w:val="clear" w:color="auto" w:fill="C6EFCE"/>
            <w:noWrap/>
            <w:vAlign w:val="center"/>
            <w:hideMark/>
          </w:tcPr>
          <w:p w14:paraId="4DDA2FB6" w14:textId="77777777" w:rsidR="00235E11" w:rsidRDefault="00F837E4">
            <w:pPr>
              <w:pStyle w:val="P68B1DB1-Normal59"/>
              <w:spacing w:after="0"/>
              <w:rPr>
                <w:noProof/>
              </w:rPr>
            </w:pPr>
            <w:r>
              <w:rPr>
                <w:noProof/>
              </w:rPr>
              <w:t>Покана за иновативни инициативи за производство на енергия от възобновяеми източници (I-7.18)</w:t>
            </w:r>
          </w:p>
        </w:tc>
        <w:tc>
          <w:tcPr>
            <w:tcW w:w="383" w:type="pct"/>
            <w:shd w:val="clear" w:color="auto" w:fill="C6EFCE"/>
            <w:noWrap/>
            <w:vAlign w:val="center"/>
            <w:hideMark/>
          </w:tcPr>
          <w:p w14:paraId="46654B15"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36FE4909" w14:textId="77777777" w:rsidR="00235E11" w:rsidRDefault="00F837E4">
            <w:pPr>
              <w:pStyle w:val="P68B1DB1-Normal59"/>
              <w:spacing w:after="0"/>
              <w:rPr>
                <w:noProof/>
              </w:rPr>
            </w:pPr>
            <w:r>
              <w:rPr>
                <w:noProof/>
              </w:rPr>
              <w:t>Възлагане на поръчки по покани за представяне на проекти</w:t>
            </w:r>
          </w:p>
        </w:tc>
      </w:tr>
      <w:tr w:rsidR="00235E11" w14:paraId="7C2E77BD" w14:textId="77777777">
        <w:trPr>
          <w:trHeight w:val="315"/>
        </w:trPr>
        <w:tc>
          <w:tcPr>
            <w:tcW w:w="388" w:type="pct"/>
            <w:shd w:val="clear" w:color="auto" w:fill="C6EFCE"/>
            <w:noWrap/>
            <w:vAlign w:val="center"/>
            <w:hideMark/>
          </w:tcPr>
          <w:p w14:paraId="67E283AD" w14:textId="77777777" w:rsidR="00235E11" w:rsidRDefault="00F837E4">
            <w:pPr>
              <w:pStyle w:val="P68B1DB1-Normal59"/>
              <w:spacing w:after="0"/>
              <w:jc w:val="center"/>
              <w:rPr>
                <w:noProof/>
              </w:rPr>
            </w:pPr>
            <w:r>
              <w:rPr>
                <w:noProof/>
              </w:rPr>
              <w:t>248</w:t>
            </w:r>
          </w:p>
        </w:tc>
        <w:tc>
          <w:tcPr>
            <w:tcW w:w="1975" w:type="pct"/>
            <w:shd w:val="clear" w:color="auto" w:fill="C6EFCE"/>
            <w:noWrap/>
            <w:vAlign w:val="center"/>
            <w:hideMark/>
          </w:tcPr>
          <w:p w14:paraId="77E26088" w14:textId="455FEF0B" w:rsidR="00235E11" w:rsidRDefault="00F837E4">
            <w:pPr>
              <w:pStyle w:val="P68B1DB1-Normal59"/>
              <w:spacing w:after="0"/>
              <w:rPr>
                <w:noProof/>
              </w:rPr>
            </w:pPr>
            <w:r>
              <w:rPr>
                <w:noProof/>
              </w:rPr>
              <w:t>SMELD — ЗАХРАНЕНИ (I-5.18)</w:t>
            </w:r>
          </w:p>
        </w:tc>
        <w:tc>
          <w:tcPr>
            <w:tcW w:w="383" w:type="pct"/>
            <w:shd w:val="clear" w:color="auto" w:fill="C6EFCE"/>
            <w:noWrap/>
            <w:vAlign w:val="center"/>
            <w:hideMark/>
          </w:tcPr>
          <w:p w14:paraId="429E35B2" w14:textId="77777777" w:rsidR="00235E11" w:rsidRDefault="00F837E4">
            <w:pPr>
              <w:pStyle w:val="P68B1DB1-Normal59"/>
              <w:spacing w:after="0"/>
              <w:jc w:val="center"/>
              <w:rPr>
                <w:noProof/>
              </w:rPr>
            </w:pPr>
            <w:r>
              <w:rPr>
                <w:noProof/>
              </w:rPr>
              <w:t>M</w:t>
            </w:r>
          </w:p>
        </w:tc>
        <w:tc>
          <w:tcPr>
            <w:tcW w:w="2254" w:type="pct"/>
            <w:shd w:val="clear" w:color="auto" w:fill="C6EFCE"/>
            <w:noWrap/>
            <w:vAlign w:val="center"/>
            <w:hideMark/>
          </w:tcPr>
          <w:p w14:paraId="4A7EC3E8" w14:textId="77777777" w:rsidR="00235E11" w:rsidRDefault="00F837E4">
            <w:pPr>
              <w:pStyle w:val="P68B1DB1-Normal59"/>
              <w:spacing w:after="0"/>
              <w:rPr>
                <w:noProof/>
              </w:rPr>
            </w:pPr>
            <w:r>
              <w:rPr>
                <w:noProof/>
              </w:rPr>
              <w:t>Подготвително проучване на изискванията за монтиране на топилната пещ</w:t>
            </w:r>
          </w:p>
        </w:tc>
      </w:tr>
      <w:tr w:rsidR="00235E11" w14:paraId="250541D0" w14:textId="77777777">
        <w:trPr>
          <w:trHeight w:val="315"/>
        </w:trPr>
        <w:tc>
          <w:tcPr>
            <w:tcW w:w="388" w:type="pct"/>
            <w:shd w:val="clear" w:color="auto" w:fill="C6EFCE"/>
            <w:noWrap/>
            <w:vAlign w:val="center"/>
          </w:tcPr>
          <w:p w14:paraId="1DB49369" w14:textId="77777777" w:rsidR="00235E11" w:rsidRDefault="00235E11">
            <w:pPr>
              <w:spacing w:after="0"/>
              <w:jc w:val="center"/>
              <w:rPr>
                <w:rFonts w:ascii="Times New Roman" w:eastAsia="Times New Roman" w:hAnsi="Times New Roman" w:cs="Times New Roman"/>
                <w:noProof/>
                <w:color w:val="006100"/>
                <w:sz w:val="20"/>
              </w:rPr>
            </w:pPr>
          </w:p>
        </w:tc>
        <w:tc>
          <w:tcPr>
            <w:tcW w:w="2358" w:type="pct"/>
            <w:gridSpan w:val="2"/>
            <w:shd w:val="clear" w:color="auto" w:fill="C6EFCE"/>
            <w:noWrap/>
            <w:vAlign w:val="center"/>
          </w:tcPr>
          <w:p w14:paraId="3387DF77" w14:textId="77777777" w:rsidR="00235E11" w:rsidRDefault="00F837E4">
            <w:pPr>
              <w:pStyle w:val="P68B1DB1-Normal59"/>
              <w:spacing w:after="0"/>
              <w:jc w:val="right"/>
              <w:rPr>
                <w:noProof/>
              </w:rPr>
            </w:pPr>
            <w:r>
              <w:rPr>
                <w:noProof/>
              </w:rPr>
              <w:t>Размер на вноската</w:t>
            </w:r>
          </w:p>
        </w:tc>
        <w:tc>
          <w:tcPr>
            <w:tcW w:w="2254" w:type="pct"/>
            <w:shd w:val="clear" w:color="auto" w:fill="C6EFCE"/>
            <w:noWrap/>
            <w:vAlign w:val="center"/>
          </w:tcPr>
          <w:p w14:paraId="7E94942B" w14:textId="21DC36E1"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2471 022 767 EUR</w:t>
            </w:r>
          </w:p>
        </w:tc>
      </w:tr>
    </w:tbl>
    <w:p w14:paraId="731AA4EA" w14:textId="1B384615" w:rsidR="00235E11" w:rsidRDefault="00235E11">
      <w:pPr>
        <w:rPr>
          <w:rFonts w:ascii="Times New Roman" w:hAnsi="Times New Roman" w:cs="Times New Roman"/>
          <w:noProof/>
        </w:rPr>
      </w:pPr>
    </w:p>
    <w:p w14:paraId="58E55F75" w14:textId="77777777" w:rsidR="00235E11" w:rsidRDefault="00F837E4">
      <w:pPr>
        <w:pStyle w:val="P68B1DB1-Normal17"/>
        <w:rPr>
          <w:noProof/>
        </w:rPr>
      </w:pPr>
      <w:r>
        <w:rPr>
          <w:noProof/>
        </w:rPr>
        <w:br w:type="page"/>
      </w:r>
    </w:p>
    <w:p w14:paraId="6035AB0E" w14:textId="2017EF87" w:rsidR="00235E11" w:rsidRDefault="00F837E4">
      <w:pPr>
        <w:pStyle w:val="ManualNumPar1"/>
        <w:rPr>
          <w:noProof/>
        </w:rPr>
      </w:pPr>
      <w:bookmarkStart w:id="11" w:name="_Hlk148370212"/>
      <w:r>
        <w:rPr>
          <w:noProof/>
        </w:rPr>
        <w:t>Пета вноска (безвъзмездна подкрепа):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6"/>
        <w:gridCol w:w="849"/>
        <w:gridCol w:w="4854"/>
      </w:tblGrid>
      <w:tr w:rsidR="00235E11" w14:paraId="6AD6CA11" w14:textId="77777777">
        <w:trPr>
          <w:trHeight w:val="300"/>
          <w:tblHeader/>
        </w:trPr>
        <w:tc>
          <w:tcPr>
            <w:tcW w:w="400" w:type="pct"/>
            <w:tcBorders>
              <w:bottom w:val="single" w:sz="4" w:space="0" w:color="auto"/>
            </w:tcBorders>
            <w:shd w:val="clear" w:color="auto" w:fill="BDD7EE"/>
            <w:noWrap/>
            <w:vAlign w:val="center"/>
            <w:hideMark/>
          </w:tcPr>
          <w:bookmarkEnd w:id="11"/>
          <w:p w14:paraId="05F01048" w14:textId="77777777" w:rsidR="00235E11" w:rsidRDefault="00F837E4">
            <w:pPr>
              <w:pStyle w:val="P68B1DB1-Normal58"/>
              <w:spacing w:before="120" w:after="120"/>
              <w:jc w:val="center"/>
              <w:rPr>
                <w:noProof/>
              </w:rPr>
            </w:pPr>
            <w:r>
              <w:rPr>
                <w:noProof/>
              </w:rPr>
              <w:t>Следващи. nb</w:t>
            </w:r>
          </w:p>
        </w:tc>
        <w:tc>
          <w:tcPr>
            <w:tcW w:w="1806" w:type="pct"/>
            <w:tcBorders>
              <w:bottom w:val="single" w:sz="4" w:space="0" w:color="auto"/>
            </w:tcBorders>
            <w:shd w:val="clear" w:color="auto" w:fill="BDD7EE"/>
            <w:noWrap/>
            <w:vAlign w:val="center"/>
            <w:hideMark/>
          </w:tcPr>
          <w:p w14:paraId="65AD459D" w14:textId="77777777" w:rsidR="00235E11" w:rsidRDefault="00F837E4">
            <w:pPr>
              <w:pStyle w:val="P68B1DB1-Normal58"/>
              <w:spacing w:before="120" w:after="120"/>
              <w:jc w:val="center"/>
              <w:rPr>
                <w:noProof/>
              </w:rPr>
            </w:pPr>
            <w:r>
              <w:rPr>
                <w:noProof/>
              </w:rPr>
              <w:t>Наименование на мярката</w:t>
            </w:r>
          </w:p>
        </w:tc>
        <w:tc>
          <w:tcPr>
            <w:tcW w:w="416" w:type="pct"/>
            <w:tcBorders>
              <w:bottom w:val="single" w:sz="4" w:space="0" w:color="auto"/>
            </w:tcBorders>
            <w:shd w:val="clear" w:color="auto" w:fill="BDD7EE"/>
            <w:noWrap/>
            <w:vAlign w:val="center"/>
            <w:hideMark/>
          </w:tcPr>
          <w:p w14:paraId="43547F5D" w14:textId="77777777" w:rsidR="00235E11" w:rsidRDefault="00F837E4">
            <w:pPr>
              <w:pStyle w:val="P68B1DB1-Normal58"/>
              <w:spacing w:before="120" w:after="120"/>
              <w:jc w:val="center"/>
              <w:rPr>
                <w:noProof/>
              </w:rPr>
            </w:pPr>
            <w:r>
              <w:rPr>
                <w:noProof/>
              </w:rPr>
              <w:t>M/T</w:t>
            </w:r>
          </w:p>
        </w:tc>
        <w:tc>
          <w:tcPr>
            <w:tcW w:w="2378" w:type="pct"/>
            <w:tcBorders>
              <w:bottom w:val="single" w:sz="4" w:space="0" w:color="auto"/>
            </w:tcBorders>
            <w:shd w:val="clear" w:color="auto" w:fill="BDD7EE"/>
            <w:noWrap/>
            <w:vAlign w:val="center"/>
            <w:hideMark/>
          </w:tcPr>
          <w:p w14:paraId="1BA6D8C5" w14:textId="77777777" w:rsidR="00235E11" w:rsidRDefault="00F837E4">
            <w:pPr>
              <w:pStyle w:val="P68B1DB1-Normal58"/>
              <w:spacing w:before="120" w:after="120"/>
              <w:jc w:val="center"/>
              <w:rPr>
                <w:noProof/>
              </w:rPr>
            </w:pPr>
            <w:r>
              <w:rPr>
                <w:noProof/>
              </w:rPr>
              <w:t>Име</w:t>
            </w:r>
          </w:p>
        </w:tc>
      </w:tr>
      <w:tr w:rsidR="00235E11" w14:paraId="06073AF1" w14:textId="77777777">
        <w:trPr>
          <w:trHeight w:val="315"/>
        </w:trPr>
        <w:tc>
          <w:tcPr>
            <w:tcW w:w="400" w:type="pct"/>
            <w:shd w:val="clear" w:color="000000" w:fill="C6EFCE"/>
            <w:noWrap/>
            <w:vAlign w:val="center"/>
            <w:hideMark/>
          </w:tcPr>
          <w:p w14:paraId="4D12D979" w14:textId="77777777" w:rsidR="00235E11" w:rsidRDefault="00F837E4">
            <w:pPr>
              <w:pStyle w:val="P68B1DB1-Normal59"/>
              <w:spacing w:after="0"/>
              <w:jc w:val="center"/>
              <w:rPr>
                <w:noProof/>
              </w:rPr>
            </w:pPr>
            <w:r>
              <w:rPr>
                <w:noProof/>
              </w:rPr>
              <w:t>7</w:t>
            </w:r>
          </w:p>
        </w:tc>
        <w:tc>
          <w:tcPr>
            <w:tcW w:w="1806" w:type="pct"/>
            <w:shd w:val="clear" w:color="000000" w:fill="C6EFCE"/>
            <w:noWrap/>
            <w:vAlign w:val="center"/>
            <w:hideMark/>
          </w:tcPr>
          <w:p w14:paraId="672DD4FD" w14:textId="77777777" w:rsidR="00235E11" w:rsidRDefault="00F837E4">
            <w:pPr>
              <w:pStyle w:val="P68B1DB1-Normal59"/>
              <w:spacing w:after="0"/>
              <w:rPr>
                <w:noProof/>
              </w:rPr>
            </w:pPr>
            <w:r>
              <w:rPr>
                <w:noProof/>
              </w:rPr>
              <w:t>Обновяване на частни и социални жилища (I-1A)</w:t>
            </w:r>
          </w:p>
        </w:tc>
        <w:tc>
          <w:tcPr>
            <w:tcW w:w="416" w:type="pct"/>
            <w:shd w:val="clear" w:color="000000" w:fill="C6EFCE"/>
            <w:noWrap/>
            <w:vAlign w:val="center"/>
            <w:hideMark/>
          </w:tcPr>
          <w:p w14:paraId="6450EC89"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0F8F42ED" w14:textId="77777777" w:rsidR="00235E11" w:rsidRDefault="00F837E4">
            <w:pPr>
              <w:pStyle w:val="P68B1DB1-Normal59"/>
              <w:spacing w:after="0"/>
              <w:rPr>
                <w:noProof/>
              </w:rPr>
            </w:pPr>
            <w:r>
              <w:rPr>
                <w:noProof/>
              </w:rPr>
              <w:t>Саниране на частни жилищни и социални жилища (стъпка 3)</w:t>
            </w:r>
          </w:p>
        </w:tc>
      </w:tr>
      <w:tr w:rsidR="00235E11" w14:paraId="19457967" w14:textId="77777777">
        <w:trPr>
          <w:trHeight w:val="315"/>
        </w:trPr>
        <w:tc>
          <w:tcPr>
            <w:tcW w:w="400" w:type="pct"/>
            <w:shd w:val="clear" w:color="000000" w:fill="C6EFCE"/>
            <w:noWrap/>
            <w:vAlign w:val="center"/>
            <w:hideMark/>
          </w:tcPr>
          <w:p w14:paraId="5E6CF5E8" w14:textId="77777777" w:rsidR="00235E11" w:rsidRDefault="00F837E4">
            <w:pPr>
              <w:pStyle w:val="P68B1DB1-Normal59"/>
              <w:spacing w:after="0"/>
              <w:jc w:val="center"/>
              <w:rPr>
                <w:noProof/>
              </w:rPr>
            </w:pPr>
            <w:r>
              <w:rPr>
                <w:noProof/>
              </w:rPr>
              <w:t>13</w:t>
            </w:r>
          </w:p>
        </w:tc>
        <w:tc>
          <w:tcPr>
            <w:tcW w:w="1806" w:type="pct"/>
            <w:shd w:val="clear" w:color="000000" w:fill="C6EFCE"/>
            <w:noWrap/>
            <w:vAlign w:val="center"/>
            <w:hideMark/>
          </w:tcPr>
          <w:p w14:paraId="1522B4A1" w14:textId="77777777" w:rsidR="00235E11" w:rsidRDefault="00F837E4">
            <w:pPr>
              <w:pStyle w:val="P68B1DB1-Normal59"/>
              <w:spacing w:after="0"/>
              <w:rPr>
                <w:noProof/>
              </w:rPr>
            </w:pPr>
            <w:r>
              <w:rPr>
                <w:noProof/>
              </w:rPr>
              <w:t>Саниране на обществени сгради (I-1Б)</w:t>
            </w:r>
          </w:p>
        </w:tc>
        <w:tc>
          <w:tcPr>
            <w:tcW w:w="416" w:type="pct"/>
            <w:shd w:val="clear" w:color="000000" w:fill="C6EFCE"/>
            <w:noWrap/>
            <w:vAlign w:val="center"/>
            <w:hideMark/>
          </w:tcPr>
          <w:p w14:paraId="6F7834D1"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718F15D5" w14:textId="77777777" w:rsidR="00235E11" w:rsidRDefault="00F837E4">
            <w:pPr>
              <w:pStyle w:val="P68B1DB1-Normal59"/>
              <w:spacing w:after="0"/>
              <w:rPr>
                <w:noProof/>
              </w:rPr>
            </w:pPr>
            <w:r>
              <w:rPr>
                <w:noProof/>
              </w:rPr>
              <w:t>Саниране на обществени сгради (стъпка 2)</w:t>
            </w:r>
          </w:p>
        </w:tc>
      </w:tr>
      <w:tr w:rsidR="00235E11" w14:paraId="58A07644" w14:textId="77777777">
        <w:trPr>
          <w:trHeight w:val="315"/>
        </w:trPr>
        <w:tc>
          <w:tcPr>
            <w:tcW w:w="400" w:type="pct"/>
            <w:shd w:val="clear" w:color="000000" w:fill="C6EFCE"/>
            <w:noWrap/>
            <w:vAlign w:val="center"/>
            <w:hideMark/>
          </w:tcPr>
          <w:p w14:paraId="194F22FC" w14:textId="77777777" w:rsidR="00235E11" w:rsidRDefault="00F837E4">
            <w:pPr>
              <w:pStyle w:val="P68B1DB1-Normal59"/>
              <w:spacing w:after="0"/>
              <w:jc w:val="center"/>
              <w:rPr>
                <w:noProof/>
              </w:rPr>
            </w:pPr>
            <w:r>
              <w:rPr>
                <w:noProof/>
              </w:rPr>
              <w:t>20</w:t>
            </w:r>
          </w:p>
        </w:tc>
        <w:tc>
          <w:tcPr>
            <w:tcW w:w="1806" w:type="pct"/>
            <w:shd w:val="clear" w:color="000000" w:fill="C6EFCE"/>
            <w:noWrap/>
            <w:vAlign w:val="center"/>
            <w:hideMark/>
          </w:tcPr>
          <w:p w14:paraId="0BFDEABA" w14:textId="77777777" w:rsidR="00235E11" w:rsidRDefault="00F837E4">
            <w:pPr>
              <w:pStyle w:val="P68B1DB1-Normal59"/>
              <w:spacing w:after="0"/>
              <w:rPr>
                <w:noProof/>
              </w:rPr>
            </w:pPr>
            <w:r>
              <w:rPr>
                <w:noProof/>
              </w:rPr>
              <w:t>Промишлена верига за създаване на стойност за прехода към водород (I-1.15)</w:t>
            </w:r>
          </w:p>
        </w:tc>
        <w:tc>
          <w:tcPr>
            <w:tcW w:w="416" w:type="pct"/>
            <w:shd w:val="clear" w:color="000000" w:fill="C6EFCE"/>
            <w:noWrap/>
            <w:vAlign w:val="center"/>
            <w:hideMark/>
          </w:tcPr>
          <w:p w14:paraId="2722987F"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7540F914" w14:textId="77777777" w:rsidR="00235E11" w:rsidRDefault="00F837E4">
            <w:pPr>
              <w:pStyle w:val="P68B1DB1-Normal59"/>
              <w:spacing w:after="0"/>
              <w:rPr>
                <w:noProof/>
              </w:rPr>
            </w:pPr>
            <w:r>
              <w:rPr>
                <w:noProof/>
              </w:rPr>
              <w:t>Приключване на всички възложени проекти в поканите за участие в търг</w:t>
            </w:r>
          </w:p>
        </w:tc>
      </w:tr>
      <w:tr w:rsidR="00235E11" w14:paraId="3139E518" w14:textId="77777777">
        <w:trPr>
          <w:trHeight w:val="315"/>
        </w:trPr>
        <w:tc>
          <w:tcPr>
            <w:tcW w:w="400" w:type="pct"/>
            <w:shd w:val="clear" w:color="000000" w:fill="C6EFCE"/>
            <w:noWrap/>
            <w:vAlign w:val="center"/>
            <w:hideMark/>
          </w:tcPr>
          <w:p w14:paraId="1EE5EE3D" w14:textId="77777777" w:rsidR="00235E11" w:rsidRDefault="00F837E4">
            <w:pPr>
              <w:pStyle w:val="P68B1DB1-Normal59"/>
              <w:spacing w:after="0"/>
              <w:jc w:val="center"/>
              <w:rPr>
                <w:noProof/>
              </w:rPr>
            </w:pPr>
            <w:r>
              <w:rPr>
                <w:noProof/>
              </w:rPr>
              <w:t>49</w:t>
            </w:r>
          </w:p>
        </w:tc>
        <w:tc>
          <w:tcPr>
            <w:tcW w:w="1806" w:type="pct"/>
            <w:shd w:val="clear" w:color="000000" w:fill="C6EFCE"/>
            <w:noWrap/>
            <w:vAlign w:val="center"/>
            <w:hideMark/>
          </w:tcPr>
          <w:p w14:paraId="75F16456" w14:textId="77777777" w:rsidR="00235E11" w:rsidRDefault="00F837E4">
            <w:pPr>
              <w:pStyle w:val="P68B1DB1-Normal59"/>
              <w:spacing w:after="0"/>
              <w:rPr>
                <w:noProof/>
              </w:rPr>
            </w:pPr>
            <w:r>
              <w:rPr>
                <w:noProof/>
              </w:rPr>
              <w:t>Киберсигурността: 5G (I-2.02)</w:t>
            </w:r>
          </w:p>
        </w:tc>
        <w:tc>
          <w:tcPr>
            <w:tcW w:w="416" w:type="pct"/>
            <w:shd w:val="clear" w:color="000000" w:fill="C6EFCE"/>
            <w:noWrap/>
            <w:vAlign w:val="center"/>
            <w:hideMark/>
          </w:tcPr>
          <w:p w14:paraId="48A330B3"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37902DCD" w14:textId="77777777" w:rsidR="00235E11" w:rsidRDefault="00F837E4">
            <w:pPr>
              <w:pStyle w:val="P68B1DB1-Normal59"/>
              <w:spacing w:after="0"/>
              <w:rPr>
                <w:noProof/>
              </w:rPr>
            </w:pPr>
            <w:r>
              <w:rPr>
                <w:noProof/>
              </w:rPr>
              <w:t>Засилен капацитет на съдебната полиция за прихващане в контекста на 5G</w:t>
            </w:r>
          </w:p>
        </w:tc>
      </w:tr>
      <w:tr w:rsidR="00235E11" w14:paraId="4001DCD5" w14:textId="77777777">
        <w:trPr>
          <w:trHeight w:val="315"/>
        </w:trPr>
        <w:tc>
          <w:tcPr>
            <w:tcW w:w="400" w:type="pct"/>
            <w:shd w:val="clear" w:color="000000" w:fill="C6EFCE"/>
            <w:noWrap/>
            <w:vAlign w:val="center"/>
            <w:hideMark/>
          </w:tcPr>
          <w:p w14:paraId="15169879" w14:textId="77777777" w:rsidR="00235E11" w:rsidRDefault="00F837E4">
            <w:pPr>
              <w:pStyle w:val="P68B1DB1-Normal59"/>
              <w:spacing w:after="0"/>
              <w:jc w:val="center"/>
              <w:rPr>
                <w:noProof/>
              </w:rPr>
            </w:pPr>
            <w:r>
              <w:rPr>
                <w:noProof/>
              </w:rPr>
              <w:t>50</w:t>
            </w:r>
          </w:p>
        </w:tc>
        <w:tc>
          <w:tcPr>
            <w:tcW w:w="1806" w:type="pct"/>
            <w:shd w:val="clear" w:color="000000" w:fill="C6EFCE"/>
            <w:noWrap/>
            <w:vAlign w:val="center"/>
            <w:hideMark/>
          </w:tcPr>
          <w:p w14:paraId="1EE409C3" w14:textId="77777777" w:rsidR="00235E11" w:rsidRDefault="00F837E4">
            <w:pPr>
              <w:pStyle w:val="P68B1DB1-Normal59"/>
              <w:spacing w:after="0"/>
              <w:rPr>
                <w:noProof/>
              </w:rPr>
            </w:pPr>
            <w:r>
              <w:rPr>
                <w:noProof/>
              </w:rPr>
              <w:t>Киберсигурността: Прихващане и защита на NTSU/CTIF (I-2.03)</w:t>
            </w:r>
          </w:p>
        </w:tc>
        <w:tc>
          <w:tcPr>
            <w:tcW w:w="416" w:type="pct"/>
            <w:shd w:val="clear" w:color="000000" w:fill="C6EFCE"/>
            <w:noWrap/>
            <w:vAlign w:val="center"/>
            <w:hideMark/>
          </w:tcPr>
          <w:p w14:paraId="2D575356"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0A24C763" w14:textId="77777777" w:rsidR="00235E11" w:rsidRDefault="00F837E4">
            <w:pPr>
              <w:pStyle w:val="P68B1DB1-Normal59"/>
              <w:spacing w:after="0"/>
              <w:rPr>
                <w:noProof/>
              </w:rPr>
            </w:pPr>
            <w:r>
              <w:rPr>
                <w:noProof/>
              </w:rPr>
              <w:t>Цифров регистър на прихванатите лични комуникации, управляван от Националното звено за техническа и тактическа поддръжка на белгийската федерална полиция</w:t>
            </w:r>
          </w:p>
        </w:tc>
      </w:tr>
      <w:tr w:rsidR="00235E11" w14:paraId="399BE324" w14:textId="77777777">
        <w:trPr>
          <w:trHeight w:val="315"/>
        </w:trPr>
        <w:tc>
          <w:tcPr>
            <w:tcW w:w="400" w:type="pct"/>
            <w:shd w:val="clear" w:color="000000" w:fill="C6EFCE"/>
            <w:noWrap/>
            <w:vAlign w:val="center"/>
            <w:hideMark/>
          </w:tcPr>
          <w:p w14:paraId="2281B63E" w14:textId="77777777" w:rsidR="00235E11" w:rsidRDefault="00F837E4">
            <w:pPr>
              <w:pStyle w:val="P68B1DB1-Normal59"/>
              <w:spacing w:after="0"/>
              <w:jc w:val="center"/>
              <w:rPr>
                <w:noProof/>
              </w:rPr>
            </w:pPr>
            <w:r>
              <w:rPr>
                <w:noProof/>
              </w:rPr>
              <w:t>60</w:t>
            </w:r>
          </w:p>
        </w:tc>
        <w:tc>
          <w:tcPr>
            <w:tcW w:w="1806" w:type="pct"/>
            <w:shd w:val="clear" w:color="000000" w:fill="C6EFCE"/>
            <w:noWrap/>
            <w:vAlign w:val="center"/>
            <w:hideMark/>
          </w:tcPr>
          <w:p w14:paraId="65391A59" w14:textId="77777777" w:rsidR="00235E11" w:rsidRDefault="00F837E4">
            <w:pPr>
              <w:pStyle w:val="P68B1DB1-Normal59"/>
              <w:spacing w:after="0"/>
              <w:rPr>
                <w:noProof/>
              </w:rPr>
            </w:pPr>
            <w:r>
              <w:rPr>
                <w:noProof/>
              </w:rPr>
              <w:t>Цифровизация на SPF (I-2.05) (подмярка 1: Цифрова трансформация на правосъдието)</w:t>
            </w:r>
          </w:p>
        </w:tc>
        <w:tc>
          <w:tcPr>
            <w:tcW w:w="416" w:type="pct"/>
            <w:shd w:val="clear" w:color="000000" w:fill="C6EFCE"/>
            <w:noWrap/>
            <w:vAlign w:val="center"/>
            <w:hideMark/>
          </w:tcPr>
          <w:p w14:paraId="5AB4C084"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634A6F47" w14:textId="77777777" w:rsidR="00235E11" w:rsidRDefault="00F837E4">
            <w:pPr>
              <w:pStyle w:val="P68B1DB1-Normal59"/>
              <w:spacing w:after="0"/>
              <w:rPr>
                <w:noProof/>
              </w:rPr>
            </w:pPr>
            <w:r>
              <w:rPr>
                <w:noProof/>
              </w:rPr>
              <w:t>Нова деловодна система за седем субекта</w:t>
            </w:r>
          </w:p>
        </w:tc>
      </w:tr>
      <w:tr w:rsidR="00235E11" w14:paraId="6A99A105" w14:textId="77777777">
        <w:trPr>
          <w:trHeight w:val="315"/>
        </w:trPr>
        <w:tc>
          <w:tcPr>
            <w:tcW w:w="400" w:type="pct"/>
            <w:shd w:val="clear" w:color="000000" w:fill="C6EFCE"/>
            <w:noWrap/>
            <w:vAlign w:val="center"/>
            <w:hideMark/>
          </w:tcPr>
          <w:p w14:paraId="2C65A895" w14:textId="77777777" w:rsidR="00235E11" w:rsidRDefault="00F837E4">
            <w:pPr>
              <w:pStyle w:val="P68B1DB1-Normal59"/>
              <w:spacing w:after="0"/>
              <w:jc w:val="center"/>
              <w:rPr>
                <w:noProof/>
              </w:rPr>
            </w:pPr>
            <w:r>
              <w:rPr>
                <w:noProof/>
              </w:rPr>
              <w:t>61</w:t>
            </w:r>
          </w:p>
        </w:tc>
        <w:tc>
          <w:tcPr>
            <w:tcW w:w="1806" w:type="pct"/>
            <w:shd w:val="clear" w:color="000000" w:fill="C6EFCE"/>
            <w:noWrap/>
            <w:vAlign w:val="center"/>
            <w:hideMark/>
          </w:tcPr>
          <w:p w14:paraId="53012110" w14:textId="30B95A4E" w:rsidR="00235E11" w:rsidRDefault="00F837E4">
            <w:pPr>
              <w:pStyle w:val="P68B1DB1-Normal59"/>
              <w:spacing w:after="0"/>
              <w:rPr>
                <w:noProof/>
              </w:rPr>
            </w:pPr>
            <w:r>
              <w:rPr>
                <w:noProof/>
              </w:rPr>
              <w:t>Цифровизация на SPF (I-2.05) (подмярка 10: Единен цифров портал)</w:t>
            </w:r>
          </w:p>
        </w:tc>
        <w:tc>
          <w:tcPr>
            <w:tcW w:w="416" w:type="pct"/>
            <w:shd w:val="clear" w:color="000000" w:fill="C6EFCE"/>
            <w:noWrap/>
            <w:vAlign w:val="center"/>
            <w:hideMark/>
          </w:tcPr>
          <w:p w14:paraId="6D5E40D8"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53EA9D19" w14:textId="77777777" w:rsidR="00235E11" w:rsidRDefault="00F837E4">
            <w:pPr>
              <w:pStyle w:val="P68B1DB1-Normal59"/>
              <w:spacing w:after="0"/>
              <w:rPr>
                <w:noProof/>
              </w:rPr>
            </w:pPr>
            <w:r>
              <w:rPr>
                <w:noProof/>
              </w:rPr>
              <w:t>Разработено е предният интерфейс</w:t>
            </w:r>
          </w:p>
        </w:tc>
      </w:tr>
      <w:tr w:rsidR="00235E11" w14:paraId="761D099C" w14:textId="77777777">
        <w:trPr>
          <w:trHeight w:val="315"/>
        </w:trPr>
        <w:tc>
          <w:tcPr>
            <w:tcW w:w="400" w:type="pct"/>
            <w:shd w:val="clear" w:color="000000" w:fill="C6EFCE"/>
            <w:noWrap/>
            <w:vAlign w:val="center"/>
            <w:hideMark/>
          </w:tcPr>
          <w:p w14:paraId="22C32DF6" w14:textId="77777777" w:rsidR="00235E11" w:rsidRDefault="00F837E4">
            <w:pPr>
              <w:pStyle w:val="P68B1DB1-Normal59"/>
              <w:spacing w:after="0"/>
              <w:jc w:val="center"/>
              <w:rPr>
                <w:noProof/>
              </w:rPr>
            </w:pPr>
            <w:r>
              <w:rPr>
                <w:noProof/>
              </w:rPr>
              <w:t>64</w:t>
            </w:r>
          </w:p>
        </w:tc>
        <w:tc>
          <w:tcPr>
            <w:tcW w:w="1806" w:type="pct"/>
            <w:shd w:val="clear" w:color="000000" w:fill="C6EFCE"/>
            <w:noWrap/>
            <w:vAlign w:val="center"/>
            <w:hideMark/>
          </w:tcPr>
          <w:p w14:paraId="34C6F47C" w14:textId="77777777" w:rsidR="00235E11" w:rsidRDefault="00F837E4">
            <w:pPr>
              <w:pStyle w:val="P68B1DB1-Normal59"/>
              <w:spacing w:after="0"/>
              <w:rPr>
                <w:noProof/>
              </w:rPr>
            </w:pPr>
            <w:r>
              <w:rPr>
                <w:noProof/>
              </w:rPr>
              <w:t>набор от здравни данни за електронните здравни услуги (I-2.06)</w:t>
            </w:r>
          </w:p>
        </w:tc>
        <w:tc>
          <w:tcPr>
            <w:tcW w:w="416" w:type="pct"/>
            <w:shd w:val="clear" w:color="000000" w:fill="C6EFCE"/>
            <w:noWrap/>
            <w:vAlign w:val="center"/>
            <w:hideMark/>
          </w:tcPr>
          <w:p w14:paraId="4F9E02C7"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7BDD5BF0" w14:textId="77777777" w:rsidR="00235E11" w:rsidRDefault="00F837E4">
            <w:pPr>
              <w:pStyle w:val="P68B1DB1-Normal59"/>
              <w:spacing w:after="0"/>
              <w:rPr>
                <w:noProof/>
              </w:rPr>
            </w:pPr>
            <w:r>
              <w:rPr>
                <w:noProof/>
              </w:rPr>
              <w:t>Пълно разгръщане на проекта</w:t>
            </w:r>
          </w:p>
        </w:tc>
      </w:tr>
      <w:tr w:rsidR="00235E11" w14:paraId="7C9F8B7F" w14:textId="77777777">
        <w:trPr>
          <w:trHeight w:val="315"/>
        </w:trPr>
        <w:tc>
          <w:tcPr>
            <w:tcW w:w="400" w:type="pct"/>
            <w:shd w:val="clear" w:color="000000" w:fill="C6EFCE"/>
            <w:noWrap/>
            <w:vAlign w:val="center"/>
            <w:hideMark/>
          </w:tcPr>
          <w:p w14:paraId="53069697" w14:textId="77777777" w:rsidR="00235E11" w:rsidRDefault="00F837E4">
            <w:pPr>
              <w:pStyle w:val="P68B1DB1-Normal59"/>
              <w:spacing w:after="0"/>
              <w:jc w:val="center"/>
              <w:rPr>
                <w:noProof/>
              </w:rPr>
            </w:pPr>
            <w:r>
              <w:rPr>
                <w:noProof/>
              </w:rPr>
              <w:t>65</w:t>
            </w:r>
          </w:p>
        </w:tc>
        <w:tc>
          <w:tcPr>
            <w:tcW w:w="1806" w:type="pct"/>
            <w:shd w:val="clear" w:color="000000" w:fill="C6EFCE"/>
            <w:noWrap/>
            <w:vAlign w:val="center"/>
            <w:hideMark/>
          </w:tcPr>
          <w:p w14:paraId="3ECBEE81" w14:textId="77777777" w:rsidR="00235E11" w:rsidRDefault="00F837E4">
            <w:pPr>
              <w:pStyle w:val="P68B1DB1-Normal59"/>
              <w:spacing w:after="0"/>
              <w:rPr>
                <w:noProof/>
              </w:rPr>
            </w:pPr>
            <w:r>
              <w:rPr>
                <w:noProof/>
              </w:rPr>
              <w:t>Цифровизация на ЕДИН (I-2.07)</w:t>
            </w:r>
          </w:p>
        </w:tc>
        <w:tc>
          <w:tcPr>
            <w:tcW w:w="416" w:type="pct"/>
            <w:shd w:val="clear" w:color="000000" w:fill="C6EFCE"/>
            <w:noWrap/>
            <w:vAlign w:val="center"/>
            <w:hideMark/>
          </w:tcPr>
          <w:p w14:paraId="3089A7ED"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2BFBF981" w14:textId="77777777" w:rsidR="00235E11" w:rsidRDefault="00F837E4">
            <w:pPr>
              <w:pStyle w:val="P68B1DB1-Normal59"/>
              <w:spacing w:after="0"/>
              <w:rPr>
                <w:noProof/>
              </w:rPr>
            </w:pPr>
            <w:r>
              <w:rPr>
                <w:noProof/>
              </w:rPr>
              <w:t>Въвеждане в експлоатация на нови цифрови платформи</w:t>
            </w:r>
          </w:p>
        </w:tc>
      </w:tr>
      <w:tr w:rsidR="00235E11" w14:paraId="1BFC9812" w14:textId="77777777">
        <w:trPr>
          <w:trHeight w:val="315"/>
        </w:trPr>
        <w:tc>
          <w:tcPr>
            <w:tcW w:w="400" w:type="pct"/>
            <w:shd w:val="clear" w:color="000000" w:fill="C6EFCE"/>
            <w:noWrap/>
            <w:vAlign w:val="center"/>
            <w:hideMark/>
          </w:tcPr>
          <w:p w14:paraId="0FB78BD7" w14:textId="77777777" w:rsidR="00235E11" w:rsidRDefault="00F837E4">
            <w:pPr>
              <w:pStyle w:val="P68B1DB1-Normal59"/>
              <w:spacing w:after="0"/>
              <w:jc w:val="center"/>
              <w:rPr>
                <w:noProof/>
              </w:rPr>
            </w:pPr>
            <w:r>
              <w:rPr>
                <w:noProof/>
              </w:rPr>
              <w:t>69</w:t>
            </w:r>
          </w:p>
        </w:tc>
        <w:tc>
          <w:tcPr>
            <w:tcW w:w="1806" w:type="pct"/>
            <w:shd w:val="clear" w:color="000000" w:fill="C6EFCE"/>
            <w:noWrap/>
            <w:vAlign w:val="center"/>
            <w:hideMark/>
          </w:tcPr>
          <w:p w14:paraId="0F7C5E99" w14:textId="77777777" w:rsidR="00235E11" w:rsidRDefault="00F837E4">
            <w:pPr>
              <w:pStyle w:val="P68B1DB1-Normal59"/>
              <w:spacing w:after="0"/>
              <w:rPr>
                <w:noProof/>
              </w:rPr>
            </w:pPr>
            <w:r>
              <w:rPr>
                <w:noProof/>
              </w:rPr>
              <w:t>Цифровизация на фламандското правителство (I-2.09)</w:t>
            </w:r>
          </w:p>
        </w:tc>
        <w:tc>
          <w:tcPr>
            <w:tcW w:w="416" w:type="pct"/>
            <w:shd w:val="clear" w:color="000000" w:fill="C6EFCE"/>
            <w:noWrap/>
            <w:vAlign w:val="center"/>
            <w:hideMark/>
          </w:tcPr>
          <w:p w14:paraId="3145BC7E"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5B5D0E5B" w14:textId="77777777" w:rsidR="00235E11" w:rsidRDefault="00F837E4">
            <w:pPr>
              <w:pStyle w:val="P68B1DB1-Normal59"/>
              <w:spacing w:after="0"/>
              <w:rPr>
                <w:noProof/>
              </w:rPr>
            </w:pPr>
            <w:r>
              <w:rPr>
                <w:noProof/>
              </w:rPr>
              <w:t>Разработване на 4 нови цифрови функции</w:t>
            </w:r>
          </w:p>
        </w:tc>
      </w:tr>
      <w:tr w:rsidR="00235E11" w14:paraId="03F4E47C" w14:textId="77777777">
        <w:trPr>
          <w:trHeight w:val="315"/>
        </w:trPr>
        <w:tc>
          <w:tcPr>
            <w:tcW w:w="400" w:type="pct"/>
            <w:shd w:val="clear" w:color="000000" w:fill="C6EFCE"/>
            <w:noWrap/>
            <w:vAlign w:val="center"/>
            <w:hideMark/>
          </w:tcPr>
          <w:p w14:paraId="4462AA4E" w14:textId="77777777" w:rsidR="00235E11" w:rsidRDefault="00F837E4">
            <w:pPr>
              <w:pStyle w:val="P68B1DB1-Normal59"/>
              <w:spacing w:after="0"/>
              <w:jc w:val="center"/>
              <w:rPr>
                <w:noProof/>
              </w:rPr>
            </w:pPr>
            <w:r>
              <w:rPr>
                <w:noProof/>
              </w:rPr>
              <w:t>73</w:t>
            </w:r>
          </w:p>
        </w:tc>
        <w:tc>
          <w:tcPr>
            <w:tcW w:w="1806" w:type="pct"/>
            <w:shd w:val="clear" w:color="000000" w:fill="C6EFCE"/>
            <w:noWrap/>
            <w:vAlign w:val="center"/>
            <w:hideMark/>
          </w:tcPr>
          <w:p w14:paraId="182C3BEB" w14:textId="77777777" w:rsidR="00235E11" w:rsidRDefault="00F837E4">
            <w:pPr>
              <w:pStyle w:val="P68B1DB1-Normal59"/>
              <w:spacing w:after="0"/>
              <w:rPr>
                <w:noProof/>
              </w:rPr>
            </w:pPr>
            <w:r>
              <w:rPr>
                <w:noProof/>
              </w:rPr>
              <w:t>Цифровизация на гражданските и бизнес процесите (I-2.11)</w:t>
            </w:r>
          </w:p>
        </w:tc>
        <w:tc>
          <w:tcPr>
            <w:tcW w:w="416" w:type="pct"/>
            <w:shd w:val="clear" w:color="000000" w:fill="C6EFCE"/>
            <w:noWrap/>
            <w:vAlign w:val="center"/>
            <w:hideMark/>
          </w:tcPr>
          <w:p w14:paraId="74036815"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41BCD2EF" w14:textId="77777777" w:rsidR="00235E11" w:rsidRDefault="00F837E4">
            <w:pPr>
              <w:pStyle w:val="P68B1DB1-Normal59"/>
              <w:spacing w:after="0"/>
              <w:rPr>
                <w:noProof/>
              </w:rPr>
            </w:pPr>
            <w:r>
              <w:rPr>
                <w:noProof/>
              </w:rPr>
              <w:t>Въвеждане в експлоатация на 3 онлайн платформи (разрешително за градоустройствено планиране, информация за градоустройственото планиране и екологично разрешително)</w:t>
            </w:r>
          </w:p>
        </w:tc>
      </w:tr>
      <w:tr w:rsidR="00235E11" w14:paraId="4A12DA99" w14:textId="77777777">
        <w:trPr>
          <w:trHeight w:val="315"/>
        </w:trPr>
        <w:tc>
          <w:tcPr>
            <w:tcW w:w="400" w:type="pct"/>
            <w:shd w:val="clear" w:color="000000" w:fill="C6EFCE"/>
            <w:noWrap/>
            <w:vAlign w:val="center"/>
            <w:hideMark/>
          </w:tcPr>
          <w:p w14:paraId="64EE0B5D" w14:textId="77777777" w:rsidR="00235E11" w:rsidRDefault="00F837E4">
            <w:pPr>
              <w:pStyle w:val="P68B1DB1-Normal59"/>
              <w:spacing w:after="0"/>
              <w:jc w:val="center"/>
              <w:rPr>
                <w:noProof/>
              </w:rPr>
            </w:pPr>
            <w:r>
              <w:rPr>
                <w:noProof/>
              </w:rPr>
              <w:t>84</w:t>
            </w:r>
          </w:p>
        </w:tc>
        <w:tc>
          <w:tcPr>
            <w:tcW w:w="1806" w:type="pct"/>
            <w:shd w:val="clear" w:color="000000" w:fill="C6EFCE"/>
            <w:noWrap/>
            <w:vAlign w:val="center"/>
            <w:hideMark/>
          </w:tcPr>
          <w:p w14:paraId="1B36CFF8" w14:textId="77777777" w:rsidR="00235E11" w:rsidRDefault="00F837E4">
            <w:pPr>
              <w:pStyle w:val="P68B1DB1-Normal59"/>
              <w:spacing w:after="0"/>
              <w:rPr>
                <w:noProof/>
              </w:rPr>
            </w:pPr>
            <w:r>
              <w:rPr>
                <w:noProof/>
              </w:rPr>
              <w:t>Подобряване на свързаността на 35 бизнес парка във Валония (I-2.15)</w:t>
            </w:r>
          </w:p>
        </w:tc>
        <w:tc>
          <w:tcPr>
            <w:tcW w:w="416" w:type="pct"/>
            <w:shd w:val="clear" w:color="000000" w:fill="C6EFCE"/>
            <w:noWrap/>
            <w:vAlign w:val="center"/>
            <w:hideMark/>
          </w:tcPr>
          <w:p w14:paraId="20D52720"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2C4ABBC9" w14:textId="77777777" w:rsidR="00235E11" w:rsidRDefault="00F837E4">
            <w:pPr>
              <w:pStyle w:val="P68B1DB1-Normal59"/>
              <w:spacing w:after="0"/>
              <w:rPr>
                <w:noProof/>
              </w:rPr>
            </w:pPr>
            <w:r>
              <w:rPr>
                <w:noProof/>
              </w:rPr>
              <w:t>Оптична свързаност за 35 бизнес парка</w:t>
            </w:r>
          </w:p>
        </w:tc>
      </w:tr>
      <w:tr w:rsidR="00235E11" w14:paraId="37F8C91C" w14:textId="77777777">
        <w:trPr>
          <w:trHeight w:val="315"/>
        </w:trPr>
        <w:tc>
          <w:tcPr>
            <w:tcW w:w="400" w:type="pct"/>
            <w:shd w:val="clear" w:color="000000" w:fill="C6EFCE"/>
            <w:noWrap/>
            <w:vAlign w:val="center"/>
            <w:hideMark/>
          </w:tcPr>
          <w:p w14:paraId="5058EB7C" w14:textId="77777777" w:rsidR="00235E11" w:rsidRDefault="00F837E4">
            <w:pPr>
              <w:pStyle w:val="P68B1DB1-Normal59"/>
              <w:spacing w:after="0"/>
              <w:jc w:val="center"/>
              <w:rPr>
                <w:noProof/>
              </w:rPr>
            </w:pPr>
            <w:r>
              <w:rPr>
                <w:noProof/>
              </w:rPr>
              <w:t>100</w:t>
            </w:r>
          </w:p>
        </w:tc>
        <w:tc>
          <w:tcPr>
            <w:tcW w:w="1806" w:type="pct"/>
            <w:shd w:val="clear" w:color="000000" w:fill="C6EFCE"/>
            <w:noWrap/>
            <w:vAlign w:val="center"/>
            <w:hideMark/>
          </w:tcPr>
          <w:p w14:paraId="7E4ECDF5" w14:textId="77777777" w:rsidR="00235E11" w:rsidRDefault="00F837E4">
            <w:pPr>
              <w:pStyle w:val="P68B1DB1-Normal59"/>
              <w:spacing w:after="0"/>
              <w:rPr>
                <w:noProof/>
              </w:rPr>
            </w:pPr>
            <w:r>
              <w:rPr>
                <w:noProof/>
              </w:rPr>
              <w:t>Подобряване на обществения транспорт във Валония (I-3B)</w:t>
            </w:r>
          </w:p>
        </w:tc>
        <w:tc>
          <w:tcPr>
            <w:tcW w:w="416" w:type="pct"/>
            <w:shd w:val="clear" w:color="000000" w:fill="C6EFCE"/>
            <w:noWrap/>
            <w:vAlign w:val="center"/>
            <w:hideMark/>
          </w:tcPr>
          <w:p w14:paraId="30402F02"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29583512" w14:textId="16BBAB9F" w:rsidR="00235E11" w:rsidRDefault="00F837E4">
            <w:pPr>
              <w:pStyle w:val="P68B1DB1-Normal59"/>
              <w:spacing w:after="0"/>
              <w:rPr>
                <w:noProof/>
              </w:rPr>
            </w:pPr>
            <w:r>
              <w:rPr>
                <w:noProof/>
              </w:rPr>
              <w:t>Привеждане в действие на интелигентни светофари</w:t>
            </w:r>
          </w:p>
        </w:tc>
      </w:tr>
      <w:tr w:rsidR="00235E11" w14:paraId="7FAE6E22" w14:textId="77777777">
        <w:trPr>
          <w:trHeight w:val="315"/>
        </w:trPr>
        <w:tc>
          <w:tcPr>
            <w:tcW w:w="400" w:type="pct"/>
            <w:shd w:val="clear" w:color="000000" w:fill="C6EFCE"/>
            <w:noWrap/>
            <w:vAlign w:val="center"/>
            <w:hideMark/>
          </w:tcPr>
          <w:p w14:paraId="5E47FB48" w14:textId="77777777" w:rsidR="00235E11" w:rsidRDefault="00F837E4">
            <w:pPr>
              <w:pStyle w:val="P68B1DB1-Normal59"/>
              <w:spacing w:after="0"/>
              <w:jc w:val="center"/>
              <w:rPr>
                <w:noProof/>
              </w:rPr>
            </w:pPr>
            <w:r>
              <w:rPr>
                <w:noProof/>
              </w:rPr>
              <w:t>106</w:t>
            </w:r>
          </w:p>
        </w:tc>
        <w:tc>
          <w:tcPr>
            <w:tcW w:w="1806" w:type="pct"/>
            <w:shd w:val="clear" w:color="000000" w:fill="C6EFCE"/>
            <w:noWrap/>
            <w:vAlign w:val="center"/>
            <w:hideMark/>
          </w:tcPr>
          <w:p w14:paraId="0A7FD745" w14:textId="77777777" w:rsidR="00235E11" w:rsidRDefault="00F837E4">
            <w:pPr>
              <w:pStyle w:val="P68B1DB1-Normal59"/>
              <w:spacing w:after="0"/>
              <w:rPr>
                <w:noProof/>
              </w:rPr>
            </w:pPr>
            <w:r>
              <w:rPr>
                <w:noProof/>
              </w:rPr>
              <w:t>Canal Albert и Trilogiport (I-3.11)</w:t>
            </w:r>
          </w:p>
        </w:tc>
        <w:tc>
          <w:tcPr>
            <w:tcW w:w="416" w:type="pct"/>
            <w:shd w:val="clear" w:color="000000" w:fill="C6EFCE"/>
            <w:noWrap/>
            <w:vAlign w:val="center"/>
            <w:hideMark/>
          </w:tcPr>
          <w:p w14:paraId="65722AEF"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67E60DDB" w14:textId="77777777" w:rsidR="00235E11" w:rsidRDefault="00F837E4">
            <w:pPr>
              <w:pStyle w:val="P68B1DB1-Normal59"/>
              <w:spacing w:after="0"/>
              <w:rPr>
                <w:noProof/>
              </w:rPr>
            </w:pPr>
            <w:r>
              <w:rPr>
                <w:noProof/>
              </w:rPr>
              <w:t>Възлагане на договори за строителство на мостовете над Canal Albert/и на нова платформа в Trilogiport</w:t>
            </w:r>
          </w:p>
        </w:tc>
      </w:tr>
      <w:tr w:rsidR="00235E11" w14:paraId="0ACBC946" w14:textId="77777777">
        <w:trPr>
          <w:trHeight w:val="315"/>
        </w:trPr>
        <w:tc>
          <w:tcPr>
            <w:tcW w:w="400" w:type="pct"/>
            <w:shd w:val="clear" w:color="000000" w:fill="C6EFCE"/>
            <w:noWrap/>
            <w:vAlign w:val="center"/>
            <w:hideMark/>
          </w:tcPr>
          <w:p w14:paraId="61C41DEA" w14:textId="77777777" w:rsidR="00235E11" w:rsidRDefault="00F837E4">
            <w:pPr>
              <w:pStyle w:val="P68B1DB1-Normal59"/>
              <w:spacing w:after="0"/>
              <w:jc w:val="center"/>
              <w:rPr>
                <w:noProof/>
              </w:rPr>
            </w:pPr>
            <w:r>
              <w:rPr>
                <w:noProof/>
              </w:rPr>
              <w:t>108</w:t>
            </w:r>
          </w:p>
        </w:tc>
        <w:tc>
          <w:tcPr>
            <w:tcW w:w="1806" w:type="pct"/>
            <w:shd w:val="clear" w:color="000000" w:fill="C6EFCE"/>
            <w:noWrap/>
            <w:vAlign w:val="center"/>
            <w:hideMark/>
          </w:tcPr>
          <w:p w14:paraId="3BBC74BF" w14:textId="77777777" w:rsidR="00235E11" w:rsidRDefault="00F837E4">
            <w:pPr>
              <w:pStyle w:val="P68B1DB1-Normal59"/>
              <w:spacing w:after="0"/>
              <w:rPr>
                <w:noProof/>
              </w:rPr>
            </w:pPr>
            <w:r>
              <w:rPr>
                <w:noProof/>
              </w:rPr>
              <w:t xml:space="preserve">Отключване на свободно достъпни данни за приложение за интелигентна мобилност (I-3D) </w:t>
            </w:r>
          </w:p>
        </w:tc>
        <w:tc>
          <w:tcPr>
            <w:tcW w:w="416" w:type="pct"/>
            <w:shd w:val="clear" w:color="000000" w:fill="C6EFCE"/>
            <w:noWrap/>
            <w:vAlign w:val="center"/>
            <w:hideMark/>
          </w:tcPr>
          <w:p w14:paraId="47D79BF4"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3586ADF1" w14:textId="77777777" w:rsidR="00235E11" w:rsidRDefault="00F837E4">
            <w:pPr>
              <w:pStyle w:val="P68B1DB1-Normal59"/>
              <w:spacing w:after="0"/>
              <w:rPr>
                <w:noProof/>
              </w:rPr>
            </w:pPr>
            <w:r>
              <w:rPr>
                <w:noProof/>
              </w:rPr>
              <w:t xml:space="preserve">Отключване на свободно достъпни данни за приложение за интелигентна мобилност </w:t>
            </w:r>
          </w:p>
        </w:tc>
      </w:tr>
      <w:tr w:rsidR="00235E11" w14:paraId="331A7D79" w14:textId="77777777">
        <w:trPr>
          <w:trHeight w:val="315"/>
        </w:trPr>
        <w:tc>
          <w:tcPr>
            <w:tcW w:w="400" w:type="pct"/>
            <w:shd w:val="clear" w:color="000000" w:fill="C6EFCE"/>
            <w:noWrap/>
            <w:vAlign w:val="center"/>
            <w:hideMark/>
          </w:tcPr>
          <w:p w14:paraId="46F54A49" w14:textId="77777777" w:rsidR="00235E11" w:rsidRDefault="00F837E4">
            <w:pPr>
              <w:pStyle w:val="P68B1DB1-Normal59"/>
              <w:spacing w:after="0"/>
              <w:jc w:val="center"/>
              <w:rPr>
                <w:noProof/>
              </w:rPr>
            </w:pPr>
            <w:r>
              <w:rPr>
                <w:noProof/>
              </w:rPr>
              <w:t>115</w:t>
            </w:r>
          </w:p>
        </w:tc>
        <w:tc>
          <w:tcPr>
            <w:tcW w:w="1806" w:type="pct"/>
            <w:shd w:val="clear" w:color="000000" w:fill="C6EFCE"/>
            <w:noWrap/>
            <w:vAlign w:val="center"/>
            <w:hideMark/>
          </w:tcPr>
          <w:p w14:paraId="4B2FB3C7" w14:textId="77777777" w:rsidR="00235E11" w:rsidRDefault="00F837E4">
            <w:pPr>
              <w:pStyle w:val="P68B1DB1-Normal59"/>
              <w:spacing w:after="0"/>
              <w:rPr>
                <w:noProof/>
              </w:rPr>
            </w:pPr>
            <w:r>
              <w:rPr>
                <w:noProof/>
              </w:rPr>
              <w:t>Екологизиране на автобусния парк (I-3G)</w:t>
            </w:r>
          </w:p>
        </w:tc>
        <w:tc>
          <w:tcPr>
            <w:tcW w:w="416" w:type="pct"/>
            <w:shd w:val="clear" w:color="000000" w:fill="C6EFCE"/>
            <w:noWrap/>
            <w:vAlign w:val="center"/>
            <w:hideMark/>
          </w:tcPr>
          <w:p w14:paraId="0010AA4B"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1A61C049" w14:textId="38B3A1BE" w:rsidR="00235E11" w:rsidRDefault="00F837E4">
            <w:pPr>
              <w:pStyle w:val="P68B1DB1-Normal59"/>
              <w:spacing w:after="0"/>
              <w:rPr>
                <w:noProof/>
              </w:rPr>
            </w:pPr>
            <w:r>
              <w:rPr>
                <w:noProof/>
              </w:rPr>
              <w:t>Зелени автобуси, въведени в експлоатация, и технически пригодени депа във Фландрия, Брюксел и Валония</w:t>
            </w:r>
          </w:p>
        </w:tc>
      </w:tr>
      <w:tr w:rsidR="00235E11" w14:paraId="438DC717" w14:textId="77777777">
        <w:trPr>
          <w:trHeight w:val="315"/>
        </w:trPr>
        <w:tc>
          <w:tcPr>
            <w:tcW w:w="400" w:type="pct"/>
            <w:shd w:val="clear" w:color="000000" w:fill="C6EFCE"/>
            <w:noWrap/>
            <w:vAlign w:val="center"/>
            <w:hideMark/>
          </w:tcPr>
          <w:p w14:paraId="1A4C60FF" w14:textId="77777777" w:rsidR="00235E11" w:rsidRDefault="00F837E4">
            <w:pPr>
              <w:pStyle w:val="P68B1DB1-Normal59"/>
              <w:spacing w:after="0"/>
              <w:jc w:val="center"/>
              <w:rPr>
                <w:noProof/>
              </w:rPr>
            </w:pPr>
            <w:r>
              <w:rPr>
                <w:noProof/>
              </w:rPr>
              <w:t>122</w:t>
            </w:r>
          </w:p>
        </w:tc>
        <w:tc>
          <w:tcPr>
            <w:tcW w:w="1806" w:type="pct"/>
            <w:shd w:val="clear" w:color="000000" w:fill="C6EFCE"/>
            <w:noWrap/>
            <w:vAlign w:val="center"/>
            <w:hideMark/>
          </w:tcPr>
          <w:p w14:paraId="7F31D652" w14:textId="77777777" w:rsidR="00235E11" w:rsidRDefault="00F837E4">
            <w:pPr>
              <w:pStyle w:val="P68B1DB1-Normal59"/>
              <w:spacing w:after="0"/>
              <w:rPr>
                <w:noProof/>
              </w:rPr>
            </w:pPr>
            <w:r>
              <w:rPr>
                <w:noProof/>
              </w:rPr>
              <w:t>Станции за зареждане (I-3F)</w:t>
            </w:r>
          </w:p>
        </w:tc>
        <w:tc>
          <w:tcPr>
            <w:tcW w:w="416" w:type="pct"/>
            <w:shd w:val="clear" w:color="000000" w:fill="C6EFCE"/>
            <w:noWrap/>
            <w:vAlign w:val="center"/>
            <w:hideMark/>
          </w:tcPr>
          <w:p w14:paraId="35F81721"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099C12E6" w14:textId="77777777" w:rsidR="00235E11" w:rsidRDefault="00F837E4">
            <w:pPr>
              <w:pStyle w:val="P68B1DB1-Normal59"/>
              <w:spacing w:after="0"/>
              <w:rPr>
                <w:noProof/>
              </w:rPr>
            </w:pPr>
            <w:r>
              <w:rPr>
                <w:noProof/>
              </w:rPr>
              <w:t>Допълнителни оперативни частни, полупублични и публични зарядни точки (стъпка 2)</w:t>
            </w:r>
          </w:p>
        </w:tc>
      </w:tr>
      <w:tr w:rsidR="00235E11" w14:paraId="343369DD" w14:textId="77777777">
        <w:trPr>
          <w:trHeight w:val="315"/>
        </w:trPr>
        <w:tc>
          <w:tcPr>
            <w:tcW w:w="400" w:type="pct"/>
            <w:shd w:val="clear" w:color="000000" w:fill="C6EFCE"/>
            <w:noWrap/>
            <w:vAlign w:val="center"/>
            <w:hideMark/>
          </w:tcPr>
          <w:p w14:paraId="311B8669" w14:textId="77777777" w:rsidR="00235E11" w:rsidRDefault="00F837E4">
            <w:pPr>
              <w:pStyle w:val="P68B1DB1-Normal59"/>
              <w:spacing w:after="0"/>
              <w:jc w:val="center"/>
              <w:rPr>
                <w:noProof/>
              </w:rPr>
            </w:pPr>
            <w:r>
              <w:rPr>
                <w:noProof/>
              </w:rPr>
              <w:t>145</w:t>
            </w:r>
          </w:p>
        </w:tc>
        <w:tc>
          <w:tcPr>
            <w:tcW w:w="1806" w:type="pct"/>
            <w:shd w:val="clear" w:color="000000" w:fill="C6EFCE"/>
            <w:noWrap/>
            <w:vAlign w:val="center"/>
            <w:hideMark/>
          </w:tcPr>
          <w:p w14:paraId="080047CF" w14:textId="77777777" w:rsidR="00235E11" w:rsidRDefault="00F837E4">
            <w:pPr>
              <w:pStyle w:val="P68B1DB1-Normal59"/>
              <w:spacing w:after="0"/>
              <w:rPr>
                <w:noProof/>
              </w:rPr>
            </w:pPr>
            <w:r>
              <w:rPr>
                <w:noProof/>
              </w:rPr>
              <w:t>Стратегия за преквалифициране (I-4.07)</w:t>
            </w:r>
          </w:p>
        </w:tc>
        <w:tc>
          <w:tcPr>
            <w:tcW w:w="416" w:type="pct"/>
            <w:shd w:val="clear" w:color="000000" w:fill="C6EFCE"/>
            <w:noWrap/>
            <w:vAlign w:val="center"/>
            <w:hideMark/>
          </w:tcPr>
          <w:p w14:paraId="0DCF85A0"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6D461228" w14:textId="77777777" w:rsidR="00235E11" w:rsidRDefault="00F837E4">
            <w:pPr>
              <w:pStyle w:val="P68B1DB1-Normal59"/>
              <w:spacing w:after="0"/>
              <w:rPr>
                <w:noProof/>
              </w:rPr>
            </w:pPr>
            <w:r>
              <w:rPr>
                <w:noProof/>
              </w:rPr>
              <w:t>Път за устойчива интеграция на хората с увреждания</w:t>
            </w:r>
          </w:p>
        </w:tc>
      </w:tr>
      <w:tr w:rsidR="00235E11" w14:paraId="3750C4F8" w14:textId="77777777">
        <w:trPr>
          <w:trHeight w:val="315"/>
        </w:trPr>
        <w:tc>
          <w:tcPr>
            <w:tcW w:w="400" w:type="pct"/>
            <w:shd w:val="clear" w:color="000000" w:fill="C6EFCE"/>
            <w:noWrap/>
            <w:vAlign w:val="center"/>
            <w:hideMark/>
          </w:tcPr>
          <w:p w14:paraId="33711B54" w14:textId="77777777" w:rsidR="00235E11" w:rsidRDefault="00F837E4">
            <w:pPr>
              <w:pStyle w:val="P68B1DB1-Normal59"/>
              <w:spacing w:after="0"/>
              <w:jc w:val="center"/>
              <w:rPr>
                <w:noProof/>
              </w:rPr>
            </w:pPr>
            <w:r>
              <w:rPr>
                <w:noProof/>
              </w:rPr>
              <w:t>152</w:t>
            </w:r>
          </w:p>
        </w:tc>
        <w:tc>
          <w:tcPr>
            <w:tcW w:w="1806" w:type="pct"/>
            <w:shd w:val="clear" w:color="000000" w:fill="C6EFCE"/>
            <w:noWrap/>
            <w:vAlign w:val="center"/>
            <w:hideMark/>
          </w:tcPr>
          <w:p w14:paraId="15322967" w14:textId="77777777" w:rsidR="00235E11" w:rsidRDefault="00F837E4">
            <w:pPr>
              <w:pStyle w:val="P68B1DB1-Normal59"/>
              <w:spacing w:after="0"/>
              <w:rPr>
                <w:noProof/>
              </w:rPr>
            </w:pPr>
            <w:r>
              <w:rPr>
                <w:noProof/>
              </w:rPr>
              <w:t>Развитие на комунални жилища и жилища за уязвими лица (I-4.12)</w:t>
            </w:r>
          </w:p>
        </w:tc>
        <w:tc>
          <w:tcPr>
            <w:tcW w:w="416" w:type="pct"/>
            <w:shd w:val="clear" w:color="000000" w:fill="C6EFCE"/>
            <w:noWrap/>
            <w:vAlign w:val="center"/>
            <w:hideMark/>
          </w:tcPr>
          <w:p w14:paraId="406B1DA0"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685C485B" w14:textId="77777777" w:rsidR="00235E11" w:rsidRDefault="00F837E4">
            <w:pPr>
              <w:pStyle w:val="P68B1DB1-Normal59"/>
              <w:spacing w:after="0"/>
              <w:rPr>
                <w:noProof/>
              </w:rPr>
            </w:pPr>
            <w:r>
              <w:rPr>
                <w:noProof/>
              </w:rPr>
              <w:t>Инсталиране на дистанционна помощ за хора, загубили самостоятелността си</w:t>
            </w:r>
          </w:p>
        </w:tc>
      </w:tr>
      <w:tr w:rsidR="00235E11" w14:paraId="516961E4" w14:textId="77777777">
        <w:trPr>
          <w:trHeight w:val="315"/>
        </w:trPr>
        <w:tc>
          <w:tcPr>
            <w:tcW w:w="400" w:type="pct"/>
            <w:shd w:val="clear" w:color="000000" w:fill="C6EFCE"/>
            <w:noWrap/>
            <w:vAlign w:val="center"/>
            <w:hideMark/>
          </w:tcPr>
          <w:p w14:paraId="30A125E0" w14:textId="77777777" w:rsidR="00235E11" w:rsidRDefault="00F837E4">
            <w:pPr>
              <w:pStyle w:val="P68B1DB1-Normal59"/>
              <w:spacing w:after="0"/>
              <w:jc w:val="center"/>
              <w:rPr>
                <w:noProof/>
              </w:rPr>
            </w:pPr>
            <w:r>
              <w:rPr>
                <w:noProof/>
              </w:rPr>
              <w:t>160</w:t>
            </w:r>
          </w:p>
        </w:tc>
        <w:tc>
          <w:tcPr>
            <w:tcW w:w="1806" w:type="pct"/>
            <w:shd w:val="clear" w:color="000000" w:fill="C6EFCE"/>
            <w:noWrap/>
            <w:vAlign w:val="center"/>
            <w:hideMark/>
          </w:tcPr>
          <w:p w14:paraId="3136DCAA" w14:textId="77777777" w:rsidR="00235E11" w:rsidRDefault="00F837E4">
            <w:pPr>
              <w:pStyle w:val="P68B1DB1-Normal59"/>
              <w:spacing w:after="0"/>
              <w:rPr>
                <w:noProof/>
              </w:rPr>
            </w:pPr>
            <w:r>
              <w:rPr>
                <w:noProof/>
              </w:rPr>
              <w:t>Модернизиране на инфраструктурата за обучение на напреднали (I-5.03)</w:t>
            </w:r>
          </w:p>
        </w:tc>
        <w:tc>
          <w:tcPr>
            <w:tcW w:w="416" w:type="pct"/>
            <w:shd w:val="clear" w:color="000000" w:fill="C6EFCE"/>
            <w:noWrap/>
            <w:vAlign w:val="center"/>
            <w:hideMark/>
          </w:tcPr>
          <w:p w14:paraId="20BC3AE1"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702B8A66" w14:textId="77777777" w:rsidR="00235E11" w:rsidRDefault="00F837E4">
            <w:pPr>
              <w:pStyle w:val="P68B1DB1-Normal59"/>
              <w:spacing w:after="0"/>
              <w:rPr>
                <w:noProof/>
              </w:rPr>
            </w:pPr>
            <w:r>
              <w:rPr>
                <w:noProof/>
              </w:rPr>
              <w:t xml:space="preserve">Сгради и оборудване за обучение, служби по заетостта </w:t>
            </w:r>
          </w:p>
        </w:tc>
      </w:tr>
      <w:tr w:rsidR="00235E11" w14:paraId="02E7BC8B" w14:textId="77777777">
        <w:trPr>
          <w:trHeight w:val="315"/>
        </w:trPr>
        <w:tc>
          <w:tcPr>
            <w:tcW w:w="400" w:type="pct"/>
            <w:shd w:val="clear" w:color="000000" w:fill="C6EFCE"/>
            <w:noWrap/>
            <w:vAlign w:val="center"/>
            <w:hideMark/>
          </w:tcPr>
          <w:p w14:paraId="52DD44F7" w14:textId="77777777" w:rsidR="00235E11" w:rsidRDefault="00F837E4">
            <w:pPr>
              <w:pStyle w:val="P68B1DB1-Normal59"/>
              <w:spacing w:after="0"/>
              <w:jc w:val="center"/>
              <w:rPr>
                <w:noProof/>
              </w:rPr>
            </w:pPr>
            <w:r>
              <w:rPr>
                <w:noProof/>
              </w:rPr>
              <w:t>161</w:t>
            </w:r>
          </w:p>
        </w:tc>
        <w:tc>
          <w:tcPr>
            <w:tcW w:w="1806" w:type="pct"/>
            <w:shd w:val="clear" w:color="000000" w:fill="C6EFCE"/>
            <w:noWrap/>
            <w:vAlign w:val="center"/>
            <w:hideMark/>
          </w:tcPr>
          <w:p w14:paraId="0DAB891B" w14:textId="77777777" w:rsidR="00235E11" w:rsidRDefault="00F837E4">
            <w:pPr>
              <w:pStyle w:val="P68B1DB1-Normal59"/>
              <w:spacing w:after="0"/>
              <w:rPr>
                <w:noProof/>
              </w:rPr>
            </w:pPr>
            <w:r>
              <w:rPr>
                <w:noProof/>
              </w:rPr>
              <w:t>Училище и здравен център на ЕС по биотехнологии (I-5.02)</w:t>
            </w:r>
          </w:p>
        </w:tc>
        <w:tc>
          <w:tcPr>
            <w:tcW w:w="416" w:type="pct"/>
            <w:shd w:val="clear" w:color="000000" w:fill="C6EFCE"/>
            <w:noWrap/>
            <w:vAlign w:val="center"/>
            <w:hideMark/>
          </w:tcPr>
          <w:p w14:paraId="08B78E54"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04DBE4DE" w14:textId="77777777" w:rsidR="00235E11" w:rsidRDefault="00F837E4">
            <w:pPr>
              <w:pStyle w:val="P68B1DB1-Normal59"/>
              <w:spacing w:after="0"/>
              <w:rPr>
                <w:noProof/>
              </w:rPr>
            </w:pPr>
            <w:r>
              <w:rPr>
                <w:noProof/>
              </w:rPr>
              <w:t>Изграждане и оборудване на училището и здравния център на ЕС по биотехнологии</w:t>
            </w:r>
          </w:p>
        </w:tc>
      </w:tr>
      <w:tr w:rsidR="00235E11" w14:paraId="10F60E87" w14:textId="77777777">
        <w:trPr>
          <w:trHeight w:val="315"/>
        </w:trPr>
        <w:tc>
          <w:tcPr>
            <w:tcW w:w="400" w:type="pct"/>
            <w:shd w:val="clear" w:color="000000" w:fill="C6EFCE"/>
            <w:noWrap/>
            <w:vAlign w:val="center"/>
            <w:hideMark/>
          </w:tcPr>
          <w:p w14:paraId="0F38D433" w14:textId="77777777" w:rsidR="00235E11" w:rsidRDefault="00F837E4">
            <w:pPr>
              <w:pStyle w:val="P68B1DB1-Normal59"/>
              <w:spacing w:after="0"/>
              <w:jc w:val="center"/>
              <w:rPr>
                <w:noProof/>
              </w:rPr>
            </w:pPr>
            <w:r>
              <w:rPr>
                <w:noProof/>
              </w:rPr>
              <w:t>190</w:t>
            </w:r>
          </w:p>
        </w:tc>
        <w:tc>
          <w:tcPr>
            <w:tcW w:w="1806" w:type="pct"/>
            <w:shd w:val="clear" w:color="000000" w:fill="C6EFCE"/>
            <w:noWrap/>
            <w:vAlign w:val="center"/>
            <w:hideMark/>
          </w:tcPr>
          <w:p w14:paraId="123168BF" w14:textId="77777777" w:rsidR="00235E11" w:rsidRDefault="00F837E4">
            <w:pPr>
              <w:pStyle w:val="P68B1DB1-Normal59"/>
              <w:spacing w:after="0"/>
              <w:rPr>
                <w:noProof/>
              </w:rPr>
            </w:pPr>
            <w:r>
              <w:rPr>
                <w:noProof/>
              </w:rPr>
              <w:t>Преместване на храни и разработване на логистични платформи (I-5.12)</w:t>
            </w:r>
          </w:p>
        </w:tc>
        <w:tc>
          <w:tcPr>
            <w:tcW w:w="416" w:type="pct"/>
            <w:shd w:val="clear" w:color="000000" w:fill="C6EFCE"/>
            <w:noWrap/>
            <w:vAlign w:val="center"/>
            <w:hideMark/>
          </w:tcPr>
          <w:p w14:paraId="0C8C250E"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7776505E" w14:textId="5E50CB97" w:rsidR="00235E11" w:rsidRDefault="00F837E4">
            <w:pPr>
              <w:pStyle w:val="P68B1DB1-Normal59"/>
              <w:spacing w:after="0"/>
              <w:rPr>
                <w:noProof/>
              </w:rPr>
            </w:pPr>
            <w:r>
              <w:rPr>
                <w:noProof/>
              </w:rPr>
              <w:t>Завършено изграждане на два логистични центъра</w:t>
            </w:r>
          </w:p>
        </w:tc>
      </w:tr>
      <w:tr w:rsidR="00235E11" w14:paraId="582D4972" w14:textId="77777777">
        <w:trPr>
          <w:trHeight w:val="315"/>
        </w:trPr>
        <w:tc>
          <w:tcPr>
            <w:tcW w:w="400" w:type="pct"/>
            <w:shd w:val="clear" w:color="000000" w:fill="C6EFCE"/>
            <w:noWrap/>
            <w:vAlign w:val="center"/>
            <w:hideMark/>
          </w:tcPr>
          <w:p w14:paraId="4A980591" w14:textId="77777777" w:rsidR="00235E11" w:rsidRDefault="00F837E4">
            <w:pPr>
              <w:pStyle w:val="P68B1DB1-Normal59"/>
              <w:spacing w:after="0"/>
              <w:jc w:val="center"/>
              <w:rPr>
                <w:noProof/>
              </w:rPr>
            </w:pPr>
            <w:r>
              <w:rPr>
                <w:noProof/>
              </w:rPr>
              <w:t>192</w:t>
            </w:r>
          </w:p>
        </w:tc>
        <w:tc>
          <w:tcPr>
            <w:tcW w:w="1806" w:type="pct"/>
            <w:shd w:val="clear" w:color="000000" w:fill="C6EFCE"/>
            <w:noWrap/>
            <w:vAlign w:val="center"/>
            <w:hideMark/>
          </w:tcPr>
          <w:p w14:paraId="451A722D" w14:textId="77777777" w:rsidR="00235E11" w:rsidRDefault="00F837E4">
            <w:pPr>
              <w:pStyle w:val="P68B1DB1-Normal59"/>
              <w:spacing w:after="0"/>
              <w:rPr>
                <w:noProof/>
              </w:rPr>
            </w:pPr>
            <w:r>
              <w:rPr>
                <w:noProof/>
              </w:rPr>
              <w:t>Цифровизация на сектора на туризма във Валония (I-5.13)</w:t>
            </w:r>
          </w:p>
        </w:tc>
        <w:tc>
          <w:tcPr>
            <w:tcW w:w="416" w:type="pct"/>
            <w:shd w:val="clear" w:color="000000" w:fill="C6EFCE"/>
            <w:noWrap/>
            <w:vAlign w:val="center"/>
            <w:hideMark/>
          </w:tcPr>
          <w:p w14:paraId="229B14C5"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32789D0A" w14:textId="77777777" w:rsidR="00235E11" w:rsidRDefault="00F837E4">
            <w:pPr>
              <w:pStyle w:val="P68B1DB1-Normal59"/>
              <w:spacing w:after="0"/>
              <w:rPr>
                <w:noProof/>
              </w:rPr>
            </w:pPr>
            <w:r>
              <w:rPr>
                <w:noProof/>
              </w:rPr>
              <w:t>Брой на активните ползватели на „outil regional de commercialisation“</w:t>
            </w:r>
          </w:p>
        </w:tc>
      </w:tr>
      <w:tr w:rsidR="00235E11" w14:paraId="0583B047" w14:textId="77777777">
        <w:trPr>
          <w:trHeight w:val="315"/>
        </w:trPr>
        <w:tc>
          <w:tcPr>
            <w:tcW w:w="400" w:type="pct"/>
            <w:shd w:val="clear" w:color="000000" w:fill="C6EFCE"/>
            <w:noWrap/>
            <w:vAlign w:val="center"/>
            <w:hideMark/>
          </w:tcPr>
          <w:p w14:paraId="5C6778D3" w14:textId="77777777" w:rsidR="00235E11" w:rsidRDefault="00F837E4">
            <w:pPr>
              <w:pStyle w:val="P68B1DB1-Normal59"/>
              <w:spacing w:after="0"/>
              <w:jc w:val="center"/>
              <w:rPr>
                <w:noProof/>
              </w:rPr>
            </w:pPr>
            <w:r>
              <w:rPr>
                <w:noProof/>
              </w:rPr>
              <w:t>216</w:t>
            </w:r>
          </w:p>
        </w:tc>
        <w:tc>
          <w:tcPr>
            <w:tcW w:w="1806" w:type="pct"/>
            <w:shd w:val="clear" w:color="000000" w:fill="C6EFCE"/>
            <w:noWrap/>
            <w:vAlign w:val="center"/>
            <w:hideMark/>
          </w:tcPr>
          <w:p w14:paraId="08930B66" w14:textId="77777777" w:rsidR="00235E11" w:rsidRDefault="00F837E4">
            <w:pPr>
              <w:pStyle w:val="P68B1DB1-Normal59"/>
              <w:spacing w:after="0"/>
              <w:rPr>
                <w:noProof/>
              </w:rPr>
            </w:pPr>
            <w:r>
              <w:rPr>
                <w:noProof/>
              </w:rPr>
              <w:t>Мерки в областта на енергетиката и климата в обществените сгради — федерална провинция (I-7.05)</w:t>
            </w:r>
          </w:p>
        </w:tc>
        <w:tc>
          <w:tcPr>
            <w:tcW w:w="416" w:type="pct"/>
            <w:shd w:val="clear" w:color="000000" w:fill="C6EFCE"/>
            <w:noWrap/>
            <w:vAlign w:val="center"/>
            <w:hideMark/>
          </w:tcPr>
          <w:p w14:paraId="0C290C3E" w14:textId="77777777" w:rsidR="00235E11" w:rsidRDefault="00F837E4">
            <w:pPr>
              <w:pStyle w:val="P68B1DB1-Normal60"/>
              <w:spacing w:after="0"/>
              <w:jc w:val="center"/>
              <w:rPr>
                <w:noProof/>
              </w:rPr>
            </w:pPr>
            <w:r>
              <w:rPr>
                <w:noProof/>
              </w:rPr>
              <w:t>T</w:t>
            </w:r>
          </w:p>
        </w:tc>
        <w:tc>
          <w:tcPr>
            <w:tcW w:w="2378" w:type="pct"/>
            <w:shd w:val="clear" w:color="000000" w:fill="C6EFCE"/>
            <w:noWrap/>
            <w:vAlign w:val="center"/>
            <w:hideMark/>
          </w:tcPr>
          <w:p w14:paraId="1DC7653E" w14:textId="77777777" w:rsidR="00235E11" w:rsidRDefault="00F837E4">
            <w:pPr>
              <w:pStyle w:val="P68B1DB1-Normal59"/>
              <w:spacing w:after="0"/>
              <w:rPr>
                <w:noProof/>
              </w:rPr>
            </w:pPr>
            <w:r>
              <w:rPr>
                <w:noProof/>
              </w:rPr>
              <w:t>Завършени енергийни мерки</w:t>
            </w:r>
          </w:p>
        </w:tc>
      </w:tr>
      <w:tr w:rsidR="00235E11" w14:paraId="6D936969" w14:textId="77777777">
        <w:trPr>
          <w:trHeight w:val="315"/>
        </w:trPr>
        <w:tc>
          <w:tcPr>
            <w:tcW w:w="400" w:type="pct"/>
            <w:shd w:val="clear" w:color="000000" w:fill="C6EFCE"/>
            <w:noWrap/>
            <w:vAlign w:val="center"/>
            <w:hideMark/>
          </w:tcPr>
          <w:p w14:paraId="280E427A" w14:textId="77777777" w:rsidR="00235E11" w:rsidRDefault="00F837E4">
            <w:pPr>
              <w:pStyle w:val="P68B1DB1-Normal59"/>
              <w:spacing w:after="0"/>
              <w:jc w:val="center"/>
              <w:rPr>
                <w:noProof/>
              </w:rPr>
            </w:pPr>
            <w:r>
              <w:rPr>
                <w:noProof/>
              </w:rPr>
              <w:t>217</w:t>
            </w:r>
          </w:p>
        </w:tc>
        <w:tc>
          <w:tcPr>
            <w:tcW w:w="1806" w:type="pct"/>
            <w:shd w:val="clear" w:color="000000" w:fill="C6EFCE"/>
            <w:noWrap/>
            <w:vAlign w:val="center"/>
            <w:hideMark/>
          </w:tcPr>
          <w:p w14:paraId="4618FC04" w14:textId="59AD1604" w:rsidR="00235E11" w:rsidRDefault="00F837E4">
            <w:pPr>
              <w:pStyle w:val="P68B1DB1-Normal59"/>
              <w:spacing w:after="0"/>
              <w:rPr>
                <w:noProof/>
              </w:rPr>
            </w:pPr>
            <w:r>
              <w:rPr>
                <w:noProof/>
              </w:rPr>
              <w:t>Енергийни мерки в сгради AWV (I-7.10)</w:t>
            </w:r>
          </w:p>
        </w:tc>
        <w:tc>
          <w:tcPr>
            <w:tcW w:w="416" w:type="pct"/>
            <w:shd w:val="clear" w:color="000000" w:fill="C6EFCE"/>
            <w:noWrap/>
            <w:vAlign w:val="center"/>
            <w:hideMark/>
          </w:tcPr>
          <w:p w14:paraId="4788FA0C" w14:textId="77777777" w:rsidR="00235E11" w:rsidRDefault="00F837E4">
            <w:pPr>
              <w:pStyle w:val="P68B1DB1-Normal59"/>
              <w:spacing w:after="0"/>
              <w:jc w:val="center"/>
              <w:rPr>
                <w:noProof/>
              </w:rPr>
            </w:pPr>
            <w:r>
              <w:rPr>
                <w:noProof/>
              </w:rPr>
              <w:t>T</w:t>
            </w:r>
          </w:p>
        </w:tc>
        <w:tc>
          <w:tcPr>
            <w:tcW w:w="2378" w:type="pct"/>
            <w:shd w:val="clear" w:color="000000" w:fill="C6EFCE"/>
            <w:noWrap/>
            <w:vAlign w:val="center"/>
            <w:hideMark/>
          </w:tcPr>
          <w:p w14:paraId="6CED7AF8" w14:textId="77777777" w:rsidR="00235E11" w:rsidRDefault="00F837E4">
            <w:pPr>
              <w:pStyle w:val="P68B1DB1-Normal59"/>
              <w:spacing w:after="0"/>
              <w:rPr>
                <w:noProof/>
              </w:rPr>
            </w:pPr>
            <w:r>
              <w:rPr>
                <w:noProof/>
              </w:rPr>
              <w:t>Завършени проекти за енергийни мерки</w:t>
            </w:r>
          </w:p>
        </w:tc>
      </w:tr>
      <w:tr w:rsidR="00235E11" w14:paraId="2B1EE241" w14:textId="77777777">
        <w:trPr>
          <w:trHeight w:val="315"/>
        </w:trPr>
        <w:tc>
          <w:tcPr>
            <w:tcW w:w="400" w:type="pct"/>
            <w:shd w:val="clear" w:color="000000" w:fill="C6EFCE"/>
            <w:noWrap/>
            <w:vAlign w:val="center"/>
            <w:hideMark/>
          </w:tcPr>
          <w:p w14:paraId="4B3FE1F2" w14:textId="77777777" w:rsidR="00235E11" w:rsidRDefault="00F837E4">
            <w:pPr>
              <w:pStyle w:val="P68B1DB1-Normal59"/>
              <w:spacing w:after="0"/>
              <w:jc w:val="center"/>
              <w:rPr>
                <w:noProof/>
              </w:rPr>
            </w:pPr>
            <w:r>
              <w:rPr>
                <w:noProof/>
              </w:rPr>
              <w:t>220</w:t>
            </w:r>
          </w:p>
        </w:tc>
        <w:tc>
          <w:tcPr>
            <w:tcW w:w="1806" w:type="pct"/>
            <w:shd w:val="clear" w:color="000000" w:fill="C6EFCE"/>
            <w:noWrap/>
            <w:vAlign w:val="center"/>
            <w:hideMark/>
          </w:tcPr>
          <w:p w14:paraId="6CCBE40B" w14:textId="77777777" w:rsidR="00235E11" w:rsidRDefault="00F837E4">
            <w:pPr>
              <w:pStyle w:val="P68B1DB1-Normal59"/>
              <w:spacing w:after="0"/>
              <w:rPr>
                <w:noProof/>
              </w:rPr>
            </w:pPr>
            <w:r>
              <w:rPr>
                <w:noProof/>
              </w:rPr>
              <w:t>Изследователска платформа за енергиен преход (I-7.11)</w:t>
            </w:r>
          </w:p>
        </w:tc>
        <w:tc>
          <w:tcPr>
            <w:tcW w:w="416" w:type="pct"/>
            <w:shd w:val="clear" w:color="000000" w:fill="C6EFCE"/>
            <w:noWrap/>
            <w:vAlign w:val="center"/>
            <w:hideMark/>
          </w:tcPr>
          <w:p w14:paraId="64F85FBF"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277E1601" w14:textId="77777777" w:rsidR="00235E11" w:rsidRDefault="00F837E4">
            <w:pPr>
              <w:pStyle w:val="P68B1DB1-Normal59"/>
              <w:spacing w:after="0"/>
              <w:rPr>
                <w:noProof/>
              </w:rPr>
            </w:pPr>
            <w:r>
              <w:rPr>
                <w:noProof/>
              </w:rPr>
              <w:t>Доставка на оборудване</w:t>
            </w:r>
          </w:p>
        </w:tc>
      </w:tr>
      <w:tr w:rsidR="00235E11" w14:paraId="74B43ADF" w14:textId="77777777">
        <w:trPr>
          <w:trHeight w:val="315"/>
        </w:trPr>
        <w:tc>
          <w:tcPr>
            <w:tcW w:w="400" w:type="pct"/>
            <w:shd w:val="clear" w:color="000000" w:fill="C6EFCE"/>
            <w:noWrap/>
            <w:vAlign w:val="center"/>
            <w:hideMark/>
          </w:tcPr>
          <w:p w14:paraId="3C2C21B6" w14:textId="77777777" w:rsidR="00235E11" w:rsidRDefault="00F837E4">
            <w:pPr>
              <w:pStyle w:val="P68B1DB1-Normal59"/>
              <w:spacing w:after="0"/>
              <w:jc w:val="center"/>
              <w:rPr>
                <w:noProof/>
              </w:rPr>
            </w:pPr>
            <w:r>
              <w:rPr>
                <w:noProof/>
              </w:rPr>
              <w:t>231</w:t>
            </w:r>
          </w:p>
        </w:tc>
        <w:tc>
          <w:tcPr>
            <w:tcW w:w="1806" w:type="pct"/>
            <w:shd w:val="clear" w:color="000000" w:fill="C6EFCE"/>
            <w:noWrap/>
            <w:vAlign w:val="center"/>
            <w:hideMark/>
          </w:tcPr>
          <w:p w14:paraId="04161F5C" w14:textId="77777777" w:rsidR="00235E11" w:rsidRDefault="00F837E4">
            <w:pPr>
              <w:pStyle w:val="P68B1DB1-Normal59"/>
              <w:spacing w:after="0"/>
              <w:rPr>
                <w:noProof/>
              </w:rPr>
            </w:pPr>
            <w:r>
              <w:rPr>
                <w:noProof/>
              </w:rPr>
              <w:t>Ускоряване на енергийния преход (R-7.04)</w:t>
            </w:r>
          </w:p>
        </w:tc>
        <w:tc>
          <w:tcPr>
            <w:tcW w:w="416" w:type="pct"/>
            <w:shd w:val="clear" w:color="000000" w:fill="C6EFCE"/>
            <w:noWrap/>
            <w:vAlign w:val="center"/>
            <w:hideMark/>
          </w:tcPr>
          <w:p w14:paraId="5FBDB089"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0B2A66BE" w14:textId="77777777" w:rsidR="00235E11" w:rsidRDefault="00F837E4">
            <w:pPr>
              <w:pStyle w:val="P68B1DB1-Normal59"/>
              <w:spacing w:after="0"/>
              <w:rPr>
                <w:noProof/>
              </w:rPr>
            </w:pPr>
            <w:r>
              <w:rPr>
                <w:noProof/>
              </w:rPr>
              <w:t>Влизане в сила на законодателството</w:t>
            </w:r>
          </w:p>
        </w:tc>
      </w:tr>
      <w:tr w:rsidR="00235E11" w14:paraId="7377BC3D" w14:textId="77777777">
        <w:trPr>
          <w:trHeight w:val="315"/>
        </w:trPr>
        <w:tc>
          <w:tcPr>
            <w:tcW w:w="400" w:type="pct"/>
            <w:shd w:val="clear" w:color="000000" w:fill="C6EFCE"/>
            <w:noWrap/>
            <w:vAlign w:val="center"/>
            <w:hideMark/>
          </w:tcPr>
          <w:p w14:paraId="41437187" w14:textId="77777777" w:rsidR="00235E11" w:rsidRDefault="00F837E4">
            <w:pPr>
              <w:pStyle w:val="P68B1DB1-Normal59"/>
              <w:spacing w:after="0"/>
              <w:jc w:val="center"/>
              <w:rPr>
                <w:noProof/>
              </w:rPr>
            </w:pPr>
            <w:r>
              <w:rPr>
                <w:noProof/>
              </w:rPr>
              <w:t>232</w:t>
            </w:r>
          </w:p>
        </w:tc>
        <w:tc>
          <w:tcPr>
            <w:tcW w:w="1806" w:type="pct"/>
            <w:shd w:val="clear" w:color="000000" w:fill="C6EFCE"/>
            <w:noWrap/>
            <w:vAlign w:val="center"/>
            <w:hideMark/>
          </w:tcPr>
          <w:p w14:paraId="53670CE7" w14:textId="77777777" w:rsidR="00235E11" w:rsidRDefault="00F837E4">
            <w:pPr>
              <w:pStyle w:val="P68B1DB1-Normal59"/>
              <w:spacing w:after="0"/>
              <w:rPr>
                <w:noProof/>
              </w:rPr>
            </w:pPr>
            <w:r>
              <w:rPr>
                <w:noProof/>
              </w:rPr>
              <w:t>Плаваща слънчева енергия (I-7.16)</w:t>
            </w:r>
          </w:p>
        </w:tc>
        <w:tc>
          <w:tcPr>
            <w:tcW w:w="416" w:type="pct"/>
            <w:shd w:val="clear" w:color="000000" w:fill="C6EFCE"/>
            <w:noWrap/>
            <w:vAlign w:val="center"/>
            <w:hideMark/>
          </w:tcPr>
          <w:p w14:paraId="3366D0FC" w14:textId="77777777" w:rsidR="00235E11" w:rsidRDefault="00F837E4">
            <w:pPr>
              <w:pStyle w:val="P68B1DB1-Normal59"/>
              <w:spacing w:after="0"/>
              <w:jc w:val="center"/>
              <w:rPr>
                <w:noProof/>
              </w:rPr>
            </w:pPr>
            <w:r>
              <w:rPr>
                <w:noProof/>
              </w:rPr>
              <w:t>M</w:t>
            </w:r>
          </w:p>
        </w:tc>
        <w:tc>
          <w:tcPr>
            <w:tcW w:w="2378" w:type="pct"/>
            <w:shd w:val="clear" w:color="000000" w:fill="C6EFCE"/>
            <w:noWrap/>
            <w:vAlign w:val="center"/>
            <w:hideMark/>
          </w:tcPr>
          <w:p w14:paraId="0A6C2FF0" w14:textId="77777777" w:rsidR="00235E11" w:rsidRDefault="00F837E4">
            <w:pPr>
              <w:pStyle w:val="P68B1DB1-Normal59"/>
              <w:spacing w:after="0"/>
              <w:rPr>
                <w:noProof/>
              </w:rPr>
            </w:pPr>
            <w:r>
              <w:rPr>
                <w:noProof/>
              </w:rPr>
              <w:t>Пълномащабен демонстратор в експлоатация</w:t>
            </w:r>
          </w:p>
        </w:tc>
      </w:tr>
      <w:tr w:rsidR="00235E11" w14:paraId="7CFBFA5D" w14:textId="77777777">
        <w:trPr>
          <w:trHeight w:val="315"/>
        </w:trPr>
        <w:tc>
          <w:tcPr>
            <w:tcW w:w="400" w:type="pct"/>
            <w:shd w:val="clear" w:color="000000" w:fill="C6EFCE"/>
            <w:noWrap/>
            <w:vAlign w:val="center"/>
          </w:tcPr>
          <w:p w14:paraId="537D56E3" w14:textId="77777777" w:rsidR="00235E11" w:rsidRDefault="00235E11">
            <w:pPr>
              <w:spacing w:after="0"/>
              <w:jc w:val="center"/>
              <w:rPr>
                <w:rFonts w:ascii="Times New Roman" w:eastAsia="Times New Roman" w:hAnsi="Times New Roman" w:cs="Times New Roman"/>
                <w:noProof/>
                <w:color w:val="006100"/>
                <w:sz w:val="20"/>
              </w:rPr>
            </w:pPr>
          </w:p>
        </w:tc>
        <w:tc>
          <w:tcPr>
            <w:tcW w:w="2222" w:type="pct"/>
            <w:gridSpan w:val="2"/>
            <w:shd w:val="clear" w:color="000000" w:fill="C6EFCE"/>
            <w:noWrap/>
            <w:vAlign w:val="center"/>
          </w:tcPr>
          <w:p w14:paraId="0A7B1D82" w14:textId="77777777" w:rsidR="00235E11" w:rsidRDefault="00F837E4">
            <w:pPr>
              <w:pStyle w:val="P68B1DB1-Normal59"/>
              <w:spacing w:after="0"/>
              <w:jc w:val="right"/>
              <w:rPr>
                <w:noProof/>
              </w:rPr>
            </w:pPr>
            <w:r>
              <w:rPr>
                <w:noProof/>
              </w:rPr>
              <w:t>Размер на вноската</w:t>
            </w:r>
          </w:p>
        </w:tc>
        <w:tc>
          <w:tcPr>
            <w:tcW w:w="2378" w:type="pct"/>
            <w:shd w:val="clear" w:color="000000" w:fill="C6EFCE"/>
            <w:noWrap/>
            <w:vAlign w:val="center"/>
          </w:tcPr>
          <w:p w14:paraId="3027ABF1" w14:textId="4FA51C0B"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071EUR 560</w:t>
            </w:r>
            <w:r>
              <w:rPr>
                <w:noProof/>
              </w:rPr>
              <w:t xml:space="preserve"> </w:t>
            </w:r>
            <w:r>
              <w:rPr>
                <w:rFonts w:ascii="Times New Roman" w:eastAsia="Times New Roman" w:hAnsi="Times New Roman" w:cs="Times New Roman"/>
                <w:noProof/>
                <w:color w:val="006100"/>
                <w:sz w:val="20"/>
              </w:rPr>
              <w:t>013</w:t>
            </w:r>
          </w:p>
        </w:tc>
      </w:tr>
    </w:tbl>
    <w:p w14:paraId="69C0BC5E" w14:textId="7CEBCBC1" w:rsidR="00235E11" w:rsidRDefault="00235E11">
      <w:pPr>
        <w:spacing w:before="120" w:after="120"/>
        <w:rPr>
          <w:rFonts w:ascii="Times New Roman" w:hAnsi="Times New Roman" w:cs="Times New Roman"/>
          <w:noProof/>
        </w:rPr>
      </w:pPr>
    </w:p>
    <w:p w14:paraId="22074249" w14:textId="31A7CE10" w:rsidR="00235E11" w:rsidRDefault="00F837E4">
      <w:pPr>
        <w:pStyle w:val="ManualNumPar1"/>
        <w:rPr>
          <w:noProof/>
        </w:rPr>
      </w:pPr>
      <w:r>
        <w:rPr>
          <w:noProof/>
        </w:rPr>
        <w:t>Шеста вноска (безвъзмездна подкрепа):</w:t>
      </w:r>
    </w:p>
    <w:tbl>
      <w:tblPr>
        <w:tblW w:w="10206" w:type="dxa"/>
        <w:tblLayout w:type="fixed"/>
        <w:tblLook w:val="04A0" w:firstRow="1" w:lastRow="0" w:firstColumn="1" w:lastColumn="0" w:noHBand="0" w:noVBand="1"/>
      </w:tblPr>
      <w:tblGrid>
        <w:gridCol w:w="704"/>
        <w:gridCol w:w="4111"/>
        <w:gridCol w:w="680"/>
        <w:gridCol w:w="4711"/>
      </w:tblGrid>
      <w:tr w:rsidR="00235E11" w14:paraId="72A03E5E" w14:textId="77777777">
        <w:trPr>
          <w:trHeight w:val="300"/>
          <w:tblHeader/>
        </w:trPr>
        <w:tc>
          <w:tcPr>
            <w:tcW w:w="345" w:type="pct"/>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0B869FB9" w14:textId="77777777" w:rsidR="00235E11" w:rsidRDefault="00F837E4">
            <w:pPr>
              <w:pStyle w:val="P68B1DB1-Normal58"/>
              <w:spacing w:before="120" w:after="120"/>
              <w:jc w:val="center"/>
              <w:rPr>
                <w:noProof/>
              </w:rPr>
            </w:pPr>
            <w:r>
              <w:rPr>
                <w:noProof/>
              </w:rPr>
              <w:t>Следващи. nb</w:t>
            </w:r>
          </w:p>
        </w:tc>
        <w:tc>
          <w:tcPr>
            <w:tcW w:w="2014" w:type="pct"/>
            <w:tcBorders>
              <w:top w:val="single" w:sz="4" w:space="0" w:color="auto"/>
              <w:left w:val="nil"/>
              <w:bottom w:val="single" w:sz="4" w:space="0" w:color="auto"/>
              <w:right w:val="single" w:sz="4" w:space="0" w:color="auto"/>
            </w:tcBorders>
            <w:shd w:val="clear" w:color="auto" w:fill="BDD7EE"/>
            <w:noWrap/>
            <w:vAlign w:val="center"/>
            <w:hideMark/>
          </w:tcPr>
          <w:p w14:paraId="46AA2E55" w14:textId="77777777" w:rsidR="00235E11" w:rsidRDefault="00F837E4">
            <w:pPr>
              <w:pStyle w:val="P68B1DB1-Normal58"/>
              <w:spacing w:before="120" w:after="120"/>
              <w:jc w:val="center"/>
              <w:rPr>
                <w:noProof/>
              </w:rPr>
            </w:pPr>
            <w:r>
              <w:rPr>
                <w:noProof/>
              </w:rPr>
              <w:t>Наименование на мярката</w:t>
            </w:r>
          </w:p>
        </w:tc>
        <w:tc>
          <w:tcPr>
            <w:tcW w:w="333" w:type="pct"/>
            <w:tcBorders>
              <w:top w:val="single" w:sz="4" w:space="0" w:color="auto"/>
              <w:left w:val="nil"/>
              <w:bottom w:val="single" w:sz="4" w:space="0" w:color="auto"/>
              <w:right w:val="single" w:sz="4" w:space="0" w:color="auto"/>
            </w:tcBorders>
            <w:shd w:val="clear" w:color="auto" w:fill="BDD7EE"/>
            <w:noWrap/>
            <w:vAlign w:val="center"/>
            <w:hideMark/>
          </w:tcPr>
          <w:p w14:paraId="09C06094" w14:textId="77777777" w:rsidR="00235E11" w:rsidRDefault="00F837E4">
            <w:pPr>
              <w:pStyle w:val="P68B1DB1-Normal58"/>
              <w:spacing w:before="120" w:after="120"/>
              <w:jc w:val="center"/>
              <w:rPr>
                <w:noProof/>
              </w:rPr>
            </w:pPr>
            <w:r>
              <w:rPr>
                <w:noProof/>
              </w:rPr>
              <w:t>M/T</w:t>
            </w:r>
          </w:p>
        </w:tc>
        <w:tc>
          <w:tcPr>
            <w:tcW w:w="2308" w:type="pct"/>
            <w:tcBorders>
              <w:top w:val="single" w:sz="4" w:space="0" w:color="auto"/>
              <w:left w:val="nil"/>
              <w:bottom w:val="single" w:sz="4" w:space="0" w:color="auto"/>
              <w:right w:val="single" w:sz="4" w:space="0" w:color="auto"/>
            </w:tcBorders>
            <w:shd w:val="clear" w:color="auto" w:fill="BDD7EE"/>
            <w:noWrap/>
            <w:vAlign w:val="center"/>
            <w:hideMark/>
          </w:tcPr>
          <w:p w14:paraId="3445BE3F" w14:textId="77777777" w:rsidR="00235E11" w:rsidRDefault="00F837E4">
            <w:pPr>
              <w:pStyle w:val="P68B1DB1-Normal58"/>
              <w:spacing w:before="120" w:after="120"/>
              <w:jc w:val="center"/>
              <w:rPr>
                <w:noProof/>
              </w:rPr>
            </w:pPr>
            <w:r>
              <w:rPr>
                <w:noProof/>
              </w:rPr>
              <w:t>Име</w:t>
            </w:r>
          </w:p>
        </w:tc>
      </w:tr>
      <w:tr w:rsidR="00235E11" w14:paraId="08E99167"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88580EE" w14:textId="77777777" w:rsidR="00235E11" w:rsidRDefault="00F837E4">
            <w:pPr>
              <w:pStyle w:val="P68B1DB1-Normal59"/>
              <w:spacing w:after="0"/>
              <w:jc w:val="center"/>
              <w:rPr>
                <w:noProof/>
              </w:rPr>
            </w:pPr>
            <w:r>
              <w:rPr>
                <w:noProof/>
              </w:rPr>
              <w:t>14</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4AFE9C7" w14:textId="77777777" w:rsidR="00235E11" w:rsidRDefault="00F837E4">
            <w:pPr>
              <w:pStyle w:val="P68B1DB1-Normal59"/>
              <w:spacing w:after="0"/>
              <w:rPr>
                <w:noProof/>
              </w:rPr>
            </w:pPr>
            <w:r>
              <w:rPr>
                <w:noProof/>
              </w:rPr>
              <w:t>Саниране на обществени сгради (I-1Б)</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BA83D6C"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049590A" w14:textId="77777777" w:rsidR="00235E11" w:rsidRDefault="00F837E4">
            <w:pPr>
              <w:pStyle w:val="P68B1DB1-Normal59"/>
              <w:spacing w:after="0"/>
              <w:rPr>
                <w:noProof/>
              </w:rPr>
            </w:pPr>
            <w:r>
              <w:rPr>
                <w:noProof/>
              </w:rPr>
              <w:t>Саниране на обществени сгради (стъпка 3)</w:t>
            </w:r>
          </w:p>
        </w:tc>
      </w:tr>
      <w:tr w:rsidR="00235E11" w14:paraId="4E13EF53"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7BDBD0" w14:textId="77777777" w:rsidR="00235E11" w:rsidRDefault="00F837E4">
            <w:pPr>
              <w:pStyle w:val="P68B1DB1-Normal59"/>
              <w:spacing w:after="0"/>
              <w:jc w:val="center"/>
              <w:rPr>
                <w:noProof/>
              </w:rPr>
            </w:pPr>
            <w:r>
              <w:rPr>
                <w:noProof/>
              </w:rPr>
              <w:t>23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1AC614D" w14:textId="77777777" w:rsidR="00235E11" w:rsidRDefault="00F837E4">
            <w:pPr>
              <w:pStyle w:val="P68B1DB1-Normal59"/>
              <w:spacing w:after="0"/>
              <w:rPr>
                <w:noProof/>
              </w:rPr>
            </w:pPr>
            <w:r>
              <w:rPr>
                <w:noProof/>
              </w:rPr>
              <w:t>Промишлена верига за създаване на стойност за прехода към водород (I-1.16)</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1D9D4B"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280350" w14:textId="77777777" w:rsidR="00235E11" w:rsidRDefault="00F837E4">
            <w:pPr>
              <w:pStyle w:val="P68B1DB1-Normal59"/>
              <w:spacing w:after="0"/>
              <w:rPr>
                <w:noProof/>
              </w:rPr>
            </w:pPr>
            <w:r>
              <w:rPr>
                <w:noProof/>
              </w:rPr>
              <w:t>Приключване на проекти, възложени в рамките на поканата за участие в търг</w:t>
            </w:r>
          </w:p>
        </w:tc>
      </w:tr>
      <w:tr w:rsidR="00235E11" w14:paraId="021DCF16"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D12621" w14:textId="77777777" w:rsidR="00235E11" w:rsidRDefault="00F837E4">
            <w:pPr>
              <w:pStyle w:val="P68B1DB1-Normal59"/>
              <w:spacing w:after="0"/>
              <w:jc w:val="center"/>
              <w:rPr>
                <w:noProof/>
              </w:rPr>
            </w:pPr>
            <w:r>
              <w:rPr>
                <w:noProof/>
              </w:rPr>
              <w:t>26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BB0BE2C" w14:textId="77777777" w:rsidR="00235E11" w:rsidRDefault="00F837E4">
            <w:pPr>
              <w:pStyle w:val="P68B1DB1-Normal59"/>
              <w:spacing w:after="0"/>
              <w:rPr>
                <w:noProof/>
              </w:rPr>
            </w:pPr>
            <w:r>
              <w:rPr>
                <w:noProof/>
              </w:rPr>
              <w:t>Промишлена верига за създаване на стойност за прехода към водород (I-1.17)</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7C4CF8"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9A1754D" w14:textId="77777777" w:rsidR="00235E11" w:rsidRDefault="00F837E4">
            <w:pPr>
              <w:pStyle w:val="P68B1DB1-Normal59"/>
              <w:spacing w:after="0"/>
              <w:rPr>
                <w:noProof/>
              </w:rPr>
            </w:pPr>
            <w:r>
              <w:rPr>
                <w:noProof/>
              </w:rPr>
              <w:t>Приключване на всички проекти по ВПОИ, възложени в рамките на поканата за участие в търг</w:t>
            </w:r>
          </w:p>
        </w:tc>
      </w:tr>
      <w:tr w:rsidR="00235E11" w14:paraId="570D9B01"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9E36BD" w14:textId="77777777" w:rsidR="00235E11" w:rsidRDefault="00F837E4">
            <w:pPr>
              <w:pStyle w:val="P68B1DB1-Normal59"/>
              <w:spacing w:after="0"/>
              <w:jc w:val="center"/>
              <w:rPr>
                <w:noProof/>
              </w:rPr>
            </w:pPr>
            <w:r>
              <w:rPr>
                <w:noProof/>
              </w:rPr>
              <w:t>28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CA6CFE5" w14:textId="77777777" w:rsidR="00235E11" w:rsidRDefault="00F837E4">
            <w:pPr>
              <w:pStyle w:val="P68B1DB1-Normal59"/>
              <w:spacing w:after="0"/>
              <w:rPr>
                <w:noProof/>
              </w:rPr>
            </w:pPr>
            <w:r>
              <w:rPr>
                <w:noProof/>
              </w:rPr>
              <w:t>Развитие на нисковъглеродната промишленост (I-1.18)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826FDD"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50A4BDF" w14:textId="77777777" w:rsidR="00235E11" w:rsidRDefault="00F837E4">
            <w:pPr>
              <w:pStyle w:val="P68B1DB1-Normal59"/>
              <w:spacing w:after="0"/>
              <w:rPr>
                <w:noProof/>
              </w:rPr>
            </w:pPr>
            <w:r>
              <w:rPr>
                <w:noProof/>
              </w:rPr>
              <w:t>Приключване на проекти, възложени в рамките на поканата за участие в търг</w:t>
            </w:r>
          </w:p>
        </w:tc>
      </w:tr>
      <w:tr w:rsidR="00235E11" w14:paraId="3D4DDFEA"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0004BE8" w14:textId="77777777" w:rsidR="00235E11" w:rsidRDefault="00F837E4">
            <w:pPr>
              <w:pStyle w:val="P68B1DB1-Normal59"/>
              <w:spacing w:after="0"/>
              <w:jc w:val="center"/>
              <w:rPr>
                <w:noProof/>
              </w:rPr>
            </w:pPr>
            <w:r>
              <w:rPr>
                <w:noProof/>
              </w:rPr>
              <w:t>37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6CD540" w14:textId="77777777" w:rsidR="00235E11" w:rsidRDefault="00F837E4">
            <w:pPr>
              <w:pStyle w:val="P68B1DB1-Normal59"/>
              <w:spacing w:after="0"/>
              <w:rPr>
                <w:noProof/>
              </w:rPr>
            </w:pPr>
            <w:r>
              <w:rPr>
                <w:noProof/>
              </w:rPr>
              <w:t>Биологично разнообразие и адаптиране към изменението на климата (I-1.22)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83DED82"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ACD9EB1" w14:textId="77777777" w:rsidR="00235E11" w:rsidRDefault="00F837E4">
            <w:pPr>
              <w:pStyle w:val="P68B1DB1-Normal59"/>
              <w:spacing w:after="0"/>
              <w:rPr>
                <w:noProof/>
              </w:rPr>
            </w:pPr>
            <w:r>
              <w:rPr>
                <w:noProof/>
              </w:rPr>
              <w:t>Приложени мерки за управление на земята (гори и защитени зони) и финализирани проекти за преосмисляне</w:t>
            </w:r>
          </w:p>
        </w:tc>
      </w:tr>
      <w:tr w:rsidR="00235E11" w14:paraId="38EE674D"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93F856" w14:textId="77777777" w:rsidR="00235E11" w:rsidRDefault="00F837E4">
            <w:pPr>
              <w:pStyle w:val="P68B1DB1-Normal59"/>
              <w:spacing w:after="0"/>
              <w:jc w:val="center"/>
              <w:rPr>
                <w:noProof/>
              </w:rPr>
            </w:pPr>
            <w:r>
              <w:rPr>
                <w:noProof/>
              </w:rPr>
              <w:t>39</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AAADD67" w14:textId="77777777" w:rsidR="00235E11" w:rsidRDefault="00F837E4">
            <w:pPr>
              <w:pStyle w:val="P68B1DB1-Normal59"/>
              <w:spacing w:after="0"/>
              <w:rPr>
                <w:noProof/>
              </w:rPr>
            </w:pPr>
            <w:r>
              <w:rPr>
                <w:noProof/>
              </w:rPr>
              <w:t>Биологично разнообразие и адаптиране към изменението на климата (I-1.22)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FC6A19"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97F04F8" w14:textId="77777777" w:rsidR="00235E11" w:rsidRDefault="00F837E4">
            <w:pPr>
              <w:pStyle w:val="P68B1DB1-Normal59"/>
              <w:spacing w:after="0"/>
              <w:rPr>
                <w:noProof/>
              </w:rPr>
            </w:pPr>
            <w:r>
              <w:rPr>
                <w:noProof/>
              </w:rPr>
              <w:t>Приключване на два проекта за национални паркове</w:t>
            </w:r>
          </w:p>
        </w:tc>
      </w:tr>
      <w:tr w:rsidR="00235E11" w14:paraId="1CF87C1D"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CFDBA35" w14:textId="77777777" w:rsidR="00235E11" w:rsidRDefault="00F837E4">
            <w:pPr>
              <w:pStyle w:val="P68B1DB1-Normal59"/>
              <w:spacing w:after="0"/>
              <w:jc w:val="center"/>
              <w:rPr>
                <w:noProof/>
              </w:rPr>
            </w:pPr>
            <w:r>
              <w:rPr>
                <w:noProof/>
              </w:rPr>
              <w:t>40</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CDD56CD" w14:textId="77777777" w:rsidR="00235E11" w:rsidRDefault="00F837E4">
            <w:pPr>
              <w:pStyle w:val="P68B1DB1-Normal59"/>
              <w:spacing w:after="0"/>
              <w:rPr>
                <w:noProof/>
              </w:rPr>
            </w:pPr>
            <w:r>
              <w:rPr>
                <w:noProof/>
              </w:rPr>
              <w:t>Екологична дефрагментация (I-1.23)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257BE40"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B2A9DE7" w14:textId="77777777" w:rsidR="00235E11" w:rsidRDefault="00F837E4">
            <w:pPr>
              <w:pStyle w:val="P68B1DB1-Normal59"/>
              <w:spacing w:after="0"/>
              <w:rPr>
                <w:noProof/>
              </w:rPr>
            </w:pPr>
            <w:r>
              <w:rPr>
                <w:noProof/>
              </w:rPr>
              <w:t>Приключване на проекти за екологично дефрагментиране</w:t>
            </w:r>
          </w:p>
        </w:tc>
      </w:tr>
      <w:tr w:rsidR="00235E11" w14:paraId="6B116C7B"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BE2C2C" w14:textId="77777777" w:rsidR="00235E11" w:rsidRDefault="00F837E4">
            <w:pPr>
              <w:pStyle w:val="P68B1DB1-Normal59"/>
              <w:spacing w:after="0"/>
              <w:jc w:val="center"/>
              <w:rPr>
                <w:noProof/>
              </w:rPr>
            </w:pPr>
            <w:r>
              <w:rPr>
                <w:noProof/>
              </w:rPr>
              <w:t>43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B139F9" w14:textId="77777777" w:rsidR="00235E11" w:rsidRDefault="00F837E4">
            <w:pPr>
              <w:pStyle w:val="P68B1DB1-Normal59"/>
              <w:spacing w:after="0"/>
              <w:rPr>
                <w:noProof/>
              </w:rPr>
            </w:pPr>
            <w:r>
              <w:rPr>
                <w:noProof/>
              </w:rPr>
              <w:t>Син пакт (I-1.24)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709E2D1"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14F5234" w14:textId="77777777" w:rsidR="00235E11" w:rsidRDefault="00F837E4">
            <w:pPr>
              <w:pStyle w:val="P68B1DB1-Normal59"/>
              <w:spacing w:after="0"/>
              <w:rPr>
                <w:noProof/>
              </w:rPr>
            </w:pPr>
            <w:r>
              <w:rPr>
                <w:noProof/>
              </w:rPr>
              <w:t>Приключване на проекти по линия на Синия пакт</w:t>
            </w:r>
          </w:p>
        </w:tc>
      </w:tr>
      <w:tr w:rsidR="00235E11" w14:paraId="0BEEF4F0"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7B917D" w14:textId="77777777" w:rsidR="00235E11" w:rsidRDefault="00F837E4">
            <w:pPr>
              <w:pStyle w:val="P68B1DB1-Normal59"/>
              <w:spacing w:after="0"/>
              <w:jc w:val="center"/>
              <w:rPr>
                <w:noProof/>
              </w:rPr>
            </w:pPr>
            <w:r>
              <w:rPr>
                <w:noProof/>
              </w:rPr>
              <w:t>48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8923FB" w14:textId="77777777" w:rsidR="00235E11" w:rsidRDefault="00F837E4">
            <w:pPr>
              <w:pStyle w:val="P68B1DB1-Normal59"/>
              <w:spacing w:after="0"/>
              <w:rPr>
                <w:noProof/>
              </w:rPr>
            </w:pPr>
            <w:r>
              <w:rPr>
                <w:noProof/>
              </w:rPr>
              <w:t>Киберсигурност и устойчиво цифрово общество (I-2.01)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36172C"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23B54D" w14:textId="77777777" w:rsidR="00235E11" w:rsidRDefault="00F837E4">
            <w:pPr>
              <w:pStyle w:val="P68B1DB1-Normal59"/>
              <w:spacing w:after="0"/>
              <w:rPr>
                <w:noProof/>
              </w:rPr>
            </w:pPr>
            <w:r>
              <w:rPr>
                <w:noProof/>
              </w:rPr>
              <w:t>Предоставяне на услуги за киберустойчивост на белгийското общество като цяло от Министерството на отбраната</w:t>
            </w:r>
          </w:p>
        </w:tc>
      </w:tr>
      <w:tr w:rsidR="00235E11" w14:paraId="21A904DE"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3743E0" w14:textId="77777777" w:rsidR="00235E11" w:rsidRDefault="00F837E4">
            <w:pPr>
              <w:pStyle w:val="P68B1DB1-Normal59"/>
              <w:spacing w:after="0"/>
              <w:jc w:val="center"/>
              <w:rPr>
                <w:noProof/>
              </w:rPr>
            </w:pPr>
            <w:r>
              <w:rPr>
                <w:noProof/>
              </w:rPr>
              <w:t>52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833CB0D" w14:textId="77777777" w:rsidR="00235E11" w:rsidRDefault="00F837E4">
            <w:pPr>
              <w:pStyle w:val="P68B1DB1-Normal59"/>
              <w:spacing w:after="0"/>
              <w:rPr>
                <w:noProof/>
              </w:rPr>
            </w:pPr>
            <w:r>
              <w:rPr>
                <w:noProof/>
              </w:rPr>
              <w:t>Цифровизация на IPSS (I-2.04) (подмярка 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015E61"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D8E92F8" w14:textId="77777777" w:rsidR="00235E11" w:rsidRDefault="00F837E4">
            <w:pPr>
              <w:pStyle w:val="P68B1DB1-Normal59"/>
              <w:spacing w:after="0"/>
              <w:rPr>
                <w:noProof/>
              </w:rPr>
            </w:pPr>
            <w:r>
              <w:rPr>
                <w:noProof/>
              </w:rPr>
              <w:t>Налично цифрово решение — уеб интерфейс (IPSS)</w:t>
            </w:r>
          </w:p>
        </w:tc>
      </w:tr>
      <w:tr w:rsidR="00235E11" w14:paraId="1C35BF97"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C2C8B24" w14:textId="77777777" w:rsidR="00235E11" w:rsidRDefault="00F837E4">
            <w:pPr>
              <w:pStyle w:val="P68B1DB1-Normal59"/>
              <w:spacing w:after="0"/>
              <w:jc w:val="center"/>
              <w:rPr>
                <w:noProof/>
              </w:rPr>
            </w:pPr>
            <w:r>
              <w:rPr>
                <w:noProof/>
              </w:rPr>
              <w:t>53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E2E3C3" w14:textId="77777777" w:rsidR="00235E11" w:rsidRDefault="00F837E4">
            <w:pPr>
              <w:pStyle w:val="P68B1DB1-Normal59"/>
              <w:spacing w:after="0"/>
              <w:rPr>
                <w:noProof/>
              </w:rPr>
            </w:pPr>
            <w:r>
              <w:rPr>
                <w:noProof/>
              </w:rPr>
              <w:t>Цифровизация на IPSS (I-2.04) (подмярка -3)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24850BC"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B4E0C2C" w14:textId="77777777" w:rsidR="00235E11" w:rsidRDefault="00F837E4">
            <w:pPr>
              <w:pStyle w:val="P68B1DB1-Normal59"/>
              <w:spacing w:after="0"/>
              <w:rPr>
                <w:noProof/>
              </w:rPr>
            </w:pPr>
            <w:r>
              <w:rPr>
                <w:noProof/>
              </w:rPr>
              <w:t>Налично цифрово решение — интерактивна платформа (IPSS)</w:t>
            </w:r>
          </w:p>
        </w:tc>
      </w:tr>
      <w:tr w:rsidR="00235E11" w14:paraId="3AD6CD20"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503C1E5" w14:textId="77777777" w:rsidR="00235E11" w:rsidRDefault="00F837E4">
            <w:pPr>
              <w:pStyle w:val="P68B1DB1-Normal59"/>
              <w:spacing w:after="0"/>
              <w:jc w:val="center"/>
              <w:rPr>
                <w:noProof/>
              </w:rPr>
            </w:pPr>
            <w:r>
              <w:rPr>
                <w:noProof/>
              </w:rPr>
              <w:t>55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C325752" w14:textId="77777777" w:rsidR="00235E11" w:rsidRDefault="00F837E4">
            <w:pPr>
              <w:pStyle w:val="P68B1DB1-Normal59"/>
              <w:spacing w:after="0"/>
              <w:rPr>
                <w:noProof/>
              </w:rPr>
            </w:pPr>
            <w:r>
              <w:rPr>
                <w:noProof/>
              </w:rPr>
              <w:t>Цифровизация на SPF (I-2.05) (подмярка: 2, 3, 4, 5, 6, 8, 9, 11 и 12)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24C9233"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E9164DA" w14:textId="77777777" w:rsidR="00235E11" w:rsidRDefault="00F837E4">
            <w:pPr>
              <w:pStyle w:val="P68B1DB1-Normal59"/>
              <w:spacing w:after="0"/>
              <w:rPr>
                <w:noProof/>
              </w:rPr>
            </w:pPr>
            <w:r>
              <w:rPr>
                <w:noProof/>
              </w:rPr>
              <w:t>Проектите са завършени и резултатите са оперативни</w:t>
            </w:r>
          </w:p>
        </w:tc>
      </w:tr>
      <w:tr w:rsidR="00235E11" w14:paraId="6622367E"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D880B81" w14:textId="77777777" w:rsidR="00235E11" w:rsidRDefault="00F837E4">
            <w:pPr>
              <w:pStyle w:val="P68B1DB1-Normal59"/>
              <w:spacing w:after="0"/>
              <w:jc w:val="center"/>
              <w:rPr>
                <w:noProof/>
              </w:rPr>
            </w:pPr>
            <w:r>
              <w:rPr>
                <w:noProof/>
              </w:rPr>
              <w:t>66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2E4D9F" w14:textId="77777777" w:rsidR="00235E11" w:rsidRDefault="00F837E4">
            <w:pPr>
              <w:pStyle w:val="P68B1DB1-Normal59"/>
              <w:spacing w:after="0"/>
              <w:rPr>
                <w:noProof/>
              </w:rPr>
            </w:pPr>
            <w:r>
              <w:rPr>
                <w:noProof/>
              </w:rPr>
              <w:t>Цифровизация на културния и медийния сектор (I-2.08)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64ACF8"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4C889F" w14:textId="77777777" w:rsidR="00235E11" w:rsidRDefault="00F837E4">
            <w:pPr>
              <w:pStyle w:val="P68B1DB1-Normal59"/>
              <w:spacing w:after="0"/>
              <w:rPr>
                <w:noProof/>
              </w:rPr>
            </w:pPr>
            <w:r>
              <w:rPr>
                <w:noProof/>
              </w:rPr>
              <w:t xml:space="preserve">Приключване на проекти за цифровизирани и усъвършенствани аудио-визуални и аудио произведения </w:t>
            </w:r>
          </w:p>
        </w:tc>
      </w:tr>
      <w:tr w:rsidR="00235E11" w14:paraId="7014571C"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9916DFE" w14:textId="77777777" w:rsidR="00235E11" w:rsidRDefault="00F837E4">
            <w:pPr>
              <w:pStyle w:val="P68B1DB1-Normal59"/>
              <w:spacing w:after="0"/>
              <w:jc w:val="center"/>
              <w:rPr>
                <w:noProof/>
              </w:rPr>
            </w:pPr>
            <w:r>
              <w:rPr>
                <w:noProof/>
              </w:rPr>
              <w:t>67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B358A87" w14:textId="77777777" w:rsidR="00235E11" w:rsidRDefault="00F837E4">
            <w:pPr>
              <w:pStyle w:val="P68B1DB1-Normal59"/>
              <w:spacing w:after="0"/>
              <w:rPr>
                <w:noProof/>
              </w:rPr>
            </w:pPr>
            <w:r>
              <w:rPr>
                <w:noProof/>
              </w:rPr>
              <w:t>Цифровизация на културния и медийния сектор (I-2.08)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0105468"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82DAE6" w14:textId="77777777" w:rsidR="00235E11" w:rsidRDefault="00F837E4">
            <w:pPr>
              <w:pStyle w:val="P68B1DB1-Normal59"/>
              <w:spacing w:after="0"/>
              <w:rPr>
                <w:noProof/>
              </w:rPr>
            </w:pPr>
            <w:r>
              <w:rPr>
                <w:noProof/>
              </w:rPr>
              <w:t>Интегриране на технологични инструменти от страна на пилотните оператори в областта на културата и медиите</w:t>
            </w:r>
          </w:p>
        </w:tc>
      </w:tr>
      <w:tr w:rsidR="00235E11" w14:paraId="5E302F3B"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5EC573" w14:textId="77777777" w:rsidR="00235E11" w:rsidRDefault="00F837E4">
            <w:pPr>
              <w:pStyle w:val="P68B1DB1-Normal59"/>
              <w:spacing w:after="0"/>
              <w:jc w:val="center"/>
              <w:rPr>
                <w:noProof/>
              </w:rPr>
            </w:pPr>
            <w:r>
              <w:rPr>
                <w:noProof/>
              </w:rPr>
              <w:t>80</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C9B35A" w14:textId="77777777" w:rsidR="00235E11" w:rsidRDefault="00F837E4">
            <w:pPr>
              <w:pStyle w:val="P68B1DB1-Normal59"/>
              <w:spacing w:after="0"/>
              <w:rPr>
                <w:noProof/>
              </w:rPr>
            </w:pPr>
            <w:r>
              <w:rPr>
                <w:noProof/>
              </w:rPr>
              <w:t>Покритие на бели райони чрез разработване на високоскоростни влакнестооптични мрежи (I-2.13)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F27715"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5CF5657" w14:textId="77777777" w:rsidR="00235E11" w:rsidRDefault="00F837E4">
            <w:pPr>
              <w:pStyle w:val="P68B1DB1-Normal59"/>
              <w:spacing w:after="0"/>
              <w:rPr>
                <w:noProof/>
              </w:rPr>
            </w:pPr>
            <w:r>
              <w:rPr>
                <w:noProof/>
              </w:rPr>
              <w:t>Покритие</w:t>
            </w:r>
          </w:p>
        </w:tc>
      </w:tr>
      <w:tr w:rsidR="00235E11" w14:paraId="0DBD2439"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90CC49" w14:textId="77777777" w:rsidR="00235E11" w:rsidRDefault="00F837E4">
            <w:pPr>
              <w:pStyle w:val="P68B1DB1-Normal59"/>
              <w:spacing w:after="0"/>
              <w:jc w:val="center"/>
              <w:rPr>
                <w:noProof/>
              </w:rPr>
            </w:pPr>
            <w:r>
              <w:rPr>
                <w:noProof/>
              </w:rPr>
              <w:t>96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2FA1544" w14:textId="77777777" w:rsidR="00235E11" w:rsidRDefault="00F837E4">
            <w:pPr>
              <w:pStyle w:val="P68B1DB1-Normal59"/>
              <w:spacing w:after="0"/>
              <w:rPr>
                <w:noProof/>
              </w:rPr>
            </w:pPr>
            <w:r>
              <w:rPr>
                <w:noProof/>
              </w:rPr>
              <w:t>Велосипедна инфраструктура (I-3A)</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0E9837"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DF22689" w14:textId="77777777" w:rsidR="00235E11" w:rsidRDefault="00F837E4">
            <w:pPr>
              <w:pStyle w:val="P68B1DB1-Normal59"/>
              <w:spacing w:after="0"/>
              <w:rPr>
                <w:noProof/>
              </w:rPr>
            </w:pPr>
            <w:r>
              <w:rPr>
                <w:noProof/>
              </w:rPr>
              <w:t>Нови и ремонтирани велосипедни пътища</w:t>
            </w:r>
          </w:p>
        </w:tc>
      </w:tr>
      <w:tr w:rsidR="00235E11" w14:paraId="7FC7DEA5"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C235901" w14:textId="77777777" w:rsidR="00235E11" w:rsidRDefault="00F837E4">
            <w:pPr>
              <w:pStyle w:val="P68B1DB1-Normal59"/>
              <w:spacing w:after="0"/>
              <w:jc w:val="center"/>
              <w:rPr>
                <w:noProof/>
              </w:rPr>
            </w:pPr>
            <w:r>
              <w:rPr>
                <w:noProof/>
              </w:rPr>
              <w:t>97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1A3AFA" w14:textId="33C7C503" w:rsidR="00235E11" w:rsidRDefault="00F837E4">
            <w:pPr>
              <w:pStyle w:val="P68B1DB1-Normal59"/>
              <w:spacing w:after="0"/>
              <w:rPr>
                <w:noProof/>
              </w:rPr>
            </w:pPr>
            <w:r>
              <w:rPr>
                <w:noProof/>
              </w:rPr>
              <w:t>Велосипедна инфраструктура — VeloPlus — RBC (I-3.03a)</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0556AD5"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7F010F8" w14:textId="77777777" w:rsidR="00235E11" w:rsidRDefault="00F837E4">
            <w:pPr>
              <w:pStyle w:val="P68B1DB1-Normal59"/>
              <w:spacing w:after="0"/>
              <w:rPr>
                <w:noProof/>
              </w:rPr>
            </w:pPr>
            <w:r>
              <w:rPr>
                <w:noProof/>
              </w:rPr>
              <w:t>Нов обществен велосипеден паркинг за жителите</w:t>
            </w:r>
          </w:p>
        </w:tc>
      </w:tr>
      <w:tr w:rsidR="00235E11" w14:paraId="117DE3F1"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B56564" w14:textId="77777777" w:rsidR="00235E11" w:rsidRDefault="00F837E4">
            <w:pPr>
              <w:pStyle w:val="P68B1DB1-Normal59"/>
              <w:spacing w:after="0"/>
              <w:jc w:val="center"/>
              <w:rPr>
                <w:noProof/>
              </w:rPr>
            </w:pPr>
            <w:r>
              <w:rPr>
                <w:noProof/>
              </w:rPr>
              <w:t>101</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FF7423" w14:textId="77777777" w:rsidR="00235E11" w:rsidRDefault="00F837E4">
            <w:pPr>
              <w:pStyle w:val="P68B1DB1-Normal59"/>
              <w:spacing w:after="0"/>
              <w:rPr>
                <w:noProof/>
              </w:rPr>
            </w:pPr>
            <w:r>
              <w:rPr>
                <w:noProof/>
              </w:rPr>
              <w:t>Подобряване на обществения транспорт във Валония (I-3B)</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1172F24"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1785C68" w14:textId="77777777" w:rsidR="00235E11" w:rsidRDefault="00F837E4">
            <w:pPr>
              <w:pStyle w:val="P68B1DB1-Normal59"/>
              <w:spacing w:after="0"/>
              <w:rPr>
                <w:noProof/>
              </w:rPr>
            </w:pPr>
            <w:r>
              <w:rPr>
                <w:noProof/>
              </w:rPr>
              <w:t>Приключване на работите и кръстовища с интелигентни светофари</w:t>
            </w:r>
          </w:p>
        </w:tc>
      </w:tr>
      <w:tr w:rsidR="00235E11" w14:paraId="05920DD3"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59E4615" w14:textId="77777777" w:rsidR="00235E11" w:rsidRDefault="00F837E4">
            <w:pPr>
              <w:pStyle w:val="P68B1DB1-Normal59"/>
              <w:spacing w:after="0"/>
              <w:jc w:val="center"/>
              <w:rPr>
                <w:noProof/>
              </w:rPr>
            </w:pPr>
            <w:r>
              <w:rPr>
                <w:noProof/>
              </w:rPr>
              <w:t>105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3F34994" w14:textId="77777777" w:rsidR="00235E11" w:rsidRDefault="00F837E4">
            <w:pPr>
              <w:pStyle w:val="P68B1DB1-Normal59"/>
              <w:spacing w:after="0"/>
              <w:rPr>
                <w:noProof/>
              </w:rPr>
            </w:pPr>
            <w:r>
              <w:rPr>
                <w:noProof/>
              </w:rPr>
              <w:t>Дейности по обновяване на железниците и достъпност на гарите (I-3В)</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75A8436"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8EF678" w14:textId="77777777" w:rsidR="00235E11" w:rsidRDefault="00F837E4">
            <w:pPr>
              <w:pStyle w:val="P68B1DB1-Normal59"/>
              <w:spacing w:after="0"/>
              <w:rPr>
                <w:noProof/>
              </w:rPr>
            </w:pPr>
            <w:r>
              <w:rPr>
                <w:noProof/>
              </w:rPr>
              <w:t>Приключване на ремонтни и модернизационни работи на железопътната линия и работи по достъпност на гарите (стъпка 3)</w:t>
            </w:r>
          </w:p>
        </w:tc>
      </w:tr>
      <w:tr w:rsidR="00235E11" w14:paraId="0F6BA37A"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F28FBEB" w14:textId="77777777" w:rsidR="00235E11" w:rsidRDefault="00F837E4">
            <w:pPr>
              <w:pStyle w:val="P68B1DB1-Normal59"/>
              <w:spacing w:after="0"/>
              <w:jc w:val="center"/>
              <w:rPr>
                <w:noProof/>
              </w:rPr>
            </w:pPr>
            <w:r>
              <w:rPr>
                <w:noProof/>
              </w:rPr>
              <w:t>107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2553CE9" w14:textId="77777777" w:rsidR="00235E11" w:rsidRDefault="00F837E4">
            <w:pPr>
              <w:pStyle w:val="P68B1DB1-Normal59"/>
              <w:spacing w:after="0"/>
              <w:rPr>
                <w:noProof/>
              </w:rPr>
            </w:pPr>
            <w:r>
              <w:rPr>
                <w:noProof/>
              </w:rPr>
              <w:t>Canal Albert и Trilogiport (I-3.11)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B0EAEFB"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5BA23D" w14:textId="77777777" w:rsidR="00235E11" w:rsidRDefault="00F837E4">
            <w:pPr>
              <w:pStyle w:val="P68B1DB1-Normal59"/>
              <w:spacing w:after="0"/>
              <w:rPr>
                <w:noProof/>
              </w:rPr>
            </w:pPr>
            <w:r>
              <w:rPr>
                <w:noProof/>
              </w:rPr>
              <w:t>Приключване на работите по мостовете над Canal Albert/и нова платформа в Trilogiport</w:t>
            </w:r>
          </w:p>
        </w:tc>
      </w:tr>
      <w:tr w:rsidR="00235E11" w14:paraId="34C38D8B"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tcPr>
          <w:p w14:paraId="7BA918BC" w14:textId="0228FBE9" w:rsidR="00235E11" w:rsidRDefault="00F837E4">
            <w:pPr>
              <w:pStyle w:val="P68B1DB1-Normal59"/>
              <w:spacing w:after="0"/>
              <w:rPr>
                <w:noProof/>
              </w:rPr>
            </w:pPr>
            <w:r>
              <w:rPr>
                <w:noProof/>
              </w:rPr>
              <w:t>115 б</w:t>
            </w:r>
          </w:p>
        </w:tc>
        <w:tc>
          <w:tcPr>
            <w:tcW w:w="2014" w:type="pct"/>
            <w:tcBorders>
              <w:top w:val="single" w:sz="4" w:space="0" w:color="auto"/>
              <w:left w:val="single" w:sz="4" w:space="0" w:color="auto"/>
              <w:bottom w:val="single" w:sz="4" w:space="0" w:color="auto"/>
              <w:right w:val="single" w:sz="4" w:space="0" w:color="auto"/>
            </w:tcBorders>
            <w:shd w:val="clear" w:color="auto" w:fill="C6EFCE"/>
            <w:noWrap/>
          </w:tcPr>
          <w:p w14:paraId="2126DF1B" w14:textId="7954CE77" w:rsidR="00235E11" w:rsidRDefault="00F837E4">
            <w:pPr>
              <w:pStyle w:val="P68B1DB1-Normal59"/>
              <w:spacing w:after="0"/>
              <w:rPr>
                <w:noProof/>
              </w:rPr>
            </w:pPr>
            <w:r>
              <w:rPr>
                <w:noProof/>
              </w:rPr>
              <w:t>Екологизиране на автобусния парк — (I-3G)</w:t>
            </w:r>
          </w:p>
        </w:tc>
        <w:tc>
          <w:tcPr>
            <w:tcW w:w="333" w:type="pct"/>
            <w:tcBorders>
              <w:top w:val="single" w:sz="4" w:space="0" w:color="auto"/>
              <w:left w:val="single" w:sz="4" w:space="0" w:color="auto"/>
              <w:bottom w:val="single" w:sz="4" w:space="0" w:color="auto"/>
              <w:right w:val="single" w:sz="4" w:space="0" w:color="auto"/>
            </w:tcBorders>
            <w:shd w:val="clear" w:color="auto" w:fill="C6EFCE"/>
            <w:noWrap/>
          </w:tcPr>
          <w:p w14:paraId="6B49DD8E" w14:textId="4581AD9C"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tcPr>
          <w:p w14:paraId="0BC58D1F" w14:textId="1AEE0653" w:rsidR="00235E11" w:rsidRDefault="00F837E4">
            <w:pPr>
              <w:pStyle w:val="P68B1DB1-Normal59"/>
              <w:spacing w:after="0"/>
              <w:rPr>
                <w:noProof/>
              </w:rPr>
            </w:pPr>
            <w:r>
              <w:rPr>
                <w:noProof/>
              </w:rPr>
              <w:t>Зелени автобуси, въведени в експлоатация и новоизградени депа във Валония</w:t>
            </w:r>
          </w:p>
        </w:tc>
      </w:tr>
      <w:tr w:rsidR="00235E11" w14:paraId="66CDB796"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F6B4455" w14:textId="77777777" w:rsidR="00235E11" w:rsidRDefault="00F837E4">
            <w:pPr>
              <w:pStyle w:val="P68B1DB1-Normal59"/>
              <w:spacing w:after="0"/>
              <w:jc w:val="center"/>
              <w:rPr>
                <w:noProof/>
              </w:rPr>
            </w:pPr>
            <w:r>
              <w:rPr>
                <w:noProof/>
              </w:rPr>
              <w:t>123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1292F85" w14:textId="77777777" w:rsidR="00235E11" w:rsidRDefault="00F837E4">
            <w:pPr>
              <w:pStyle w:val="P68B1DB1-Normal59"/>
              <w:spacing w:after="0"/>
              <w:rPr>
                <w:noProof/>
              </w:rPr>
            </w:pPr>
            <w:r>
              <w:rPr>
                <w:noProof/>
              </w:rPr>
              <w:t>Станции за зареждане (I-3F)</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410D576"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D9E907" w14:textId="77777777" w:rsidR="00235E11" w:rsidRDefault="00F837E4">
            <w:pPr>
              <w:pStyle w:val="P68B1DB1-Normal59"/>
              <w:spacing w:after="0"/>
              <w:rPr>
                <w:noProof/>
              </w:rPr>
            </w:pPr>
            <w:r>
              <w:rPr>
                <w:noProof/>
              </w:rPr>
              <w:t>Допълнителни оперативни частни, полупублични и публични зарядни точки (стъпка 3)</w:t>
            </w:r>
          </w:p>
        </w:tc>
      </w:tr>
      <w:tr w:rsidR="00235E11" w14:paraId="7CED010C"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D08F40B" w14:textId="77777777" w:rsidR="00235E11" w:rsidRDefault="00F837E4">
            <w:pPr>
              <w:pStyle w:val="P68B1DB1-Normal59"/>
              <w:spacing w:after="0"/>
              <w:jc w:val="center"/>
              <w:rPr>
                <w:noProof/>
              </w:rPr>
            </w:pPr>
            <w:r>
              <w:rPr>
                <w:noProof/>
              </w:rPr>
              <w:t>133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B87422E" w14:textId="77777777" w:rsidR="00235E11" w:rsidRDefault="00F837E4">
            <w:pPr>
              <w:pStyle w:val="P68B1DB1-Normal59"/>
              <w:spacing w:after="0"/>
              <w:rPr>
                <w:noProof/>
              </w:rPr>
            </w:pPr>
            <w:r>
              <w:rPr>
                <w:noProof/>
              </w:rPr>
              <w:t>Предоставяне на цифрово оборудване и ИТ инфраструктура за училищата“ (I-4)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02C609"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74339D" w14:textId="77777777" w:rsidR="00235E11" w:rsidRDefault="00F837E4">
            <w:pPr>
              <w:pStyle w:val="P68B1DB1-Normal59"/>
              <w:spacing w:after="0"/>
              <w:rPr>
                <w:noProof/>
              </w:rPr>
            </w:pPr>
            <w:r>
              <w:rPr>
                <w:noProof/>
              </w:rPr>
              <w:t>Оборудване на училищата/институциите с подходящи ИКТ устройства и инфраструктура за подобряване на цялостното функциониране на образователните системи</w:t>
            </w:r>
          </w:p>
        </w:tc>
      </w:tr>
      <w:tr w:rsidR="00235E11" w14:paraId="060D5018"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B4E2298" w14:textId="77777777" w:rsidR="00235E11" w:rsidRDefault="00F837E4">
            <w:pPr>
              <w:pStyle w:val="P68B1DB1-Normal59"/>
              <w:spacing w:after="0"/>
              <w:jc w:val="center"/>
              <w:rPr>
                <w:noProof/>
              </w:rPr>
            </w:pPr>
            <w:r>
              <w:rPr>
                <w:noProof/>
              </w:rPr>
              <w:t>155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91F729" w14:textId="77777777" w:rsidR="00235E11" w:rsidRDefault="00F837E4">
            <w:pPr>
              <w:pStyle w:val="P68B1DB1-Normal59"/>
              <w:spacing w:after="0"/>
              <w:rPr>
                <w:noProof/>
              </w:rPr>
            </w:pPr>
            <w:r>
              <w:rPr>
                <w:noProof/>
              </w:rPr>
              <w:t>Изграждане и обновяване на инфраструктура за грижи за деца в ранна детска възраст (I-4.13)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C3C6D8"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AB03C7C" w14:textId="77777777" w:rsidR="00235E11" w:rsidRDefault="00F837E4">
            <w:pPr>
              <w:pStyle w:val="P68B1DB1-Normal59"/>
              <w:spacing w:after="0"/>
              <w:rPr>
                <w:noProof/>
              </w:rPr>
            </w:pPr>
            <w:r>
              <w:rPr>
                <w:noProof/>
              </w:rPr>
              <w:t>Откриване на места за грижи за деца</w:t>
            </w:r>
          </w:p>
        </w:tc>
      </w:tr>
      <w:tr w:rsidR="00235E11" w14:paraId="613023AE"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C6638A" w14:textId="77777777" w:rsidR="00235E11" w:rsidRDefault="00F837E4">
            <w:pPr>
              <w:pStyle w:val="P68B1DB1-Normal59"/>
              <w:spacing w:after="0"/>
              <w:jc w:val="center"/>
              <w:rPr>
                <w:noProof/>
              </w:rPr>
            </w:pPr>
            <w:r>
              <w:rPr>
                <w:noProof/>
              </w:rPr>
              <w:t>153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0E56F2A" w14:textId="77777777" w:rsidR="00235E11" w:rsidRDefault="00F837E4">
            <w:pPr>
              <w:pStyle w:val="P68B1DB1-Normal59"/>
              <w:spacing w:after="0"/>
              <w:rPr>
                <w:noProof/>
              </w:rPr>
            </w:pPr>
            <w:r>
              <w:rPr>
                <w:noProof/>
              </w:rPr>
              <w:t>Развитие на комунални жилища и жилища за уязвими лица (I-4.12)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CE6636B"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80CC73" w14:textId="77777777" w:rsidR="00235E11" w:rsidRDefault="00F837E4">
            <w:pPr>
              <w:pStyle w:val="P68B1DB1-Normal59"/>
              <w:spacing w:after="0"/>
              <w:rPr>
                <w:noProof/>
              </w:rPr>
            </w:pPr>
            <w:r>
              <w:rPr>
                <w:noProof/>
              </w:rPr>
              <w:t>Жилищни единици, готови за обитаване</w:t>
            </w:r>
          </w:p>
        </w:tc>
      </w:tr>
      <w:tr w:rsidR="00235E11" w14:paraId="78814FAD"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ED5A421" w14:textId="77777777" w:rsidR="00235E11" w:rsidRDefault="00F837E4">
            <w:pPr>
              <w:pStyle w:val="P68B1DB1-Normal59"/>
              <w:spacing w:after="0"/>
              <w:jc w:val="center"/>
              <w:rPr>
                <w:noProof/>
              </w:rPr>
            </w:pPr>
            <w:r>
              <w:rPr>
                <w:noProof/>
              </w:rPr>
              <w:t>162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5063844" w14:textId="77777777" w:rsidR="00235E11" w:rsidRDefault="00F837E4">
            <w:pPr>
              <w:pStyle w:val="P68B1DB1-Normal59"/>
              <w:spacing w:after="0"/>
              <w:rPr>
                <w:noProof/>
              </w:rPr>
            </w:pPr>
            <w:r>
              <w:rPr>
                <w:noProof/>
              </w:rPr>
              <w:t>A6K/E6K Център за цифрови и технологични иновации и обучение (I-5.01)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A95DF9"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E86E80E" w14:textId="77777777" w:rsidR="00235E11" w:rsidRDefault="00F837E4">
            <w:pPr>
              <w:pStyle w:val="P68B1DB1-Normal59"/>
              <w:spacing w:after="0"/>
              <w:rPr>
                <w:noProof/>
              </w:rPr>
            </w:pPr>
            <w:r>
              <w:rPr>
                <w:noProof/>
              </w:rPr>
              <w:t>Приключване на обновяването и разширяването на A6K-E6K</w:t>
            </w:r>
          </w:p>
        </w:tc>
      </w:tr>
      <w:tr w:rsidR="00235E11" w14:paraId="684E43B3"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3DAA3F3" w14:textId="77777777" w:rsidR="00235E11" w:rsidRDefault="00F837E4">
            <w:pPr>
              <w:pStyle w:val="P68B1DB1-Normal59"/>
              <w:spacing w:after="0"/>
              <w:jc w:val="center"/>
              <w:rPr>
                <w:noProof/>
              </w:rPr>
            </w:pPr>
            <w:r>
              <w:rPr>
                <w:noProof/>
              </w:rPr>
              <w:t>163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5D05DBF" w14:textId="77777777" w:rsidR="00235E11" w:rsidRDefault="00F837E4">
            <w:pPr>
              <w:pStyle w:val="P68B1DB1-Normal59"/>
              <w:spacing w:after="0"/>
              <w:rPr>
                <w:noProof/>
              </w:rPr>
            </w:pPr>
            <w:r>
              <w:rPr>
                <w:noProof/>
              </w:rPr>
              <w:t>Модернизиране на инфраструктурата за обучение на напреднали (I-5.03)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5A93244"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6FA384A" w14:textId="77777777" w:rsidR="00235E11" w:rsidRDefault="00F837E4">
            <w:pPr>
              <w:pStyle w:val="P68B1DB1-Normal59"/>
              <w:spacing w:after="0"/>
              <w:rPr>
                <w:noProof/>
              </w:rPr>
            </w:pPr>
            <w:r>
              <w:rPr>
                <w:noProof/>
              </w:rPr>
              <w:t>Сгради и оборудване за обучение, служби по заетостта</w:t>
            </w:r>
          </w:p>
        </w:tc>
      </w:tr>
      <w:tr w:rsidR="00235E11" w14:paraId="5F37A18B"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881B8C" w14:textId="77777777" w:rsidR="00235E11" w:rsidRDefault="00F837E4">
            <w:pPr>
              <w:pStyle w:val="P68B1DB1-Normal59"/>
              <w:spacing w:after="0"/>
              <w:jc w:val="center"/>
              <w:rPr>
                <w:noProof/>
              </w:rPr>
            </w:pPr>
            <w:r>
              <w:rPr>
                <w:noProof/>
              </w:rPr>
              <w:t>171</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9958475" w14:textId="77777777" w:rsidR="00235E11" w:rsidRDefault="00F837E4">
            <w:pPr>
              <w:pStyle w:val="P68B1DB1-Normal59"/>
              <w:spacing w:after="0"/>
              <w:rPr>
                <w:noProof/>
              </w:rPr>
            </w:pPr>
            <w:r>
              <w:rPr>
                <w:noProof/>
              </w:rPr>
              <w:t>Цифрово обучение през целия живот (I-5.07)</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80731A1"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07BF02" w14:textId="49AA5CCD" w:rsidR="00235E11" w:rsidRDefault="00F837E4">
            <w:pPr>
              <w:pStyle w:val="P68B1DB1-Normal59"/>
              <w:spacing w:after="0"/>
              <w:rPr>
                <w:noProof/>
              </w:rPr>
            </w:pPr>
            <w:r>
              <w:rPr>
                <w:noProof/>
              </w:rPr>
              <w:t>Модернизиране на предоставянето на наставничество и обучение в областта на цифровите умения, включително основни цифрови умения във Валония, чрез цифрови инструменти, най-съвременна инфраструктура, компетентно наставничество и иновативни проекти</w:t>
            </w:r>
          </w:p>
        </w:tc>
      </w:tr>
      <w:tr w:rsidR="00235E11" w14:paraId="0C74D833"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3D27F6" w14:textId="77777777" w:rsidR="00235E11" w:rsidRDefault="00F837E4">
            <w:pPr>
              <w:pStyle w:val="P68B1DB1-Normal59"/>
              <w:spacing w:after="0"/>
              <w:jc w:val="center"/>
              <w:rPr>
                <w:noProof/>
              </w:rPr>
            </w:pPr>
            <w:r>
              <w:rPr>
                <w:noProof/>
              </w:rPr>
              <w:t>179</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32F9BB" w14:textId="77777777" w:rsidR="00235E11" w:rsidRDefault="00F837E4">
            <w:pPr>
              <w:pStyle w:val="P68B1DB1-Normal59"/>
              <w:spacing w:after="0"/>
              <w:rPr>
                <w:noProof/>
              </w:rPr>
            </w:pPr>
            <w:r>
              <w:rPr>
                <w:noProof/>
              </w:rPr>
              <w:t>Нуклеарна медицина (I-5.08)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A37464"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0B50B07" w14:textId="77777777" w:rsidR="00235E11" w:rsidRDefault="00F837E4">
            <w:pPr>
              <w:pStyle w:val="P68B1DB1-Normal59"/>
              <w:spacing w:after="0"/>
              <w:rPr>
                <w:noProof/>
              </w:rPr>
            </w:pPr>
            <w:r>
              <w:rPr>
                <w:noProof/>
              </w:rPr>
              <w:t>Изграждане и въвеждане в експлоатация на радиоизотопно съоръжение (FANC и FAGG)</w:t>
            </w:r>
          </w:p>
        </w:tc>
      </w:tr>
      <w:tr w:rsidR="00235E11" w14:paraId="309CB317"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96C908" w14:textId="77777777" w:rsidR="00235E11" w:rsidRDefault="00F837E4">
            <w:pPr>
              <w:pStyle w:val="P68B1DB1-Normal59"/>
              <w:spacing w:after="0"/>
              <w:jc w:val="center"/>
              <w:rPr>
                <w:noProof/>
              </w:rPr>
            </w:pPr>
            <w:r>
              <w:rPr>
                <w:noProof/>
              </w:rPr>
              <w:t>185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8AB3410" w14:textId="77777777" w:rsidR="00235E11" w:rsidRDefault="00F837E4">
            <w:pPr>
              <w:pStyle w:val="P68B1DB1-Normal59"/>
              <w:spacing w:after="0"/>
              <w:rPr>
                <w:noProof/>
              </w:rPr>
            </w:pPr>
            <w:r>
              <w:rPr>
                <w:noProof/>
              </w:rPr>
              <w:t>Р-Г: Свеждане до минимум на отпадъците по време на демонтаж (I-5.10)</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F922E7"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2BCD0A2" w14:textId="77777777" w:rsidR="00235E11" w:rsidRDefault="00F837E4">
            <w:pPr>
              <w:pStyle w:val="P68B1DB1-Normal59"/>
              <w:spacing w:after="0"/>
              <w:rPr>
                <w:noProof/>
              </w:rPr>
            </w:pPr>
            <w:r>
              <w:rPr>
                <w:noProof/>
              </w:rPr>
              <w:t>Изградено и пуснато в експлоатация съоръжение за третиране на материали (MaT); приключване на настолното проучване</w:t>
            </w:r>
          </w:p>
        </w:tc>
      </w:tr>
      <w:tr w:rsidR="00235E11" w14:paraId="0643E1E1"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68F43D7" w14:textId="77777777" w:rsidR="00235E11" w:rsidRDefault="00F837E4">
            <w:pPr>
              <w:pStyle w:val="P68B1DB1-Normal59"/>
              <w:spacing w:after="0"/>
              <w:jc w:val="center"/>
              <w:rPr>
                <w:noProof/>
              </w:rPr>
            </w:pPr>
            <w:r>
              <w:rPr>
                <w:noProof/>
              </w:rPr>
              <w:t>187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12A3159" w14:textId="77777777" w:rsidR="00235E11" w:rsidRDefault="00F837E4">
            <w:pPr>
              <w:pStyle w:val="P68B1DB1-Normal59"/>
              <w:spacing w:after="0"/>
              <w:rPr>
                <w:noProof/>
              </w:rPr>
            </w:pPr>
            <w:r>
              <w:rPr>
                <w:noProof/>
              </w:rPr>
              <w:t>Укрепване на НИРД (I-5.11)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AB3FD8D"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612B203" w14:textId="77777777" w:rsidR="00235E11" w:rsidRDefault="00F837E4">
            <w:pPr>
              <w:pStyle w:val="P68B1DB1-Normal59"/>
              <w:spacing w:after="0"/>
              <w:rPr>
                <w:noProof/>
              </w:rPr>
            </w:pPr>
            <w:r>
              <w:rPr>
                <w:noProof/>
              </w:rPr>
              <w:t>Приключване на възложените проекти в областта на НИРД и инфраструктурните проекти</w:t>
            </w:r>
          </w:p>
        </w:tc>
      </w:tr>
      <w:tr w:rsidR="00235E11" w14:paraId="5F22E6A1"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3D1E78" w14:textId="77777777" w:rsidR="00235E11" w:rsidRDefault="00F837E4">
            <w:pPr>
              <w:pStyle w:val="P68B1DB1-Normal59"/>
              <w:spacing w:after="0"/>
              <w:jc w:val="center"/>
              <w:rPr>
                <w:noProof/>
              </w:rPr>
            </w:pPr>
            <w:r>
              <w:rPr>
                <w:noProof/>
              </w:rPr>
              <w:t>191</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C6E877" w14:textId="77777777" w:rsidR="00235E11" w:rsidRDefault="00F837E4">
            <w:pPr>
              <w:pStyle w:val="P68B1DB1-Normal59"/>
              <w:spacing w:after="0"/>
              <w:rPr>
                <w:noProof/>
              </w:rPr>
            </w:pPr>
            <w:r>
              <w:rPr>
                <w:noProof/>
              </w:rPr>
              <w:t>Преместване на храни и разработване на логистични платформи (I-5.12)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D0F546"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5E4250" w14:textId="77777777" w:rsidR="00235E11" w:rsidRDefault="00F837E4">
            <w:pPr>
              <w:pStyle w:val="P68B1DB1-Normal59"/>
              <w:spacing w:after="0"/>
              <w:rPr>
                <w:noProof/>
              </w:rPr>
            </w:pPr>
            <w:r>
              <w:rPr>
                <w:noProof/>
              </w:rPr>
              <w:t xml:space="preserve">Завършено е изграждането на най-малко пет парцела инфраструктура, 30 маломащабна инфраструктура и 4 по-големи структурни проекта </w:t>
            </w:r>
          </w:p>
        </w:tc>
      </w:tr>
      <w:tr w:rsidR="00235E11" w14:paraId="307BA119"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F69A29" w14:textId="77777777" w:rsidR="00235E11" w:rsidRDefault="00F837E4">
            <w:pPr>
              <w:pStyle w:val="P68B1DB1-Normal59"/>
              <w:spacing w:after="0"/>
              <w:jc w:val="center"/>
              <w:rPr>
                <w:noProof/>
              </w:rPr>
            </w:pPr>
            <w:r>
              <w:rPr>
                <w:noProof/>
              </w:rPr>
              <w:t>198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784F169" w14:textId="77777777" w:rsidR="00235E11" w:rsidRDefault="00F837E4">
            <w:pPr>
              <w:pStyle w:val="P68B1DB1-Normal59"/>
              <w:spacing w:after="0"/>
              <w:rPr>
                <w:noProof/>
              </w:rPr>
            </w:pPr>
            <w:r>
              <w:rPr>
                <w:noProof/>
              </w:rPr>
              <w:t>Център за рециклиране (I-5.14)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22E0CCF"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BAE1581" w14:textId="77777777" w:rsidR="00235E11" w:rsidRDefault="00F837E4">
            <w:pPr>
              <w:pStyle w:val="P68B1DB1-Normal59"/>
              <w:spacing w:after="0"/>
              <w:rPr>
                <w:noProof/>
              </w:rPr>
            </w:pPr>
            <w:r>
              <w:rPr>
                <w:noProof/>
              </w:rPr>
              <w:t>Приключване на работите в шест съоръжения за рециклиране</w:t>
            </w:r>
          </w:p>
        </w:tc>
      </w:tr>
      <w:tr w:rsidR="00235E11" w14:paraId="2464DED7"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E00E82" w14:textId="77777777" w:rsidR="00235E11" w:rsidRDefault="00F837E4">
            <w:pPr>
              <w:pStyle w:val="P68B1DB1-Normal59"/>
              <w:spacing w:after="0"/>
              <w:jc w:val="center"/>
              <w:rPr>
                <w:noProof/>
              </w:rPr>
            </w:pPr>
            <w:r>
              <w:rPr>
                <w:noProof/>
              </w:rPr>
              <w:t>200</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B993D35" w14:textId="77777777" w:rsidR="00235E11" w:rsidRDefault="00F837E4">
            <w:pPr>
              <w:pStyle w:val="P68B1DB1-Normal59"/>
              <w:spacing w:after="0"/>
              <w:rPr>
                <w:noProof/>
              </w:rPr>
            </w:pPr>
            <w:r>
              <w:rPr>
                <w:noProof/>
              </w:rPr>
              <w:t>Белгия изгражда контракулярно циркулярно писмо (I-5.15)</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0CE0BFF"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BAF0523" w14:textId="77777777" w:rsidR="00235E11" w:rsidRDefault="00F837E4">
            <w:pPr>
              <w:pStyle w:val="P68B1DB1-Normal59"/>
              <w:spacing w:after="0"/>
              <w:rPr>
                <w:noProof/>
              </w:rPr>
            </w:pPr>
            <w:r>
              <w:rPr>
                <w:noProof/>
              </w:rPr>
              <w:t>Приключване на дейностите за повишаване на осведомеността и информиране на МСП и на проекти, свързани с кръговата икономика</w:t>
            </w:r>
          </w:p>
        </w:tc>
      </w:tr>
      <w:tr w:rsidR="00235E11" w14:paraId="05B115D9"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C5B0C0" w14:textId="77777777" w:rsidR="00235E11" w:rsidRDefault="00F837E4">
            <w:pPr>
              <w:pStyle w:val="P68B1DB1-Normal59"/>
              <w:spacing w:after="0"/>
              <w:jc w:val="center"/>
              <w:rPr>
                <w:noProof/>
              </w:rPr>
            </w:pPr>
            <w:r>
              <w:rPr>
                <w:noProof/>
              </w:rPr>
              <w:t>202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1A9D00" w14:textId="77777777" w:rsidR="00235E11" w:rsidRDefault="00F837E4">
            <w:pPr>
              <w:pStyle w:val="P68B1DB1-Normal59"/>
              <w:spacing w:after="0"/>
              <w:rPr>
                <w:noProof/>
              </w:rPr>
            </w:pPr>
            <w:r>
              <w:rPr>
                <w:noProof/>
              </w:rPr>
              <w:t>Внедряване на кръговата икономика във Валония (I-5.16)</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305EE61"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596CFDD" w14:textId="77777777" w:rsidR="00235E11" w:rsidRDefault="00F837E4">
            <w:pPr>
              <w:pStyle w:val="P68B1DB1-Normal59"/>
              <w:spacing w:after="0"/>
              <w:rPr>
                <w:noProof/>
              </w:rPr>
            </w:pPr>
            <w:r>
              <w:rPr>
                <w:noProof/>
              </w:rPr>
              <w:t>Приключване на проекти за насърчаване на кръговата икономика във Валония</w:t>
            </w:r>
          </w:p>
        </w:tc>
      </w:tr>
      <w:tr w:rsidR="00235E11" w14:paraId="4AA09217"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9FE106" w14:textId="77777777" w:rsidR="00235E11" w:rsidRDefault="00F837E4">
            <w:pPr>
              <w:pStyle w:val="P68B1DB1-Normal59"/>
              <w:spacing w:after="0"/>
              <w:jc w:val="center"/>
              <w:rPr>
                <w:noProof/>
              </w:rPr>
            </w:pPr>
            <w:r>
              <w:rPr>
                <w:noProof/>
              </w:rPr>
              <w:t>215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88900E" w14:textId="77777777" w:rsidR="00235E11" w:rsidRDefault="00F837E4">
            <w:pPr>
              <w:pStyle w:val="P68B1DB1-Normal59"/>
              <w:spacing w:after="0"/>
              <w:rPr>
                <w:noProof/>
              </w:rPr>
            </w:pPr>
            <w:r>
              <w:rPr>
                <w:noProof/>
              </w:rPr>
              <w:t>Обновяване на социални жилища — WAL (I-7.04)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F0B19B7"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E656E7" w14:textId="77777777" w:rsidR="00235E11" w:rsidRDefault="00F837E4">
            <w:pPr>
              <w:pStyle w:val="P68B1DB1-Normal59"/>
              <w:spacing w:after="0"/>
              <w:rPr>
                <w:noProof/>
              </w:rPr>
            </w:pPr>
            <w:r>
              <w:rPr>
                <w:noProof/>
              </w:rPr>
              <w:t xml:space="preserve">Слънчеви панели и термопомпи в социалните жилища </w:t>
            </w:r>
          </w:p>
        </w:tc>
      </w:tr>
      <w:tr w:rsidR="00235E11" w14:paraId="27564A24"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1162B6" w14:textId="77777777" w:rsidR="00235E11" w:rsidRDefault="00F837E4">
            <w:pPr>
              <w:pStyle w:val="P68B1DB1-Normal59"/>
              <w:spacing w:after="0"/>
              <w:jc w:val="center"/>
              <w:rPr>
                <w:noProof/>
              </w:rPr>
            </w:pPr>
            <w:r>
              <w:rPr>
                <w:noProof/>
              </w:rPr>
              <w:t>218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04983C" w14:textId="27A9A531" w:rsidR="00235E11" w:rsidRDefault="00F837E4">
            <w:pPr>
              <w:pStyle w:val="P68B1DB1-Normal59"/>
              <w:spacing w:after="0"/>
              <w:rPr>
                <w:noProof/>
              </w:rPr>
            </w:pPr>
            <w:r>
              <w:rPr>
                <w:noProof/>
              </w:rPr>
              <w:t>Икономия на енергия в обществените сгради — VLA (I-7)</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E5137E0"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CD94C71" w14:textId="77777777" w:rsidR="00235E11" w:rsidRDefault="00F837E4">
            <w:pPr>
              <w:pStyle w:val="P68B1DB1-Normal59"/>
              <w:spacing w:after="0"/>
              <w:rPr>
                <w:noProof/>
              </w:rPr>
            </w:pPr>
            <w:r>
              <w:rPr>
                <w:noProof/>
              </w:rPr>
              <w:t>Енергийно ефективно саниране на обществени сгради</w:t>
            </w:r>
          </w:p>
        </w:tc>
      </w:tr>
      <w:tr w:rsidR="00235E11" w14:paraId="3ACE5E5B"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4671EAC" w14:textId="77777777" w:rsidR="00235E11" w:rsidRDefault="00F837E4">
            <w:pPr>
              <w:pStyle w:val="P68B1DB1-Normal59"/>
              <w:spacing w:after="0"/>
              <w:jc w:val="center"/>
              <w:rPr>
                <w:noProof/>
              </w:rPr>
            </w:pPr>
            <w:r>
              <w:rPr>
                <w:noProof/>
              </w:rPr>
              <w:t>222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3106CEB" w14:textId="77777777" w:rsidR="00235E11" w:rsidRDefault="00F837E4">
            <w:pPr>
              <w:pStyle w:val="P68B1DB1-Normal59"/>
              <w:spacing w:after="0"/>
              <w:rPr>
                <w:noProof/>
              </w:rPr>
            </w:pPr>
            <w:r>
              <w:rPr>
                <w:noProof/>
              </w:rPr>
              <w:t>Инфраструктура за внос на енергия (I-7.12)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2F7BAA"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0A8122F" w14:textId="77777777" w:rsidR="00235E11" w:rsidRDefault="00F837E4">
            <w:pPr>
              <w:pStyle w:val="P68B1DB1-Normal59"/>
              <w:spacing w:after="0"/>
              <w:rPr>
                <w:noProof/>
              </w:rPr>
            </w:pPr>
            <w:r>
              <w:rPr>
                <w:noProof/>
              </w:rPr>
              <w:t>Приключване на проекти, отпуснати по поканите за представяне на проекти</w:t>
            </w:r>
          </w:p>
        </w:tc>
      </w:tr>
      <w:tr w:rsidR="00235E11" w14:paraId="34B0B951"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A069543" w14:textId="77777777" w:rsidR="00235E11" w:rsidRDefault="00F837E4">
            <w:pPr>
              <w:pStyle w:val="P68B1DB1-Normal59"/>
              <w:spacing w:after="0"/>
              <w:jc w:val="center"/>
              <w:rPr>
                <w:noProof/>
              </w:rPr>
            </w:pPr>
            <w:r>
              <w:rPr>
                <w:noProof/>
              </w:rPr>
              <w:t>224</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998FAC4" w14:textId="77777777" w:rsidR="00235E11" w:rsidRDefault="00F837E4">
            <w:pPr>
              <w:pStyle w:val="P68B1DB1-Normal59"/>
              <w:spacing w:after="0"/>
              <w:rPr>
                <w:noProof/>
              </w:rPr>
            </w:pPr>
            <w:r>
              <w:rPr>
                <w:noProof/>
              </w:rPr>
              <w:t>Призив за декарбонизация на промишлеността (I-7.13)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D8F95C"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AE31531" w14:textId="77777777" w:rsidR="00235E11" w:rsidRDefault="00F837E4">
            <w:pPr>
              <w:pStyle w:val="P68B1DB1-Normal59"/>
              <w:spacing w:after="0"/>
              <w:rPr>
                <w:noProof/>
              </w:rPr>
            </w:pPr>
            <w:r>
              <w:rPr>
                <w:noProof/>
              </w:rPr>
              <w:t>Приключване на проекти, отпуснати по поканите за представяне на проекти</w:t>
            </w:r>
          </w:p>
        </w:tc>
      </w:tr>
      <w:tr w:rsidR="00235E11" w14:paraId="26797A80"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AC21AF5" w14:textId="77777777" w:rsidR="00235E11" w:rsidRDefault="00F837E4">
            <w:pPr>
              <w:pStyle w:val="P68B1DB1-Normal59"/>
              <w:spacing w:after="0"/>
              <w:jc w:val="center"/>
              <w:rPr>
                <w:noProof/>
              </w:rPr>
            </w:pPr>
            <w:r>
              <w:rPr>
                <w:noProof/>
              </w:rPr>
              <w:t>225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913499" w14:textId="77777777" w:rsidR="00235E11" w:rsidRDefault="00F837E4">
            <w:pPr>
              <w:pStyle w:val="P68B1DB1-Normal59"/>
              <w:spacing w:after="0"/>
              <w:rPr>
                <w:noProof/>
              </w:rPr>
            </w:pPr>
            <w:r>
              <w:rPr>
                <w:noProof/>
              </w:rPr>
              <w:t>Призив за мерки в областта на климата в селското стопанство (I-7.14)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9B9457"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96C7BE" w14:textId="77777777" w:rsidR="00235E11" w:rsidRDefault="00F837E4">
            <w:pPr>
              <w:pStyle w:val="P68B1DB1-Normal59"/>
              <w:spacing w:after="0"/>
              <w:rPr>
                <w:noProof/>
              </w:rPr>
            </w:pPr>
            <w:r>
              <w:rPr>
                <w:noProof/>
              </w:rPr>
              <w:t>Приключване на проекти, възложени в рамките на поканите за представяне на предложения</w:t>
            </w:r>
          </w:p>
        </w:tc>
      </w:tr>
      <w:tr w:rsidR="00235E11" w14:paraId="3B966361"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8899CB" w14:textId="77777777" w:rsidR="00235E11" w:rsidRDefault="00F837E4">
            <w:pPr>
              <w:pStyle w:val="P68B1DB1-Normal59"/>
              <w:spacing w:after="0"/>
              <w:jc w:val="center"/>
              <w:rPr>
                <w:noProof/>
              </w:rPr>
            </w:pPr>
            <w:r>
              <w:rPr>
                <w:noProof/>
              </w:rPr>
              <w:t>234</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80E9B8" w14:textId="77777777" w:rsidR="00235E11" w:rsidRDefault="00F837E4">
            <w:pPr>
              <w:pStyle w:val="P68B1DB1-Normal59"/>
              <w:spacing w:after="0"/>
              <w:rPr>
                <w:noProof/>
              </w:rPr>
            </w:pPr>
            <w:r>
              <w:rPr>
                <w:noProof/>
              </w:rPr>
              <w:t>Оптимизиране на разпределението на енергията (I-7.17)</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A93241D" w14:textId="42C7D39E"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DD586E" w14:textId="77777777" w:rsidR="00235E11" w:rsidRDefault="00F837E4">
            <w:pPr>
              <w:pStyle w:val="P68B1DB1-Normal59"/>
              <w:spacing w:after="0"/>
              <w:rPr>
                <w:noProof/>
              </w:rPr>
            </w:pPr>
            <w:r>
              <w:rPr>
                <w:noProof/>
              </w:rPr>
              <w:t>Приключване на проекти</w:t>
            </w:r>
          </w:p>
        </w:tc>
      </w:tr>
      <w:tr w:rsidR="00235E11" w14:paraId="50A6A437"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36F5DFA" w14:textId="77777777" w:rsidR="00235E11" w:rsidRDefault="00F837E4">
            <w:pPr>
              <w:pStyle w:val="P68B1DB1-Normal59"/>
              <w:spacing w:after="0"/>
              <w:jc w:val="center"/>
              <w:rPr>
                <w:noProof/>
              </w:rPr>
            </w:pPr>
            <w:r>
              <w:rPr>
                <w:noProof/>
              </w:rPr>
              <w:t>236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274FC37" w14:textId="77777777" w:rsidR="00235E11" w:rsidRDefault="00F837E4">
            <w:pPr>
              <w:pStyle w:val="P68B1DB1-Normal59"/>
              <w:spacing w:after="0"/>
              <w:rPr>
                <w:noProof/>
              </w:rPr>
            </w:pPr>
            <w:r>
              <w:rPr>
                <w:noProof/>
              </w:rPr>
              <w:t>Покана за иновативни инициативи за производство на енергия от възобновяеми източници (I-7.18)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FC8CE4"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B5E88A" w14:textId="77777777" w:rsidR="00235E11" w:rsidRDefault="00F837E4">
            <w:pPr>
              <w:pStyle w:val="P68B1DB1-Normal59"/>
              <w:spacing w:after="0"/>
              <w:rPr>
                <w:noProof/>
              </w:rPr>
            </w:pPr>
            <w:r>
              <w:rPr>
                <w:noProof/>
              </w:rPr>
              <w:t>Приключване на проекти</w:t>
            </w:r>
          </w:p>
        </w:tc>
      </w:tr>
      <w:tr w:rsidR="00235E11" w14:paraId="737AB929"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3F6A0A8" w14:textId="77777777" w:rsidR="00235E11" w:rsidRDefault="00F837E4">
            <w:pPr>
              <w:pStyle w:val="P68B1DB1-Normal59"/>
              <w:spacing w:after="0"/>
              <w:jc w:val="center"/>
              <w:rPr>
                <w:noProof/>
              </w:rPr>
            </w:pPr>
            <w:r>
              <w:rPr>
                <w:noProof/>
              </w:rPr>
              <w:t>237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7E1C3B" w14:textId="77777777" w:rsidR="00235E11" w:rsidRDefault="00F837E4">
            <w:pPr>
              <w:pStyle w:val="P68B1DB1-Normal59"/>
              <w:spacing w:after="0"/>
              <w:rPr>
                <w:noProof/>
              </w:rPr>
            </w:pPr>
            <w:r>
              <w:rPr>
                <w:noProof/>
              </w:rPr>
              <w:t>Премахване на пречките пред енергията от възобновяеми източници (I-7.19)</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0DDD0C"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E5F87D" w14:textId="77777777" w:rsidR="00235E11" w:rsidRDefault="00F837E4">
            <w:pPr>
              <w:pStyle w:val="P68B1DB1-Normal59"/>
              <w:spacing w:after="0"/>
              <w:rPr>
                <w:noProof/>
              </w:rPr>
            </w:pPr>
            <w:r>
              <w:rPr>
                <w:noProof/>
              </w:rPr>
              <w:t>Приключване на проекти</w:t>
            </w:r>
          </w:p>
        </w:tc>
      </w:tr>
      <w:tr w:rsidR="00235E11" w14:paraId="59793795"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1E4D5C" w14:textId="77777777" w:rsidR="00235E11" w:rsidRDefault="00F837E4">
            <w:pPr>
              <w:pStyle w:val="P68B1DB1-Normal59"/>
              <w:spacing w:after="0"/>
              <w:jc w:val="center"/>
              <w:rPr>
                <w:noProof/>
              </w:rPr>
            </w:pPr>
            <w:r>
              <w:rPr>
                <w:noProof/>
              </w:rPr>
              <w:t>238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38A98D1" w14:textId="77777777" w:rsidR="00235E11" w:rsidRDefault="00F837E4">
            <w:pPr>
              <w:pStyle w:val="P68B1DB1-Normal59"/>
              <w:spacing w:after="0"/>
              <w:rPr>
                <w:noProof/>
              </w:rPr>
            </w:pPr>
            <w:r>
              <w:rPr>
                <w:noProof/>
              </w:rPr>
              <w:t>Премахване на пречките пред енергията от възобновяеми източници (I-7.19)</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154DF6"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75CAD83" w14:textId="77777777" w:rsidR="00235E11" w:rsidRDefault="00F837E4">
            <w:pPr>
              <w:pStyle w:val="P68B1DB1-Normal59"/>
              <w:spacing w:after="0"/>
              <w:rPr>
                <w:noProof/>
              </w:rPr>
            </w:pPr>
            <w:r>
              <w:rPr>
                <w:noProof/>
              </w:rPr>
              <w:t>Влизане в сила на регламента</w:t>
            </w:r>
          </w:p>
        </w:tc>
      </w:tr>
      <w:tr w:rsidR="00235E11" w14:paraId="3BAC27BB"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A56236D" w14:textId="77777777" w:rsidR="00235E11" w:rsidRDefault="00F837E4">
            <w:pPr>
              <w:pStyle w:val="P68B1DB1-Normal59"/>
              <w:spacing w:after="0"/>
              <w:jc w:val="center"/>
              <w:rPr>
                <w:noProof/>
              </w:rPr>
            </w:pPr>
            <w:r>
              <w:rPr>
                <w:noProof/>
              </w:rPr>
              <w:t>242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99CD55" w14:textId="0CCBFDEB" w:rsidR="00235E11" w:rsidRDefault="00F837E4">
            <w:pPr>
              <w:pStyle w:val="P68B1DB1-Normal59"/>
              <w:spacing w:after="0"/>
              <w:rPr>
                <w:noProof/>
              </w:rPr>
            </w:pPr>
            <w:r>
              <w:rPr>
                <w:noProof/>
              </w:rPr>
              <w:t>Екологизиране на автобусния парк — ЗФП (I-7.21)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86733AF"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A369984" w14:textId="77777777" w:rsidR="00235E11" w:rsidRDefault="00F837E4">
            <w:pPr>
              <w:pStyle w:val="P68B1DB1-Normal59"/>
              <w:spacing w:after="0"/>
              <w:rPr>
                <w:noProof/>
              </w:rPr>
            </w:pPr>
            <w:r>
              <w:rPr>
                <w:noProof/>
              </w:rPr>
              <w:t>Електрически автобуси в експлоатация</w:t>
            </w:r>
          </w:p>
        </w:tc>
      </w:tr>
      <w:tr w:rsidR="00235E11" w14:paraId="04B73ABF"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7D1569" w14:textId="77777777" w:rsidR="00235E11" w:rsidRDefault="00F837E4">
            <w:pPr>
              <w:pStyle w:val="P68B1DB1-Normal59"/>
              <w:spacing w:after="0"/>
              <w:jc w:val="center"/>
              <w:rPr>
                <w:noProof/>
              </w:rPr>
            </w:pPr>
            <w:r>
              <w:rPr>
                <w:noProof/>
              </w:rPr>
              <w:t>243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7AB4D3D" w14:textId="77777777" w:rsidR="00235E11" w:rsidRDefault="00F837E4">
            <w:pPr>
              <w:pStyle w:val="P68B1DB1-Normal59"/>
              <w:spacing w:after="0"/>
              <w:rPr>
                <w:noProof/>
              </w:rPr>
            </w:pPr>
            <w:r>
              <w:rPr>
                <w:noProof/>
              </w:rPr>
              <w:t>Зарядни станции — FED (I-7.22)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1BEECD0"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48F9E43" w14:textId="77777777" w:rsidR="00235E11" w:rsidRDefault="00F837E4">
            <w:pPr>
              <w:pStyle w:val="P68B1DB1-Normal59"/>
              <w:spacing w:after="0"/>
              <w:rPr>
                <w:noProof/>
              </w:rPr>
            </w:pPr>
            <w:r>
              <w:rPr>
                <w:noProof/>
              </w:rPr>
              <w:t>Разполагане на двупосочни зарядни станции</w:t>
            </w:r>
          </w:p>
        </w:tc>
      </w:tr>
      <w:tr w:rsidR="00235E11" w14:paraId="2C7F92DE"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4557307" w14:textId="77777777" w:rsidR="00235E11" w:rsidRDefault="00F837E4">
            <w:pPr>
              <w:pStyle w:val="P68B1DB1-Normal59"/>
              <w:spacing w:after="0"/>
              <w:jc w:val="center"/>
              <w:rPr>
                <w:noProof/>
              </w:rPr>
            </w:pPr>
            <w:r>
              <w:rPr>
                <w:noProof/>
              </w:rPr>
              <w:t>244</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D2A8B83" w14:textId="77777777" w:rsidR="00235E11" w:rsidRDefault="00F837E4">
            <w:pPr>
              <w:pStyle w:val="P68B1DB1-Normal59"/>
              <w:spacing w:after="0"/>
              <w:rPr>
                <w:noProof/>
              </w:rPr>
            </w:pPr>
            <w:r>
              <w:rPr>
                <w:noProof/>
              </w:rPr>
              <w:t>Обществено светодиодно осветление — VLA (I-7.23)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3714BB"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023123E" w14:textId="77777777" w:rsidR="00235E11" w:rsidRDefault="00F837E4">
            <w:pPr>
              <w:pStyle w:val="P68B1DB1-Normal59"/>
              <w:spacing w:after="0"/>
              <w:rPr>
                <w:noProof/>
              </w:rPr>
            </w:pPr>
            <w:r>
              <w:rPr>
                <w:noProof/>
              </w:rPr>
              <w:t>Монтирано светодиодно осветление</w:t>
            </w:r>
          </w:p>
        </w:tc>
      </w:tr>
      <w:tr w:rsidR="00235E11" w14:paraId="2938C271"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53206EC" w14:textId="77777777" w:rsidR="00235E11" w:rsidRDefault="00F837E4">
            <w:pPr>
              <w:pStyle w:val="P68B1DB1-Normal59"/>
              <w:spacing w:after="0"/>
              <w:jc w:val="center"/>
              <w:rPr>
                <w:noProof/>
              </w:rPr>
            </w:pPr>
            <w:r>
              <w:rPr>
                <w:noProof/>
              </w:rPr>
              <w:t>245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B404F05" w14:textId="08D8D666" w:rsidR="00235E11" w:rsidRDefault="00F837E4">
            <w:pPr>
              <w:pStyle w:val="P68B1DB1-Normal59"/>
              <w:spacing w:after="0"/>
              <w:rPr>
                <w:noProof/>
              </w:rPr>
            </w:pPr>
            <w:r>
              <w:rPr>
                <w:noProof/>
              </w:rPr>
              <w:t>Ефективна железопътна мрежа — FED (I-7.24)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245100" w14:textId="77777777" w:rsidR="00235E11" w:rsidRDefault="00F837E4">
            <w:pPr>
              <w:pStyle w:val="P68B1DB1-Normal59"/>
              <w:spacing w:after="0"/>
              <w:jc w:val="center"/>
              <w:rPr>
                <w:noProof/>
              </w:rPr>
            </w:pPr>
            <w:r>
              <w:rPr>
                <w:noProof/>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5445335" w14:textId="77777777" w:rsidR="00235E11" w:rsidRDefault="00F837E4">
            <w:pPr>
              <w:pStyle w:val="P68B1DB1-Normal59"/>
              <w:spacing w:after="0"/>
              <w:rPr>
                <w:noProof/>
              </w:rPr>
            </w:pPr>
            <w:r>
              <w:rPr>
                <w:noProof/>
              </w:rPr>
              <w:t>Електрификация на железопътните линии</w:t>
            </w:r>
          </w:p>
        </w:tc>
      </w:tr>
      <w:tr w:rsidR="00235E11" w14:paraId="20D748F1"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18826A5" w14:textId="77777777" w:rsidR="00235E11" w:rsidRDefault="00F837E4">
            <w:pPr>
              <w:pStyle w:val="P68B1DB1-Normal59"/>
              <w:spacing w:after="0"/>
              <w:jc w:val="center"/>
              <w:rPr>
                <w:noProof/>
              </w:rPr>
            </w:pPr>
            <w:r>
              <w:rPr>
                <w:noProof/>
              </w:rPr>
              <w:t>247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F3F4741" w14:textId="030AA3F5" w:rsidR="00235E11" w:rsidRDefault="00F837E4">
            <w:pPr>
              <w:pStyle w:val="P68B1DB1-Normal59"/>
              <w:spacing w:after="0"/>
              <w:rPr>
                <w:noProof/>
              </w:rPr>
            </w:pPr>
            <w:r>
              <w:rPr>
                <w:noProof/>
              </w:rPr>
              <w:t>Нуклеарна медицина — термостатичен подход (I-5.08а)</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99D751D"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8A29913" w14:textId="77777777" w:rsidR="00235E11" w:rsidRDefault="00F837E4">
            <w:pPr>
              <w:pStyle w:val="P68B1DB1-Normal59"/>
              <w:spacing w:after="0"/>
              <w:rPr>
                <w:noProof/>
              </w:rPr>
            </w:pPr>
            <w:r>
              <w:rPr>
                <w:noProof/>
              </w:rPr>
              <w:t>Приключване на разработването на Р Г</w:t>
            </w:r>
          </w:p>
        </w:tc>
      </w:tr>
      <w:tr w:rsidR="00235E11" w14:paraId="5327804C"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E16139F" w14:textId="77777777" w:rsidR="00235E11" w:rsidRDefault="00F837E4">
            <w:pPr>
              <w:pStyle w:val="P68B1DB1-Normal59"/>
              <w:spacing w:after="0"/>
              <w:jc w:val="center"/>
              <w:rPr>
                <w:noProof/>
              </w:rPr>
            </w:pPr>
            <w:r>
              <w:rPr>
                <w:noProof/>
              </w:rPr>
              <w:t>249</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FFBC54E" w14:textId="3D0BBBAC" w:rsidR="00235E11" w:rsidRDefault="00F837E4">
            <w:pPr>
              <w:pStyle w:val="P68B1DB1-Normal59"/>
              <w:spacing w:after="0"/>
              <w:rPr>
                <w:noProof/>
              </w:rPr>
            </w:pPr>
            <w:r>
              <w:rPr>
                <w:noProof/>
              </w:rPr>
              <w:t>SMELD — ЗАХРАНЕНИ (I-5.18)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8CD15A1" w14:textId="77777777" w:rsidR="00235E11" w:rsidRDefault="00F837E4">
            <w:pPr>
              <w:pStyle w:val="P68B1DB1-Normal59"/>
              <w:spacing w:after="0"/>
              <w:jc w:val="center"/>
              <w:rPr>
                <w:noProof/>
              </w:rPr>
            </w:pPr>
            <w:r>
              <w:rPr>
                <w:noProof/>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EC3A898" w14:textId="77777777" w:rsidR="00235E11" w:rsidRDefault="00F837E4">
            <w:pPr>
              <w:pStyle w:val="P68B1DB1-Normal59"/>
              <w:spacing w:after="0"/>
              <w:rPr>
                <w:noProof/>
              </w:rPr>
            </w:pPr>
            <w:r>
              <w:rPr>
                <w:noProof/>
              </w:rPr>
              <w:t>Изгражда се топилна пещ в промишлен мащаб</w:t>
            </w:r>
          </w:p>
        </w:tc>
      </w:tr>
      <w:tr w:rsidR="00235E11" w14:paraId="7450B435" w14:textId="7777777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tcPr>
          <w:p w14:paraId="2D71BC7A" w14:textId="77777777" w:rsidR="00235E11" w:rsidRDefault="00235E11">
            <w:pPr>
              <w:spacing w:after="0"/>
              <w:jc w:val="center"/>
              <w:rPr>
                <w:rFonts w:ascii="Times New Roman" w:eastAsia="Times New Roman" w:hAnsi="Times New Roman" w:cs="Times New Roman"/>
                <w:noProof/>
                <w:color w:val="006100"/>
                <w:sz w:val="20"/>
              </w:rPr>
            </w:pPr>
          </w:p>
        </w:tc>
        <w:tc>
          <w:tcPr>
            <w:tcW w:w="2347" w:type="pct"/>
            <w:gridSpan w:val="2"/>
            <w:tcBorders>
              <w:top w:val="single" w:sz="4" w:space="0" w:color="auto"/>
              <w:left w:val="single" w:sz="4" w:space="0" w:color="auto"/>
              <w:bottom w:val="single" w:sz="4" w:space="0" w:color="auto"/>
              <w:right w:val="single" w:sz="4" w:space="0" w:color="auto"/>
            </w:tcBorders>
            <w:shd w:val="clear" w:color="auto" w:fill="C6EFCE"/>
            <w:noWrap/>
            <w:vAlign w:val="center"/>
          </w:tcPr>
          <w:p w14:paraId="7F585820" w14:textId="77777777" w:rsidR="00235E11" w:rsidRDefault="00F837E4">
            <w:pPr>
              <w:pStyle w:val="P68B1DB1-Normal59"/>
              <w:spacing w:after="0"/>
              <w:jc w:val="right"/>
              <w:rPr>
                <w:noProof/>
              </w:rPr>
            </w:pPr>
            <w:r>
              <w:rPr>
                <w:noProof/>
              </w:rPr>
              <w:t>Размер на вноската</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tcPr>
          <w:p w14:paraId="7B39D296" w14:textId="6A436F46"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024EUR 758</w:t>
            </w:r>
            <w:r>
              <w:rPr>
                <w:noProof/>
              </w:rPr>
              <w:t xml:space="preserve"> </w:t>
            </w:r>
            <w:r>
              <w:rPr>
                <w:rFonts w:ascii="Times New Roman" w:eastAsia="Times New Roman" w:hAnsi="Times New Roman" w:cs="Times New Roman"/>
                <w:noProof/>
                <w:color w:val="006100"/>
                <w:sz w:val="20"/>
              </w:rPr>
              <w:t>818</w:t>
            </w:r>
          </w:p>
        </w:tc>
      </w:tr>
    </w:tbl>
    <w:p w14:paraId="571E4EDD" w14:textId="5F328847" w:rsidR="00235E11" w:rsidRDefault="00235E11">
      <w:pPr>
        <w:rPr>
          <w:rFonts w:ascii="Times New Roman" w:hAnsi="Times New Roman" w:cs="Times New Roman"/>
          <w:noProof/>
        </w:rPr>
      </w:pPr>
    </w:p>
    <w:p w14:paraId="4017CA72" w14:textId="40F8C210" w:rsidR="00235E11" w:rsidRDefault="00F837E4">
      <w:pPr>
        <w:pStyle w:val="ManualHeading2"/>
        <w:numPr>
          <w:ilvl w:val="0"/>
          <w:numId w:val="51"/>
        </w:numPr>
        <w:rPr>
          <w:noProof/>
        </w:rPr>
      </w:pPr>
      <w:r>
        <w:rPr>
          <w:noProof/>
        </w:rPr>
        <w:t>Заеми</w:t>
      </w:r>
    </w:p>
    <w:p w14:paraId="5E5B330F" w14:textId="6BBE53E0" w:rsidR="00235E11" w:rsidRDefault="00F837E4">
      <w:pPr>
        <w:pStyle w:val="Text1"/>
        <w:spacing w:after="240"/>
        <w:ind w:left="851"/>
        <w:rPr>
          <w:noProof/>
        </w:rPr>
      </w:pPr>
      <w:r>
        <w:rPr>
          <w:noProof/>
        </w:rPr>
        <w:t>Вноските, посочени в член 3, параграф 2, се организират по следния начин:</w:t>
      </w:r>
    </w:p>
    <w:p w14:paraId="44D6803B" w14:textId="774D089A" w:rsidR="00235E11" w:rsidRDefault="00F837E4">
      <w:pPr>
        <w:pStyle w:val="ManualNumPar1"/>
        <w:rPr>
          <w:noProof/>
        </w:rPr>
      </w:pPr>
      <w:r>
        <w:rPr>
          <w:noProof/>
        </w:rPr>
        <w:t>Първа вноска (заеми):</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ook w:val="04A0" w:firstRow="1" w:lastRow="0" w:firstColumn="1" w:lastColumn="0" w:noHBand="0" w:noVBand="1"/>
      </w:tblPr>
      <w:tblGrid>
        <w:gridCol w:w="1478"/>
        <w:gridCol w:w="3147"/>
        <w:gridCol w:w="594"/>
        <w:gridCol w:w="5213"/>
      </w:tblGrid>
      <w:tr w:rsidR="00235E11" w14:paraId="00FD99EE" w14:textId="77777777">
        <w:trPr>
          <w:trHeight w:val="300"/>
        </w:trPr>
        <w:tc>
          <w:tcPr>
            <w:tcW w:w="417" w:type="pct"/>
            <w:shd w:val="clear" w:color="auto" w:fill="BDD7EE"/>
            <w:noWrap/>
            <w:vAlign w:val="bottom"/>
            <w:hideMark/>
          </w:tcPr>
          <w:p w14:paraId="740226EE" w14:textId="77777777" w:rsidR="00235E11" w:rsidRDefault="00F837E4">
            <w:pPr>
              <w:pStyle w:val="P68B1DB1-Normal58"/>
              <w:spacing w:before="120" w:after="120"/>
              <w:rPr>
                <w:noProof/>
              </w:rPr>
            </w:pPr>
            <w:r>
              <w:rPr>
                <w:noProof/>
              </w:rPr>
              <w:t>Следващи. nb</w:t>
            </w:r>
          </w:p>
        </w:tc>
        <w:tc>
          <w:tcPr>
            <w:tcW w:w="1789" w:type="pct"/>
            <w:shd w:val="clear" w:color="auto" w:fill="BDD7EE"/>
            <w:noWrap/>
            <w:vAlign w:val="bottom"/>
            <w:hideMark/>
          </w:tcPr>
          <w:p w14:paraId="119C6DF4" w14:textId="77777777" w:rsidR="00235E11" w:rsidRDefault="00F837E4">
            <w:pPr>
              <w:pStyle w:val="P68B1DB1-Normal58"/>
              <w:spacing w:before="120" w:after="120"/>
              <w:rPr>
                <w:noProof/>
              </w:rPr>
            </w:pPr>
            <w:r>
              <w:rPr>
                <w:noProof/>
              </w:rPr>
              <w:t>Наименование на мярката</w:t>
            </w:r>
          </w:p>
        </w:tc>
        <w:tc>
          <w:tcPr>
            <w:tcW w:w="412" w:type="pct"/>
            <w:shd w:val="clear" w:color="auto" w:fill="BDD7EE"/>
            <w:noWrap/>
            <w:vAlign w:val="bottom"/>
            <w:hideMark/>
          </w:tcPr>
          <w:p w14:paraId="3932D5ED" w14:textId="77777777" w:rsidR="00235E11" w:rsidRDefault="00F837E4">
            <w:pPr>
              <w:pStyle w:val="P68B1DB1-Normal58"/>
              <w:spacing w:before="120" w:after="120"/>
              <w:jc w:val="center"/>
              <w:rPr>
                <w:noProof/>
              </w:rPr>
            </w:pPr>
            <w:r>
              <w:rPr>
                <w:noProof/>
              </w:rPr>
              <w:t>M/T</w:t>
            </w:r>
          </w:p>
        </w:tc>
        <w:tc>
          <w:tcPr>
            <w:tcW w:w="2382" w:type="pct"/>
            <w:shd w:val="clear" w:color="auto" w:fill="BDD7EE"/>
            <w:noWrap/>
            <w:vAlign w:val="bottom"/>
            <w:hideMark/>
          </w:tcPr>
          <w:p w14:paraId="6E45A5FC" w14:textId="77777777" w:rsidR="00235E11" w:rsidRDefault="00F837E4">
            <w:pPr>
              <w:pStyle w:val="P68B1DB1-Normal58"/>
              <w:spacing w:before="120" w:after="120"/>
              <w:rPr>
                <w:noProof/>
              </w:rPr>
            </w:pPr>
            <w:r>
              <w:rPr>
                <w:noProof/>
              </w:rPr>
              <w:t>Име</w:t>
            </w:r>
          </w:p>
        </w:tc>
      </w:tr>
      <w:tr w:rsidR="00235E11" w14:paraId="1A527FC6" w14:textId="77777777">
        <w:trPr>
          <w:trHeight w:val="315"/>
        </w:trPr>
        <w:tc>
          <w:tcPr>
            <w:tcW w:w="417" w:type="pct"/>
            <w:shd w:val="clear" w:color="auto" w:fill="C6EFCE"/>
            <w:noWrap/>
            <w:vAlign w:val="center"/>
            <w:hideMark/>
          </w:tcPr>
          <w:p w14:paraId="1C06E9CC" w14:textId="2A8F2783" w:rsidR="00235E11" w:rsidRDefault="00F837E4">
            <w:pPr>
              <w:pStyle w:val="P68B1DB1-Normal59"/>
              <w:spacing w:after="0"/>
              <w:jc w:val="center"/>
              <w:rPr>
                <w:noProof/>
              </w:rPr>
            </w:pPr>
            <w:r>
              <w:rPr>
                <w:noProof/>
              </w:rPr>
              <w:t>54б</w:t>
            </w:r>
          </w:p>
        </w:tc>
        <w:tc>
          <w:tcPr>
            <w:tcW w:w="1789" w:type="pct"/>
            <w:shd w:val="clear" w:color="auto" w:fill="C6EFCE"/>
            <w:noWrap/>
            <w:vAlign w:val="center"/>
            <w:hideMark/>
          </w:tcPr>
          <w:p w14:paraId="504402A3" w14:textId="77777777" w:rsidR="00235E11" w:rsidRDefault="00F837E4">
            <w:pPr>
              <w:pStyle w:val="P68B1DB1-Normal59"/>
              <w:spacing w:after="0"/>
              <w:rPr>
                <w:noProof/>
              </w:rPr>
            </w:pPr>
            <w:r>
              <w:rPr>
                <w:noProof/>
              </w:rPr>
              <w:t>Цифровизация на SPF (I-2.05) [L]</w:t>
            </w:r>
          </w:p>
        </w:tc>
        <w:tc>
          <w:tcPr>
            <w:tcW w:w="412" w:type="pct"/>
            <w:shd w:val="clear" w:color="auto" w:fill="C6EFCE"/>
            <w:noWrap/>
            <w:vAlign w:val="center"/>
            <w:hideMark/>
          </w:tcPr>
          <w:p w14:paraId="5C261027" w14:textId="77777777" w:rsidR="00235E11" w:rsidRDefault="00F837E4">
            <w:pPr>
              <w:pStyle w:val="P68B1DB1-Normal59"/>
              <w:spacing w:after="0"/>
              <w:jc w:val="center"/>
              <w:rPr>
                <w:noProof/>
              </w:rPr>
            </w:pPr>
            <w:r>
              <w:rPr>
                <w:noProof/>
              </w:rPr>
              <w:t>M</w:t>
            </w:r>
          </w:p>
        </w:tc>
        <w:tc>
          <w:tcPr>
            <w:tcW w:w="2382" w:type="pct"/>
            <w:shd w:val="clear" w:color="auto" w:fill="C6EFCE"/>
            <w:noWrap/>
            <w:vAlign w:val="center"/>
            <w:hideMark/>
          </w:tcPr>
          <w:p w14:paraId="3B467DBD" w14:textId="77777777" w:rsidR="00235E11" w:rsidRDefault="00F837E4">
            <w:pPr>
              <w:pStyle w:val="P68B1DB1-Normal59"/>
              <w:spacing w:after="0"/>
              <w:rPr>
                <w:noProof/>
              </w:rPr>
            </w:pPr>
            <w:r>
              <w:rPr>
                <w:noProof/>
              </w:rPr>
              <w:t>Определени са изискванията</w:t>
            </w:r>
          </w:p>
        </w:tc>
      </w:tr>
      <w:tr w:rsidR="00235E11" w14:paraId="7AC291A2" w14:textId="77777777">
        <w:trPr>
          <w:trHeight w:val="315"/>
        </w:trPr>
        <w:tc>
          <w:tcPr>
            <w:tcW w:w="417" w:type="pct"/>
            <w:shd w:val="clear" w:color="auto" w:fill="C6EFCE"/>
            <w:noWrap/>
            <w:vAlign w:val="center"/>
            <w:hideMark/>
          </w:tcPr>
          <w:p w14:paraId="69FC86AD" w14:textId="77777777" w:rsidR="00235E11" w:rsidRDefault="00F837E4">
            <w:pPr>
              <w:pStyle w:val="P68B1DB1-Normal59"/>
              <w:spacing w:after="0"/>
              <w:jc w:val="center"/>
              <w:rPr>
                <w:noProof/>
              </w:rPr>
            </w:pPr>
            <w:r>
              <w:rPr>
                <w:noProof/>
              </w:rPr>
              <w:t>239</w:t>
            </w:r>
          </w:p>
        </w:tc>
        <w:tc>
          <w:tcPr>
            <w:tcW w:w="1789" w:type="pct"/>
            <w:shd w:val="clear" w:color="auto" w:fill="C6EFCE"/>
            <w:noWrap/>
            <w:vAlign w:val="center"/>
            <w:hideMark/>
          </w:tcPr>
          <w:p w14:paraId="17C77A16" w14:textId="01A5B91C" w:rsidR="00235E11" w:rsidRDefault="00F837E4">
            <w:pPr>
              <w:pStyle w:val="P68B1DB1-Normal59"/>
              <w:spacing w:after="0"/>
              <w:rPr>
                <w:noProof/>
              </w:rPr>
            </w:pPr>
            <w:r>
              <w:rPr>
                <w:noProof/>
              </w:rPr>
              <w:t>Офшорен енергиен остров (I-7.20)</w:t>
            </w:r>
          </w:p>
        </w:tc>
        <w:tc>
          <w:tcPr>
            <w:tcW w:w="412" w:type="pct"/>
            <w:shd w:val="clear" w:color="auto" w:fill="C6EFCE"/>
            <w:noWrap/>
            <w:vAlign w:val="center"/>
            <w:hideMark/>
          </w:tcPr>
          <w:p w14:paraId="5AA34C4C" w14:textId="77777777" w:rsidR="00235E11" w:rsidRDefault="00F837E4">
            <w:pPr>
              <w:pStyle w:val="P68B1DB1-Normal59"/>
              <w:spacing w:after="0"/>
              <w:jc w:val="center"/>
              <w:rPr>
                <w:noProof/>
              </w:rPr>
            </w:pPr>
            <w:r>
              <w:rPr>
                <w:noProof/>
              </w:rPr>
              <w:t>M</w:t>
            </w:r>
          </w:p>
        </w:tc>
        <w:tc>
          <w:tcPr>
            <w:tcW w:w="2382" w:type="pct"/>
            <w:shd w:val="clear" w:color="auto" w:fill="C6EFCE"/>
            <w:noWrap/>
            <w:vAlign w:val="center"/>
            <w:hideMark/>
          </w:tcPr>
          <w:p w14:paraId="45B2E330" w14:textId="77777777" w:rsidR="00235E11" w:rsidRDefault="00F837E4">
            <w:pPr>
              <w:pStyle w:val="P68B1DB1-Normal59"/>
              <w:spacing w:after="0"/>
              <w:rPr>
                <w:noProof/>
              </w:rPr>
            </w:pPr>
            <w:r>
              <w:rPr>
                <w:noProof/>
              </w:rPr>
              <w:t>Финализиране на проучванията на FEED и околната среда</w:t>
            </w:r>
          </w:p>
        </w:tc>
      </w:tr>
      <w:tr w:rsidR="00235E11" w14:paraId="6CFE1C32" w14:textId="77777777">
        <w:trPr>
          <w:trHeight w:val="315"/>
        </w:trPr>
        <w:tc>
          <w:tcPr>
            <w:tcW w:w="417" w:type="pct"/>
            <w:shd w:val="clear" w:color="auto" w:fill="C6EFCE"/>
            <w:noWrap/>
            <w:vAlign w:val="center"/>
          </w:tcPr>
          <w:p w14:paraId="1559F4F5" w14:textId="77777777" w:rsidR="00235E11" w:rsidRDefault="00235E11">
            <w:pPr>
              <w:spacing w:after="0"/>
              <w:jc w:val="center"/>
              <w:rPr>
                <w:rFonts w:ascii="Times New Roman" w:eastAsia="Times New Roman" w:hAnsi="Times New Roman" w:cs="Times New Roman"/>
                <w:noProof/>
                <w:color w:val="006100"/>
                <w:sz w:val="20"/>
              </w:rPr>
            </w:pPr>
          </w:p>
        </w:tc>
        <w:tc>
          <w:tcPr>
            <w:tcW w:w="2201" w:type="pct"/>
            <w:gridSpan w:val="2"/>
            <w:shd w:val="clear" w:color="auto" w:fill="C6EFCE"/>
            <w:noWrap/>
            <w:vAlign w:val="center"/>
          </w:tcPr>
          <w:p w14:paraId="37170D48" w14:textId="77777777" w:rsidR="00235E11" w:rsidRDefault="00F837E4">
            <w:pPr>
              <w:pStyle w:val="P68B1DB1-Normal59"/>
              <w:spacing w:after="0"/>
              <w:jc w:val="right"/>
              <w:rPr>
                <w:noProof/>
              </w:rPr>
            </w:pPr>
            <w:r>
              <w:rPr>
                <w:noProof/>
              </w:rPr>
              <w:t>Размер на вноската</w:t>
            </w:r>
          </w:p>
        </w:tc>
        <w:tc>
          <w:tcPr>
            <w:tcW w:w="2382" w:type="pct"/>
            <w:shd w:val="clear" w:color="auto" w:fill="C6EFCE"/>
            <w:noWrap/>
            <w:vAlign w:val="center"/>
          </w:tcPr>
          <w:p w14:paraId="0A65586E" w14:textId="72E524C9"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364EUR 48</w:t>
            </w:r>
            <w:r>
              <w:rPr>
                <w:noProof/>
              </w:rPr>
              <w:t xml:space="preserve"> </w:t>
            </w:r>
            <w:r>
              <w:rPr>
                <w:rFonts w:ascii="Times New Roman" w:eastAsia="Times New Roman" w:hAnsi="Times New Roman" w:cs="Times New Roman"/>
                <w:noProof/>
                <w:color w:val="006100"/>
                <w:sz w:val="20"/>
              </w:rPr>
              <w:t>036</w:t>
            </w:r>
          </w:p>
        </w:tc>
      </w:tr>
    </w:tbl>
    <w:p w14:paraId="6B8C98C2" w14:textId="77777777" w:rsidR="00235E11" w:rsidRDefault="00235E11">
      <w:pPr>
        <w:rPr>
          <w:rFonts w:ascii="Times New Roman" w:hAnsi="Times New Roman" w:cs="Times New Roman"/>
          <w:noProof/>
        </w:rPr>
      </w:pPr>
    </w:p>
    <w:p w14:paraId="0BCD2837" w14:textId="7FBB167A" w:rsidR="00235E11" w:rsidRDefault="00F837E4">
      <w:pPr>
        <w:pStyle w:val="ManualNumPar1"/>
        <w:rPr>
          <w:noProof/>
        </w:rPr>
      </w:pPr>
      <w:r>
        <w:rPr>
          <w:noProof/>
        </w:rPr>
        <w:t>Втора вноска (заеми):</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959"/>
        <w:gridCol w:w="3544"/>
        <w:gridCol w:w="851"/>
        <w:gridCol w:w="4852"/>
      </w:tblGrid>
      <w:tr w:rsidR="00235E11" w14:paraId="6C667E7F" w14:textId="77777777">
        <w:trPr>
          <w:trHeight w:val="300"/>
        </w:trPr>
        <w:tc>
          <w:tcPr>
            <w:tcW w:w="470" w:type="pct"/>
            <w:shd w:val="clear" w:color="auto" w:fill="BDD7EE"/>
            <w:noWrap/>
            <w:vAlign w:val="bottom"/>
            <w:hideMark/>
          </w:tcPr>
          <w:p w14:paraId="588C8272" w14:textId="77777777" w:rsidR="00235E11" w:rsidRDefault="00F837E4">
            <w:pPr>
              <w:pStyle w:val="P68B1DB1-Normal58"/>
              <w:spacing w:before="120" w:after="120"/>
              <w:rPr>
                <w:noProof/>
              </w:rPr>
            </w:pPr>
            <w:r>
              <w:rPr>
                <w:noProof/>
              </w:rPr>
              <w:t>Следващи. nb</w:t>
            </w:r>
          </w:p>
        </w:tc>
        <w:tc>
          <w:tcPr>
            <w:tcW w:w="1736" w:type="pct"/>
            <w:shd w:val="clear" w:color="auto" w:fill="BDD7EE"/>
            <w:noWrap/>
            <w:vAlign w:val="bottom"/>
            <w:hideMark/>
          </w:tcPr>
          <w:p w14:paraId="21753FA9" w14:textId="77777777" w:rsidR="00235E11" w:rsidRDefault="00F837E4">
            <w:pPr>
              <w:pStyle w:val="P68B1DB1-Normal58"/>
              <w:spacing w:before="120" w:after="120"/>
              <w:rPr>
                <w:noProof/>
              </w:rPr>
            </w:pPr>
            <w:r>
              <w:rPr>
                <w:noProof/>
              </w:rPr>
              <w:t>Наименование на мярката</w:t>
            </w:r>
          </w:p>
        </w:tc>
        <w:tc>
          <w:tcPr>
            <w:tcW w:w="417" w:type="pct"/>
            <w:shd w:val="clear" w:color="auto" w:fill="BDD7EE"/>
            <w:noWrap/>
            <w:vAlign w:val="bottom"/>
            <w:hideMark/>
          </w:tcPr>
          <w:p w14:paraId="2A17ED9E" w14:textId="77777777" w:rsidR="00235E11" w:rsidRDefault="00F837E4">
            <w:pPr>
              <w:pStyle w:val="P68B1DB1-Normal58"/>
              <w:spacing w:before="120" w:after="120"/>
              <w:jc w:val="center"/>
              <w:rPr>
                <w:noProof/>
              </w:rPr>
            </w:pPr>
            <w:r>
              <w:rPr>
                <w:noProof/>
              </w:rPr>
              <w:t>M/T</w:t>
            </w:r>
          </w:p>
        </w:tc>
        <w:tc>
          <w:tcPr>
            <w:tcW w:w="2377" w:type="pct"/>
            <w:shd w:val="clear" w:color="auto" w:fill="BDD7EE"/>
            <w:noWrap/>
            <w:vAlign w:val="bottom"/>
            <w:hideMark/>
          </w:tcPr>
          <w:p w14:paraId="73039B37" w14:textId="77777777" w:rsidR="00235E11" w:rsidRDefault="00F837E4">
            <w:pPr>
              <w:pStyle w:val="P68B1DB1-Normal58"/>
              <w:spacing w:before="120" w:after="120"/>
              <w:rPr>
                <w:noProof/>
              </w:rPr>
            </w:pPr>
            <w:r>
              <w:rPr>
                <w:noProof/>
              </w:rPr>
              <w:t>Име</w:t>
            </w:r>
          </w:p>
        </w:tc>
      </w:tr>
      <w:tr w:rsidR="00235E11" w14:paraId="0894DB2C" w14:textId="77777777">
        <w:trPr>
          <w:trHeight w:val="315"/>
        </w:trPr>
        <w:tc>
          <w:tcPr>
            <w:tcW w:w="470" w:type="pct"/>
            <w:shd w:val="clear" w:color="auto" w:fill="C6EFCE"/>
            <w:noWrap/>
            <w:vAlign w:val="center"/>
            <w:hideMark/>
          </w:tcPr>
          <w:p w14:paraId="330FAF2C" w14:textId="77777777" w:rsidR="00235E11" w:rsidRDefault="00F837E4">
            <w:pPr>
              <w:pStyle w:val="P68B1DB1-Normal59"/>
              <w:spacing w:after="0"/>
              <w:jc w:val="center"/>
              <w:rPr>
                <w:noProof/>
              </w:rPr>
            </w:pPr>
            <w:r>
              <w:rPr>
                <w:noProof/>
              </w:rPr>
              <w:t>226</w:t>
            </w:r>
          </w:p>
        </w:tc>
        <w:tc>
          <w:tcPr>
            <w:tcW w:w="1736" w:type="pct"/>
            <w:shd w:val="clear" w:color="auto" w:fill="C6EFCE"/>
            <w:noWrap/>
            <w:vAlign w:val="center"/>
            <w:hideMark/>
          </w:tcPr>
          <w:p w14:paraId="7BBFE726" w14:textId="77777777" w:rsidR="00235E11" w:rsidRDefault="00F837E4">
            <w:pPr>
              <w:pStyle w:val="P68B1DB1-Normal59"/>
              <w:spacing w:after="0"/>
              <w:rPr>
                <w:noProof/>
              </w:rPr>
            </w:pPr>
            <w:r>
              <w:rPr>
                <w:noProof/>
              </w:rPr>
              <w:t>Гръбнак на H2 (I-7.15) [L]</w:t>
            </w:r>
          </w:p>
        </w:tc>
        <w:tc>
          <w:tcPr>
            <w:tcW w:w="417" w:type="pct"/>
            <w:shd w:val="clear" w:color="auto" w:fill="C6EFCE"/>
            <w:noWrap/>
            <w:vAlign w:val="center"/>
            <w:hideMark/>
          </w:tcPr>
          <w:p w14:paraId="0C13978A" w14:textId="77777777" w:rsidR="00235E11" w:rsidRDefault="00F837E4">
            <w:pPr>
              <w:pStyle w:val="P68B1DB1-Normal59"/>
              <w:spacing w:after="0"/>
              <w:jc w:val="center"/>
              <w:rPr>
                <w:noProof/>
              </w:rPr>
            </w:pPr>
            <w:r>
              <w:rPr>
                <w:noProof/>
              </w:rPr>
              <w:t>M</w:t>
            </w:r>
          </w:p>
        </w:tc>
        <w:tc>
          <w:tcPr>
            <w:tcW w:w="2377" w:type="pct"/>
            <w:shd w:val="clear" w:color="auto" w:fill="C6EFCE"/>
            <w:noWrap/>
            <w:vAlign w:val="center"/>
            <w:hideMark/>
          </w:tcPr>
          <w:p w14:paraId="66A950FD" w14:textId="77777777" w:rsidR="00235E11" w:rsidRDefault="00F837E4">
            <w:pPr>
              <w:pStyle w:val="P68B1DB1-Normal59"/>
              <w:spacing w:after="0"/>
              <w:rPr>
                <w:noProof/>
              </w:rPr>
            </w:pPr>
            <w:r>
              <w:rPr>
                <w:noProof/>
              </w:rPr>
              <w:t>Приемане на инвестиционния план за опорната инфраструктура на „Хоризонт 2“</w:t>
            </w:r>
          </w:p>
        </w:tc>
      </w:tr>
      <w:tr w:rsidR="00235E11" w14:paraId="46B0DD7E" w14:textId="77777777">
        <w:trPr>
          <w:trHeight w:val="315"/>
        </w:trPr>
        <w:tc>
          <w:tcPr>
            <w:tcW w:w="470" w:type="pct"/>
            <w:shd w:val="clear" w:color="auto" w:fill="C6EFCE"/>
            <w:noWrap/>
            <w:vAlign w:val="center"/>
            <w:hideMark/>
          </w:tcPr>
          <w:p w14:paraId="51A8D19E" w14:textId="77777777" w:rsidR="00235E11" w:rsidRDefault="00F837E4">
            <w:pPr>
              <w:pStyle w:val="P68B1DB1-Normal59"/>
              <w:spacing w:after="0"/>
              <w:jc w:val="center"/>
              <w:rPr>
                <w:noProof/>
              </w:rPr>
            </w:pPr>
            <w:r>
              <w:rPr>
                <w:noProof/>
              </w:rPr>
              <w:t>240</w:t>
            </w:r>
          </w:p>
        </w:tc>
        <w:tc>
          <w:tcPr>
            <w:tcW w:w="1736" w:type="pct"/>
            <w:shd w:val="clear" w:color="auto" w:fill="C6EFCE"/>
            <w:noWrap/>
            <w:vAlign w:val="center"/>
            <w:hideMark/>
          </w:tcPr>
          <w:p w14:paraId="547E81CC" w14:textId="4DBB2789" w:rsidR="00235E11" w:rsidRDefault="00F837E4">
            <w:pPr>
              <w:pStyle w:val="P68B1DB1-Normal59"/>
              <w:spacing w:after="0"/>
              <w:rPr>
                <w:noProof/>
              </w:rPr>
            </w:pPr>
            <w:r>
              <w:rPr>
                <w:noProof/>
              </w:rPr>
              <w:t>Офшорен енергиен остров (I-7.20)</w:t>
            </w:r>
          </w:p>
        </w:tc>
        <w:tc>
          <w:tcPr>
            <w:tcW w:w="417" w:type="pct"/>
            <w:shd w:val="clear" w:color="auto" w:fill="C6EFCE"/>
            <w:noWrap/>
            <w:vAlign w:val="center"/>
            <w:hideMark/>
          </w:tcPr>
          <w:p w14:paraId="1446626D" w14:textId="77777777" w:rsidR="00235E11" w:rsidRDefault="00F837E4">
            <w:pPr>
              <w:pStyle w:val="P68B1DB1-Normal59"/>
              <w:spacing w:after="0"/>
              <w:jc w:val="center"/>
              <w:rPr>
                <w:noProof/>
              </w:rPr>
            </w:pPr>
            <w:r>
              <w:rPr>
                <w:noProof/>
              </w:rPr>
              <w:t>M</w:t>
            </w:r>
          </w:p>
        </w:tc>
        <w:tc>
          <w:tcPr>
            <w:tcW w:w="2377" w:type="pct"/>
            <w:shd w:val="clear" w:color="auto" w:fill="C6EFCE"/>
            <w:noWrap/>
            <w:vAlign w:val="center"/>
            <w:hideMark/>
          </w:tcPr>
          <w:p w14:paraId="6B3AB7FA" w14:textId="77777777" w:rsidR="00235E11" w:rsidRDefault="00F837E4">
            <w:pPr>
              <w:pStyle w:val="P68B1DB1-Normal59"/>
              <w:spacing w:after="0"/>
              <w:rPr>
                <w:noProof/>
              </w:rPr>
            </w:pPr>
            <w:r>
              <w:rPr>
                <w:noProof/>
              </w:rPr>
              <w:t>Получени екологични разрешителни за енергиен остров</w:t>
            </w:r>
          </w:p>
        </w:tc>
      </w:tr>
      <w:tr w:rsidR="00235E11" w14:paraId="47101CB2" w14:textId="77777777">
        <w:trPr>
          <w:trHeight w:val="315"/>
        </w:trPr>
        <w:tc>
          <w:tcPr>
            <w:tcW w:w="470" w:type="pct"/>
            <w:shd w:val="clear" w:color="auto" w:fill="C6EFCE"/>
            <w:noWrap/>
            <w:vAlign w:val="center"/>
          </w:tcPr>
          <w:p w14:paraId="0A2E055E" w14:textId="77777777" w:rsidR="00235E11" w:rsidRDefault="00235E11">
            <w:pPr>
              <w:spacing w:after="0"/>
              <w:jc w:val="center"/>
              <w:rPr>
                <w:rFonts w:ascii="Times New Roman" w:eastAsia="Times New Roman" w:hAnsi="Times New Roman" w:cs="Times New Roman"/>
                <w:noProof/>
                <w:color w:val="006100"/>
                <w:sz w:val="20"/>
              </w:rPr>
            </w:pPr>
          </w:p>
        </w:tc>
        <w:tc>
          <w:tcPr>
            <w:tcW w:w="2153" w:type="pct"/>
            <w:gridSpan w:val="2"/>
            <w:shd w:val="clear" w:color="auto" w:fill="C6EFCE"/>
            <w:noWrap/>
            <w:vAlign w:val="center"/>
          </w:tcPr>
          <w:p w14:paraId="22908B6A" w14:textId="77777777" w:rsidR="00235E11" w:rsidRDefault="00F837E4">
            <w:pPr>
              <w:pStyle w:val="P68B1DB1-Normal59"/>
              <w:spacing w:after="0"/>
              <w:jc w:val="right"/>
              <w:rPr>
                <w:noProof/>
              </w:rPr>
            </w:pPr>
            <w:r>
              <w:rPr>
                <w:noProof/>
              </w:rPr>
              <w:t>Размер на вноската</w:t>
            </w:r>
          </w:p>
        </w:tc>
        <w:tc>
          <w:tcPr>
            <w:tcW w:w="2377" w:type="pct"/>
            <w:shd w:val="clear" w:color="auto" w:fill="C6EFCE"/>
            <w:noWrap/>
            <w:vAlign w:val="center"/>
          </w:tcPr>
          <w:p w14:paraId="1E41380D" w14:textId="1E1BE05A"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364EUR 48</w:t>
            </w:r>
            <w:r>
              <w:rPr>
                <w:noProof/>
              </w:rPr>
              <w:t xml:space="preserve"> </w:t>
            </w:r>
            <w:r>
              <w:rPr>
                <w:rFonts w:ascii="Times New Roman" w:eastAsia="Times New Roman" w:hAnsi="Times New Roman" w:cs="Times New Roman"/>
                <w:noProof/>
                <w:color w:val="006100"/>
                <w:sz w:val="20"/>
              </w:rPr>
              <w:t>036</w:t>
            </w:r>
          </w:p>
        </w:tc>
      </w:tr>
    </w:tbl>
    <w:p w14:paraId="5029A790" w14:textId="77777777" w:rsidR="00235E11" w:rsidRDefault="00235E11">
      <w:pPr>
        <w:rPr>
          <w:rFonts w:ascii="Times New Roman" w:hAnsi="Times New Roman" w:cs="Times New Roman"/>
          <w:noProof/>
        </w:rPr>
      </w:pPr>
    </w:p>
    <w:p w14:paraId="5E718D1F" w14:textId="7C40811B" w:rsidR="00235E11" w:rsidRDefault="00F837E4">
      <w:pPr>
        <w:pStyle w:val="ManualNumPar1"/>
        <w:rPr>
          <w:noProof/>
        </w:rPr>
      </w:pPr>
      <w:bookmarkStart w:id="12" w:name="_Hlk148370962"/>
      <w:r>
        <w:rPr>
          <w:noProof/>
        </w:rPr>
        <w:t>Трета вноска (заеми)</w:t>
      </w:r>
      <w:bookmarkEnd w:id="12"/>
      <w:r>
        <w:rPr>
          <w:noProof/>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959"/>
        <w:gridCol w:w="3856"/>
        <w:gridCol w:w="708"/>
        <w:gridCol w:w="4683"/>
      </w:tblGrid>
      <w:tr w:rsidR="00235E11" w14:paraId="6601024A" w14:textId="77777777">
        <w:trPr>
          <w:trHeight w:val="300"/>
        </w:trPr>
        <w:tc>
          <w:tcPr>
            <w:tcW w:w="470" w:type="pct"/>
            <w:shd w:val="clear" w:color="auto" w:fill="BDD7EE"/>
            <w:noWrap/>
            <w:vAlign w:val="center"/>
            <w:hideMark/>
          </w:tcPr>
          <w:p w14:paraId="453FC284" w14:textId="77777777" w:rsidR="00235E11" w:rsidRDefault="00F837E4">
            <w:pPr>
              <w:pStyle w:val="P68B1DB1-Normal58"/>
              <w:spacing w:before="120" w:after="120"/>
              <w:rPr>
                <w:noProof/>
              </w:rPr>
            </w:pPr>
            <w:r>
              <w:rPr>
                <w:noProof/>
              </w:rPr>
              <w:t>Следващи. nb</w:t>
            </w:r>
          </w:p>
        </w:tc>
        <w:tc>
          <w:tcPr>
            <w:tcW w:w="1889" w:type="pct"/>
            <w:shd w:val="clear" w:color="auto" w:fill="BDD7EE"/>
            <w:noWrap/>
            <w:vAlign w:val="center"/>
            <w:hideMark/>
          </w:tcPr>
          <w:p w14:paraId="3A161D24" w14:textId="77777777" w:rsidR="00235E11" w:rsidRDefault="00F837E4">
            <w:pPr>
              <w:pStyle w:val="P68B1DB1-Normal58"/>
              <w:spacing w:before="120" w:after="120"/>
              <w:rPr>
                <w:noProof/>
              </w:rPr>
            </w:pPr>
            <w:r>
              <w:rPr>
                <w:noProof/>
              </w:rPr>
              <w:t>Наименование на мярката</w:t>
            </w:r>
          </w:p>
        </w:tc>
        <w:tc>
          <w:tcPr>
            <w:tcW w:w="347" w:type="pct"/>
            <w:shd w:val="clear" w:color="auto" w:fill="BDD7EE"/>
            <w:noWrap/>
            <w:vAlign w:val="center"/>
            <w:hideMark/>
          </w:tcPr>
          <w:p w14:paraId="7D68CA16" w14:textId="77777777" w:rsidR="00235E11" w:rsidRDefault="00F837E4">
            <w:pPr>
              <w:pStyle w:val="P68B1DB1-Normal58"/>
              <w:spacing w:before="120" w:after="120"/>
              <w:jc w:val="center"/>
              <w:rPr>
                <w:noProof/>
              </w:rPr>
            </w:pPr>
            <w:r>
              <w:rPr>
                <w:noProof/>
              </w:rPr>
              <w:t>M/T</w:t>
            </w:r>
          </w:p>
        </w:tc>
        <w:tc>
          <w:tcPr>
            <w:tcW w:w="2294" w:type="pct"/>
            <w:shd w:val="clear" w:color="auto" w:fill="BDD7EE"/>
            <w:noWrap/>
            <w:vAlign w:val="center"/>
            <w:hideMark/>
          </w:tcPr>
          <w:p w14:paraId="381DB04B" w14:textId="77777777" w:rsidR="00235E11" w:rsidRDefault="00F837E4">
            <w:pPr>
              <w:pStyle w:val="P68B1DB1-Normal58"/>
              <w:spacing w:before="120" w:after="120"/>
              <w:rPr>
                <w:noProof/>
              </w:rPr>
            </w:pPr>
            <w:r>
              <w:rPr>
                <w:noProof/>
              </w:rPr>
              <w:t>Име</w:t>
            </w:r>
          </w:p>
        </w:tc>
      </w:tr>
      <w:tr w:rsidR="00235E11" w14:paraId="5AE6F25C" w14:textId="77777777">
        <w:trPr>
          <w:trHeight w:val="315"/>
        </w:trPr>
        <w:tc>
          <w:tcPr>
            <w:tcW w:w="470" w:type="pct"/>
            <w:shd w:val="clear" w:color="auto" w:fill="C6EFCE"/>
            <w:noWrap/>
            <w:vAlign w:val="center"/>
            <w:hideMark/>
          </w:tcPr>
          <w:p w14:paraId="4FC1B0F1" w14:textId="77777777" w:rsidR="00235E11" w:rsidRDefault="00F837E4">
            <w:pPr>
              <w:pStyle w:val="P68B1DB1-Normal59"/>
              <w:spacing w:after="0"/>
              <w:jc w:val="center"/>
              <w:rPr>
                <w:noProof/>
              </w:rPr>
            </w:pPr>
            <w:r>
              <w:rPr>
                <w:noProof/>
              </w:rPr>
              <w:t>96а</w:t>
            </w:r>
          </w:p>
        </w:tc>
        <w:tc>
          <w:tcPr>
            <w:tcW w:w="1889" w:type="pct"/>
            <w:shd w:val="clear" w:color="auto" w:fill="C6EFCE"/>
            <w:noWrap/>
            <w:vAlign w:val="center"/>
            <w:hideMark/>
          </w:tcPr>
          <w:p w14:paraId="54ADE225" w14:textId="7F761FEE" w:rsidR="00235E11" w:rsidRDefault="00F837E4">
            <w:pPr>
              <w:pStyle w:val="P68B1DB1-Normal59"/>
              <w:spacing w:after="0"/>
              <w:rPr>
                <w:noProof/>
              </w:rPr>
            </w:pPr>
            <w:r>
              <w:rPr>
                <w:noProof/>
              </w:rPr>
              <w:t>Велосипедна инфраструктура — Vélo Plus — Федерална държава (I-3.03b) [L]</w:t>
            </w:r>
          </w:p>
        </w:tc>
        <w:tc>
          <w:tcPr>
            <w:tcW w:w="347" w:type="pct"/>
            <w:shd w:val="clear" w:color="auto" w:fill="C6EFCE"/>
            <w:noWrap/>
            <w:vAlign w:val="center"/>
            <w:hideMark/>
          </w:tcPr>
          <w:p w14:paraId="2DC9820E" w14:textId="77777777" w:rsidR="00235E11" w:rsidRDefault="00F837E4">
            <w:pPr>
              <w:pStyle w:val="P68B1DB1-Normal59"/>
              <w:spacing w:after="0"/>
              <w:jc w:val="center"/>
              <w:rPr>
                <w:noProof/>
              </w:rPr>
            </w:pPr>
            <w:r>
              <w:rPr>
                <w:noProof/>
              </w:rPr>
              <w:t>M</w:t>
            </w:r>
          </w:p>
        </w:tc>
        <w:tc>
          <w:tcPr>
            <w:tcW w:w="2294" w:type="pct"/>
            <w:shd w:val="clear" w:color="auto" w:fill="C6EFCE"/>
            <w:noWrap/>
            <w:vAlign w:val="center"/>
            <w:hideMark/>
          </w:tcPr>
          <w:p w14:paraId="268F1A0B" w14:textId="77777777" w:rsidR="00235E11" w:rsidRDefault="00F837E4">
            <w:pPr>
              <w:pStyle w:val="P68B1DB1-Normal59"/>
              <w:spacing w:after="0"/>
              <w:rPr>
                <w:noProof/>
              </w:rPr>
            </w:pPr>
            <w:r>
              <w:rPr>
                <w:noProof/>
              </w:rPr>
              <w:t>Начало на всички проекти за колоездене и ходене пеша</w:t>
            </w:r>
          </w:p>
        </w:tc>
      </w:tr>
      <w:tr w:rsidR="00235E11" w14:paraId="2652BBFE" w14:textId="77777777">
        <w:trPr>
          <w:trHeight w:val="315"/>
        </w:trPr>
        <w:tc>
          <w:tcPr>
            <w:tcW w:w="470" w:type="pct"/>
            <w:shd w:val="clear" w:color="auto" w:fill="C6EFCE"/>
            <w:noWrap/>
            <w:vAlign w:val="center"/>
          </w:tcPr>
          <w:p w14:paraId="68EC8F82" w14:textId="77777777" w:rsidR="00235E11" w:rsidRDefault="00235E11">
            <w:pPr>
              <w:spacing w:after="0"/>
              <w:jc w:val="center"/>
              <w:rPr>
                <w:rFonts w:ascii="Times New Roman" w:eastAsia="Times New Roman" w:hAnsi="Times New Roman" w:cs="Times New Roman"/>
                <w:noProof/>
                <w:color w:val="006100"/>
                <w:sz w:val="20"/>
              </w:rPr>
            </w:pPr>
          </w:p>
        </w:tc>
        <w:tc>
          <w:tcPr>
            <w:tcW w:w="2236" w:type="pct"/>
            <w:gridSpan w:val="2"/>
            <w:shd w:val="clear" w:color="auto" w:fill="C6EFCE"/>
            <w:noWrap/>
            <w:vAlign w:val="center"/>
          </w:tcPr>
          <w:p w14:paraId="564A5122" w14:textId="77777777" w:rsidR="00235E11" w:rsidRDefault="00F837E4">
            <w:pPr>
              <w:pStyle w:val="P68B1DB1-Normal59"/>
              <w:spacing w:after="0"/>
              <w:jc w:val="right"/>
              <w:rPr>
                <w:noProof/>
              </w:rPr>
            </w:pPr>
            <w:r>
              <w:rPr>
                <w:noProof/>
              </w:rPr>
              <w:t>Размер на вноската</w:t>
            </w:r>
          </w:p>
        </w:tc>
        <w:tc>
          <w:tcPr>
            <w:tcW w:w="2294" w:type="pct"/>
            <w:shd w:val="clear" w:color="auto" w:fill="C6EFCE"/>
            <w:noWrap/>
            <w:vAlign w:val="center"/>
          </w:tcPr>
          <w:p w14:paraId="7C175632" w14:textId="41A4EE64"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181EUR 24</w:t>
            </w:r>
            <w:r>
              <w:rPr>
                <w:noProof/>
              </w:rPr>
              <w:t xml:space="preserve"> </w:t>
            </w:r>
            <w:r>
              <w:rPr>
                <w:rFonts w:ascii="Times New Roman" w:eastAsia="Times New Roman" w:hAnsi="Times New Roman" w:cs="Times New Roman"/>
                <w:noProof/>
                <w:color w:val="006100"/>
                <w:sz w:val="20"/>
              </w:rPr>
              <w:t>018</w:t>
            </w:r>
          </w:p>
        </w:tc>
      </w:tr>
    </w:tbl>
    <w:p w14:paraId="704D3265" w14:textId="77777777" w:rsidR="00235E11" w:rsidRDefault="00235E11">
      <w:pPr>
        <w:rPr>
          <w:rFonts w:ascii="Times New Roman" w:hAnsi="Times New Roman" w:cs="Times New Roman"/>
          <w:noProof/>
        </w:rPr>
      </w:pPr>
    </w:p>
    <w:p w14:paraId="2E7D9C34" w14:textId="487BC251" w:rsidR="00235E11" w:rsidRDefault="00F837E4">
      <w:pPr>
        <w:pStyle w:val="ManualNumPar1"/>
        <w:rPr>
          <w:noProof/>
        </w:rPr>
      </w:pPr>
      <w:r>
        <w:rPr>
          <w:noProof/>
        </w:rPr>
        <w:t>Четвърта вноска (заеми):</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868"/>
        <w:gridCol w:w="3635"/>
        <w:gridCol w:w="849"/>
        <w:gridCol w:w="4854"/>
      </w:tblGrid>
      <w:tr w:rsidR="00235E11" w14:paraId="51FF6866" w14:textId="77777777">
        <w:trPr>
          <w:trHeight w:val="300"/>
        </w:trPr>
        <w:tc>
          <w:tcPr>
            <w:tcW w:w="425" w:type="pct"/>
            <w:shd w:val="clear" w:color="auto" w:fill="BDD7EE"/>
            <w:noWrap/>
            <w:vAlign w:val="bottom"/>
            <w:hideMark/>
          </w:tcPr>
          <w:p w14:paraId="23DE5501" w14:textId="77777777" w:rsidR="00235E11" w:rsidRDefault="00F837E4">
            <w:pPr>
              <w:pStyle w:val="P68B1DB1-Normal58"/>
              <w:spacing w:before="120" w:after="120"/>
              <w:rPr>
                <w:noProof/>
              </w:rPr>
            </w:pPr>
            <w:r>
              <w:rPr>
                <w:noProof/>
              </w:rPr>
              <w:t>Следващи. nb</w:t>
            </w:r>
          </w:p>
        </w:tc>
        <w:tc>
          <w:tcPr>
            <w:tcW w:w="1781" w:type="pct"/>
            <w:shd w:val="clear" w:color="auto" w:fill="BDD7EE"/>
            <w:noWrap/>
            <w:vAlign w:val="bottom"/>
            <w:hideMark/>
          </w:tcPr>
          <w:p w14:paraId="236FC03C" w14:textId="77777777" w:rsidR="00235E11" w:rsidRDefault="00F837E4">
            <w:pPr>
              <w:pStyle w:val="P68B1DB1-Normal58"/>
              <w:spacing w:before="120" w:after="120"/>
              <w:rPr>
                <w:noProof/>
              </w:rPr>
            </w:pPr>
            <w:r>
              <w:rPr>
                <w:noProof/>
              </w:rPr>
              <w:t>Наименование на мярката</w:t>
            </w:r>
          </w:p>
        </w:tc>
        <w:tc>
          <w:tcPr>
            <w:tcW w:w="416" w:type="pct"/>
            <w:shd w:val="clear" w:color="auto" w:fill="BDD7EE"/>
            <w:noWrap/>
            <w:vAlign w:val="bottom"/>
            <w:hideMark/>
          </w:tcPr>
          <w:p w14:paraId="112E9278" w14:textId="77777777" w:rsidR="00235E11" w:rsidRDefault="00F837E4">
            <w:pPr>
              <w:pStyle w:val="P68B1DB1-Normal58"/>
              <w:spacing w:before="120" w:after="120"/>
              <w:jc w:val="center"/>
              <w:rPr>
                <w:noProof/>
              </w:rPr>
            </w:pPr>
            <w:r>
              <w:rPr>
                <w:noProof/>
              </w:rPr>
              <w:t>M/T</w:t>
            </w:r>
          </w:p>
        </w:tc>
        <w:tc>
          <w:tcPr>
            <w:tcW w:w="2378" w:type="pct"/>
            <w:shd w:val="clear" w:color="auto" w:fill="BDD7EE"/>
            <w:noWrap/>
            <w:vAlign w:val="bottom"/>
            <w:hideMark/>
          </w:tcPr>
          <w:p w14:paraId="42B5C2CF" w14:textId="77777777" w:rsidR="00235E11" w:rsidRDefault="00F837E4">
            <w:pPr>
              <w:pStyle w:val="P68B1DB1-Normal58"/>
              <w:spacing w:before="120" w:after="120"/>
              <w:rPr>
                <w:noProof/>
              </w:rPr>
            </w:pPr>
            <w:r>
              <w:rPr>
                <w:noProof/>
              </w:rPr>
              <w:t>Име</w:t>
            </w:r>
          </w:p>
        </w:tc>
      </w:tr>
      <w:tr w:rsidR="00235E11" w14:paraId="54D44F15" w14:textId="77777777">
        <w:trPr>
          <w:trHeight w:val="315"/>
        </w:trPr>
        <w:tc>
          <w:tcPr>
            <w:tcW w:w="425" w:type="pct"/>
            <w:shd w:val="clear" w:color="auto" w:fill="C6EFCE"/>
            <w:noWrap/>
            <w:vAlign w:val="center"/>
            <w:hideMark/>
          </w:tcPr>
          <w:p w14:paraId="4E54EBCB" w14:textId="08169F07" w:rsidR="00235E11" w:rsidRDefault="00F837E4">
            <w:pPr>
              <w:pStyle w:val="P68B1DB1-Normal59"/>
              <w:spacing w:after="0"/>
              <w:jc w:val="center"/>
              <w:rPr>
                <w:noProof/>
              </w:rPr>
            </w:pPr>
            <w:r>
              <w:rPr>
                <w:noProof/>
              </w:rPr>
              <w:t>55б</w:t>
            </w:r>
          </w:p>
        </w:tc>
        <w:tc>
          <w:tcPr>
            <w:tcW w:w="1781" w:type="pct"/>
            <w:shd w:val="clear" w:color="auto" w:fill="C6EFCE"/>
            <w:noWrap/>
            <w:vAlign w:val="center"/>
            <w:hideMark/>
          </w:tcPr>
          <w:p w14:paraId="2AE6A350" w14:textId="77777777" w:rsidR="00235E11" w:rsidRDefault="00F837E4">
            <w:pPr>
              <w:pStyle w:val="P68B1DB1-Normal59"/>
              <w:spacing w:after="0"/>
              <w:rPr>
                <w:noProof/>
              </w:rPr>
            </w:pPr>
            <w:r>
              <w:rPr>
                <w:noProof/>
              </w:rPr>
              <w:t>Цифровизация на SPF (I-2.05) [L]</w:t>
            </w:r>
          </w:p>
        </w:tc>
        <w:tc>
          <w:tcPr>
            <w:tcW w:w="416" w:type="pct"/>
            <w:shd w:val="clear" w:color="auto" w:fill="C6EFCE"/>
            <w:noWrap/>
            <w:vAlign w:val="center"/>
            <w:hideMark/>
          </w:tcPr>
          <w:p w14:paraId="6D14025C" w14:textId="77777777" w:rsidR="00235E11" w:rsidRDefault="00F837E4">
            <w:pPr>
              <w:pStyle w:val="P68B1DB1-Normal59"/>
              <w:spacing w:after="0"/>
              <w:jc w:val="center"/>
              <w:rPr>
                <w:noProof/>
              </w:rPr>
            </w:pPr>
            <w:r>
              <w:rPr>
                <w:noProof/>
              </w:rPr>
              <w:t>M</w:t>
            </w:r>
          </w:p>
        </w:tc>
        <w:tc>
          <w:tcPr>
            <w:tcW w:w="2378" w:type="pct"/>
            <w:shd w:val="clear" w:color="auto" w:fill="C6EFCE"/>
            <w:noWrap/>
            <w:vAlign w:val="center"/>
            <w:hideMark/>
          </w:tcPr>
          <w:p w14:paraId="33AB7C82" w14:textId="77777777" w:rsidR="00235E11" w:rsidRDefault="00F837E4">
            <w:pPr>
              <w:pStyle w:val="P68B1DB1-Normal59"/>
              <w:spacing w:after="0"/>
              <w:rPr>
                <w:noProof/>
              </w:rPr>
            </w:pPr>
            <w:r>
              <w:rPr>
                <w:noProof/>
              </w:rPr>
              <w:t>Проектите са завършени и резултатите са оперативни</w:t>
            </w:r>
          </w:p>
        </w:tc>
      </w:tr>
      <w:tr w:rsidR="00235E11" w14:paraId="3637FE17" w14:textId="77777777">
        <w:trPr>
          <w:trHeight w:val="315"/>
        </w:trPr>
        <w:tc>
          <w:tcPr>
            <w:tcW w:w="425" w:type="pct"/>
            <w:shd w:val="clear" w:color="auto" w:fill="C6EFCE"/>
            <w:noWrap/>
            <w:vAlign w:val="center"/>
            <w:hideMark/>
          </w:tcPr>
          <w:p w14:paraId="6FEAB9E2" w14:textId="77777777" w:rsidR="00235E11" w:rsidRDefault="00F837E4">
            <w:pPr>
              <w:pStyle w:val="P68B1DB1-Normal59"/>
              <w:spacing w:after="0"/>
              <w:jc w:val="center"/>
              <w:rPr>
                <w:noProof/>
              </w:rPr>
            </w:pPr>
            <w:r>
              <w:rPr>
                <w:noProof/>
              </w:rPr>
              <w:t>96б</w:t>
            </w:r>
          </w:p>
        </w:tc>
        <w:tc>
          <w:tcPr>
            <w:tcW w:w="1781" w:type="pct"/>
            <w:shd w:val="clear" w:color="auto" w:fill="C6EFCE"/>
            <w:noWrap/>
            <w:vAlign w:val="center"/>
            <w:hideMark/>
          </w:tcPr>
          <w:p w14:paraId="1AEA0A77" w14:textId="71B3D6F5" w:rsidR="00235E11" w:rsidRDefault="00F837E4">
            <w:pPr>
              <w:pStyle w:val="P68B1DB1-Normal59"/>
              <w:spacing w:after="0"/>
              <w:rPr>
                <w:noProof/>
              </w:rPr>
            </w:pPr>
            <w:r>
              <w:rPr>
                <w:noProof/>
              </w:rPr>
              <w:t>Велосипедна инфраструктура — Vélo Plus — Федерална държава (I-3.03b) [L]</w:t>
            </w:r>
          </w:p>
        </w:tc>
        <w:tc>
          <w:tcPr>
            <w:tcW w:w="416" w:type="pct"/>
            <w:shd w:val="clear" w:color="auto" w:fill="C6EFCE"/>
            <w:noWrap/>
            <w:vAlign w:val="center"/>
            <w:hideMark/>
          </w:tcPr>
          <w:p w14:paraId="1FA03858" w14:textId="77777777" w:rsidR="00235E11" w:rsidRDefault="00F837E4">
            <w:pPr>
              <w:pStyle w:val="P68B1DB1-Normal59"/>
              <w:spacing w:after="0"/>
              <w:jc w:val="center"/>
              <w:rPr>
                <w:noProof/>
              </w:rPr>
            </w:pPr>
            <w:r>
              <w:rPr>
                <w:noProof/>
              </w:rPr>
              <w:t>T</w:t>
            </w:r>
          </w:p>
        </w:tc>
        <w:tc>
          <w:tcPr>
            <w:tcW w:w="2378" w:type="pct"/>
            <w:shd w:val="clear" w:color="auto" w:fill="C6EFCE"/>
            <w:noWrap/>
            <w:vAlign w:val="center"/>
            <w:hideMark/>
          </w:tcPr>
          <w:p w14:paraId="609E5BE3" w14:textId="77777777" w:rsidR="00235E11" w:rsidRDefault="00F837E4">
            <w:pPr>
              <w:pStyle w:val="P68B1DB1-Normal59"/>
              <w:spacing w:after="0"/>
              <w:rPr>
                <w:noProof/>
              </w:rPr>
            </w:pPr>
            <w:r>
              <w:rPr>
                <w:noProof/>
              </w:rPr>
              <w:t>Нови и ремонтирани велосипедни пътища</w:t>
            </w:r>
          </w:p>
        </w:tc>
      </w:tr>
      <w:tr w:rsidR="00235E11" w14:paraId="13E67943" w14:textId="77777777">
        <w:trPr>
          <w:trHeight w:val="315"/>
        </w:trPr>
        <w:tc>
          <w:tcPr>
            <w:tcW w:w="425" w:type="pct"/>
            <w:shd w:val="clear" w:color="auto" w:fill="C6EFCE"/>
            <w:noWrap/>
            <w:vAlign w:val="center"/>
            <w:hideMark/>
          </w:tcPr>
          <w:p w14:paraId="1D1B7E0B" w14:textId="77777777" w:rsidR="00235E11" w:rsidRDefault="00F837E4">
            <w:pPr>
              <w:pStyle w:val="P68B1DB1-Normal59"/>
              <w:spacing w:after="0"/>
              <w:jc w:val="center"/>
              <w:rPr>
                <w:noProof/>
              </w:rPr>
            </w:pPr>
            <w:r>
              <w:rPr>
                <w:noProof/>
              </w:rPr>
              <w:t>98</w:t>
            </w:r>
          </w:p>
        </w:tc>
        <w:tc>
          <w:tcPr>
            <w:tcW w:w="1781" w:type="pct"/>
            <w:shd w:val="clear" w:color="auto" w:fill="C6EFCE"/>
            <w:noWrap/>
            <w:vAlign w:val="center"/>
            <w:hideMark/>
          </w:tcPr>
          <w:p w14:paraId="42BF1CA0" w14:textId="77777777" w:rsidR="00235E11" w:rsidRDefault="00F837E4">
            <w:pPr>
              <w:pStyle w:val="P68B1DB1-Normal59"/>
              <w:spacing w:after="0"/>
              <w:rPr>
                <w:noProof/>
              </w:rPr>
            </w:pPr>
            <w:r>
              <w:rPr>
                <w:noProof/>
              </w:rPr>
              <w:t>Велосипедна инфраструктура за ходене пеша — Шуман (I-3.04) [L]</w:t>
            </w:r>
          </w:p>
        </w:tc>
        <w:tc>
          <w:tcPr>
            <w:tcW w:w="416" w:type="pct"/>
            <w:shd w:val="clear" w:color="auto" w:fill="C6EFCE"/>
            <w:noWrap/>
            <w:vAlign w:val="center"/>
            <w:hideMark/>
          </w:tcPr>
          <w:p w14:paraId="38B9FB8B" w14:textId="77777777" w:rsidR="00235E11" w:rsidRDefault="00F837E4">
            <w:pPr>
              <w:pStyle w:val="P68B1DB1-Normal59"/>
              <w:spacing w:after="0"/>
              <w:jc w:val="center"/>
              <w:rPr>
                <w:noProof/>
              </w:rPr>
            </w:pPr>
            <w:r>
              <w:rPr>
                <w:noProof/>
              </w:rPr>
              <w:t>T</w:t>
            </w:r>
          </w:p>
        </w:tc>
        <w:tc>
          <w:tcPr>
            <w:tcW w:w="2378" w:type="pct"/>
            <w:shd w:val="clear" w:color="auto" w:fill="C6EFCE"/>
            <w:noWrap/>
            <w:vAlign w:val="center"/>
            <w:hideMark/>
          </w:tcPr>
          <w:p w14:paraId="51F3E008" w14:textId="77777777" w:rsidR="00235E11" w:rsidRDefault="00F837E4">
            <w:pPr>
              <w:pStyle w:val="P68B1DB1-Normal59"/>
              <w:spacing w:after="0"/>
              <w:rPr>
                <w:noProof/>
              </w:rPr>
            </w:pPr>
            <w:r>
              <w:rPr>
                <w:noProof/>
              </w:rPr>
              <w:t>Ново обществено пространство за пешеходци, велосипедисти и обществен транспорт в Шуман</w:t>
            </w:r>
          </w:p>
        </w:tc>
      </w:tr>
      <w:tr w:rsidR="00235E11" w14:paraId="25128B5B" w14:textId="77777777">
        <w:trPr>
          <w:trHeight w:val="315"/>
        </w:trPr>
        <w:tc>
          <w:tcPr>
            <w:tcW w:w="425" w:type="pct"/>
            <w:shd w:val="clear" w:color="auto" w:fill="C6EFCE"/>
            <w:noWrap/>
            <w:vAlign w:val="center"/>
            <w:hideMark/>
          </w:tcPr>
          <w:p w14:paraId="0BC6B777" w14:textId="77777777" w:rsidR="00235E11" w:rsidRDefault="00F837E4">
            <w:pPr>
              <w:pStyle w:val="P68B1DB1-Normal59"/>
              <w:spacing w:after="0"/>
              <w:jc w:val="center"/>
              <w:rPr>
                <w:noProof/>
              </w:rPr>
            </w:pPr>
            <w:r>
              <w:rPr>
                <w:noProof/>
              </w:rPr>
              <w:t>241</w:t>
            </w:r>
          </w:p>
        </w:tc>
        <w:tc>
          <w:tcPr>
            <w:tcW w:w="1781" w:type="pct"/>
            <w:shd w:val="clear" w:color="auto" w:fill="C6EFCE"/>
            <w:noWrap/>
            <w:vAlign w:val="center"/>
            <w:hideMark/>
          </w:tcPr>
          <w:p w14:paraId="61790594" w14:textId="1B4A6B9E" w:rsidR="00235E11" w:rsidRDefault="00F837E4">
            <w:pPr>
              <w:pStyle w:val="P68B1DB1-Normal59"/>
              <w:spacing w:after="0"/>
              <w:rPr>
                <w:noProof/>
              </w:rPr>
            </w:pPr>
            <w:r>
              <w:rPr>
                <w:noProof/>
              </w:rPr>
              <w:t>Офшорен енергиен остров (I-7.20)</w:t>
            </w:r>
          </w:p>
        </w:tc>
        <w:tc>
          <w:tcPr>
            <w:tcW w:w="416" w:type="pct"/>
            <w:shd w:val="clear" w:color="auto" w:fill="C6EFCE"/>
            <w:noWrap/>
            <w:vAlign w:val="center"/>
            <w:hideMark/>
          </w:tcPr>
          <w:p w14:paraId="7AD7E530" w14:textId="77777777" w:rsidR="00235E11" w:rsidRDefault="00F837E4">
            <w:pPr>
              <w:pStyle w:val="P68B1DB1-Normal59"/>
              <w:spacing w:after="0"/>
              <w:jc w:val="center"/>
              <w:rPr>
                <w:noProof/>
              </w:rPr>
            </w:pPr>
            <w:r>
              <w:rPr>
                <w:noProof/>
              </w:rPr>
              <w:t>M</w:t>
            </w:r>
          </w:p>
        </w:tc>
        <w:tc>
          <w:tcPr>
            <w:tcW w:w="2378" w:type="pct"/>
            <w:shd w:val="clear" w:color="auto" w:fill="C6EFCE"/>
            <w:noWrap/>
            <w:vAlign w:val="center"/>
            <w:hideMark/>
          </w:tcPr>
          <w:p w14:paraId="47806E41" w14:textId="77777777" w:rsidR="00235E11" w:rsidRDefault="00F837E4">
            <w:pPr>
              <w:pStyle w:val="P68B1DB1-Normal59"/>
              <w:spacing w:after="0"/>
              <w:rPr>
                <w:noProof/>
              </w:rPr>
            </w:pPr>
            <w:r>
              <w:rPr>
                <w:noProof/>
              </w:rPr>
              <w:t>Приключване на работите, свързани с енергийния остров</w:t>
            </w:r>
          </w:p>
        </w:tc>
      </w:tr>
      <w:tr w:rsidR="00235E11" w14:paraId="7D12C803" w14:textId="77777777">
        <w:trPr>
          <w:trHeight w:val="315"/>
        </w:trPr>
        <w:tc>
          <w:tcPr>
            <w:tcW w:w="425" w:type="pct"/>
            <w:shd w:val="clear" w:color="auto" w:fill="C6EFCE"/>
            <w:noWrap/>
            <w:vAlign w:val="center"/>
            <w:hideMark/>
          </w:tcPr>
          <w:p w14:paraId="5378F06F" w14:textId="77777777" w:rsidR="00235E11" w:rsidRDefault="00F837E4">
            <w:pPr>
              <w:pStyle w:val="P68B1DB1-Normal59"/>
              <w:spacing w:after="0"/>
              <w:jc w:val="center"/>
              <w:rPr>
                <w:noProof/>
              </w:rPr>
            </w:pPr>
            <w:r>
              <w:rPr>
                <w:noProof/>
              </w:rPr>
              <w:t>227</w:t>
            </w:r>
          </w:p>
        </w:tc>
        <w:tc>
          <w:tcPr>
            <w:tcW w:w="1781" w:type="pct"/>
            <w:shd w:val="clear" w:color="auto" w:fill="C6EFCE"/>
            <w:noWrap/>
            <w:vAlign w:val="center"/>
            <w:hideMark/>
          </w:tcPr>
          <w:p w14:paraId="61ACAC03" w14:textId="77777777" w:rsidR="00235E11" w:rsidRDefault="00F837E4">
            <w:pPr>
              <w:pStyle w:val="P68B1DB1-Normal59"/>
              <w:spacing w:after="0"/>
              <w:rPr>
                <w:noProof/>
              </w:rPr>
            </w:pPr>
            <w:r>
              <w:rPr>
                <w:noProof/>
              </w:rPr>
              <w:t>Гръбнак на H2 (I-7.15) [L]</w:t>
            </w:r>
          </w:p>
        </w:tc>
        <w:tc>
          <w:tcPr>
            <w:tcW w:w="416" w:type="pct"/>
            <w:shd w:val="clear" w:color="auto" w:fill="C6EFCE"/>
            <w:noWrap/>
            <w:vAlign w:val="center"/>
            <w:hideMark/>
          </w:tcPr>
          <w:p w14:paraId="384FD930" w14:textId="77777777" w:rsidR="00235E11" w:rsidRDefault="00F837E4">
            <w:pPr>
              <w:pStyle w:val="P68B1DB1-Normal59"/>
              <w:spacing w:after="0"/>
              <w:jc w:val="center"/>
              <w:rPr>
                <w:noProof/>
              </w:rPr>
            </w:pPr>
            <w:r>
              <w:rPr>
                <w:noProof/>
              </w:rPr>
              <w:t>T</w:t>
            </w:r>
          </w:p>
        </w:tc>
        <w:tc>
          <w:tcPr>
            <w:tcW w:w="2378" w:type="pct"/>
            <w:shd w:val="clear" w:color="auto" w:fill="C6EFCE"/>
            <w:noWrap/>
            <w:vAlign w:val="center"/>
            <w:hideMark/>
          </w:tcPr>
          <w:p w14:paraId="6A4BE811" w14:textId="77777777" w:rsidR="00235E11" w:rsidRDefault="00F837E4">
            <w:pPr>
              <w:pStyle w:val="P68B1DB1-Normal59"/>
              <w:spacing w:after="0"/>
              <w:rPr>
                <w:noProof/>
              </w:rPr>
            </w:pPr>
            <w:r>
              <w:rPr>
                <w:noProof/>
              </w:rPr>
              <w:t>Изграждане и експлоатация на 150 км тръбопровод за H2</w:t>
            </w:r>
          </w:p>
        </w:tc>
      </w:tr>
      <w:tr w:rsidR="00235E11" w14:paraId="5012FF85" w14:textId="77777777">
        <w:trPr>
          <w:trHeight w:val="315"/>
        </w:trPr>
        <w:tc>
          <w:tcPr>
            <w:tcW w:w="425" w:type="pct"/>
            <w:shd w:val="clear" w:color="auto" w:fill="C6EFCE"/>
            <w:noWrap/>
            <w:vAlign w:val="center"/>
            <w:hideMark/>
          </w:tcPr>
          <w:p w14:paraId="5490143F" w14:textId="77777777" w:rsidR="00235E11" w:rsidRDefault="00F837E4">
            <w:pPr>
              <w:pStyle w:val="P68B1DB1-Normal59"/>
              <w:spacing w:after="0"/>
              <w:jc w:val="center"/>
              <w:rPr>
                <w:noProof/>
              </w:rPr>
            </w:pPr>
            <w:r>
              <w:rPr>
                <w:noProof/>
              </w:rPr>
              <w:t>246</w:t>
            </w:r>
          </w:p>
        </w:tc>
        <w:tc>
          <w:tcPr>
            <w:tcW w:w="1781" w:type="pct"/>
            <w:shd w:val="clear" w:color="auto" w:fill="C6EFCE"/>
            <w:noWrap/>
            <w:vAlign w:val="center"/>
            <w:hideMark/>
          </w:tcPr>
          <w:p w14:paraId="3665AA27" w14:textId="110F548F" w:rsidR="00235E11" w:rsidRDefault="00F837E4">
            <w:pPr>
              <w:pStyle w:val="P68B1DB1-Normal59"/>
              <w:spacing w:after="0"/>
              <w:rPr>
                <w:noProof/>
              </w:rPr>
            </w:pPr>
            <w:r>
              <w:rPr>
                <w:noProof/>
              </w:rPr>
              <w:t>Инфраструктура за зареждане на автобуси — ЗФП (I-7.25)</w:t>
            </w:r>
          </w:p>
        </w:tc>
        <w:tc>
          <w:tcPr>
            <w:tcW w:w="416" w:type="pct"/>
            <w:shd w:val="clear" w:color="auto" w:fill="C6EFCE"/>
            <w:noWrap/>
            <w:vAlign w:val="center"/>
            <w:hideMark/>
          </w:tcPr>
          <w:p w14:paraId="753D57E8" w14:textId="77777777" w:rsidR="00235E11" w:rsidRDefault="00F837E4">
            <w:pPr>
              <w:pStyle w:val="P68B1DB1-Normal59"/>
              <w:spacing w:after="0"/>
              <w:jc w:val="center"/>
              <w:rPr>
                <w:noProof/>
              </w:rPr>
            </w:pPr>
            <w:r>
              <w:rPr>
                <w:noProof/>
              </w:rPr>
              <w:t>T</w:t>
            </w:r>
          </w:p>
        </w:tc>
        <w:tc>
          <w:tcPr>
            <w:tcW w:w="2378" w:type="pct"/>
            <w:shd w:val="clear" w:color="auto" w:fill="C6EFCE"/>
            <w:noWrap/>
            <w:vAlign w:val="center"/>
            <w:hideMark/>
          </w:tcPr>
          <w:p w14:paraId="4D6252E5" w14:textId="77777777" w:rsidR="00235E11" w:rsidRDefault="00F837E4">
            <w:pPr>
              <w:pStyle w:val="P68B1DB1-Normal59"/>
              <w:spacing w:after="0"/>
              <w:rPr>
                <w:noProof/>
              </w:rPr>
            </w:pPr>
            <w:r>
              <w:rPr>
                <w:noProof/>
              </w:rPr>
              <w:t>Инсталирана инфраструктура за зареждане</w:t>
            </w:r>
          </w:p>
        </w:tc>
      </w:tr>
      <w:tr w:rsidR="00235E11" w14:paraId="255A59E4" w14:textId="77777777">
        <w:trPr>
          <w:trHeight w:val="315"/>
        </w:trPr>
        <w:tc>
          <w:tcPr>
            <w:tcW w:w="425" w:type="pct"/>
            <w:shd w:val="clear" w:color="auto" w:fill="C6EFCE"/>
            <w:noWrap/>
            <w:vAlign w:val="center"/>
          </w:tcPr>
          <w:p w14:paraId="03E1737A" w14:textId="77777777" w:rsidR="00235E11" w:rsidRDefault="00235E11">
            <w:pPr>
              <w:spacing w:after="0"/>
              <w:jc w:val="center"/>
              <w:rPr>
                <w:rFonts w:ascii="Times New Roman" w:eastAsia="Times New Roman" w:hAnsi="Times New Roman" w:cs="Times New Roman"/>
                <w:noProof/>
                <w:color w:val="006100"/>
                <w:sz w:val="20"/>
              </w:rPr>
            </w:pPr>
          </w:p>
        </w:tc>
        <w:tc>
          <w:tcPr>
            <w:tcW w:w="2197" w:type="pct"/>
            <w:gridSpan w:val="2"/>
            <w:shd w:val="clear" w:color="auto" w:fill="C6EFCE"/>
            <w:noWrap/>
            <w:vAlign w:val="center"/>
          </w:tcPr>
          <w:p w14:paraId="7B17C0D8" w14:textId="77777777" w:rsidR="00235E11" w:rsidRDefault="00F837E4">
            <w:pPr>
              <w:pStyle w:val="P68B1DB1-Normal59"/>
              <w:spacing w:after="0"/>
              <w:jc w:val="right"/>
              <w:rPr>
                <w:noProof/>
              </w:rPr>
            </w:pPr>
            <w:r>
              <w:rPr>
                <w:noProof/>
              </w:rPr>
              <w:t>Размер на вноската</w:t>
            </w:r>
          </w:p>
        </w:tc>
        <w:tc>
          <w:tcPr>
            <w:tcW w:w="2378" w:type="pct"/>
            <w:shd w:val="clear" w:color="auto" w:fill="C6EFCE"/>
            <w:noWrap/>
            <w:vAlign w:val="center"/>
          </w:tcPr>
          <w:p w14:paraId="594E2124" w14:textId="2B58C015" w:rsidR="00235E11" w:rsidRDefault="00F837E4">
            <w:pPr>
              <w:spacing w:after="0"/>
              <w:rPr>
                <w:rFonts w:ascii="Times New Roman" w:eastAsia="Times New Roman" w:hAnsi="Times New Roman" w:cs="Times New Roman"/>
                <w:noProof/>
                <w:color w:val="006100"/>
                <w:sz w:val="20"/>
              </w:rPr>
            </w:pPr>
            <w:r>
              <w:rPr>
                <w:rFonts w:ascii="Times New Roman" w:eastAsia="Times New Roman" w:hAnsi="Times New Roman" w:cs="Times New Roman"/>
                <w:noProof/>
                <w:color w:val="006100"/>
                <w:sz w:val="20"/>
              </w:rPr>
              <w:t>091EUR 144</w:t>
            </w:r>
            <w:r>
              <w:rPr>
                <w:noProof/>
              </w:rPr>
              <w:t xml:space="preserve"> </w:t>
            </w:r>
            <w:r>
              <w:rPr>
                <w:rFonts w:ascii="Times New Roman" w:eastAsia="Times New Roman" w:hAnsi="Times New Roman" w:cs="Times New Roman"/>
                <w:noProof/>
                <w:color w:val="006100"/>
                <w:sz w:val="20"/>
              </w:rPr>
              <w:t>109</w:t>
            </w:r>
          </w:p>
        </w:tc>
      </w:tr>
    </w:tbl>
    <w:p w14:paraId="16374451" w14:textId="77777777" w:rsidR="00235E11" w:rsidRDefault="00235E11">
      <w:pPr>
        <w:rPr>
          <w:rFonts w:ascii="Times New Roman" w:hAnsi="Times New Roman" w:cs="Times New Roman"/>
          <w:noProof/>
        </w:rPr>
      </w:pPr>
    </w:p>
    <w:sectPr w:rsidR="00235E11">
      <w:headerReference w:type="even" r:id="rId342"/>
      <w:headerReference w:type="default" r:id="rId343"/>
      <w:footerReference w:type="even" r:id="rId344"/>
      <w:footerReference w:type="default" r:id="rId345"/>
      <w:headerReference w:type="first" r:id="rId346"/>
      <w:footerReference w:type="first" r:id="rId347"/>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D6892" w14:textId="77777777" w:rsidR="003216A6" w:rsidRDefault="003216A6">
      <w:pPr>
        <w:spacing w:after="0" w:line="240" w:lineRule="auto"/>
      </w:pPr>
      <w:r>
        <w:separator/>
      </w:r>
    </w:p>
  </w:endnote>
  <w:endnote w:type="continuationSeparator" w:id="0">
    <w:p w14:paraId="14346A66" w14:textId="77777777" w:rsidR="003216A6" w:rsidRDefault="003216A6">
      <w:pPr>
        <w:spacing w:after="0" w:line="240" w:lineRule="auto"/>
      </w:pPr>
      <w:r>
        <w:continuationSeparator/>
      </w:r>
    </w:p>
  </w:endnote>
  <w:endnote w:type="continuationNotice" w:id="1">
    <w:p w14:paraId="4302C339" w14:textId="77777777" w:rsidR="003216A6" w:rsidRDefault="00321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6B596" w14:textId="7637CDA7" w:rsidR="00A43D7E" w:rsidRPr="00A66332" w:rsidRDefault="00A43D7E" w:rsidP="00A6633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E2C0" w14:textId="77777777" w:rsidR="00235E11" w:rsidRDefault="00235E11">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ABF5" w14:textId="77777777" w:rsidR="00235E11" w:rsidRDefault="00235E1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17724"/>
      <w:docPartObj>
        <w:docPartGallery w:val="Page Numbers (Bottom of Page)"/>
        <w:docPartUnique/>
      </w:docPartObj>
    </w:sdtPr>
    <w:sdtEndPr>
      <w:rPr>
        <w:noProof/>
      </w:rPr>
    </w:sdtEndPr>
    <w:sdtContent>
      <w:p w14:paraId="7CE2909F" w14:textId="5557A5A4" w:rsidR="00235E11" w:rsidRDefault="00F837E4">
        <w:pPr>
          <w:pStyle w:val="Footer"/>
          <w:jc w:val="center"/>
        </w:pPr>
        <w:r>
          <w:fldChar w:fldCharType="begin"/>
        </w:r>
        <w:r>
          <w:instrText xml:space="preserve"> PAGE   \* MERGEFORMAT </w:instrText>
        </w:r>
        <w:r>
          <w:fldChar w:fldCharType="separate"/>
        </w:r>
        <w:r>
          <w:t>115</w:t>
        </w:r>
        <w:r>
          <w:fldChar w:fldCharType="end"/>
        </w:r>
      </w:p>
    </w:sdtContent>
  </w:sdt>
  <w:p w14:paraId="145CCAAE" w14:textId="77777777" w:rsidR="00235E11" w:rsidRDefault="00235E11">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5685" w14:textId="77777777" w:rsidR="00235E11" w:rsidRDefault="00235E11">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FAAF" w14:textId="77777777" w:rsidR="00235E11" w:rsidRDefault="00235E11">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388115"/>
      <w:docPartObj>
        <w:docPartGallery w:val="Page Numbers (Bottom of Page)"/>
        <w:docPartUnique/>
      </w:docPartObj>
    </w:sdtPr>
    <w:sdtEndPr>
      <w:rPr>
        <w:noProof/>
      </w:rPr>
    </w:sdtEndPr>
    <w:sdtContent>
      <w:p w14:paraId="688C38D8" w14:textId="52D8533A" w:rsidR="00235E11" w:rsidRDefault="00F837E4">
        <w:pPr>
          <w:pStyle w:val="Footer"/>
          <w:jc w:val="center"/>
        </w:pPr>
        <w:r>
          <w:fldChar w:fldCharType="begin"/>
        </w:r>
        <w:r>
          <w:instrText xml:space="preserve"> PAGE   \* MERGEFORMAT </w:instrText>
        </w:r>
        <w:r>
          <w:fldChar w:fldCharType="separate"/>
        </w:r>
        <w:r>
          <w:t>121</w:t>
        </w:r>
        <w:r>
          <w:fldChar w:fldCharType="end"/>
        </w:r>
      </w:p>
    </w:sdtContent>
  </w:sdt>
  <w:p w14:paraId="797F70CD" w14:textId="77777777" w:rsidR="00235E11" w:rsidRDefault="00235E11">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46D5" w14:textId="77777777" w:rsidR="00235E11" w:rsidRDefault="00235E11">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0012" w14:textId="77777777" w:rsidR="00235E11" w:rsidRDefault="00235E11">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47025"/>
      <w:docPartObj>
        <w:docPartGallery w:val="Page Numbers (Bottom of Page)"/>
        <w:docPartUnique/>
      </w:docPartObj>
    </w:sdtPr>
    <w:sdtEndPr>
      <w:rPr>
        <w:noProof/>
      </w:rPr>
    </w:sdtEndPr>
    <w:sdtContent>
      <w:p w14:paraId="7B3F955A" w14:textId="71F0A2CC" w:rsidR="00235E11" w:rsidRDefault="00F837E4">
        <w:pPr>
          <w:pStyle w:val="Footer"/>
          <w:jc w:val="center"/>
        </w:pPr>
        <w:r>
          <w:fldChar w:fldCharType="begin"/>
        </w:r>
        <w:r>
          <w:instrText xml:space="preserve"> PAGE   \* MERGEFORMAT </w:instrText>
        </w:r>
        <w:r>
          <w:fldChar w:fldCharType="separate"/>
        </w:r>
        <w:r>
          <w:t>124</w:t>
        </w:r>
        <w:r>
          <w:fldChar w:fldCharType="end"/>
        </w:r>
      </w:p>
    </w:sdtContent>
  </w:sdt>
  <w:p w14:paraId="71B97042" w14:textId="77777777" w:rsidR="00235E11" w:rsidRDefault="00235E11">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273E0" w14:textId="77777777" w:rsidR="00235E11" w:rsidRDefault="00235E11">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EE6E4" w14:textId="77777777" w:rsidR="00235E11" w:rsidRDefault="00235E1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644728"/>
      <w:docPartObj>
        <w:docPartGallery w:val="Page Numbers (Bottom of Page)"/>
        <w:docPartUnique/>
      </w:docPartObj>
    </w:sdtPr>
    <w:sdtEndPr>
      <w:rPr>
        <w:noProof/>
      </w:rPr>
    </w:sdtEndPr>
    <w:sdtContent>
      <w:p w14:paraId="1287BC92" w14:textId="31E8718D" w:rsidR="00235E11" w:rsidRDefault="00F837E4">
        <w:pPr>
          <w:pStyle w:val="Footer"/>
          <w:jc w:val="center"/>
        </w:pPr>
        <w:r>
          <w:fldChar w:fldCharType="begin"/>
        </w:r>
        <w:r>
          <w:instrText xml:space="preserve"> PAGE   \* MERGEFORMAT </w:instrText>
        </w:r>
        <w:r>
          <w:fldChar w:fldCharType="separate"/>
        </w:r>
        <w:r w:rsidR="00B43552">
          <w:rPr>
            <w:noProof/>
          </w:rPr>
          <w:t>15</w:t>
        </w:r>
        <w:r>
          <w:fldChar w:fldCharType="end"/>
        </w:r>
      </w:p>
    </w:sdtContent>
  </w:sdt>
  <w:p w14:paraId="2A100A85" w14:textId="77777777" w:rsidR="00235E11" w:rsidRDefault="00235E11">
    <w:pPr>
      <w:pStyle w:val="FooterCouncil"/>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188473"/>
      <w:docPartObj>
        <w:docPartGallery w:val="Page Numbers (Bottom of Page)"/>
        <w:docPartUnique/>
      </w:docPartObj>
    </w:sdtPr>
    <w:sdtEndPr>
      <w:rPr>
        <w:noProof/>
      </w:rPr>
    </w:sdtEndPr>
    <w:sdtContent>
      <w:p w14:paraId="2BC03894" w14:textId="1F904C5B" w:rsidR="00235E11" w:rsidRDefault="00F837E4">
        <w:pPr>
          <w:pStyle w:val="Footer"/>
          <w:jc w:val="center"/>
        </w:pPr>
        <w:r>
          <w:fldChar w:fldCharType="begin"/>
        </w:r>
        <w:r>
          <w:instrText xml:space="preserve"> PAGE   \* MERGEFORMAT </w:instrText>
        </w:r>
        <w:r>
          <w:fldChar w:fldCharType="separate"/>
        </w:r>
        <w:r>
          <w:t>127</w:t>
        </w:r>
        <w:r>
          <w:fldChar w:fldCharType="end"/>
        </w:r>
      </w:p>
    </w:sdtContent>
  </w:sdt>
  <w:p w14:paraId="1871E377" w14:textId="77777777" w:rsidR="00235E11" w:rsidRDefault="00235E11">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386AB" w14:textId="77777777" w:rsidR="00235E11" w:rsidRDefault="00235E11">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44F1" w14:textId="77777777" w:rsidR="00235E11" w:rsidRDefault="00235E11">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78755"/>
      <w:docPartObj>
        <w:docPartGallery w:val="Page Numbers (Bottom of Page)"/>
        <w:docPartUnique/>
      </w:docPartObj>
    </w:sdtPr>
    <w:sdtEndPr>
      <w:rPr>
        <w:noProof/>
      </w:rPr>
    </w:sdtEndPr>
    <w:sdtContent>
      <w:p w14:paraId="521AC343" w14:textId="2B747917" w:rsidR="00235E11" w:rsidRDefault="00F837E4">
        <w:pPr>
          <w:pStyle w:val="Footer"/>
          <w:jc w:val="center"/>
        </w:pPr>
        <w:r>
          <w:fldChar w:fldCharType="begin"/>
        </w:r>
        <w:r>
          <w:instrText xml:space="preserve"> PAGE   \* MERGEFORMAT </w:instrText>
        </w:r>
        <w:r>
          <w:fldChar w:fldCharType="separate"/>
        </w:r>
        <w:r>
          <w:t>129</w:t>
        </w:r>
        <w:r>
          <w:fldChar w:fldCharType="end"/>
        </w:r>
      </w:p>
    </w:sdtContent>
  </w:sdt>
  <w:p w14:paraId="1070F2F1" w14:textId="77777777" w:rsidR="00235E11" w:rsidRDefault="00235E11">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9D22" w14:textId="77777777" w:rsidR="00235E11" w:rsidRDefault="00235E11">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B780" w14:textId="77777777" w:rsidR="00235E11" w:rsidRDefault="00235E11">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814609"/>
      <w:docPartObj>
        <w:docPartGallery w:val="Page Numbers (Bottom of Page)"/>
        <w:docPartUnique/>
      </w:docPartObj>
    </w:sdtPr>
    <w:sdtEndPr>
      <w:rPr>
        <w:noProof/>
      </w:rPr>
    </w:sdtEndPr>
    <w:sdtContent>
      <w:p w14:paraId="77109D7D" w14:textId="2E3951F3" w:rsidR="00235E11" w:rsidRDefault="00F837E4">
        <w:pPr>
          <w:pStyle w:val="Footer"/>
          <w:jc w:val="center"/>
        </w:pPr>
        <w:r>
          <w:fldChar w:fldCharType="begin"/>
        </w:r>
        <w:r>
          <w:instrText xml:space="preserve"> PAGE   \* MERGEFORMAT </w:instrText>
        </w:r>
        <w:r>
          <w:fldChar w:fldCharType="separate"/>
        </w:r>
        <w:r>
          <w:t>131</w:t>
        </w:r>
        <w:r>
          <w:fldChar w:fldCharType="end"/>
        </w:r>
      </w:p>
    </w:sdtContent>
  </w:sdt>
  <w:p w14:paraId="41BE66E3" w14:textId="77777777" w:rsidR="00235E11" w:rsidRDefault="00235E11">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BC88" w14:textId="77777777" w:rsidR="00235E11" w:rsidRDefault="00235E11">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A6407" w14:textId="77777777" w:rsidR="00235E11" w:rsidRDefault="00235E11">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815010"/>
      <w:docPartObj>
        <w:docPartGallery w:val="Page Numbers (Bottom of Page)"/>
        <w:docPartUnique/>
      </w:docPartObj>
    </w:sdtPr>
    <w:sdtEndPr>
      <w:rPr>
        <w:noProof/>
      </w:rPr>
    </w:sdtEndPr>
    <w:sdtContent>
      <w:p w14:paraId="2B9AFB26" w14:textId="744CC448" w:rsidR="00235E11" w:rsidRDefault="00F837E4">
        <w:pPr>
          <w:pStyle w:val="Footer"/>
          <w:jc w:val="center"/>
        </w:pPr>
        <w:r>
          <w:fldChar w:fldCharType="begin"/>
        </w:r>
        <w:r>
          <w:instrText xml:space="preserve"> PAGE   \* MERGEFORMAT </w:instrText>
        </w:r>
        <w:r>
          <w:fldChar w:fldCharType="separate"/>
        </w:r>
        <w:r>
          <w:t>133</w:t>
        </w:r>
        <w:r>
          <w:fldChar w:fldCharType="end"/>
        </w:r>
      </w:p>
    </w:sdtContent>
  </w:sdt>
  <w:p w14:paraId="3D3D83F1" w14:textId="77777777" w:rsidR="00235E11" w:rsidRDefault="00235E1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8BE5" w14:textId="77777777" w:rsidR="00235E11" w:rsidRDefault="00235E11">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299A" w14:textId="77777777" w:rsidR="00235E11" w:rsidRDefault="00235E11">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4EEC" w14:textId="77777777" w:rsidR="00235E11" w:rsidRDefault="00235E11">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956742"/>
      <w:docPartObj>
        <w:docPartGallery w:val="Page Numbers (Bottom of Page)"/>
        <w:docPartUnique/>
      </w:docPartObj>
    </w:sdtPr>
    <w:sdtEndPr>
      <w:rPr>
        <w:noProof/>
      </w:rPr>
    </w:sdtEndPr>
    <w:sdtContent>
      <w:p w14:paraId="457E2232" w14:textId="0E2A609F" w:rsidR="00235E11" w:rsidRDefault="00F837E4">
        <w:pPr>
          <w:pStyle w:val="Footer"/>
          <w:jc w:val="center"/>
        </w:pPr>
        <w:r>
          <w:fldChar w:fldCharType="begin"/>
        </w:r>
        <w:r>
          <w:instrText xml:space="preserve"> PAGE   \* MERGEFORMAT </w:instrText>
        </w:r>
        <w:r>
          <w:fldChar w:fldCharType="separate"/>
        </w:r>
        <w:r>
          <w:t>136</w:t>
        </w:r>
        <w:r>
          <w:fldChar w:fldCharType="end"/>
        </w:r>
      </w:p>
    </w:sdtContent>
  </w:sdt>
  <w:p w14:paraId="46CC286B" w14:textId="77777777" w:rsidR="00235E11" w:rsidRDefault="00235E11">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6993" w14:textId="77777777" w:rsidR="00235E11" w:rsidRDefault="00235E11">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773" w14:textId="77777777" w:rsidR="00235E11" w:rsidRDefault="00235E11">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83405"/>
      <w:docPartObj>
        <w:docPartGallery w:val="Page Numbers (Bottom of Page)"/>
        <w:docPartUnique/>
      </w:docPartObj>
    </w:sdtPr>
    <w:sdtEndPr>
      <w:rPr>
        <w:noProof/>
      </w:rPr>
    </w:sdtEndPr>
    <w:sdtContent>
      <w:p w14:paraId="7B6472E5" w14:textId="1EA116E1" w:rsidR="00235E11" w:rsidRDefault="00F837E4">
        <w:pPr>
          <w:pStyle w:val="Footer"/>
          <w:jc w:val="center"/>
        </w:pPr>
        <w:r>
          <w:fldChar w:fldCharType="begin"/>
        </w:r>
        <w:r>
          <w:instrText xml:space="preserve"> PAGE   \* MERGEFORMAT </w:instrText>
        </w:r>
        <w:r>
          <w:fldChar w:fldCharType="separate"/>
        </w:r>
        <w:r>
          <w:t>138</w:t>
        </w:r>
        <w:r>
          <w:fldChar w:fldCharType="end"/>
        </w:r>
      </w:p>
    </w:sdtContent>
  </w:sdt>
  <w:p w14:paraId="4725AC97" w14:textId="77777777" w:rsidR="00235E11" w:rsidRDefault="00235E11">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E96C" w14:textId="77777777" w:rsidR="00235E11" w:rsidRDefault="00235E11">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D803" w14:textId="77777777" w:rsidR="00235E11" w:rsidRDefault="00235E11">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311461"/>
      <w:docPartObj>
        <w:docPartGallery w:val="Page Numbers (Bottom of Page)"/>
        <w:docPartUnique/>
      </w:docPartObj>
    </w:sdtPr>
    <w:sdtEndPr>
      <w:rPr>
        <w:noProof/>
      </w:rPr>
    </w:sdtEndPr>
    <w:sdtContent>
      <w:p w14:paraId="04A7AD82" w14:textId="2C687E14" w:rsidR="00235E11" w:rsidRDefault="00F837E4">
        <w:pPr>
          <w:pStyle w:val="Footer"/>
          <w:jc w:val="center"/>
        </w:pPr>
        <w:r>
          <w:fldChar w:fldCharType="begin"/>
        </w:r>
        <w:r>
          <w:instrText xml:space="preserve"> PAGE   \* MERGEFORMAT </w:instrText>
        </w:r>
        <w:r>
          <w:fldChar w:fldCharType="separate"/>
        </w:r>
        <w:r>
          <w:t>141</w:t>
        </w:r>
        <w:r>
          <w:fldChar w:fldCharType="end"/>
        </w:r>
      </w:p>
    </w:sdtContent>
  </w:sdt>
  <w:p w14:paraId="6219B736" w14:textId="77777777" w:rsidR="00235E11" w:rsidRDefault="00235E11">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3FBB" w14:textId="77777777" w:rsidR="00235E11" w:rsidRDefault="00235E1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1356" w14:textId="77777777" w:rsidR="00235E11" w:rsidRDefault="00235E11">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B9D8" w14:textId="77777777" w:rsidR="00235E11" w:rsidRDefault="00235E11">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142428"/>
      <w:docPartObj>
        <w:docPartGallery w:val="Page Numbers (Bottom of Page)"/>
        <w:docPartUnique/>
      </w:docPartObj>
    </w:sdtPr>
    <w:sdtEndPr>
      <w:rPr>
        <w:noProof/>
      </w:rPr>
    </w:sdtEndPr>
    <w:sdtContent>
      <w:p w14:paraId="3A59A46A" w14:textId="1D4B6F2C" w:rsidR="00235E11" w:rsidRDefault="00F837E4">
        <w:pPr>
          <w:pStyle w:val="Footer"/>
          <w:jc w:val="center"/>
        </w:pPr>
        <w:r>
          <w:fldChar w:fldCharType="begin"/>
        </w:r>
        <w:r>
          <w:instrText xml:space="preserve"> PAGE   \* MERGEFORMAT </w:instrText>
        </w:r>
        <w:r>
          <w:fldChar w:fldCharType="separate"/>
        </w:r>
        <w:r>
          <w:t>142</w:t>
        </w:r>
        <w:r>
          <w:fldChar w:fldCharType="end"/>
        </w:r>
      </w:p>
    </w:sdtContent>
  </w:sdt>
  <w:p w14:paraId="68BE5B20" w14:textId="77777777" w:rsidR="00235E11" w:rsidRDefault="00235E11">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0D1C" w14:textId="77777777" w:rsidR="00235E11" w:rsidRDefault="00235E11">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4FC8" w14:textId="77777777" w:rsidR="00235E11" w:rsidRDefault="00235E11">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81183"/>
      <w:docPartObj>
        <w:docPartGallery w:val="Page Numbers (Bottom of Page)"/>
        <w:docPartUnique/>
      </w:docPartObj>
    </w:sdtPr>
    <w:sdtEndPr>
      <w:rPr>
        <w:noProof/>
      </w:rPr>
    </w:sdtEndPr>
    <w:sdtContent>
      <w:p w14:paraId="28199534" w14:textId="3E15CA3B" w:rsidR="00235E11" w:rsidRDefault="00F837E4">
        <w:pPr>
          <w:pStyle w:val="Footer"/>
          <w:jc w:val="center"/>
        </w:pPr>
        <w:r>
          <w:fldChar w:fldCharType="begin"/>
        </w:r>
        <w:r>
          <w:instrText xml:space="preserve"> PAGE   \* MERGEFORMAT </w:instrText>
        </w:r>
        <w:r>
          <w:fldChar w:fldCharType="separate"/>
        </w:r>
        <w:r>
          <w:t>144</w:t>
        </w:r>
        <w:r>
          <w:fldChar w:fldCharType="end"/>
        </w:r>
      </w:p>
    </w:sdtContent>
  </w:sdt>
  <w:p w14:paraId="7DEA5894" w14:textId="77777777" w:rsidR="00235E11" w:rsidRDefault="00235E11">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15805" w14:textId="77777777" w:rsidR="00235E11" w:rsidRDefault="00235E11">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4D1A" w14:textId="77777777" w:rsidR="00235E11" w:rsidRDefault="00235E11">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94806"/>
      <w:docPartObj>
        <w:docPartGallery w:val="Page Numbers (Bottom of Page)"/>
        <w:docPartUnique/>
      </w:docPartObj>
    </w:sdtPr>
    <w:sdtEndPr>
      <w:rPr>
        <w:noProof/>
      </w:rPr>
    </w:sdtEndPr>
    <w:sdtContent>
      <w:p w14:paraId="4566A66D" w14:textId="09D4F08F" w:rsidR="00235E11" w:rsidRDefault="00F837E4">
        <w:pPr>
          <w:pStyle w:val="Footer"/>
          <w:jc w:val="center"/>
        </w:pPr>
        <w:r>
          <w:fldChar w:fldCharType="begin"/>
        </w:r>
        <w:r>
          <w:instrText xml:space="preserve"> PAGE   \* MERGEFORMAT </w:instrText>
        </w:r>
        <w:r>
          <w:fldChar w:fldCharType="separate"/>
        </w:r>
        <w:r>
          <w:t>146</w:t>
        </w:r>
        <w:r>
          <w:fldChar w:fldCharType="end"/>
        </w:r>
      </w:p>
    </w:sdtContent>
  </w:sdt>
  <w:p w14:paraId="09DE74C8" w14:textId="77777777" w:rsidR="00235E11" w:rsidRDefault="00235E11">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C7F7" w14:textId="77777777" w:rsidR="00235E11" w:rsidRDefault="00235E11">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D368" w14:textId="77777777" w:rsidR="00235E11" w:rsidRDefault="00235E1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992000"/>
      <w:docPartObj>
        <w:docPartGallery w:val="Page Numbers (Bottom of Page)"/>
        <w:docPartUnique/>
      </w:docPartObj>
    </w:sdtPr>
    <w:sdtEndPr>
      <w:rPr>
        <w:noProof/>
      </w:rPr>
    </w:sdtEndPr>
    <w:sdtContent>
      <w:p w14:paraId="4ECDC784" w14:textId="7B735851" w:rsidR="00235E11" w:rsidRDefault="00F837E4">
        <w:pPr>
          <w:pStyle w:val="Footer"/>
          <w:jc w:val="center"/>
        </w:pPr>
        <w:r>
          <w:fldChar w:fldCharType="begin"/>
        </w:r>
        <w:r>
          <w:instrText xml:space="preserve"> PAGE   \* MERGEFORMAT </w:instrText>
        </w:r>
        <w:r>
          <w:fldChar w:fldCharType="separate"/>
        </w:r>
        <w:r w:rsidR="00B43552">
          <w:rPr>
            <w:noProof/>
          </w:rPr>
          <w:t>29</w:t>
        </w:r>
        <w:r>
          <w:fldChar w:fldCharType="end"/>
        </w:r>
      </w:p>
    </w:sdtContent>
  </w:sdt>
  <w:p w14:paraId="33C0740A" w14:textId="77777777" w:rsidR="00235E11" w:rsidRDefault="00235E11">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01385"/>
      <w:docPartObj>
        <w:docPartGallery w:val="Page Numbers (Bottom of Page)"/>
        <w:docPartUnique/>
      </w:docPartObj>
    </w:sdtPr>
    <w:sdtEndPr>
      <w:rPr>
        <w:noProof/>
      </w:rPr>
    </w:sdtEndPr>
    <w:sdtContent>
      <w:p w14:paraId="75B2B65B" w14:textId="101D5520" w:rsidR="00235E11" w:rsidRDefault="00F837E4">
        <w:pPr>
          <w:pStyle w:val="Footer"/>
          <w:jc w:val="center"/>
        </w:pPr>
        <w:r>
          <w:fldChar w:fldCharType="begin"/>
        </w:r>
        <w:r>
          <w:instrText xml:space="preserve"> PAGE   \* MERGEFORMAT </w:instrText>
        </w:r>
        <w:r>
          <w:fldChar w:fldCharType="separate"/>
        </w:r>
        <w:r>
          <w:t>151</w:t>
        </w:r>
        <w:r>
          <w:fldChar w:fldCharType="end"/>
        </w:r>
      </w:p>
    </w:sdtContent>
  </w:sdt>
  <w:p w14:paraId="6DE2ABCD" w14:textId="77777777" w:rsidR="00235E11" w:rsidRDefault="00235E11">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749DF" w14:textId="77777777" w:rsidR="00235E11" w:rsidRDefault="00235E11">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7DCF" w14:textId="77777777" w:rsidR="00235E11" w:rsidRDefault="00235E11">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50804"/>
      <w:docPartObj>
        <w:docPartGallery w:val="Page Numbers (Bottom of Page)"/>
        <w:docPartUnique/>
      </w:docPartObj>
    </w:sdtPr>
    <w:sdtEndPr>
      <w:rPr>
        <w:noProof/>
      </w:rPr>
    </w:sdtEndPr>
    <w:sdtContent>
      <w:p w14:paraId="3D168961" w14:textId="3A5DA821" w:rsidR="00235E11" w:rsidRDefault="00F837E4">
        <w:pPr>
          <w:pStyle w:val="Footer"/>
          <w:jc w:val="center"/>
        </w:pPr>
        <w:r>
          <w:fldChar w:fldCharType="begin"/>
        </w:r>
        <w:r>
          <w:instrText xml:space="preserve"> PAGE   \* MERGEFORMAT </w:instrText>
        </w:r>
        <w:r>
          <w:fldChar w:fldCharType="separate"/>
        </w:r>
        <w:r>
          <w:t>152</w:t>
        </w:r>
        <w:r>
          <w:fldChar w:fldCharType="end"/>
        </w:r>
      </w:p>
    </w:sdtContent>
  </w:sdt>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EDEA" w14:textId="77777777" w:rsidR="00235E11" w:rsidRDefault="00235E11">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ED98D" w14:textId="77777777" w:rsidR="00235E11" w:rsidRDefault="00235E11">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98300"/>
      <w:docPartObj>
        <w:docPartGallery w:val="Page Numbers (Bottom of Page)"/>
        <w:docPartUnique/>
      </w:docPartObj>
    </w:sdtPr>
    <w:sdtEndPr>
      <w:rPr>
        <w:noProof/>
      </w:rPr>
    </w:sdtEndPr>
    <w:sdtContent>
      <w:p w14:paraId="2C933E71" w14:textId="04C2C9D9" w:rsidR="00235E11" w:rsidRDefault="00F837E4">
        <w:pPr>
          <w:pStyle w:val="Footer"/>
          <w:jc w:val="center"/>
        </w:pPr>
        <w:r>
          <w:fldChar w:fldCharType="begin"/>
        </w:r>
        <w:r>
          <w:instrText xml:space="preserve"> PAGE   \* MERGEFORMAT </w:instrText>
        </w:r>
        <w:r>
          <w:fldChar w:fldCharType="separate"/>
        </w:r>
        <w:r>
          <w:t>153</w:t>
        </w:r>
        <w:r>
          <w:fldChar w:fldCharType="end"/>
        </w:r>
      </w:p>
    </w:sdtContent>
  </w:sdt>
  <w:p w14:paraId="110AAA11" w14:textId="77777777" w:rsidR="00235E11" w:rsidRDefault="00235E11">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0518" w14:textId="77777777" w:rsidR="00235E11" w:rsidRDefault="00235E11">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6C92" w14:textId="77777777" w:rsidR="00235E11" w:rsidRDefault="00235E11">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89511"/>
      <w:docPartObj>
        <w:docPartGallery w:val="Page Numbers (Bottom of Page)"/>
        <w:docPartUnique/>
      </w:docPartObj>
    </w:sdtPr>
    <w:sdtEndPr>
      <w:rPr>
        <w:noProof/>
      </w:rPr>
    </w:sdtEndPr>
    <w:sdtContent>
      <w:p w14:paraId="7B1ADD48" w14:textId="2A180367" w:rsidR="00235E11" w:rsidRDefault="00F837E4">
        <w:pPr>
          <w:pStyle w:val="Footer"/>
          <w:jc w:val="center"/>
        </w:pPr>
        <w:r>
          <w:fldChar w:fldCharType="begin"/>
        </w:r>
        <w:r>
          <w:instrText xml:space="preserve"> PAGE   \* MERGEFORMAT </w:instrText>
        </w:r>
        <w:r>
          <w:fldChar w:fldCharType="separate"/>
        </w:r>
        <w:r>
          <w:t>154</w:t>
        </w:r>
        <w:r>
          <w:fldChar w:fldCharType="end"/>
        </w:r>
      </w:p>
    </w:sdtContent>
  </w:sdt>
  <w:p w14:paraId="3407FA4B" w14:textId="77777777" w:rsidR="00235E11" w:rsidRDefault="00235E1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E2FF5" w14:textId="77777777" w:rsidR="00235E11" w:rsidRDefault="00235E11">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B281" w14:textId="77777777" w:rsidR="00235E11" w:rsidRDefault="00235E11">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04C9" w14:textId="77777777" w:rsidR="00235E11" w:rsidRDefault="00235E11">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933399"/>
      <w:docPartObj>
        <w:docPartGallery w:val="Page Numbers (Bottom of Page)"/>
        <w:docPartUnique/>
      </w:docPartObj>
    </w:sdtPr>
    <w:sdtEndPr>
      <w:rPr>
        <w:noProof/>
      </w:rPr>
    </w:sdtEndPr>
    <w:sdtContent>
      <w:p w14:paraId="12E5F2C2" w14:textId="46574ADF" w:rsidR="00235E11" w:rsidRDefault="00F837E4">
        <w:pPr>
          <w:pStyle w:val="Footer"/>
          <w:jc w:val="center"/>
        </w:pPr>
        <w:r>
          <w:fldChar w:fldCharType="begin"/>
        </w:r>
        <w:r>
          <w:instrText xml:space="preserve"> PAGE   \* MERGEFORMAT </w:instrText>
        </w:r>
        <w:r>
          <w:fldChar w:fldCharType="separate"/>
        </w:r>
        <w:r>
          <w:t>155</w:t>
        </w:r>
        <w:r>
          <w:fldChar w:fldCharType="end"/>
        </w:r>
      </w:p>
    </w:sdtContent>
  </w:sdt>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6469" w14:textId="77777777" w:rsidR="00235E11" w:rsidRDefault="00235E11">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AFC3" w14:textId="77777777" w:rsidR="00235E11" w:rsidRDefault="00235E11">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062710"/>
      <w:docPartObj>
        <w:docPartGallery w:val="Page Numbers (Bottom of Page)"/>
        <w:docPartUnique/>
      </w:docPartObj>
    </w:sdtPr>
    <w:sdtEndPr>
      <w:rPr>
        <w:noProof/>
      </w:rPr>
    </w:sdtEndPr>
    <w:sdtContent>
      <w:p w14:paraId="0E93FA1E" w14:textId="1C719D76" w:rsidR="00235E11" w:rsidRDefault="00F837E4">
        <w:pPr>
          <w:pStyle w:val="Footer"/>
          <w:jc w:val="center"/>
        </w:pPr>
        <w:r>
          <w:fldChar w:fldCharType="begin"/>
        </w:r>
        <w:r>
          <w:instrText xml:space="preserve"> PAGE   \* MERGEFORMAT </w:instrText>
        </w:r>
        <w:r>
          <w:fldChar w:fldCharType="separate"/>
        </w:r>
        <w:r>
          <w:t>156</w:t>
        </w:r>
        <w:r>
          <w:fldChar w:fldCharType="end"/>
        </w:r>
      </w:p>
    </w:sdtContent>
  </w:sdt>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830E" w14:textId="77777777" w:rsidR="00235E11" w:rsidRDefault="00235E11">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C5A5" w14:textId="77777777" w:rsidR="00235E11" w:rsidRDefault="00235E11">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334200"/>
      <w:docPartObj>
        <w:docPartGallery w:val="Page Numbers (Bottom of Page)"/>
        <w:docPartUnique/>
      </w:docPartObj>
    </w:sdtPr>
    <w:sdtEndPr>
      <w:rPr>
        <w:noProof/>
      </w:rPr>
    </w:sdtEndPr>
    <w:sdtContent>
      <w:p w14:paraId="609593FB" w14:textId="1A93592B" w:rsidR="00235E11" w:rsidRDefault="00F837E4">
        <w:pPr>
          <w:pStyle w:val="Footer"/>
          <w:jc w:val="center"/>
        </w:pPr>
        <w:r>
          <w:fldChar w:fldCharType="begin"/>
        </w:r>
        <w:r>
          <w:instrText xml:space="preserve"> PAGE   \* MERGEFORMAT </w:instrText>
        </w:r>
        <w:r>
          <w:fldChar w:fldCharType="separate"/>
        </w:r>
        <w:r>
          <w:t>157</w:t>
        </w:r>
        <w:r>
          <w:fldChar w:fldCharType="end"/>
        </w:r>
      </w:p>
    </w:sdtContent>
  </w:sdt>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A534" w14:textId="77777777" w:rsidR="00235E11" w:rsidRDefault="00235E1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0F13" w14:textId="77777777" w:rsidR="00235E11" w:rsidRDefault="00235E11">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BE35" w14:textId="77777777" w:rsidR="00235E11" w:rsidRDefault="00235E11">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947630"/>
      <w:docPartObj>
        <w:docPartGallery w:val="Page Numbers (Bottom of Page)"/>
        <w:docPartUnique/>
      </w:docPartObj>
    </w:sdtPr>
    <w:sdtEndPr>
      <w:rPr>
        <w:noProof/>
      </w:rPr>
    </w:sdtEndPr>
    <w:sdtContent>
      <w:p w14:paraId="04A7AE11" w14:textId="077AE6FA" w:rsidR="00235E11" w:rsidRDefault="00F837E4">
        <w:pPr>
          <w:pStyle w:val="Footer"/>
          <w:jc w:val="center"/>
        </w:pPr>
        <w:r>
          <w:fldChar w:fldCharType="begin"/>
        </w:r>
        <w:r>
          <w:instrText xml:space="preserve"> PAGE   \* MERGEFORMAT </w:instrText>
        </w:r>
        <w:r>
          <w:fldChar w:fldCharType="separate"/>
        </w:r>
        <w:r>
          <w:t>158</w:t>
        </w:r>
        <w:r>
          <w:fldChar w:fldCharType="end"/>
        </w:r>
      </w:p>
    </w:sdtContent>
  </w:sdt>
  <w:p w14:paraId="6461F06E" w14:textId="77777777" w:rsidR="00235E11" w:rsidRDefault="00235E11">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5434" w14:textId="77777777" w:rsidR="00235E11" w:rsidRDefault="00235E11">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7629" w14:textId="77777777" w:rsidR="00235E11" w:rsidRDefault="00235E11">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647596"/>
      <w:docPartObj>
        <w:docPartGallery w:val="Page Numbers (Bottom of Page)"/>
        <w:docPartUnique/>
      </w:docPartObj>
    </w:sdtPr>
    <w:sdtEndPr>
      <w:rPr>
        <w:noProof/>
      </w:rPr>
    </w:sdtEndPr>
    <w:sdtContent>
      <w:p w14:paraId="2856AF03" w14:textId="42937EDE" w:rsidR="00235E11" w:rsidRDefault="00F837E4">
        <w:pPr>
          <w:pStyle w:val="Footer"/>
          <w:jc w:val="center"/>
        </w:pPr>
        <w:r>
          <w:fldChar w:fldCharType="begin"/>
        </w:r>
        <w:r>
          <w:instrText xml:space="preserve"> PAGE   \* MERGEFORMAT </w:instrText>
        </w:r>
        <w:r>
          <w:fldChar w:fldCharType="separate"/>
        </w:r>
        <w:r>
          <w:t>161</w:t>
        </w:r>
        <w:r>
          <w:fldChar w:fldCharType="end"/>
        </w:r>
      </w:p>
    </w:sdtContent>
  </w:sdt>
  <w:p w14:paraId="264EB9EA" w14:textId="77777777" w:rsidR="00235E11" w:rsidRDefault="00235E11">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7229" w14:textId="77777777" w:rsidR="00235E11" w:rsidRDefault="00235E11">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B141" w14:textId="77777777" w:rsidR="00235E11" w:rsidRDefault="00235E11">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479618"/>
      <w:docPartObj>
        <w:docPartGallery w:val="Page Numbers (Bottom of Page)"/>
        <w:docPartUnique/>
      </w:docPartObj>
    </w:sdtPr>
    <w:sdtEndPr>
      <w:rPr>
        <w:noProof/>
      </w:rPr>
    </w:sdtEndPr>
    <w:sdtContent>
      <w:p w14:paraId="2158C8D9" w14:textId="76A86715" w:rsidR="00235E11" w:rsidRDefault="00F837E4">
        <w:pPr>
          <w:pStyle w:val="Footer"/>
          <w:jc w:val="center"/>
        </w:pPr>
        <w:r>
          <w:fldChar w:fldCharType="begin"/>
        </w:r>
        <w:r>
          <w:instrText xml:space="preserve"> PAGE   \* MERGEFORMAT </w:instrText>
        </w:r>
        <w:r>
          <w:fldChar w:fldCharType="separate"/>
        </w:r>
        <w:r>
          <w:t>171</w:t>
        </w:r>
        <w:r>
          <w:fldChar w:fldCharType="end"/>
        </w:r>
      </w:p>
    </w:sdtContent>
  </w:sdt>
  <w:p w14:paraId="1A4F4124" w14:textId="77777777" w:rsidR="00235E11" w:rsidRDefault="00235E11">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801E" w14:textId="77777777" w:rsidR="00235E11" w:rsidRDefault="00235E1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38123"/>
      <w:docPartObj>
        <w:docPartGallery w:val="Page Numbers (Bottom of Page)"/>
        <w:docPartUnique/>
      </w:docPartObj>
    </w:sdtPr>
    <w:sdtEndPr>
      <w:rPr>
        <w:noProof/>
      </w:rPr>
    </w:sdtEndPr>
    <w:sdtContent>
      <w:p w14:paraId="6066A9F5" w14:textId="1D570836" w:rsidR="00235E11" w:rsidRDefault="00F837E4">
        <w:pPr>
          <w:pStyle w:val="Footer"/>
          <w:jc w:val="center"/>
        </w:pPr>
        <w:r>
          <w:fldChar w:fldCharType="begin"/>
        </w:r>
        <w:r>
          <w:instrText xml:space="preserve"> PAGE   \* MERGEFORMAT </w:instrText>
        </w:r>
        <w:r>
          <w:fldChar w:fldCharType="separate"/>
        </w:r>
        <w:r w:rsidR="00B43552">
          <w:rPr>
            <w:noProof/>
          </w:rPr>
          <w:t>31</w:t>
        </w:r>
        <w:r>
          <w:fldChar w:fldCharType="end"/>
        </w:r>
      </w:p>
    </w:sdtContent>
  </w:sdt>
  <w:p w14:paraId="74AA17B4" w14:textId="77777777" w:rsidR="00235E11" w:rsidRDefault="00235E11">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063D" w14:textId="77777777" w:rsidR="00235E11" w:rsidRDefault="00235E1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5D02" w14:textId="77777777" w:rsidR="00235E11" w:rsidRDefault="0023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F477" w14:textId="6E49FFA7" w:rsidR="00A43D7E" w:rsidRPr="00A66332" w:rsidRDefault="00A66332" w:rsidP="00A66332">
    <w:pPr>
      <w:pStyle w:val="FooterCoverPage"/>
      <w:rPr>
        <w:rFonts w:ascii="Arial" w:hAnsi="Arial" w:cs="Arial"/>
        <w:b/>
        <w:sz w:val="48"/>
      </w:rPr>
    </w:pPr>
    <w:r w:rsidRPr="00A66332">
      <w:rPr>
        <w:rFonts w:ascii="Arial" w:hAnsi="Arial" w:cs="Arial"/>
        <w:b/>
        <w:sz w:val="48"/>
      </w:rPr>
      <w:t>BG</w:t>
    </w:r>
    <w:r w:rsidRPr="00A66332">
      <w:rPr>
        <w:rFonts w:ascii="Arial" w:hAnsi="Arial" w:cs="Arial"/>
        <w:b/>
        <w:sz w:val="48"/>
      </w:rPr>
      <w:tab/>
    </w:r>
    <w:r w:rsidRPr="00A66332">
      <w:rPr>
        <w:rFonts w:ascii="Arial" w:hAnsi="Arial" w:cs="Arial"/>
        <w:b/>
        <w:sz w:val="48"/>
      </w:rPr>
      <w:tab/>
    </w:r>
    <w:r w:rsidRPr="00A66332">
      <w:tab/>
    </w:r>
    <w:r w:rsidRPr="00A66332">
      <w:rPr>
        <w:rFonts w:ascii="Arial" w:hAnsi="Arial" w:cs="Arial"/>
        <w:b/>
        <w:sz w:val="48"/>
      </w:rPr>
      <w:t>BG</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973650"/>
      <w:docPartObj>
        <w:docPartGallery w:val="Page Numbers (Bottom of Page)"/>
        <w:docPartUnique/>
      </w:docPartObj>
    </w:sdtPr>
    <w:sdtEndPr>
      <w:rPr>
        <w:noProof/>
      </w:rPr>
    </w:sdtEndPr>
    <w:sdtContent>
      <w:p w14:paraId="5155E43F" w14:textId="63393893" w:rsidR="00235E11" w:rsidRDefault="00F837E4">
        <w:pPr>
          <w:pStyle w:val="Footer"/>
          <w:jc w:val="center"/>
        </w:pPr>
        <w:r>
          <w:fldChar w:fldCharType="begin"/>
        </w:r>
        <w:r>
          <w:instrText xml:space="preserve"> PAGE   \* MERGEFORMAT </w:instrText>
        </w:r>
        <w:r>
          <w:fldChar w:fldCharType="separate"/>
        </w:r>
        <w:r w:rsidR="00B43552">
          <w:rPr>
            <w:noProof/>
          </w:rPr>
          <w:t>34</w:t>
        </w:r>
        <w:r>
          <w:fldChar w:fldCharType="end"/>
        </w:r>
      </w:p>
    </w:sdtContent>
  </w:sdt>
  <w:p w14:paraId="21400900" w14:textId="77777777" w:rsidR="00235E11" w:rsidRDefault="00235E11">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B96E" w14:textId="77777777" w:rsidR="00235E11" w:rsidRDefault="00235E1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74D8" w14:textId="77777777" w:rsidR="00235E11" w:rsidRDefault="00235E1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0941"/>
      <w:docPartObj>
        <w:docPartGallery w:val="Page Numbers (Bottom of Page)"/>
        <w:docPartUnique/>
      </w:docPartObj>
    </w:sdtPr>
    <w:sdtEndPr>
      <w:rPr>
        <w:noProof/>
      </w:rPr>
    </w:sdtEndPr>
    <w:sdtContent>
      <w:p w14:paraId="07D93671" w14:textId="586A20D6" w:rsidR="00235E11" w:rsidRDefault="00F837E4">
        <w:pPr>
          <w:pStyle w:val="Footer"/>
          <w:jc w:val="center"/>
        </w:pPr>
        <w:r>
          <w:fldChar w:fldCharType="begin"/>
        </w:r>
        <w:r>
          <w:instrText xml:space="preserve"> PAGE   \* MERGEFORMAT </w:instrText>
        </w:r>
        <w:r>
          <w:fldChar w:fldCharType="separate"/>
        </w:r>
        <w:r w:rsidR="00B43552">
          <w:rPr>
            <w:noProof/>
          </w:rPr>
          <w:t>36</w:t>
        </w:r>
        <w:r>
          <w:fldChar w:fldCharType="end"/>
        </w:r>
      </w:p>
    </w:sdtContent>
  </w:sdt>
  <w:p w14:paraId="5A7AF2E0" w14:textId="77777777" w:rsidR="00235E11" w:rsidRDefault="00235E11">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A35B" w14:textId="77777777" w:rsidR="00235E11" w:rsidRDefault="00235E1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9640" w14:textId="77777777" w:rsidR="00235E11" w:rsidRDefault="00235E1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762172"/>
      <w:docPartObj>
        <w:docPartGallery w:val="Page Numbers (Bottom of Page)"/>
        <w:docPartUnique/>
      </w:docPartObj>
    </w:sdtPr>
    <w:sdtEndPr>
      <w:rPr>
        <w:noProof/>
      </w:rPr>
    </w:sdtEndPr>
    <w:sdtContent>
      <w:p w14:paraId="769B9689" w14:textId="1E555484" w:rsidR="00235E11" w:rsidRDefault="00F837E4">
        <w:pPr>
          <w:pStyle w:val="Footer"/>
          <w:jc w:val="center"/>
        </w:pPr>
        <w:r>
          <w:fldChar w:fldCharType="begin"/>
        </w:r>
        <w:r>
          <w:instrText xml:space="preserve"> PAGE   \* MERGEFORMAT </w:instrText>
        </w:r>
        <w:r>
          <w:fldChar w:fldCharType="separate"/>
        </w:r>
        <w:r>
          <w:t>32</w:t>
        </w:r>
        <w:r>
          <w:fldChar w:fldCharType="end"/>
        </w:r>
      </w:p>
    </w:sdtContent>
  </w:sdt>
  <w:p w14:paraId="5CF0BF9A" w14:textId="77777777" w:rsidR="00235E11" w:rsidRDefault="00235E11">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5C4E4" w14:textId="77777777" w:rsidR="00235E11" w:rsidRDefault="00235E1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F8EB" w14:textId="77777777" w:rsidR="00235E11" w:rsidRDefault="00235E1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85394"/>
      <w:docPartObj>
        <w:docPartGallery w:val="Page Numbers (Bottom of Page)"/>
        <w:docPartUnique/>
      </w:docPartObj>
    </w:sdtPr>
    <w:sdtEndPr>
      <w:rPr>
        <w:noProof/>
      </w:rPr>
    </w:sdtEndPr>
    <w:sdtContent>
      <w:p w14:paraId="1D6E6959" w14:textId="6FB85473" w:rsidR="00235E11" w:rsidRDefault="00F837E4">
        <w:pPr>
          <w:pStyle w:val="Footer"/>
          <w:jc w:val="center"/>
        </w:pPr>
        <w:r>
          <w:fldChar w:fldCharType="begin"/>
        </w:r>
        <w:r>
          <w:instrText xml:space="preserve"> PAGE   \* MERGEFORMAT </w:instrText>
        </w:r>
        <w:r>
          <w:fldChar w:fldCharType="separate"/>
        </w:r>
        <w:r>
          <w:t>37</w:t>
        </w:r>
        <w:r>
          <w:fldChar w:fldCharType="end"/>
        </w:r>
      </w:p>
    </w:sdtContent>
  </w:sdt>
  <w:p w14:paraId="62E568AE" w14:textId="77777777" w:rsidR="00235E11" w:rsidRDefault="00235E1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B280B" w14:textId="77777777" w:rsidR="00A66332" w:rsidRPr="00A66332" w:rsidRDefault="00A66332" w:rsidP="00A66332">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B36F" w14:textId="77777777" w:rsidR="00235E11" w:rsidRDefault="00235E1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C8306" w14:textId="77777777" w:rsidR="00235E11" w:rsidRDefault="00235E1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540123"/>
      <w:docPartObj>
        <w:docPartGallery w:val="Page Numbers (Bottom of Page)"/>
        <w:docPartUnique/>
      </w:docPartObj>
    </w:sdtPr>
    <w:sdtEndPr>
      <w:rPr>
        <w:noProof/>
      </w:rPr>
    </w:sdtEndPr>
    <w:sdtContent>
      <w:p w14:paraId="2852CDD1" w14:textId="0D73EAF1" w:rsidR="00235E11" w:rsidRDefault="00F837E4">
        <w:pPr>
          <w:pStyle w:val="Footer"/>
          <w:jc w:val="center"/>
        </w:pPr>
        <w:r>
          <w:fldChar w:fldCharType="begin"/>
        </w:r>
        <w:r>
          <w:instrText xml:space="preserve"> PAGE   \* MERGEFORMAT </w:instrText>
        </w:r>
        <w:r>
          <w:fldChar w:fldCharType="separate"/>
        </w:r>
        <w:r>
          <w:t>49</w:t>
        </w:r>
        <w:r>
          <w:fldChar w:fldCharType="end"/>
        </w:r>
      </w:p>
    </w:sdtContent>
  </w:sdt>
  <w:p w14:paraId="6196E79E" w14:textId="77777777" w:rsidR="00235E11" w:rsidRDefault="00235E11">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12F5" w14:textId="77777777" w:rsidR="00235E11" w:rsidRDefault="00235E1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1E94" w14:textId="77777777" w:rsidR="00235E11" w:rsidRDefault="00235E1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26315"/>
      <w:docPartObj>
        <w:docPartGallery w:val="Page Numbers (Bottom of Page)"/>
        <w:docPartUnique/>
      </w:docPartObj>
    </w:sdtPr>
    <w:sdtEndPr>
      <w:rPr>
        <w:noProof/>
      </w:rPr>
    </w:sdtEndPr>
    <w:sdtContent>
      <w:p w14:paraId="5FB2E0A8" w14:textId="09CC0B9D" w:rsidR="00235E11" w:rsidRDefault="00F837E4">
        <w:pPr>
          <w:pStyle w:val="Footer"/>
          <w:jc w:val="center"/>
        </w:pPr>
        <w:r>
          <w:fldChar w:fldCharType="begin"/>
        </w:r>
        <w:r>
          <w:instrText xml:space="preserve"> PAGE   \* MERGEFORMAT </w:instrText>
        </w:r>
        <w:r>
          <w:fldChar w:fldCharType="separate"/>
        </w:r>
        <w:r>
          <w:t>52</w:t>
        </w:r>
        <w:r>
          <w:fldChar w:fldCharType="end"/>
        </w:r>
      </w:p>
    </w:sdtContent>
  </w:sdt>
  <w:p w14:paraId="33431617" w14:textId="77777777" w:rsidR="00235E11" w:rsidRDefault="00235E11">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8EBE" w14:textId="77777777" w:rsidR="00235E11" w:rsidRDefault="00235E1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A2CC" w14:textId="77777777" w:rsidR="00235E11" w:rsidRDefault="00235E1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20764"/>
      <w:docPartObj>
        <w:docPartGallery w:val="Page Numbers (Bottom of Page)"/>
        <w:docPartUnique/>
      </w:docPartObj>
    </w:sdtPr>
    <w:sdtEndPr>
      <w:rPr>
        <w:noProof/>
      </w:rPr>
    </w:sdtEndPr>
    <w:sdtContent>
      <w:p w14:paraId="7B5069F8" w14:textId="2D5EB67A" w:rsidR="00235E11" w:rsidRDefault="00F837E4">
        <w:pPr>
          <w:pStyle w:val="Footer"/>
          <w:jc w:val="center"/>
        </w:pPr>
        <w:r>
          <w:fldChar w:fldCharType="begin"/>
        </w:r>
        <w:r>
          <w:instrText xml:space="preserve"> PAGE   \* MERGEFORMAT </w:instrText>
        </w:r>
        <w:r>
          <w:fldChar w:fldCharType="separate"/>
        </w:r>
        <w:r>
          <w:t>53</w:t>
        </w:r>
        <w:r>
          <w:fldChar w:fldCharType="end"/>
        </w:r>
      </w:p>
    </w:sdtContent>
  </w:sdt>
  <w:p w14:paraId="1FBB1861" w14:textId="77777777" w:rsidR="00235E11" w:rsidRDefault="00235E11">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3572" w14:textId="77777777" w:rsidR="00235E11" w:rsidRDefault="00235E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55FA" w14:textId="77777777" w:rsidR="00235E11" w:rsidRDefault="00235E1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340D" w14:textId="77777777" w:rsidR="00235E11" w:rsidRDefault="00235E1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649356"/>
      <w:docPartObj>
        <w:docPartGallery w:val="Page Numbers (Bottom of Page)"/>
        <w:docPartUnique/>
      </w:docPartObj>
    </w:sdtPr>
    <w:sdtEndPr>
      <w:rPr>
        <w:noProof/>
      </w:rPr>
    </w:sdtEndPr>
    <w:sdtContent>
      <w:p w14:paraId="15BD9757" w14:textId="0E8D0E5D" w:rsidR="00235E11" w:rsidRDefault="00F837E4">
        <w:pPr>
          <w:pStyle w:val="Footer"/>
          <w:jc w:val="center"/>
        </w:pPr>
        <w:r>
          <w:fldChar w:fldCharType="begin"/>
        </w:r>
        <w:r>
          <w:instrText xml:space="preserve"> PAGE   \* MERGEFORMAT </w:instrText>
        </w:r>
        <w:r>
          <w:fldChar w:fldCharType="separate"/>
        </w:r>
        <w:r>
          <w:t>55</w:t>
        </w:r>
        <w:r>
          <w:fldChar w:fldCharType="end"/>
        </w:r>
      </w:p>
    </w:sdtContent>
  </w:sdt>
  <w:p w14:paraId="78D5CE2D" w14:textId="77777777" w:rsidR="00235E11" w:rsidRDefault="00235E11">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12C1" w14:textId="77777777" w:rsidR="00235E11" w:rsidRDefault="00235E1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EB1C" w14:textId="77777777" w:rsidR="00235E11" w:rsidRDefault="00235E1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298273"/>
      <w:docPartObj>
        <w:docPartGallery w:val="Page Numbers (Bottom of Page)"/>
        <w:docPartUnique/>
      </w:docPartObj>
    </w:sdtPr>
    <w:sdtEndPr>
      <w:rPr>
        <w:noProof/>
      </w:rPr>
    </w:sdtEndPr>
    <w:sdtContent>
      <w:p w14:paraId="2DD6240F" w14:textId="3E6EFCC5" w:rsidR="00235E11" w:rsidRDefault="00F837E4">
        <w:pPr>
          <w:pStyle w:val="Footer"/>
          <w:jc w:val="center"/>
        </w:pPr>
        <w:r>
          <w:fldChar w:fldCharType="begin"/>
        </w:r>
        <w:r>
          <w:instrText xml:space="preserve"> PAGE   \* MERGEFORMAT </w:instrText>
        </w:r>
        <w:r>
          <w:fldChar w:fldCharType="separate"/>
        </w:r>
        <w:r>
          <w:t>59</w:t>
        </w:r>
        <w:r>
          <w:fldChar w:fldCharType="end"/>
        </w:r>
      </w:p>
    </w:sdtContent>
  </w:sdt>
  <w:p w14:paraId="14AADCFF" w14:textId="77777777" w:rsidR="00235E11" w:rsidRDefault="00235E11">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9687" w14:textId="77777777" w:rsidR="00235E11" w:rsidRDefault="00235E1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C9E3" w14:textId="77777777" w:rsidR="00235E11" w:rsidRDefault="00235E1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903623"/>
      <w:docPartObj>
        <w:docPartGallery w:val="Page Numbers (Bottom of Page)"/>
        <w:docPartUnique/>
      </w:docPartObj>
    </w:sdtPr>
    <w:sdtEndPr>
      <w:rPr>
        <w:noProof/>
      </w:rPr>
    </w:sdtEndPr>
    <w:sdtContent>
      <w:p w14:paraId="5E40FBE6" w14:textId="087810A6" w:rsidR="00235E11" w:rsidRDefault="00F837E4">
        <w:pPr>
          <w:pStyle w:val="Footer"/>
          <w:jc w:val="center"/>
        </w:pPr>
        <w:r>
          <w:fldChar w:fldCharType="begin"/>
        </w:r>
        <w:r>
          <w:instrText xml:space="preserve"> PAGE   \* MERGEFORMAT </w:instrText>
        </w:r>
        <w:r>
          <w:fldChar w:fldCharType="separate"/>
        </w:r>
        <w:r>
          <w:t>60</w:t>
        </w:r>
        <w:r>
          <w:fldChar w:fldCharType="end"/>
        </w:r>
      </w:p>
    </w:sdtContent>
  </w:sdt>
  <w:p w14:paraId="02B6E8DB" w14:textId="77777777" w:rsidR="00235E11" w:rsidRDefault="00235E11">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A818" w14:textId="77777777" w:rsidR="00235E11" w:rsidRDefault="00235E1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13F4" w14:textId="77777777" w:rsidR="00235E11" w:rsidRDefault="00235E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20848"/>
      <w:docPartObj>
        <w:docPartGallery w:val="Page Numbers (Bottom of Page)"/>
        <w:docPartUnique/>
      </w:docPartObj>
    </w:sdtPr>
    <w:sdtEndPr>
      <w:rPr>
        <w:noProof/>
      </w:rPr>
    </w:sdtEndPr>
    <w:sdtContent>
      <w:p w14:paraId="39665E52" w14:textId="79856E67" w:rsidR="00235E11" w:rsidRDefault="00F837E4">
        <w:pPr>
          <w:pStyle w:val="Footer"/>
          <w:jc w:val="center"/>
        </w:pPr>
        <w:r>
          <w:fldChar w:fldCharType="begin"/>
        </w:r>
        <w:r>
          <w:instrText xml:space="preserve"> PAGE   \* MERGEFORMAT </w:instrText>
        </w:r>
        <w:r>
          <w:fldChar w:fldCharType="separate"/>
        </w:r>
        <w:r w:rsidR="00A66332">
          <w:rPr>
            <w:noProof/>
          </w:rPr>
          <w:t>3</w:t>
        </w:r>
        <w: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393808"/>
      <w:docPartObj>
        <w:docPartGallery w:val="Page Numbers (Bottom of Page)"/>
        <w:docPartUnique/>
      </w:docPartObj>
    </w:sdtPr>
    <w:sdtEndPr>
      <w:rPr>
        <w:noProof/>
      </w:rPr>
    </w:sdtEndPr>
    <w:sdtContent>
      <w:p w14:paraId="57FFEAD7" w14:textId="08BF8138" w:rsidR="00235E11" w:rsidRDefault="00F837E4">
        <w:pPr>
          <w:pStyle w:val="Footer"/>
          <w:jc w:val="center"/>
        </w:pPr>
        <w:r>
          <w:fldChar w:fldCharType="begin"/>
        </w:r>
        <w:r>
          <w:instrText xml:space="preserve"> PAGE   \* MERGEFORMAT </w:instrText>
        </w:r>
        <w:r>
          <w:fldChar w:fldCharType="separate"/>
        </w:r>
        <w:r>
          <w:t>62</w:t>
        </w:r>
        <w:r>
          <w:fldChar w:fldCharType="end"/>
        </w:r>
      </w:p>
    </w:sdtContent>
  </w:sdt>
  <w:p w14:paraId="5FFEC52D" w14:textId="77777777" w:rsidR="00235E11" w:rsidRDefault="00235E11">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BF08" w14:textId="77777777" w:rsidR="00235E11" w:rsidRDefault="00235E1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015AD" w14:textId="77777777" w:rsidR="00235E11" w:rsidRDefault="00235E1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919319"/>
      <w:docPartObj>
        <w:docPartGallery w:val="Page Numbers (Bottom of Page)"/>
        <w:docPartUnique/>
      </w:docPartObj>
    </w:sdtPr>
    <w:sdtEndPr>
      <w:rPr>
        <w:noProof/>
      </w:rPr>
    </w:sdtEndPr>
    <w:sdtContent>
      <w:p w14:paraId="55CFC455" w14:textId="507406B9" w:rsidR="00235E11" w:rsidRDefault="00F837E4">
        <w:pPr>
          <w:pStyle w:val="Footer"/>
          <w:jc w:val="center"/>
        </w:pPr>
        <w:r>
          <w:fldChar w:fldCharType="begin"/>
        </w:r>
        <w:r>
          <w:instrText xml:space="preserve"> PAGE   \* MERGEFORMAT </w:instrText>
        </w:r>
        <w:r>
          <w:fldChar w:fldCharType="separate"/>
        </w:r>
        <w:r>
          <w:t>63</w:t>
        </w:r>
        <w:r>
          <w:fldChar w:fldCharType="end"/>
        </w:r>
      </w:p>
    </w:sdtContent>
  </w:sdt>
  <w:p w14:paraId="50A663A8" w14:textId="77777777" w:rsidR="00235E11" w:rsidRDefault="00235E11">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054A" w14:textId="77777777" w:rsidR="00235E11" w:rsidRDefault="00235E1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2AF16" w14:textId="77777777" w:rsidR="00235E11" w:rsidRDefault="00235E1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949622"/>
      <w:docPartObj>
        <w:docPartGallery w:val="Page Numbers (Bottom of Page)"/>
        <w:docPartUnique/>
      </w:docPartObj>
    </w:sdtPr>
    <w:sdtEndPr>
      <w:rPr>
        <w:noProof/>
      </w:rPr>
    </w:sdtEndPr>
    <w:sdtContent>
      <w:p w14:paraId="7E2671D1" w14:textId="4A61D58E" w:rsidR="00235E11" w:rsidRDefault="00F837E4">
        <w:pPr>
          <w:pStyle w:val="Footer"/>
          <w:jc w:val="center"/>
        </w:pPr>
        <w:r>
          <w:fldChar w:fldCharType="begin"/>
        </w:r>
        <w:r>
          <w:instrText xml:space="preserve"> PAGE   \* MERGEFORMAT </w:instrText>
        </w:r>
        <w:r>
          <w:fldChar w:fldCharType="separate"/>
        </w:r>
        <w:r>
          <w:t>64</w:t>
        </w:r>
        <w:r>
          <w:fldChar w:fldCharType="end"/>
        </w:r>
      </w:p>
    </w:sdtContent>
  </w:sdt>
  <w:p w14:paraId="0776DC3D" w14:textId="77777777" w:rsidR="00235E11" w:rsidRDefault="00235E11">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B0EE4" w14:textId="77777777" w:rsidR="00235E11" w:rsidRDefault="00235E1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2151" w14:textId="77777777" w:rsidR="00235E11" w:rsidRDefault="00235E1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833690"/>
      <w:docPartObj>
        <w:docPartGallery w:val="Page Numbers (Bottom of Page)"/>
        <w:docPartUnique/>
      </w:docPartObj>
    </w:sdtPr>
    <w:sdtEndPr>
      <w:rPr>
        <w:noProof/>
      </w:rPr>
    </w:sdtEndPr>
    <w:sdtContent>
      <w:p w14:paraId="2F407D2B" w14:textId="17BD48EB" w:rsidR="00235E11" w:rsidRDefault="00F837E4">
        <w:pPr>
          <w:pStyle w:val="Footer"/>
          <w:jc w:val="center"/>
        </w:pPr>
        <w:r>
          <w:fldChar w:fldCharType="begin"/>
        </w:r>
        <w:r>
          <w:instrText xml:space="preserve"> PAGE   \* MERGEFORMAT </w:instrText>
        </w:r>
        <w:r>
          <w:fldChar w:fldCharType="separate"/>
        </w:r>
        <w:r>
          <w:t>67</w:t>
        </w:r>
        <w:r>
          <w:fldChar w:fldCharType="end"/>
        </w:r>
      </w:p>
    </w:sdtContent>
  </w:sdt>
  <w:p w14:paraId="0CC2FEB6" w14:textId="77777777" w:rsidR="00235E11" w:rsidRDefault="00235E11">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E182" w14:textId="77777777" w:rsidR="00235E11" w:rsidRDefault="00235E1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24F" w14:textId="77777777" w:rsidR="00235E11" w:rsidRDefault="00235E1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D3A3" w14:textId="77777777" w:rsidR="00235E11" w:rsidRDefault="00235E1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029198"/>
      <w:docPartObj>
        <w:docPartGallery w:val="Page Numbers (Bottom of Page)"/>
        <w:docPartUnique/>
      </w:docPartObj>
    </w:sdtPr>
    <w:sdtEndPr>
      <w:rPr>
        <w:noProof/>
      </w:rPr>
    </w:sdtEndPr>
    <w:sdtContent>
      <w:p w14:paraId="10BF910B" w14:textId="60EB352F" w:rsidR="00235E11" w:rsidRDefault="00F837E4">
        <w:pPr>
          <w:pStyle w:val="Footer"/>
          <w:jc w:val="center"/>
        </w:pPr>
        <w:r>
          <w:fldChar w:fldCharType="begin"/>
        </w:r>
        <w:r>
          <w:instrText xml:space="preserve"> PAGE   \* MERGEFORMAT </w:instrText>
        </w:r>
        <w:r>
          <w:fldChar w:fldCharType="separate"/>
        </w:r>
        <w:r>
          <w:t>72</w:t>
        </w:r>
        <w:r>
          <w:fldChar w:fldCharType="end"/>
        </w:r>
      </w:p>
    </w:sdtContent>
  </w:sdt>
  <w:p w14:paraId="488B47B5" w14:textId="77777777" w:rsidR="00235E11" w:rsidRDefault="00235E11">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A3E" w14:textId="77777777" w:rsidR="00235E11" w:rsidRDefault="00235E1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AB9D8" w14:textId="77777777" w:rsidR="00235E11" w:rsidRDefault="00235E1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350886"/>
      <w:docPartObj>
        <w:docPartGallery w:val="Page Numbers (Bottom of Page)"/>
        <w:docPartUnique/>
      </w:docPartObj>
    </w:sdtPr>
    <w:sdtEndPr>
      <w:rPr>
        <w:noProof/>
      </w:rPr>
    </w:sdtEndPr>
    <w:sdtContent>
      <w:p w14:paraId="760C28C6" w14:textId="69B05F74" w:rsidR="00235E11" w:rsidRDefault="00F837E4">
        <w:pPr>
          <w:pStyle w:val="Footer"/>
          <w:jc w:val="center"/>
        </w:pPr>
        <w:r>
          <w:fldChar w:fldCharType="begin"/>
        </w:r>
        <w:r>
          <w:instrText xml:space="preserve"> PAGE   \* MERGEFORMAT </w:instrText>
        </w:r>
        <w:r>
          <w:fldChar w:fldCharType="separate"/>
        </w:r>
        <w:r>
          <w:t>75</w:t>
        </w:r>
        <w:r>
          <w:fldChar w:fldCharType="end"/>
        </w:r>
      </w:p>
    </w:sdtContent>
  </w:sdt>
  <w:p w14:paraId="25FE9F8F" w14:textId="77777777" w:rsidR="00235E11" w:rsidRDefault="00235E11">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1475A" w14:textId="77777777" w:rsidR="00235E11" w:rsidRDefault="00235E1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FC1C" w14:textId="77777777" w:rsidR="00235E11" w:rsidRDefault="00235E11">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299349"/>
      <w:docPartObj>
        <w:docPartGallery w:val="Page Numbers (Bottom of Page)"/>
        <w:docPartUnique/>
      </w:docPartObj>
    </w:sdtPr>
    <w:sdtEndPr>
      <w:rPr>
        <w:noProof/>
      </w:rPr>
    </w:sdtEndPr>
    <w:sdtContent>
      <w:p w14:paraId="47EEDFEC" w14:textId="02132117" w:rsidR="00235E11" w:rsidRDefault="00F837E4">
        <w:pPr>
          <w:pStyle w:val="Footer"/>
          <w:jc w:val="center"/>
        </w:pPr>
        <w:r>
          <w:fldChar w:fldCharType="begin"/>
        </w:r>
        <w:r>
          <w:instrText xml:space="preserve"> PAGE   \* MERGEFORMAT </w:instrText>
        </w:r>
        <w:r>
          <w:fldChar w:fldCharType="separate"/>
        </w:r>
        <w:r>
          <w:t>82</w:t>
        </w:r>
        <w:r>
          <w:fldChar w:fldCharType="end"/>
        </w:r>
      </w:p>
    </w:sdtContent>
  </w:sdt>
  <w:p w14:paraId="1420C27B" w14:textId="77777777" w:rsidR="00235E11" w:rsidRDefault="00235E11">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D0FE2" w14:textId="77777777" w:rsidR="00235E11" w:rsidRDefault="00235E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F07FC" w14:textId="77777777" w:rsidR="00235E11" w:rsidRDefault="00235E1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6C63" w14:textId="77777777" w:rsidR="00235E11" w:rsidRDefault="00235E1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801092"/>
      <w:docPartObj>
        <w:docPartGallery w:val="Page Numbers (Bottom of Page)"/>
        <w:docPartUnique/>
      </w:docPartObj>
    </w:sdtPr>
    <w:sdtEndPr>
      <w:rPr>
        <w:noProof/>
      </w:rPr>
    </w:sdtEndPr>
    <w:sdtContent>
      <w:p w14:paraId="056F7FFB" w14:textId="746F6A2B" w:rsidR="00235E11" w:rsidRDefault="00F837E4">
        <w:pPr>
          <w:pStyle w:val="Footer"/>
          <w:jc w:val="center"/>
        </w:pPr>
        <w:r>
          <w:fldChar w:fldCharType="begin"/>
        </w:r>
        <w:r>
          <w:instrText xml:space="preserve"> PAGE   \* MERGEFORMAT </w:instrText>
        </w:r>
        <w:r>
          <w:fldChar w:fldCharType="separate"/>
        </w:r>
        <w:r>
          <w:t>84</w:t>
        </w:r>
        <w:r>
          <w:fldChar w:fldCharType="end"/>
        </w:r>
      </w:p>
    </w:sdtContent>
  </w:sdt>
  <w:p w14:paraId="69B28605" w14:textId="77777777" w:rsidR="00235E11" w:rsidRDefault="00235E11">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BA6A" w14:textId="77777777" w:rsidR="00235E11" w:rsidRDefault="00235E1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878D" w14:textId="77777777" w:rsidR="00235E11" w:rsidRDefault="00235E1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080785"/>
      <w:docPartObj>
        <w:docPartGallery w:val="Page Numbers (Bottom of Page)"/>
        <w:docPartUnique/>
      </w:docPartObj>
    </w:sdtPr>
    <w:sdtEndPr>
      <w:rPr>
        <w:noProof/>
      </w:rPr>
    </w:sdtEndPr>
    <w:sdtContent>
      <w:p w14:paraId="1511CE68" w14:textId="4752C77D" w:rsidR="00235E11" w:rsidRDefault="00F837E4">
        <w:pPr>
          <w:pStyle w:val="Footer"/>
          <w:jc w:val="center"/>
        </w:pPr>
        <w:r>
          <w:fldChar w:fldCharType="begin"/>
        </w:r>
        <w:r>
          <w:instrText xml:space="preserve"> PAGE   \* MERGEFORMAT </w:instrText>
        </w:r>
        <w:r>
          <w:fldChar w:fldCharType="separate"/>
        </w:r>
        <w:r>
          <w:t>90</w:t>
        </w:r>
        <w:r>
          <w:fldChar w:fldCharType="end"/>
        </w:r>
      </w:p>
    </w:sdtContent>
  </w:sdt>
  <w:p w14:paraId="4D6EA2B2" w14:textId="77777777" w:rsidR="00235E11" w:rsidRDefault="00235E11">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B8C6" w14:textId="77777777" w:rsidR="00235E11" w:rsidRDefault="00235E11">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8767" w14:textId="77777777" w:rsidR="00235E11" w:rsidRDefault="00235E1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410277"/>
      <w:docPartObj>
        <w:docPartGallery w:val="Page Numbers (Bottom of Page)"/>
        <w:docPartUnique/>
      </w:docPartObj>
    </w:sdtPr>
    <w:sdtEndPr>
      <w:rPr>
        <w:noProof/>
      </w:rPr>
    </w:sdtEndPr>
    <w:sdtContent>
      <w:p w14:paraId="348DA4D2" w14:textId="79C1D4F6" w:rsidR="00235E11" w:rsidRDefault="00F837E4">
        <w:pPr>
          <w:pStyle w:val="Footer"/>
          <w:jc w:val="center"/>
        </w:pPr>
        <w:r>
          <w:fldChar w:fldCharType="begin"/>
        </w:r>
        <w:r>
          <w:instrText xml:space="preserve"> PAGE   \* MERGEFORMAT </w:instrText>
        </w:r>
        <w:r>
          <w:fldChar w:fldCharType="separate"/>
        </w:r>
        <w:r>
          <w:t>92</w:t>
        </w:r>
        <w:r>
          <w:fldChar w:fldCharType="end"/>
        </w:r>
      </w:p>
    </w:sdtContent>
  </w:sdt>
  <w:p w14:paraId="6CB55A14" w14:textId="77777777" w:rsidR="00235E11" w:rsidRDefault="00235E11">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E9EE" w14:textId="77777777" w:rsidR="00235E11" w:rsidRDefault="00235E11">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776F" w14:textId="77777777" w:rsidR="00235E11" w:rsidRDefault="00235E1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885841"/>
      <w:docPartObj>
        <w:docPartGallery w:val="Page Numbers (Bottom of Page)"/>
        <w:docPartUnique/>
      </w:docPartObj>
    </w:sdtPr>
    <w:sdtEndPr>
      <w:rPr>
        <w:noProof/>
      </w:rPr>
    </w:sdtEndPr>
    <w:sdtContent>
      <w:p w14:paraId="627B7EB4" w14:textId="695DBC6A" w:rsidR="00235E11" w:rsidRDefault="00F837E4">
        <w:pPr>
          <w:pStyle w:val="Footer"/>
          <w:jc w:val="center"/>
        </w:pPr>
        <w:r>
          <w:fldChar w:fldCharType="begin"/>
        </w:r>
        <w:r>
          <w:instrText xml:space="preserve"> PAGE   \* MERGEFORMAT </w:instrText>
        </w:r>
        <w:r>
          <w:fldChar w:fldCharType="separate"/>
        </w:r>
        <w:r w:rsidR="00A66332">
          <w:rPr>
            <w:noProof/>
          </w:rPr>
          <w:t>6</w:t>
        </w:r>
        <w:r>
          <w:fldChar w:fldCharType="end"/>
        </w:r>
      </w:p>
    </w:sdtContent>
  </w:sdt>
  <w:p w14:paraId="2E48480C" w14:textId="77777777" w:rsidR="00235E11" w:rsidRDefault="00235E11">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579829"/>
      <w:docPartObj>
        <w:docPartGallery w:val="Page Numbers (Bottom of Page)"/>
        <w:docPartUnique/>
      </w:docPartObj>
    </w:sdtPr>
    <w:sdtEndPr>
      <w:rPr>
        <w:noProof/>
      </w:rPr>
    </w:sdtEndPr>
    <w:sdtContent>
      <w:p w14:paraId="47A04B30" w14:textId="305C3739" w:rsidR="00235E11" w:rsidRDefault="00F837E4">
        <w:pPr>
          <w:pStyle w:val="Footer"/>
          <w:jc w:val="center"/>
        </w:pPr>
        <w:r>
          <w:fldChar w:fldCharType="begin"/>
        </w:r>
        <w:r>
          <w:instrText xml:space="preserve"> PAGE   \* MERGEFORMAT </w:instrText>
        </w:r>
        <w:r>
          <w:fldChar w:fldCharType="separate"/>
        </w:r>
        <w:r>
          <w:t>96</w:t>
        </w:r>
        <w:r>
          <w:fldChar w:fldCharType="end"/>
        </w:r>
      </w:p>
    </w:sdtContent>
  </w:sdt>
  <w:p w14:paraId="4E6D8B2E" w14:textId="77777777" w:rsidR="00235E11" w:rsidRDefault="00235E11">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84CB" w14:textId="77777777" w:rsidR="00235E11" w:rsidRDefault="00235E11">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1EB9" w14:textId="77777777" w:rsidR="00235E11" w:rsidRDefault="00235E1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605170"/>
      <w:docPartObj>
        <w:docPartGallery w:val="Page Numbers (Bottom of Page)"/>
        <w:docPartUnique/>
      </w:docPartObj>
    </w:sdtPr>
    <w:sdtEndPr>
      <w:rPr>
        <w:noProof/>
      </w:rPr>
    </w:sdtEndPr>
    <w:sdtContent>
      <w:p w14:paraId="06B1F74A" w14:textId="6134797A" w:rsidR="00235E11" w:rsidRDefault="00F837E4">
        <w:pPr>
          <w:pStyle w:val="Footer"/>
          <w:jc w:val="center"/>
        </w:pPr>
        <w:r>
          <w:fldChar w:fldCharType="begin"/>
        </w:r>
        <w:r>
          <w:instrText xml:space="preserve"> PAGE   \* MERGEFORMAT </w:instrText>
        </w:r>
        <w:r>
          <w:fldChar w:fldCharType="separate"/>
        </w:r>
        <w:r>
          <w:t>97</w:t>
        </w:r>
        <w:r>
          <w:fldChar w:fldCharType="end"/>
        </w:r>
      </w:p>
    </w:sdtContent>
  </w:sdt>
  <w:p w14:paraId="7911548D" w14:textId="77777777" w:rsidR="00235E11" w:rsidRDefault="00235E11">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19A32" w14:textId="77777777" w:rsidR="00235E11" w:rsidRDefault="00235E11">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9918" w14:textId="77777777" w:rsidR="00235E11" w:rsidRDefault="00235E11">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083674"/>
      <w:docPartObj>
        <w:docPartGallery w:val="Page Numbers (Bottom of Page)"/>
        <w:docPartUnique/>
      </w:docPartObj>
    </w:sdtPr>
    <w:sdtEndPr>
      <w:rPr>
        <w:noProof/>
      </w:rPr>
    </w:sdtEndPr>
    <w:sdtContent>
      <w:p w14:paraId="1CEED687" w14:textId="27860054" w:rsidR="00235E11" w:rsidRDefault="00F837E4">
        <w:pPr>
          <w:pStyle w:val="Footer"/>
          <w:jc w:val="center"/>
        </w:pPr>
        <w:r>
          <w:fldChar w:fldCharType="begin"/>
        </w:r>
        <w:r>
          <w:instrText xml:space="preserve"> PAGE   \* MERGEFORMAT </w:instrText>
        </w:r>
        <w:r>
          <w:fldChar w:fldCharType="separate"/>
        </w:r>
        <w:r>
          <w:t>99</w:t>
        </w:r>
        <w:r>
          <w:fldChar w:fldCharType="end"/>
        </w:r>
      </w:p>
    </w:sdtContent>
  </w:sdt>
  <w:p w14:paraId="1D677FD7" w14:textId="77777777" w:rsidR="00235E11" w:rsidRDefault="00235E11">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4C2E" w14:textId="77777777" w:rsidR="00235E11" w:rsidRDefault="00235E11">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B8B5" w14:textId="77777777" w:rsidR="00235E11" w:rsidRDefault="00235E1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120648"/>
      <w:docPartObj>
        <w:docPartGallery w:val="Page Numbers (Bottom of Page)"/>
        <w:docPartUnique/>
      </w:docPartObj>
    </w:sdtPr>
    <w:sdtEndPr>
      <w:rPr>
        <w:noProof/>
      </w:rPr>
    </w:sdtEndPr>
    <w:sdtContent>
      <w:p w14:paraId="1DE907D2" w14:textId="54A9E5E6" w:rsidR="00235E11" w:rsidRDefault="00F837E4">
        <w:pPr>
          <w:pStyle w:val="Footer"/>
          <w:jc w:val="center"/>
        </w:pPr>
        <w:r>
          <w:fldChar w:fldCharType="begin"/>
        </w:r>
        <w:r>
          <w:instrText xml:space="preserve"> PAGE   \* MERGEFORMAT </w:instrText>
        </w:r>
        <w:r>
          <w:fldChar w:fldCharType="separate"/>
        </w:r>
        <w:r>
          <w:t>100</w:t>
        </w:r>
        <w:r>
          <w:fldChar w:fldCharType="end"/>
        </w:r>
      </w:p>
    </w:sdtContent>
  </w:sdt>
  <w:p w14:paraId="1EBED02D" w14:textId="77777777" w:rsidR="00235E11" w:rsidRDefault="00235E11">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85405" w14:textId="77777777" w:rsidR="00235E11" w:rsidRDefault="00235E11">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47B9" w14:textId="77777777" w:rsidR="00235E11" w:rsidRDefault="00235E11">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6900" w14:textId="77777777" w:rsidR="00235E11" w:rsidRDefault="00235E11">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263084"/>
      <w:docPartObj>
        <w:docPartGallery w:val="Page Numbers (Bottom of Page)"/>
        <w:docPartUnique/>
      </w:docPartObj>
    </w:sdtPr>
    <w:sdtEndPr>
      <w:rPr>
        <w:noProof/>
      </w:rPr>
    </w:sdtEndPr>
    <w:sdtContent>
      <w:p w14:paraId="33C787DA" w14:textId="6D00694B" w:rsidR="00235E11" w:rsidRDefault="00F837E4">
        <w:pPr>
          <w:pStyle w:val="Footer"/>
          <w:jc w:val="center"/>
        </w:pPr>
        <w:r>
          <w:fldChar w:fldCharType="begin"/>
        </w:r>
        <w:r>
          <w:instrText xml:space="preserve"> PAGE   \* MERGEFORMAT </w:instrText>
        </w:r>
        <w:r>
          <w:fldChar w:fldCharType="separate"/>
        </w:r>
        <w:r>
          <w:t>102</w:t>
        </w:r>
        <w:r>
          <w:fldChar w:fldCharType="end"/>
        </w:r>
      </w:p>
    </w:sdtContent>
  </w:sdt>
  <w:p w14:paraId="48DC2319" w14:textId="77777777" w:rsidR="00235E11" w:rsidRDefault="00235E11">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0385" w14:textId="77777777" w:rsidR="00235E11" w:rsidRDefault="00235E11">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AF22" w14:textId="77777777" w:rsidR="00235E11" w:rsidRDefault="00235E1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245423"/>
      <w:docPartObj>
        <w:docPartGallery w:val="Page Numbers (Bottom of Page)"/>
        <w:docPartUnique/>
      </w:docPartObj>
    </w:sdtPr>
    <w:sdtEndPr>
      <w:rPr>
        <w:noProof/>
      </w:rPr>
    </w:sdtEndPr>
    <w:sdtContent>
      <w:p w14:paraId="6839ABCF" w14:textId="237F4AD0" w:rsidR="00235E11" w:rsidRDefault="00F837E4">
        <w:pPr>
          <w:pStyle w:val="Footer"/>
          <w:jc w:val="center"/>
        </w:pPr>
        <w:r>
          <w:fldChar w:fldCharType="begin"/>
        </w:r>
        <w:r>
          <w:instrText xml:space="preserve"> PAGE   \* MERGEFORMAT </w:instrText>
        </w:r>
        <w:r>
          <w:fldChar w:fldCharType="separate"/>
        </w:r>
        <w:r>
          <w:t>105</w:t>
        </w:r>
        <w:r>
          <w:fldChar w:fldCharType="end"/>
        </w:r>
      </w:p>
    </w:sdtContent>
  </w:sdt>
  <w:p w14:paraId="1C763F31" w14:textId="77777777" w:rsidR="00235E11" w:rsidRDefault="00235E11">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8CCF0" w14:textId="77777777" w:rsidR="00235E11" w:rsidRDefault="00235E11">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B63A" w14:textId="77777777" w:rsidR="00235E11" w:rsidRDefault="00235E11">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2693"/>
      <w:docPartObj>
        <w:docPartGallery w:val="Page Numbers (Bottom of Page)"/>
        <w:docPartUnique/>
      </w:docPartObj>
    </w:sdtPr>
    <w:sdtEndPr>
      <w:rPr>
        <w:noProof/>
      </w:rPr>
    </w:sdtEndPr>
    <w:sdtContent>
      <w:p w14:paraId="759897C8" w14:textId="06A29413" w:rsidR="00235E11" w:rsidRDefault="00F837E4">
        <w:pPr>
          <w:pStyle w:val="Footer"/>
          <w:jc w:val="center"/>
        </w:pPr>
        <w:r>
          <w:fldChar w:fldCharType="begin"/>
        </w:r>
        <w:r>
          <w:instrText xml:space="preserve"> PAGE   \* MERGEFORMAT </w:instrText>
        </w:r>
        <w:r>
          <w:fldChar w:fldCharType="separate"/>
        </w:r>
        <w:r>
          <w:t>111</w:t>
        </w:r>
        <w:r>
          <w:fldChar w:fldCharType="end"/>
        </w:r>
      </w:p>
    </w:sdtContent>
  </w:sdt>
  <w:p w14:paraId="5F13A896" w14:textId="77777777" w:rsidR="00235E11" w:rsidRDefault="00235E11">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1765" w14:textId="77777777" w:rsidR="00235E11" w:rsidRDefault="00235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1DA2E" w14:textId="77777777" w:rsidR="003216A6" w:rsidRDefault="003216A6">
      <w:pPr>
        <w:spacing w:after="0" w:line="240" w:lineRule="auto"/>
      </w:pPr>
      <w:r>
        <w:separator/>
      </w:r>
    </w:p>
  </w:footnote>
  <w:footnote w:type="continuationSeparator" w:id="0">
    <w:p w14:paraId="09E6E9D3" w14:textId="77777777" w:rsidR="003216A6" w:rsidRDefault="003216A6">
      <w:pPr>
        <w:spacing w:after="0" w:line="240" w:lineRule="auto"/>
      </w:pPr>
      <w:r>
        <w:continuationSeparator/>
      </w:r>
    </w:p>
  </w:footnote>
  <w:footnote w:type="continuationNotice" w:id="1">
    <w:p w14:paraId="2783C953" w14:textId="77777777" w:rsidR="003216A6" w:rsidRDefault="003216A6">
      <w:pPr>
        <w:spacing w:after="0" w:line="240" w:lineRule="auto"/>
      </w:pPr>
    </w:p>
  </w:footnote>
  <w:footnote w:id="2">
    <w:p w14:paraId="1FBF9012" w14:textId="77777777" w:rsidR="00235E11" w:rsidRDefault="00F837E4">
      <w:pPr>
        <w:pStyle w:val="FootnoteText"/>
      </w:pPr>
      <w:r>
        <w:rPr>
          <w:rStyle w:val="FootnoteReference"/>
        </w:rPr>
        <w:footnoteRef/>
      </w:r>
      <w:r>
        <w:t xml:space="preserve"> </w:t>
      </w:r>
      <w:r>
        <w:tab/>
        <w:t>ВПОИ подлежат на изискването за уведомяване и на задължението за изчакване по член 108, параграф 3 от Договора за функционирането на Европейския съюз. Подборът и особеностите на предложените проекти може да изискват корекции, за да се гарантира спазването на приложимите правила.</w:t>
      </w:r>
    </w:p>
  </w:footnote>
  <w:footnote w:id="3">
    <w:p w14:paraId="1306B678" w14:textId="76698751" w:rsidR="00235E11" w:rsidRDefault="00F837E4">
      <w:pPr>
        <w:pStyle w:val="FootnoteText"/>
      </w:pPr>
      <w:r>
        <w:rPr>
          <w:rStyle w:val="FootnoteReference"/>
        </w:rPr>
        <w:footnoteRef/>
      </w:r>
      <w:r>
        <w:t xml:space="preserve"> </w:t>
      </w:r>
      <w:r>
        <w:tab/>
        <w:t xml:space="preserve">Вж. бележка под линия 1. </w:t>
      </w:r>
    </w:p>
  </w:footnote>
  <w:footnote w:id="4">
    <w:p w14:paraId="581B6924" w14:textId="77777777" w:rsidR="00235E11" w:rsidRDefault="00F837E4">
      <w:pPr>
        <w:pStyle w:val="FootnoteText"/>
        <w:ind w:left="0" w:firstLine="0"/>
        <w:rPr>
          <w:sz w:val="22"/>
        </w:rPr>
      </w:pPr>
      <w:r>
        <w:rPr>
          <w:rStyle w:val="FootnoteReference"/>
          <w:rFonts w:eastAsia="Calibri"/>
          <w:sz w:val="18"/>
        </w:rPr>
        <w:footnoteRef/>
      </w:r>
      <w:r>
        <w:rPr>
          <w:rFonts w:eastAsia="Calibri"/>
          <w:sz w:val="18"/>
        </w:rPr>
        <w:t xml:space="preserve"> ISO27000 (известен също като „семейство стандарти ISMS „или „ISO27K“) включва информационна сигурност</w:t>
      </w:r>
    </w:p>
    <w:p w14:paraId="2E9D6B7C" w14:textId="77777777" w:rsidR="00235E11" w:rsidRDefault="00F837E4">
      <w:pPr>
        <w:pStyle w:val="P68B1DB1-FootnoteText61"/>
        <w:ind w:left="0" w:firstLine="0"/>
        <w:rPr>
          <w:sz w:val="22"/>
        </w:rPr>
      </w:pPr>
      <w:r>
        <w:t xml:space="preserve">стандарти, публикувани съвместно от Международната организация по стандартизация (ISO) и Международната електротехническа комисия (IEC). </w:t>
      </w:r>
    </w:p>
  </w:footnote>
  <w:footnote w:id="5">
    <w:p w14:paraId="683152FB" w14:textId="77777777" w:rsidR="00235E11" w:rsidRDefault="00F837E4">
      <w:pPr>
        <w:pStyle w:val="FootnoteText"/>
        <w:ind w:left="0" w:firstLine="0"/>
        <w:rPr>
          <w:sz w:val="22"/>
        </w:rPr>
      </w:pPr>
      <w:r>
        <w:rPr>
          <w:rStyle w:val="FootnoteReference"/>
          <w:rFonts w:eastAsia="Calibri"/>
          <w:sz w:val="18"/>
        </w:rPr>
        <w:footnoteRef/>
      </w:r>
      <w:r>
        <w:rPr>
          <w:rFonts w:eastAsia="Calibri"/>
          <w:sz w:val="18"/>
        </w:rPr>
        <w:t xml:space="preserve"> КИС 20 (Център за сигурност на интернет) Критичният контрол на сигурността за ефективни норми в областта на киберотбраната е най-добрият</w:t>
      </w:r>
    </w:p>
    <w:p w14:paraId="47494658" w14:textId="77777777" w:rsidR="00235E11" w:rsidRDefault="00F837E4">
      <w:pPr>
        <w:pStyle w:val="P68B1DB1-FootnoteText61"/>
        <w:ind w:left="0" w:firstLine="0"/>
        <w:rPr>
          <w:sz w:val="22"/>
        </w:rPr>
      </w:pPr>
      <w:r>
        <w:t>практически насоки за компютърна сигурност.</w:t>
      </w:r>
    </w:p>
  </w:footnote>
  <w:footnote w:id="6">
    <w:p w14:paraId="611C6BAB" w14:textId="397E623C" w:rsidR="00235E11" w:rsidRDefault="00F837E4">
      <w:pPr>
        <w:pStyle w:val="FootnoteText"/>
      </w:pPr>
      <w:r>
        <w:rPr>
          <w:rStyle w:val="FootnoteReference"/>
        </w:rPr>
        <w:footnoteRef/>
      </w:r>
      <w:r>
        <w:t xml:space="preserve"> </w:t>
      </w:r>
      <w:r>
        <w:tab/>
      </w:r>
      <w:r>
        <w:rPr>
          <w:rFonts w:eastAsia="Times New Roman"/>
          <w:color w:val="000000" w:themeColor="text1"/>
          <w:sz w:val="19"/>
        </w:rPr>
        <w:t>Графикът за изпълнението на този ключов етап не засяга задълженията на Белгия съгласно Регламент (ЕС) 2018/1724 на Европейския парламент и на Съвета от 2 октомври 2018 г. за създаване на единна цифрова платформа за предоставяне на достъп до информация, до процедури и до услуги за оказване на помощ и решаване на проблеми и за изменение на Регламент (ЕС) № 1024/2012.</w:t>
      </w:r>
    </w:p>
  </w:footnote>
  <w:footnote w:id="7">
    <w:p w14:paraId="1A5B66D3" w14:textId="77777777" w:rsidR="00235E11" w:rsidRPr="00B22925" w:rsidRDefault="00F837E4">
      <w:pPr>
        <w:pStyle w:val="FootnoteText"/>
        <w:ind w:left="0" w:firstLine="0"/>
        <w:rPr>
          <w:rFonts w:eastAsia="Calibri"/>
          <w:sz w:val="19"/>
        </w:rPr>
      </w:pPr>
      <w:r w:rsidRPr="00B22925">
        <w:rPr>
          <w:rStyle w:val="FootnoteReference"/>
          <w:rFonts w:eastAsia="Calibri"/>
          <w:sz w:val="19"/>
          <w:szCs w:val="19"/>
        </w:rPr>
        <w:footnoteRef/>
      </w:r>
      <w:r w:rsidRPr="00B22925">
        <w:rPr>
          <w:rFonts w:eastAsia="Calibri"/>
          <w:sz w:val="16"/>
        </w:rPr>
        <w:t xml:space="preserve"> </w:t>
      </w:r>
      <w:r w:rsidRPr="00B22925">
        <w:rPr>
          <w:rFonts w:eastAsia="Calibri"/>
          <w:sz w:val="19"/>
        </w:rPr>
        <w:t>Цифровите близнаци са виртуални копия на предмети, процеси или места от физическия свят.</w:t>
      </w:r>
    </w:p>
  </w:footnote>
  <w:footnote w:id="8">
    <w:p w14:paraId="3F846F1D" w14:textId="77777777" w:rsidR="00235E11" w:rsidRDefault="00F837E4">
      <w:pPr>
        <w:pStyle w:val="FootnoteText"/>
        <w:ind w:left="0" w:firstLine="0"/>
        <w:rPr>
          <w:sz w:val="19"/>
        </w:rPr>
      </w:pPr>
      <w:r>
        <w:rPr>
          <w:rStyle w:val="FootnoteReference"/>
          <w:rFonts w:eastAsia="Calibri"/>
          <w:sz w:val="19"/>
        </w:rPr>
        <w:footnoteRef/>
      </w:r>
      <w:r>
        <w:rPr>
          <w:rFonts w:eastAsia="Calibri"/>
          <w:sz w:val="19"/>
        </w:rPr>
        <w:t xml:space="preserve"> Както е определено в Препоръката на Комисията от 18.9.2020 г. относно общ инструментариум на Съюза за намаляване на разходите за разгръщане на мрежи с много голям капацитет и за осигуряване на своевременен и благоприятен за инвестициите достъп до радиочестотния спектър за 5G, за да се насърчи свързаността в подкрепа на икономическото възстановяване от кризата с COVID-19 в Съюза.</w:t>
      </w:r>
    </w:p>
  </w:footnote>
  <w:footnote w:id="9">
    <w:p w14:paraId="41762E8B" w14:textId="77777777" w:rsidR="00235E11" w:rsidRDefault="00F837E4">
      <w:pPr>
        <w:pStyle w:val="FootnoteText"/>
        <w:ind w:left="0" w:firstLine="0"/>
      </w:pPr>
      <w:r>
        <w:rPr>
          <w:rStyle w:val="FootnoteReference"/>
        </w:rPr>
        <w:footnoteRef/>
      </w:r>
      <w:r>
        <w:t xml:space="preserve"> Вж. приложение Ia към Loi portant assentiment à l’accord de coopération du 5 octobre 2018 entre l’Etat fédéral, la Région flamande, la Région wallonne et la Région de Bruxelles-Capitale relatif au ferroviaires stratégiques/Wet houdende instemming met het samenwerkingsakkoord van 5 oktussen de Federale Staat, het Vlaamse Gewest, het Waalse Gewest en het Brusselse Hoofdstedelijke Gewest betreffende de ﬁnanciering van de strategische spoorweginfrastructuren, Moniteur belge — 11.3.2019 — Belgisch Staatsblad</w:t>
      </w:r>
    </w:p>
  </w:footnote>
  <w:footnote w:id="10">
    <w:p w14:paraId="6DE45EB7" w14:textId="77777777" w:rsidR="00235E11" w:rsidRDefault="00F837E4">
      <w:pPr>
        <w:pStyle w:val="FootnoteText"/>
        <w:ind w:left="0" w:firstLine="0"/>
      </w:pPr>
      <w:r>
        <w:rPr>
          <w:rStyle w:val="FootnoteReference"/>
        </w:rPr>
        <w:footnoteRef/>
      </w:r>
      <w:r>
        <w:t xml:space="preserve"> Това е продължение на СДП 3 2018: „Справяне с нарастващите предизвикателства, свързани с мобилността, по-специално чрез инвестиции в нова или съществуваща транспортна инфраструктура и засилване на стимулите за използване на колективен транспорт и транспорт с ниски емисии“</w:t>
      </w:r>
    </w:p>
  </w:footnote>
  <w:footnote w:id="11">
    <w:p w14:paraId="6D12729C" w14:textId="77777777" w:rsidR="00235E11" w:rsidRDefault="00F837E4">
      <w:pPr>
        <w:pStyle w:val="FootnoteText"/>
      </w:pPr>
      <w:r>
        <w:rPr>
          <w:rStyle w:val="FootnoteReference"/>
        </w:rPr>
        <w:footnoteRef/>
      </w:r>
      <w:r>
        <w:t xml:space="preserve"> Diest, Gent Dampoort, Herentals, Leuven, Mechelen-Nekkerspoel</w:t>
      </w:r>
    </w:p>
  </w:footnote>
  <w:footnote w:id="12">
    <w:p w14:paraId="2D8FC205" w14:textId="614146E1" w:rsidR="00235E11" w:rsidRDefault="00F837E4">
      <w:pPr>
        <w:pStyle w:val="FootnoteText"/>
        <w:ind w:left="0" w:firstLine="0"/>
      </w:pPr>
      <w:r>
        <w:rPr>
          <w:rStyle w:val="FootnoteReference"/>
        </w:rPr>
        <w:footnoteRef/>
      </w:r>
      <w:r>
        <w:t xml:space="preserve"> Barvaux, Dinant, Fexche-le-haut-clocher, Marche-en-Famenne, Zwijndrecht, Alken, Buggenhout, Eupen, Fleurus, Louvain-la-Neuve, Sint-Agatha-Berchem, Watermael, Ans, Ans, Antwerpen-Zuid, Blankenberge, Diest, Mechelen-Nekkerspoel, Visé, Huy, Luttre, Meiser, Sint-Job, Tubise, Verviers-Central, Waremme, Kiewit, Sint-Truiden и Diepenbeek.</w:t>
      </w:r>
    </w:p>
  </w:footnote>
  <w:footnote w:id="13">
    <w:p w14:paraId="0CF8E67D" w14:textId="77777777" w:rsidR="00235E11" w:rsidRDefault="00F837E4">
      <w:pPr>
        <w:pStyle w:val="FootnoteText"/>
        <w:ind w:left="0" w:firstLine="0"/>
      </w:pPr>
      <w:r>
        <w:rPr>
          <w:rStyle w:val="FootnoteReference"/>
        </w:rPr>
        <w:footnoteRef/>
      </w:r>
      <w:r>
        <w:t xml:space="preserve"> Когато подпомаганата дейност постига прогнозирани емисии на парникови газове, които не са значително по-ниски от съответните бенчмаркове, следва да се представи обяснение на причините, поради които това не е възможно. </w:t>
      </w:r>
      <w:r>
        <w:rPr>
          <w:rFonts w:eastAsia="Times New Roman"/>
        </w:rPr>
        <w:t>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14">
    <w:p w14:paraId="43AEF82A" w14:textId="77777777" w:rsidR="00235E11" w:rsidRDefault="00F837E4">
      <w:pPr>
        <w:pStyle w:val="FootnoteText"/>
        <w:ind w:left="0" w:firstLine="0"/>
      </w:pPr>
      <w:r>
        <w:rPr>
          <w:rStyle w:val="FootnoteReference"/>
        </w:rPr>
        <w:footnoteRef/>
      </w:r>
      <w:r>
        <w:t xml:space="preserve"> </w:t>
      </w:r>
      <w:r>
        <w:rPr>
          <w:rFonts w:eastAsia="Times New Roman"/>
        </w:rPr>
        <w:t>Това изключение не се прилага за действия по тази мярка в инсталации, предназначени изключително за третиране на нерециклируеми опасни отпадъци, както и за съществуващи инсталации, когато действията по тази мярка са с цел повишаване на енергийната ефективност, улавяне на отработени газове за съхранение или използване или оползотворяване на материали от пепелта от изгарянето,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за които са представени доказателства на равнище завод.</w:t>
      </w:r>
    </w:p>
  </w:footnote>
  <w:footnote w:id="15">
    <w:p w14:paraId="2A734A49" w14:textId="77777777" w:rsidR="00235E11" w:rsidRDefault="00F837E4">
      <w:pPr>
        <w:pStyle w:val="FootnoteText"/>
        <w:ind w:left="0" w:firstLine="0"/>
      </w:pPr>
      <w:r>
        <w:rPr>
          <w:rStyle w:val="FootnoteReference"/>
        </w:rPr>
        <w:footnoteRef/>
      </w:r>
      <w:r>
        <w:t xml:space="preserve"> </w:t>
      </w:r>
      <w:r>
        <w:rPr>
          <w:rFonts w:eastAsia="Times New Roman"/>
        </w:rPr>
        <w:t>Това изключение не се прилага за действия по тази мярка в</w:t>
      </w:r>
      <w:r>
        <w:t xml:space="preserve"> съществуващи инсталации за механично-биологично третиране, когато действията по тази мярка са с цел повишаване на енергийната ефективност или модернизиране на операциите по рециклиране на разделени отпадъци в компост на биологични отпадъци и анаеробно разграждане на биологични отпадъци,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за които са представени доказателства на равнище завод.</w:t>
      </w:r>
    </w:p>
  </w:footnote>
  <w:footnote w:id="16">
    <w:p w14:paraId="23F5A2FF" w14:textId="77777777" w:rsidR="00235E11" w:rsidRDefault="00F837E4">
      <w:pPr>
        <w:pStyle w:val="FootnoteText"/>
        <w:ind w:left="0" w:firstLine="0"/>
      </w:pPr>
      <w:r>
        <w:rPr>
          <w:rStyle w:val="FootnoteReference"/>
        </w:rPr>
        <w:footnoteRef/>
      </w:r>
      <w:r>
        <w:t xml:space="preserve"> </w:t>
      </w:r>
      <w:r>
        <w:rPr>
          <w:rFonts w:eastAsia="Times New Roman"/>
        </w:rPr>
        <w:t>Това изключение не се прилага за действия по тази мярка в</w:t>
      </w:r>
      <w:r>
        <w:t xml:space="preserve"> съществуващи инсталации за механично-биологично третиране, когато действията по тази мярка са с цел повишаване на енергийната ефективност или модернизиране на операциите по рециклиране на разделени отпадъци в компост на биологични отпадъци и анаеробно разграждане на биологични отпадъци,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за които са представени доказателства на равнище завод.</w:t>
      </w:r>
    </w:p>
  </w:footnote>
  <w:footnote w:id="17">
    <w:p w14:paraId="217AC743" w14:textId="77777777" w:rsidR="00235E11" w:rsidRDefault="00F837E4">
      <w:pPr>
        <w:pStyle w:val="FootnoteText"/>
        <w:ind w:left="0" w:firstLine="0"/>
      </w:pPr>
      <w:r>
        <w:rPr>
          <w:rStyle w:val="FootnoteReference"/>
        </w:rPr>
        <w:footnoteRef/>
      </w:r>
      <w:r>
        <w:t xml:space="preserve"> </w:t>
      </w:r>
      <w:r>
        <w:rPr>
          <w:rFonts w:eastAsia="Times New Roman"/>
        </w:rPr>
        <w:t xml:space="preserve">Това изключение не се прилага за действия по тази мярка в инсталации, предназначени изключително за третиране на нерециклируеми </w:t>
      </w:r>
      <w:r>
        <w:t>опасни</w:t>
      </w:r>
      <w:r>
        <w:rPr>
          <w:rFonts w:eastAsia="Times New Roman"/>
        </w:rPr>
        <w:t xml:space="preserve"> отпадъци, както и за съществуващи инсталации, когато действията по тази мярка са с цел повишаване на енергийната ефективност, улавяне на отработени газове за съхранение или използване или оползотворяване на материали от пепелта от изгарянето,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за които са представени доказателства на равнище завод.</w:t>
      </w:r>
    </w:p>
  </w:footnote>
  <w:footnote w:id="18">
    <w:p w14:paraId="7E3B18C6" w14:textId="77777777" w:rsidR="00235E11" w:rsidRDefault="00F837E4">
      <w:pPr>
        <w:pStyle w:val="FootnoteText"/>
        <w:ind w:left="0" w:firstLine="0"/>
      </w:pPr>
      <w:r>
        <w:rPr>
          <w:rStyle w:val="FootnoteReference"/>
        </w:rPr>
        <w:footnoteRef/>
      </w:r>
      <w:r>
        <w:t xml:space="preserve"> </w:t>
      </w:r>
      <w:r>
        <w:rPr>
          <w:rFonts w:eastAsia="Times New Roman"/>
        </w:rPr>
        <w:t>Това изключение не се прилага за действия по тази мярка в</w:t>
      </w:r>
      <w:r>
        <w:t xml:space="preserve"> съществуващи инсталации за механично-биологично третиране, когато действията по тази мярка са с цел повишаване на енергийната ефективност или модернизиране на операциите по рециклиране на разделени отпадъци в компост на биологични отпадъци и анаеробно разграждане на биологични отпадъци,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за които са представени доказателства на равнище завод.</w:t>
      </w:r>
    </w:p>
  </w:footnote>
  <w:footnote w:id="19">
    <w:p w14:paraId="3C32500D" w14:textId="77777777" w:rsidR="00235E11" w:rsidRDefault="00F837E4">
      <w:pPr>
        <w:pStyle w:val="FootnoteText"/>
        <w:ind w:left="0" w:firstLine="0"/>
      </w:pPr>
      <w:r>
        <w:rPr>
          <w:rStyle w:val="FootnoteReference"/>
        </w:rPr>
        <w:footnoteRef/>
      </w:r>
      <w:r>
        <w:t xml:space="preserve"> Когато подпомаганата дейност постига прогнозирани емисии на парникови газове, които не са значително по-ниски от съответните бенчмаркове, следва да се представи обяснение на причините, поради които това не е възможно. </w:t>
      </w:r>
      <w:r>
        <w:rPr>
          <w:rFonts w:eastAsia="Times New Roman"/>
        </w:rPr>
        <w:t>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20">
    <w:p w14:paraId="7135E0C1" w14:textId="77777777" w:rsidR="00235E11" w:rsidRDefault="00F837E4">
      <w:pPr>
        <w:pStyle w:val="FootnoteText"/>
        <w:ind w:left="0" w:firstLine="0"/>
      </w:pPr>
      <w:r>
        <w:rPr>
          <w:rStyle w:val="FootnoteReference"/>
        </w:rPr>
        <w:footnoteRef/>
      </w:r>
      <w:r>
        <w:t xml:space="preserve"> </w:t>
      </w:r>
      <w:r>
        <w:rPr>
          <w:rFonts w:eastAsia="Times New Roman"/>
        </w:rPr>
        <w:t xml:space="preserve">Това изключение не се прилага за действия по тази мярка в инсталации, предназначени изключително за третиране на нерециклируеми опасни отпадъци, както и за съществуващи инсталации, когато действията по тази мярка са с цел повишаване на енергийната ефективност, улавяне на отработени газове за съхранение или използване или оползотворяване на материали от пепелта от изгарянето, </w:t>
      </w:r>
      <w:r>
        <w:t>при условие че</w:t>
      </w:r>
      <w:r>
        <w:rPr>
          <w:rFonts w:eastAsia="Times New Roman"/>
        </w:rPr>
        <w:t xml:space="preserve">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за които са представени доказателства на равнище завод.</w:t>
      </w:r>
    </w:p>
  </w:footnote>
  <w:footnote w:id="21">
    <w:p w14:paraId="3AFC4ABE" w14:textId="77777777" w:rsidR="00235E11" w:rsidRDefault="00F837E4">
      <w:pPr>
        <w:pStyle w:val="FootnoteText"/>
        <w:ind w:left="0" w:firstLine="0"/>
      </w:pPr>
      <w:r>
        <w:rPr>
          <w:rStyle w:val="FootnoteReference"/>
        </w:rPr>
        <w:footnoteRef/>
      </w:r>
      <w:r>
        <w:t xml:space="preserve"> </w:t>
      </w:r>
      <w:r>
        <w:rPr>
          <w:rFonts w:eastAsia="Times New Roman"/>
        </w:rPr>
        <w:t>Това изключение не се прилага за действия по тази мярка в</w:t>
      </w:r>
      <w:r>
        <w:t xml:space="preserve"> съществуващи инсталации за механично-биологично третиране, когато действията по тази мярка са с цел повишаване на енергийната ефективност или модернизиране на операциите по рециклиране на разделени отпадъци в компост на биологични отпадъци и анаеробно разграждане на биологични отпадъци,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за които са представени доказателства на равнище завод.</w:t>
      </w:r>
    </w:p>
  </w:footnote>
  <w:footnote w:id="22">
    <w:p w14:paraId="7BCC33F6" w14:textId="77777777" w:rsidR="00235E11" w:rsidRDefault="00F837E4">
      <w:pPr>
        <w:pStyle w:val="FootnoteText"/>
        <w:ind w:left="0" w:firstLine="0"/>
      </w:pPr>
      <w:r>
        <w:rPr>
          <w:rStyle w:val="FootnoteReference"/>
        </w:rPr>
        <w:footnoteRef/>
      </w:r>
      <w:r>
        <w:t xml:space="preserve"> Когато подпомаганата дейност постига прогнозирани емисии на парникови газове, които не са значително по-ниски от съответните бенчмаркове, следва да се представи обяснение на причините, поради които това не е възможно. </w:t>
      </w:r>
      <w:r>
        <w:rPr>
          <w:rFonts w:eastAsia="Times New Roman"/>
        </w:rPr>
        <w:t>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D949" w14:textId="77777777" w:rsidR="00A66332" w:rsidRPr="00A66332" w:rsidRDefault="00A66332" w:rsidP="00A663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2D76" w14:textId="77777777" w:rsidR="00235E11" w:rsidRDefault="00235E11">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B21A" w14:textId="77777777" w:rsidR="00235E11" w:rsidRDefault="00235E11">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C0DC" w14:textId="77777777" w:rsidR="00235E11" w:rsidRDefault="00235E11">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82FC7" w14:textId="77777777" w:rsidR="00235E11" w:rsidRDefault="00235E11">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26B8" w14:textId="77777777" w:rsidR="00235E11" w:rsidRDefault="00235E11">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0185" w14:textId="77777777" w:rsidR="00235E11" w:rsidRDefault="00235E11">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19DF" w14:textId="77777777" w:rsidR="00235E11" w:rsidRDefault="00235E11">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B678" w14:textId="77777777" w:rsidR="00235E11" w:rsidRDefault="00235E11">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F7268" w14:textId="77777777" w:rsidR="00235E11" w:rsidRDefault="00235E11">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4388" w14:textId="77777777" w:rsidR="00235E11" w:rsidRDefault="00235E11">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C420" w14:textId="77777777" w:rsidR="00235E11" w:rsidRDefault="00235E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194C0" w14:textId="77777777" w:rsidR="00235E11" w:rsidRDefault="00235E11">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19C25" w14:textId="77777777" w:rsidR="00235E11" w:rsidRDefault="00235E11">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28B7" w14:textId="77777777" w:rsidR="00235E11" w:rsidRDefault="00235E11">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8BA" w14:textId="77777777" w:rsidR="00235E11" w:rsidRDefault="00235E11">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182DE" w14:textId="77777777" w:rsidR="00235E11" w:rsidRDefault="00235E11">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2019" w14:textId="77777777" w:rsidR="00235E11" w:rsidRDefault="00235E11">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BD5E4" w14:textId="77777777" w:rsidR="00235E11" w:rsidRDefault="00235E11">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AF9D" w14:textId="77777777" w:rsidR="00235E11" w:rsidRDefault="00235E11">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0302" w14:textId="77777777" w:rsidR="00235E11" w:rsidRDefault="00235E11">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5647" w14:textId="77777777" w:rsidR="00235E11" w:rsidRDefault="00235E11">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959A" w14:textId="77777777" w:rsidR="00235E11" w:rsidRDefault="00235E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9268" w14:textId="77777777" w:rsidR="00235E11" w:rsidRDefault="00235E11">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BB5E6" w14:textId="77777777" w:rsidR="00235E11" w:rsidRDefault="00235E11">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C351B" w14:textId="77777777" w:rsidR="00235E11" w:rsidRDefault="00235E11">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386C" w14:textId="77777777" w:rsidR="00235E11" w:rsidRDefault="00235E11">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AE84" w14:textId="77777777" w:rsidR="00235E11" w:rsidRDefault="00235E11">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B7DF" w14:textId="77777777" w:rsidR="00235E11" w:rsidRDefault="00235E11">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08C56" w14:textId="77777777" w:rsidR="00235E11" w:rsidRDefault="00235E11">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3811" w14:textId="77777777" w:rsidR="00235E11" w:rsidRDefault="00235E11">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8164" w14:textId="77777777" w:rsidR="00235E11" w:rsidRDefault="00235E11">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163F" w14:textId="77777777" w:rsidR="00235E11" w:rsidRDefault="00235E11">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03EF" w14:textId="77777777" w:rsidR="00235E11" w:rsidRDefault="00235E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C8855" w14:textId="77777777" w:rsidR="00235E11" w:rsidRDefault="00235E11">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7C23" w14:textId="77777777" w:rsidR="00235E11" w:rsidRDefault="00235E11">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95C3" w14:textId="77777777" w:rsidR="00235E11" w:rsidRDefault="00235E11">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90006" w14:textId="77777777" w:rsidR="00235E11" w:rsidRDefault="00235E11">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7348" w14:textId="77777777" w:rsidR="00235E11" w:rsidRDefault="00235E11">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E1828" w14:textId="77777777" w:rsidR="00235E11" w:rsidRDefault="00235E11">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8F086" w14:textId="77777777" w:rsidR="00235E11" w:rsidRDefault="00235E11">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9B47" w14:textId="77777777" w:rsidR="00235E11" w:rsidRDefault="00235E11">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CA7C7" w14:textId="77777777" w:rsidR="00235E11" w:rsidRDefault="00235E11">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4F12C" w14:textId="77777777" w:rsidR="00235E11" w:rsidRDefault="00235E11">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B2DD" w14:textId="77777777" w:rsidR="00235E11" w:rsidRDefault="00235E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08D6" w14:textId="77777777" w:rsidR="00235E11" w:rsidRDefault="00235E11">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D43A" w14:textId="77777777" w:rsidR="00235E11" w:rsidRDefault="00235E11">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9641D" w14:textId="77777777" w:rsidR="00235E11" w:rsidRDefault="00235E11">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BC6FE" w14:textId="77777777" w:rsidR="00235E11" w:rsidRDefault="00235E11">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B4D6" w14:textId="77777777" w:rsidR="00235E11" w:rsidRDefault="00235E11">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6F31" w14:textId="77777777" w:rsidR="00235E11" w:rsidRDefault="00235E11">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4DF7" w14:textId="77777777" w:rsidR="00235E11" w:rsidRDefault="00235E11">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47C62" w14:textId="77777777" w:rsidR="00235E11" w:rsidRDefault="00235E11">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904A" w14:textId="77777777" w:rsidR="00235E11" w:rsidRDefault="00235E11">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7B7CC" w14:textId="77777777" w:rsidR="00235E11" w:rsidRDefault="00235E11">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C199" w14:textId="77777777" w:rsidR="00235E11" w:rsidRDefault="00235E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B6CF" w14:textId="77777777" w:rsidR="00235E11" w:rsidRDefault="00235E11">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B849" w14:textId="77777777" w:rsidR="00235E11" w:rsidRDefault="00235E11">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3FE4" w14:textId="77777777" w:rsidR="00235E11" w:rsidRDefault="00235E11">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3BF04" w14:textId="77777777" w:rsidR="00235E11" w:rsidRDefault="00235E11">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8097" w14:textId="77777777" w:rsidR="00235E11" w:rsidRDefault="00235E11">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2237" w14:textId="77777777" w:rsidR="00235E11" w:rsidRDefault="00235E11">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D8D86" w14:textId="77777777" w:rsidR="00235E11" w:rsidRDefault="00235E11">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F754" w14:textId="77777777" w:rsidR="00235E11" w:rsidRDefault="00235E11">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A3F5" w14:textId="77777777" w:rsidR="00235E11" w:rsidRDefault="00235E11">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2E12" w14:textId="77777777" w:rsidR="00235E11" w:rsidRDefault="00235E11">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AC9DE" w14:textId="77777777" w:rsidR="00235E11" w:rsidRDefault="00235E1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0D04" w14:textId="77777777" w:rsidR="00235E11" w:rsidRDefault="00235E11">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EA17" w14:textId="77777777" w:rsidR="00235E11" w:rsidRDefault="00235E11">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C5DA" w14:textId="77777777" w:rsidR="00235E11" w:rsidRDefault="00235E11">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B8F1" w14:textId="77777777" w:rsidR="00235E11" w:rsidRDefault="00235E11">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A4FC" w14:textId="77777777" w:rsidR="00235E11" w:rsidRDefault="00235E11">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94A8" w14:textId="77777777" w:rsidR="00235E11" w:rsidRDefault="00235E11">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A2C2" w14:textId="77777777" w:rsidR="00235E11" w:rsidRDefault="00235E11">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075B" w14:textId="77777777" w:rsidR="00235E11" w:rsidRDefault="00235E11">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0FD6E" w14:textId="77777777" w:rsidR="00235E11" w:rsidRDefault="00235E11">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801B" w14:textId="77777777" w:rsidR="00235E11" w:rsidRDefault="00235E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77C7" w14:textId="77777777" w:rsidR="00235E11" w:rsidRDefault="00235E1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F059" w14:textId="77777777" w:rsidR="00235E11" w:rsidRDefault="00235E1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3FA7" w14:textId="77777777" w:rsidR="00235E11" w:rsidRDefault="0023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58C0" w14:textId="77777777" w:rsidR="00A66332" w:rsidRPr="00A66332" w:rsidRDefault="00A66332" w:rsidP="00A66332">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E8B6A" w14:textId="77777777" w:rsidR="00235E11" w:rsidRDefault="00235E1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0FCB" w14:textId="77777777" w:rsidR="00235E11" w:rsidRDefault="00235E1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789CB" w14:textId="77777777" w:rsidR="00235E11" w:rsidRDefault="00235E1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8CCC" w14:textId="77777777" w:rsidR="00235E11" w:rsidRDefault="00235E1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6D08" w14:textId="77777777" w:rsidR="00235E11" w:rsidRDefault="00235E1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8E4D" w14:textId="77777777" w:rsidR="00235E11" w:rsidRDefault="00235E1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CD81" w14:textId="77777777" w:rsidR="00235E11" w:rsidRDefault="00235E1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A260" w14:textId="77777777" w:rsidR="00235E11" w:rsidRDefault="00235E1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6D9A" w14:textId="77777777" w:rsidR="00235E11" w:rsidRDefault="00235E1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3B24" w14:textId="77777777" w:rsidR="00235E11" w:rsidRDefault="00235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7A20" w14:textId="77777777" w:rsidR="00A66332" w:rsidRPr="00A66332" w:rsidRDefault="00A66332" w:rsidP="00A66332">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EE2C" w14:textId="77777777" w:rsidR="00235E11" w:rsidRDefault="00235E1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B717" w14:textId="77777777" w:rsidR="00235E11" w:rsidRDefault="00235E1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78A3" w14:textId="77777777" w:rsidR="00235E11" w:rsidRDefault="00235E1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E8AF" w14:textId="77777777" w:rsidR="00235E11" w:rsidRDefault="00235E1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A767" w14:textId="77777777" w:rsidR="00235E11" w:rsidRDefault="00235E1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EB4B2" w14:textId="77777777" w:rsidR="00235E11" w:rsidRDefault="00235E1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E625" w14:textId="77777777" w:rsidR="00235E11" w:rsidRDefault="00235E1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7FB8" w14:textId="77777777" w:rsidR="00235E11" w:rsidRDefault="00235E1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BE3AF" w14:textId="77777777" w:rsidR="00235E11" w:rsidRDefault="00235E1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938D" w14:textId="77777777" w:rsidR="00235E11" w:rsidRDefault="00235E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B09D" w14:textId="77777777" w:rsidR="00235E11" w:rsidRDefault="00235E1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F8A1" w14:textId="77777777" w:rsidR="00235E11" w:rsidRDefault="00235E1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D4239" w14:textId="77777777" w:rsidR="00235E11" w:rsidRDefault="00235E1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ECA" w14:textId="77777777" w:rsidR="00235E11" w:rsidRDefault="00235E1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247D" w14:textId="77777777" w:rsidR="00235E11" w:rsidRDefault="00235E1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57BB3" w14:textId="77777777" w:rsidR="00235E11" w:rsidRDefault="00235E11">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12E0" w14:textId="77777777" w:rsidR="00235E11" w:rsidRDefault="00235E1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30411" w14:textId="77777777" w:rsidR="00235E11" w:rsidRDefault="00235E1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FAAD" w14:textId="77777777" w:rsidR="00235E11" w:rsidRDefault="00235E1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885D3" w14:textId="77777777" w:rsidR="00235E11" w:rsidRDefault="00235E1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5EB08" w14:textId="77777777" w:rsidR="00235E11" w:rsidRDefault="00235E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A00FE" w14:textId="77777777" w:rsidR="00235E11" w:rsidRDefault="00235E1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8B17" w14:textId="77777777" w:rsidR="00235E11" w:rsidRDefault="00235E11">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9A66" w14:textId="77777777" w:rsidR="00235E11" w:rsidRDefault="00235E1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8FEBA" w14:textId="77777777" w:rsidR="00235E11" w:rsidRDefault="00235E1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49579" w14:textId="77777777" w:rsidR="00235E11" w:rsidRDefault="00235E11">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523B" w14:textId="77777777" w:rsidR="00235E11" w:rsidRDefault="00235E1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7148" w14:textId="77777777" w:rsidR="00235E11" w:rsidRDefault="00235E1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09F4" w14:textId="77777777" w:rsidR="00235E11" w:rsidRDefault="00235E11">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245E" w14:textId="77777777" w:rsidR="00235E11" w:rsidRDefault="00235E1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CA45" w14:textId="77777777" w:rsidR="00235E11" w:rsidRDefault="00235E1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9899" w14:textId="77777777" w:rsidR="00235E11" w:rsidRDefault="00235E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F6EB" w14:textId="77777777" w:rsidR="00235E11" w:rsidRDefault="00235E1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2C1C" w14:textId="77777777" w:rsidR="00235E11" w:rsidRDefault="00235E11">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0574F" w14:textId="77777777" w:rsidR="00235E11" w:rsidRDefault="00235E1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B57F" w14:textId="77777777" w:rsidR="00235E11" w:rsidRDefault="00235E11">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DC69" w14:textId="77777777" w:rsidR="00235E11" w:rsidRDefault="00235E1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438F3" w14:textId="77777777" w:rsidR="00235E11" w:rsidRDefault="00235E11">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271A" w14:textId="77777777" w:rsidR="00235E11" w:rsidRDefault="00235E11">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41FA6" w14:textId="77777777" w:rsidR="00235E11" w:rsidRDefault="00235E11">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C9B7" w14:textId="77777777" w:rsidR="00235E11" w:rsidRDefault="00235E1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0756A" w14:textId="77777777" w:rsidR="00235E11" w:rsidRDefault="00235E11">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A3A1" w14:textId="77777777" w:rsidR="00235E11" w:rsidRDefault="00235E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7D8D" w14:textId="77777777" w:rsidR="00235E11" w:rsidRDefault="00235E1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8A63" w14:textId="77777777" w:rsidR="00235E11" w:rsidRDefault="00235E1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19F1" w14:textId="77777777" w:rsidR="00235E11" w:rsidRDefault="00235E11">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2E58" w14:textId="77777777" w:rsidR="00235E11" w:rsidRDefault="00235E1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EADD" w14:textId="77777777" w:rsidR="00235E11" w:rsidRDefault="00235E1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A959" w14:textId="77777777" w:rsidR="00235E11" w:rsidRDefault="00235E11">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7AA3" w14:textId="77777777" w:rsidR="00235E11" w:rsidRDefault="00235E11">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13D2" w14:textId="77777777" w:rsidR="00235E11" w:rsidRDefault="00235E11">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0BEB" w14:textId="77777777" w:rsidR="00235E11" w:rsidRDefault="00235E11">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330B" w14:textId="77777777" w:rsidR="00235E11" w:rsidRDefault="00235E11">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0A52B" w14:textId="77777777" w:rsidR="00235E11" w:rsidRDefault="00235E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24D4" w14:textId="77777777" w:rsidR="00235E11" w:rsidRDefault="00235E1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3B01" w14:textId="77777777" w:rsidR="00235E11" w:rsidRDefault="00235E11">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14B6" w14:textId="77777777" w:rsidR="00235E11" w:rsidRDefault="00235E11">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4AD31" w14:textId="77777777" w:rsidR="00235E11" w:rsidRDefault="00235E11">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68AB" w14:textId="77777777" w:rsidR="00235E11" w:rsidRDefault="00235E11">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3DBA" w14:textId="77777777" w:rsidR="00235E11" w:rsidRDefault="00235E11">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1E7C" w14:textId="77777777" w:rsidR="00235E11" w:rsidRDefault="00235E11">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10C2" w14:textId="77777777" w:rsidR="00235E11" w:rsidRDefault="00235E11">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D331" w14:textId="77777777" w:rsidR="00235E11" w:rsidRDefault="00235E11">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2F192" w14:textId="77777777" w:rsidR="00235E11" w:rsidRDefault="00235E11">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747C" w14:textId="77777777" w:rsidR="00235E11" w:rsidRDefault="00235E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E36D" w14:textId="77777777" w:rsidR="00235E11" w:rsidRDefault="00235E1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47B2" w14:textId="77777777" w:rsidR="00235E11" w:rsidRDefault="00235E11">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B29D" w14:textId="77777777" w:rsidR="00235E11" w:rsidRDefault="00235E11">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84964" w14:textId="77777777" w:rsidR="00235E11" w:rsidRDefault="00235E11">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BD1B" w14:textId="77777777" w:rsidR="00235E11" w:rsidRDefault="00235E11">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25582" w14:textId="77777777" w:rsidR="00235E11" w:rsidRDefault="00235E11">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E93A" w14:textId="77777777" w:rsidR="00235E11" w:rsidRDefault="00235E11">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7443" w14:textId="77777777" w:rsidR="00235E11" w:rsidRDefault="00235E11">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8B94" w14:textId="77777777" w:rsidR="00235E11" w:rsidRDefault="00235E11">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A329" w14:textId="77777777" w:rsidR="00235E11" w:rsidRDefault="00235E11">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D7805" w14:textId="77777777" w:rsidR="00235E11" w:rsidRDefault="00235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6D6568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B76FBE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F6A5B4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0268B5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5B5649"/>
    <w:multiLevelType w:val="hybridMultilevel"/>
    <w:tmpl w:val="08840EB2"/>
    <w:lvl w:ilvl="0" w:tplc="DA882816">
      <w:start w:val="8"/>
      <w:numFmt w:val="bullet"/>
      <w:lvlText w:val="-"/>
      <w:lvlJc w:val="left"/>
      <w:pPr>
        <w:ind w:left="360" w:hanging="360"/>
      </w:pPr>
      <w:rPr>
        <w:rFonts w:ascii="Times New Roman" w:eastAsiaTheme="minorHAnsi" w:hAnsi="Times New Roman" w:cs="Times New Roman"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6115E9"/>
    <w:multiLevelType w:val="hybridMultilevel"/>
    <w:tmpl w:val="0AEEC2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06C60A37"/>
    <w:multiLevelType w:val="hybridMultilevel"/>
    <w:tmpl w:val="4716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090ED8"/>
    <w:multiLevelType w:val="hybridMultilevel"/>
    <w:tmpl w:val="CE1EFC4E"/>
    <w:lvl w:ilvl="0" w:tplc="18090001">
      <w:start w:val="1"/>
      <w:numFmt w:val="bullet"/>
      <w:lvlText w:val=""/>
      <w:lvlJc w:val="left"/>
      <w:pPr>
        <w:ind w:left="360" w:hanging="360"/>
      </w:pPr>
      <w:rPr>
        <w:rFonts w:ascii="Symbol" w:hAnsi="Symbol" w:hint="default"/>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0582791"/>
    <w:multiLevelType w:val="hybridMultilevel"/>
    <w:tmpl w:val="220474FE"/>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3" w15:restartNumberingAfterBreak="0">
    <w:nsid w:val="140402D0"/>
    <w:multiLevelType w:val="hybridMultilevel"/>
    <w:tmpl w:val="1D3026CA"/>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22E44180"/>
    <w:multiLevelType w:val="multilevel"/>
    <w:tmpl w:val="72C4330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3F5575"/>
    <w:multiLevelType w:val="hybridMultilevel"/>
    <w:tmpl w:val="4F3C0CCC"/>
    <w:lvl w:ilvl="0" w:tplc="ED5C6F18">
      <w:start w:val="1"/>
      <w:numFmt w:val="decimal"/>
      <w:pStyle w:val="Titresection"/>
      <w:lvlText w:val="%1."/>
      <w:lvlJc w:val="left"/>
      <w:pPr>
        <w:ind w:left="720" w:hanging="360"/>
      </w:pPr>
      <w:rPr>
        <w:rFonts w:hint="default"/>
      </w:rPr>
    </w:lvl>
    <w:lvl w:ilvl="1" w:tplc="61D6B87C">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63C03D3"/>
    <w:multiLevelType w:val="hybridMultilevel"/>
    <w:tmpl w:val="C4A81E46"/>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1">
      <w:start w:val="1"/>
      <w:numFmt w:val="bullet"/>
      <w:lvlText w:val=""/>
      <w:lvlJc w:val="left"/>
      <w:pPr>
        <w:ind w:left="2650" w:hanging="360"/>
      </w:pPr>
      <w:rPr>
        <w:rFonts w:ascii="Symbol" w:hAnsi="Symbol"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8" w15:restartNumberingAfterBreak="0">
    <w:nsid w:val="29321018"/>
    <w:multiLevelType w:val="hybridMultilevel"/>
    <w:tmpl w:val="4446BD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B08044A"/>
    <w:multiLevelType w:val="hybridMultilevel"/>
    <w:tmpl w:val="612642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2" w15:restartNumberingAfterBreak="0">
    <w:nsid w:val="30031E7D"/>
    <w:multiLevelType w:val="hybridMultilevel"/>
    <w:tmpl w:val="B40CB8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3772CE6"/>
    <w:multiLevelType w:val="hybridMultilevel"/>
    <w:tmpl w:val="E406802C"/>
    <w:lvl w:ilvl="0" w:tplc="FFFFFFFF">
      <w:start w:val="1"/>
      <w:numFmt w:val="lowerLetter"/>
      <w:pStyle w:val="Titresous-section"/>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3A61FA6"/>
    <w:multiLevelType w:val="hybridMultilevel"/>
    <w:tmpl w:val="C832ACE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365D487C"/>
    <w:multiLevelType w:val="hybridMultilevel"/>
    <w:tmpl w:val="1B029A6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6" w15:restartNumberingAfterBreak="0">
    <w:nsid w:val="3C850ACC"/>
    <w:multiLevelType w:val="hybridMultilevel"/>
    <w:tmpl w:val="A4F02504"/>
    <w:lvl w:ilvl="0" w:tplc="080C0001">
      <w:start w:val="1"/>
      <w:numFmt w:val="bullet"/>
      <w:lvlText w:val=""/>
      <w:lvlJc w:val="left"/>
      <w:pPr>
        <w:ind w:left="3010" w:hanging="360"/>
      </w:pPr>
      <w:rPr>
        <w:rFonts w:ascii="Symbol" w:hAnsi="Symbol" w:hint="default"/>
      </w:rPr>
    </w:lvl>
    <w:lvl w:ilvl="1" w:tplc="080C0003" w:tentative="1">
      <w:start w:val="1"/>
      <w:numFmt w:val="bullet"/>
      <w:lvlText w:val="o"/>
      <w:lvlJc w:val="left"/>
      <w:pPr>
        <w:ind w:left="3730" w:hanging="360"/>
      </w:pPr>
      <w:rPr>
        <w:rFonts w:ascii="Courier New" w:hAnsi="Courier New" w:cs="Courier New" w:hint="default"/>
      </w:rPr>
    </w:lvl>
    <w:lvl w:ilvl="2" w:tplc="080C0005" w:tentative="1">
      <w:start w:val="1"/>
      <w:numFmt w:val="bullet"/>
      <w:lvlText w:val=""/>
      <w:lvlJc w:val="left"/>
      <w:pPr>
        <w:ind w:left="4450" w:hanging="360"/>
      </w:pPr>
      <w:rPr>
        <w:rFonts w:ascii="Wingdings" w:hAnsi="Wingdings" w:hint="default"/>
      </w:rPr>
    </w:lvl>
    <w:lvl w:ilvl="3" w:tplc="080C0001" w:tentative="1">
      <w:start w:val="1"/>
      <w:numFmt w:val="bullet"/>
      <w:lvlText w:val=""/>
      <w:lvlJc w:val="left"/>
      <w:pPr>
        <w:ind w:left="5170" w:hanging="360"/>
      </w:pPr>
      <w:rPr>
        <w:rFonts w:ascii="Symbol" w:hAnsi="Symbol" w:hint="default"/>
      </w:rPr>
    </w:lvl>
    <w:lvl w:ilvl="4" w:tplc="080C0003" w:tentative="1">
      <w:start w:val="1"/>
      <w:numFmt w:val="bullet"/>
      <w:lvlText w:val="o"/>
      <w:lvlJc w:val="left"/>
      <w:pPr>
        <w:ind w:left="5890" w:hanging="360"/>
      </w:pPr>
      <w:rPr>
        <w:rFonts w:ascii="Courier New" w:hAnsi="Courier New" w:cs="Courier New" w:hint="default"/>
      </w:rPr>
    </w:lvl>
    <w:lvl w:ilvl="5" w:tplc="080C0005" w:tentative="1">
      <w:start w:val="1"/>
      <w:numFmt w:val="bullet"/>
      <w:lvlText w:val=""/>
      <w:lvlJc w:val="left"/>
      <w:pPr>
        <w:ind w:left="6610" w:hanging="360"/>
      </w:pPr>
      <w:rPr>
        <w:rFonts w:ascii="Wingdings" w:hAnsi="Wingdings" w:hint="default"/>
      </w:rPr>
    </w:lvl>
    <w:lvl w:ilvl="6" w:tplc="080C0001" w:tentative="1">
      <w:start w:val="1"/>
      <w:numFmt w:val="bullet"/>
      <w:lvlText w:val=""/>
      <w:lvlJc w:val="left"/>
      <w:pPr>
        <w:ind w:left="7330" w:hanging="360"/>
      </w:pPr>
      <w:rPr>
        <w:rFonts w:ascii="Symbol" w:hAnsi="Symbol" w:hint="default"/>
      </w:rPr>
    </w:lvl>
    <w:lvl w:ilvl="7" w:tplc="080C0003" w:tentative="1">
      <w:start w:val="1"/>
      <w:numFmt w:val="bullet"/>
      <w:lvlText w:val="o"/>
      <w:lvlJc w:val="left"/>
      <w:pPr>
        <w:ind w:left="8050" w:hanging="360"/>
      </w:pPr>
      <w:rPr>
        <w:rFonts w:ascii="Courier New" w:hAnsi="Courier New" w:cs="Courier New" w:hint="default"/>
      </w:rPr>
    </w:lvl>
    <w:lvl w:ilvl="8" w:tplc="080C0005" w:tentative="1">
      <w:start w:val="1"/>
      <w:numFmt w:val="bullet"/>
      <w:lvlText w:val=""/>
      <w:lvlJc w:val="left"/>
      <w:pPr>
        <w:ind w:left="8770" w:hanging="360"/>
      </w:pPr>
      <w:rPr>
        <w:rFonts w:ascii="Wingdings" w:hAnsi="Wingdings" w:hint="default"/>
      </w:rPr>
    </w:lvl>
  </w:abstractNum>
  <w:abstractNum w:abstractNumId="27" w15:restartNumberingAfterBreak="0">
    <w:nsid w:val="3D215F95"/>
    <w:multiLevelType w:val="hybridMultilevel"/>
    <w:tmpl w:val="340E816C"/>
    <w:lvl w:ilvl="0" w:tplc="DA882816">
      <w:start w:val="8"/>
      <w:numFmt w:val="bullet"/>
      <w:lvlText w:val="-"/>
      <w:lvlJc w:val="left"/>
      <w:pPr>
        <w:ind w:left="1210" w:hanging="360"/>
      </w:pPr>
      <w:rPr>
        <w:rFonts w:ascii="Times New Roman" w:eastAsiaTheme="minorHAnsi" w:hAnsi="Times New Roman" w:cs="Times New Roman" w:hint="default"/>
        <w:u w:val="none"/>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4EB94DB1"/>
    <w:multiLevelType w:val="hybridMultilevel"/>
    <w:tmpl w:val="79E0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98418F"/>
    <w:multiLevelType w:val="hybridMultilevel"/>
    <w:tmpl w:val="7E88BA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2641C0D"/>
    <w:multiLevelType w:val="hybridMultilevel"/>
    <w:tmpl w:val="9D4CED6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15:restartNumberingAfterBreak="0">
    <w:nsid w:val="5A4F5EB4"/>
    <w:multiLevelType w:val="multilevel"/>
    <w:tmpl w:val="428ECF3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51A5EA"/>
    <w:multiLevelType w:val="hybridMultilevel"/>
    <w:tmpl w:val="FFFFFFFF"/>
    <w:lvl w:ilvl="0" w:tplc="E4C600CA">
      <w:start w:val="1"/>
      <w:numFmt w:val="bullet"/>
      <w:lvlText w:val=""/>
      <w:lvlJc w:val="left"/>
      <w:pPr>
        <w:ind w:left="720" w:hanging="360"/>
      </w:pPr>
      <w:rPr>
        <w:rFonts w:ascii="Symbol" w:hAnsi="Symbol" w:hint="default"/>
      </w:rPr>
    </w:lvl>
    <w:lvl w:ilvl="1" w:tplc="8EA829AA">
      <w:start w:val="1"/>
      <w:numFmt w:val="bullet"/>
      <w:lvlText w:val="o"/>
      <w:lvlJc w:val="left"/>
      <w:pPr>
        <w:ind w:left="1440" w:hanging="360"/>
      </w:pPr>
      <w:rPr>
        <w:rFonts w:ascii="Courier New" w:hAnsi="Courier New" w:hint="default"/>
      </w:rPr>
    </w:lvl>
    <w:lvl w:ilvl="2" w:tplc="DC16F8DA">
      <w:start w:val="1"/>
      <w:numFmt w:val="bullet"/>
      <w:lvlText w:val=""/>
      <w:lvlJc w:val="left"/>
      <w:pPr>
        <w:ind w:left="2160" w:hanging="360"/>
      </w:pPr>
      <w:rPr>
        <w:rFonts w:ascii="Wingdings" w:hAnsi="Wingdings" w:hint="default"/>
      </w:rPr>
    </w:lvl>
    <w:lvl w:ilvl="3" w:tplc="60400EB4">
      <w:start w:val="1"/>
      <w:numFmt w:val="bullet"/>
      <w:lvlText w:val=""/>
      <w:lvlJc w:val="left"/>
      <w:pPr>
        <w:ind w:left="2880" w:hanging="360"/>
      </w:pPr>
      <w:rPr>
        <w:rFonts w:ascii="Symbol" w:hAnsi="Symbol" w:hint="default"/>
      </w:rPr>
    </w:lvl>
    <w:lvl w:ilvl="4" w:tplc="7F8ED4C6">
      <w:start w:val="1"/>
      <w:numFmt w:val="bullet"/>
      <w:lvlText w:val="o"/>
      <w:lvlJc w:val="left"/>
      <w:pPr>
        <w:ind w:left="3600" w:hanging="360"/>
      </w:pPr>
      <w:rPr>
        <w:rFonts w:ascii="Courier New" w:hAnsi="Courier New" w:hint="default"/>
      </w:rPr>
    </w:lvl>
    <w:lvl w:ilvl="5" w:tplc="56B83648">
      <w:start w:val="1"/>
      <w:numFmt w:val="bullet"/>
      <w:lvlText w:val=""/>
      <w:lvlJc w:val="left"/>
      <w:pPr>
        <w:ind w:left="4320" w:hanging="360"/>
      </w:pPr>
      <w:rPr>
        <w:rFonts w:ascii="Wingdings" w:hAnsi="Wingdings" w:hint="default"/>
      </w:rPr>
    </w:lvl>
    <w:lvl w:ilvl="6" w:tplc="F7BECD68">
      <w:start w:val="1"/>
      <w:numFmt w:val="bullet"/>
      <w:lvlText w:val=""/>
      <w:lvlJc w:val="left"/>
      <w:pPr>
        <w:ind w:left="5040" w:hanging="360"/>
      </w:pPr>
      <w:rPr>
        <w:rFonts w:ascii="Symbol" w:hAnsi="Symbol" w:hint="default"/>
      </w:rPr>
    </w:lvl>
    <w:lvl w:ilvl="7" w:tplc="8E12DFEE">
      <w:start w:val="1"/>
      <w:numFmt w:val="bullet"/>
      <w:lvlText w:val="o"/>
      <w:lvlJc w:val="left"/>
      <w:pPr>
        <w:ind w:left="5760" w:hanging="360"/>
      </w:pPr>
      <w:rPr>
        <w:rFonts w:ascii="Courier New" w:hAnsi="Courier New" w:hint="default"/>
      </w:rPr>
    </w:lvl>
    <w:lvl w:ilvl="8" w:tplc="34200108">
      <w:start w:val="1"/>
      <w:numFmt w:val="bullet"/>
      <w:lvlText w:val=""/>
      <w:lvlJc w:val="left"/>
      <w:pPr>
        <w:ind w:left="6480" w:hanging="360"/>
      </w:pPr>
      <w:rPr>
        <w:rFonts w:ascii="Wingdings" w:hAnsi="Wingdings" w:hint="default"/>
      </w:rPr>
    </w:lvl>
  </w:abstractNum>
  <w:abstractNum w:abstractNumId="3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487442"/>
    <w:multiLevelType w:val="hybridMultilevel"/>
    <w:tmpl w:val="A0929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3" w15:restartNumberingAfterBreak="0">
    <w:nsid w:val="6882BBEE"/>
    <w:multiLevelType w:val="hybridMultilevel"/>
    <w:tmpl w:val="FFFFFFFF"/>
    <w:lvl w:ilvl="0" w:tplc="BB924FB4">
      <w:start w:val="1"/>
      <w:numFmt w:val="bullet"/>
      <w:lvlText w:val=""/>
      <w:lvlJc w:val="left"/>
      <w:pPr>
        <w:ind w:left="720" w:hanging="360"/>
      </w:pPr>
      <w:rPr>
        <w:rFonts w:ascii="Symbol" w:hAnsi="Symbol" w:hint="default"/>
      </w:rPr>
    </w:lvl>
    <w:lvl w:ilvl="1" w:tplc="057E20C4">
      <w:start w:val="1"/>
      <w:numFmt w:val="bullet"/>
      <w:lvlText w:val="o"/>
      <w:lvlJc w:val="left"/>
      <w:pPr>
        <w:ind w:left="1440" w:hanging="360"/>
      </w:pPr>
      <w:rPr>
        <w:rFonts w:ascii="Courier New" w:hAnsi="Courier New" w:hint="default"/>
      </w:rPr>
    </w:lvl>
    <w:lvl w:ilvl="2" w:tplc="7A14CDF6">
      <w:start w:val="1"/>
      <w:numFmt w:val="bullet"/>
      <w:lvlText w:val=""/>
      <w:lvlJc w:val="left"/>
      <w:pPr>
        <w:ind w:left="2160" w:hanging="360"/>
      </w:pPr>
      <w:rPr>
        <w:rFonts w:ascii="Wingdings" w:hAnsi="Wingdings" w:hint="default"/>
      </w:rPr>
    </w:lvl>
    <w:lvl w:ilvl="3" w:tplc="D3A603D4">
      <w:start w:val="1"/>
      <w:numFmt w:val="bullet"/>
      <w:lvlText w:val=""/>
      <w:lvlJc w:val="left"/>
      <w:pPr>
        <w:ind w:left="2880" w:hanging="360"/>
      </w:pPr>
      <w:rPr>
        <w:rFonts w:ascii="Symbol" w:hAnsi="Symbol" w:hint="default"/>
      </w:rPr>
    </w:lvl>
    <w:lvl w:ilvl="4" w:tplc="1A942678">
      <w:start w:val="1"/>
      <w:numFmt w:val="bullet"/>
      <w:lvlText w:val="o"/>
      <w:lvlJc w:val="left"/>
      <w:pPr>
        <w:ind w:left="3600" w:hanging="360"/>
      </w:pPr>
      <w:rPr>
        <w:rFonts w:ascii="Courier New" w:hAnsi="Courier New" w:hint="default"/>
      </w:rPr>
    </w:lvl>
    <w:lvl w:ilvl="5" w:tplc="466861A4">
      <w:start w:val="1"/>
      <w:numFmt w:val="bullet"/>
      <w:lvlText w:val=""/>
      <w:lvlJc w:val="left"/>
      <w:pPr>
        <w:ind w:left="4320" w:hanging="360"/>
      </w:pPr>
      <w:rPr>
        <w:rFonts w:ascii="Wingdings" w:hAnsi="Wingdings" w:hint="default"/>
      </w:rPr>
    </w:lvl>
    <w:lvl w:ilvl="6" w:tplc="5D06036A">
      <w:start w:val="1"/>
      <w:numFmt w:val="bullet"/>
      <w:lvlText w:val=""/>
      <w:lvlJc w:val="left"/>
      <w:pPr>
        <w:ind w:left="5040" w:hanging="360"/>
      </w:pPr>
      <w:rPr>
        <w:rFonts w:ascii="Symbol" w:hAnsi="Symbol" w:hint="default"/>
      </w:rPr>
    </w:lvl>
    <w:lvl w:ilvl="7" w:tplc="765AFDBA">
      <w:start w:val="1"/>
      <w:numFmt w:val="bullet"/>
      <w:lvlText w:val="o"/>
      <w:lvlJc w:val="left"/>
      <w:pPr>
        <w:ind w:left="5760" w:hanging="360"/>
      </w:pPr>
      <w:rPr>
        <w:rFonts w:ascii="Courier New" w:hAnsi="Courier New" w:hint="default"/>
      </w:rPr>
    </w:lvl>
    <w:lvl w:ilvl="8" w:tplc="5BAC4E58">
      <w:start w:val="1"/>
      <w:numFmt w:val="bullet"/>
      <w:lvlText w:val=""/>
      <w:lvlJc w:val="left"/>
      <w:pPr>
        <w:ind w:left="6480" w:hanging="360"/>
      </w:pPr>
      <w:rPr>
        <w:rFonts w:ascii="Wingdings" w:hAnsi="Wingdings" w:hint="default"/>
      </w:rPr>
    </w:lvl>
  </w:abstractNum>
  <w:abstractNum w:abstractNumId="44" w15:restartNumberingAfterBreak="0">
    <w:nsid w:val="6A064933"/>
    <w:multiLevelType w:val="hybridMultilevel"/>
    <w:tmpl w:val="BCD4B7FA"/>
    <w:lvl w:ilvl="0" w:tplc="F33844AA">
      <w:start w:val="1"/>
      <w:numFmt w:val="upperRoman"/>
      <w:pStyle w:val="Gdtitrechapitre"/>
      <w:lvlText w:val="Partie %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6A4B114A"/>
    <w:multiLevelType w:val="hybridMultilevel"/>
    <w:tmpl w:val="FE8271D0"/>
    <w:name w:val="NumPar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6" w15:restartNumberingAfterBreak="0">
    <w:nsid w:val="6DF4DC24"/>
    <w:multiLevelType w:val="hybridMultilevel"/>
    <w:tmpl w:val="029680C8"/>
    <w:lvl w:ilvl="0" w:tplc="F0F2FA58">
      <w:start w:val="1"/>
      <w:numFmt w:val="bullet"/>
      <w:lvlText w:val="-"/>
      <w:lvlJc w:val="left"/>
      <w:pPr>
        <w:ind w:left="720" w:hanging="360"/>
      </w:pPr>
      <w:rPr>
        <w:rFonts w:ascii="Calibri" w:hAnsi="Calibri" w:hint="default"/>
      </w:rPr>
    </w:lvl>
    <w:lvl w:ilvl="1" w:tplc="B24A6E3E">
      <w:start w:val="1"/>
      <w:numFmt w:val="bullet"/>
      <w:lvlText w:val="o"/>
      <w:lvlJc w:val="left"/>
      <w:pPr>
        <w:ind w:left="1440" w:hanging="360"/>
      </w:pPr>
      <w:rPr>
        <w:rFonts w:ascii="Courier New" w:hAnsi="Courier New" w:hint="default"/>
      </w:rPr>
    </w:lvl>
    <w:lvl w:ilvl="2" w:tplc="C03C7196">
      <w:start w:val="1"/>
      <w:numFmt w:val="bullet"/>
      <w:lvlText w:val=""/>
      <w:lvlJc w:val="left"/>
      <w:pPr>
        <w:ind w:left="2160" w:hanging="360"/>
      </w:pPr>
      <w:rPr>
        <w:rFonts w:ascii="Wingdings" w:hAnsi="Wingdings" w:hint="default"/>
      </w:rPr>
    </w:lvl>
    <w:lvl w:ilvl="3" w:tplc="10A4CDFE">
      <w:start w:val="1"/>
      <w:numFmt w:val="bullet"/>
      <w:lvlText w:val=""/>
      <w:lvlJc w:val="left"/>
      <w:pPr>
        <w:ind w:left="2880" w:hanging="360"/>
      </w:pPr>
      <w:rPr>
        <w:rFonts w:ascii="Symbol" w:hAnsi="Symbol" w:hint="default"/>
      </w:rPr>
    </w:lvl>
    <w:lvl w:ilvl="4" w:tplc="30FA3360">
      <w:start w:val="1"/>
      <w:numFmt w:val="bullet"/>
      <w:lvlText w:val="o"/>
      <w:lvlJc w:val="left"/>
      <w:pPr>
        <w:ind w:left="3600" w:hanging="360"/>
      </w:pPr>
      <w:rPr>
        <w:rFonts w:ascii="Courier New" w:hAnsi="Courier New" w:hint="default"/>
      </w:rPr>
    </w:lvl>
    <w:lvl w:ilvl="5" w:tplc="490228C2">
      <w:start w:val="1"/>
      <w:numFmt w:val="bullet"/>
      <w:lvlText w:val=""/>
      <w:lvlJc w:val="left"/>
      <w:pPr>
        <w:ind w:left="4320" w:hanging="360"/>
      </w:pPr>
      <w:rPr>
        <w:rFonts w:ascii="Wingdings" w:hAnsi="Wingdings" w:hint="default"/>
      </w:rPr>
    </w:lvl>
    <w:lvl w:ilvl="6" w:tplc="0F7661CA">
      <w:start w:val="1"/>
      <w:numFmt w:val="bullet"/>
      <w:lvlText w:val=""/>
      <w:lvlJc w:val="left"/>
      <w:pPr>
        <w:ind w:left="5040" w:hanging="360"/>
      </w:pPr>
      <w:rPr>
        <w:rFonts w:ascii="Symbol" w:hAnsi="Symbol" w:hint="default"/>
      </w:rPr>
    </w:lvl>
    <w:lvl w:ilvl="7" w:tplc="DD5A453E">
      <w:start w:val="1"/>
      <w:numFmt w:val="bullet"/>
      <w:lvlText w:val="o"/>
      <w:lvlJc w:val="left"/>
      <w:pPr>
        <w:ind w:left="5760" w:hanging="360"/>
      </w:pPr>
      <w:rPr>
        <w:rFonts w:ascii="Courier New" w:hAnsi="Courier New" w:hint="default"/>
      </w:rPr>
    </w:lvl>
    <w:lvl w:ilvl="8" w:tplc="AD868F74">
      <w:start w:val="1"/>
      <w:numFmt w:val="bullet"/>
      <w:lvlText w:val=""/>
      <w:lvlJc w:val="left"/>
      <w:pPr>
        <w:ind w:left="6480" w:hanging="360"/>
      </w:pPr>
      <w:rPr>
        <w:rFonts w:ascii="Wingdings" w:hAnsi="Wingdings" w:hint="default"/>
      </w:rPr>
    </w:lvl>
  </w:abstractNum>
  <w:abstractNum w:abstractNumId="47" w15:restartNumberingAfterBreak="0">
    <w:nsid w:val="79451862"/>
    <w:multiLevelType w:val="hybridMultilevel"/>
    <w:tmpl w:val="1C646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9CE18B7"/>
    <w:multiLevelType w:val="multilevel"/>
    <w:tmpl w:val="BE8A65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0" w15:restartNumberingAfterBreak="0">
    <w:nsid w:val="7F651649"/>
    <w:multiLevelType w:val="hybridMultilevel"/>
    <w:tmpl w:val="32C632AE"/>
    <w:lvl w:ilvl="0" w:tplc="F2B800F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9"/>
  </w:num>
  <w:num w:numId="3">
    <w:abstractNumId w:val="28"/>
  </w:num>
  <w:num w:numId="4">
    <w:abstractNumId w:val="42"/>
  </w:num>
  <w:num w:numId="5">
    <w:abstractNumId w:val="21"/>
  </w:num>
  <w:num w:numId="6">
    <w:abstractNumId w:val="29"/>
  </w:num>
  <w:num w:numId="7">
    <w:abstractNumId w:val="15"/>
  </w:num>
  <w:num w:numId="8">
    <w:abstractNumId w:val="14"/>
  </w:num>
  <w:num w:numId="9">
    <w:abstractNumId w:val="30"/>
  </w:num>
  <w:num w:numId="10">
    <w:abstractNumId w:val="37"/>
  </w:num>
  <w:num w:numId="11">
    <w:abstractNumId w:val="38"/>
  </w:num>
  <w:num w:numId="12">
    <w:abstractNumId w:val="20"/>
  </w:num>
  <w:num w:numId="13">
    <w:abstractNumId w:val="34"/>
  </w:num>
  <w:num w:numId="14">
    <w:abstractNumId w:val="49"/>
  </w:num>
  <w:num w:numId="15">
    <w:abstractNumId w:val="7"/>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9"/>
  </w:num>
  <w:num w:numId="24">
    <w:abstractNumId w:val="18"/>
  </w:num>
  <w:num w:numId="25">
    <w:abstractNumId w:val="19"/>
  </w:num>
  <w:num w:numId="26">
    <w:abstractNumId w:val="27"/>
  </w:num>
  <w:num w:numId="27">
    <w:abstractNumId w:val="33"/>
  </w:num>
  <w:num w:numId="28">
    <w:abstractNumId w:val="31"/>
  </w:num>
  <w:num w:numId="29">
    <w:abstractNumId w:val="26"/>
  </w:num>
  <w:num w:numId="30">
    <w:abstractNumId w:val="13"/>
  </w:num>
  <w:num w:numId="31">
    <w:abstractNumId w:val="32"/>
  </w:num>
  <w:num w:numId="32">
    <w:abstractNumId w:val="50"/>
  </w:num>
  <w:num w:numId="33">
    <w:abstractNumId w:val="8"/>
  </w:num>
  <w:num w:numId="34">
    <w:abstractNumId w:val="24"/>
  </w:num>
  <w:num w:numId="35">
    <w:abstractNumId w:val="12"/>
  </w:num>
  <w:num w:numId="36">
    <w:abstractNumId w:val="17"/>
  </w:num>
  <w:num w:numId="37">
    <w:abstractNumId w:val="25"/>
  </w:num>
  <w:num w:numId="38">
    <w:abstractNumId w:val="22"/>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7"/>
  </w:num>
  <w:num w:numId="42">
    <w:abstractNumId w:val="36"/>
  </w:num>
  <w:num w:numId="43">
    <w:abstractNumId w:val="43"/>
  </w:num>
  <w:num w:numId="44">
    <w:abstractNumId w:val="44"/>
  </w:num>
  <w:num w:numId="45">
    <w:abstractNumId w:val="16"/>
  </w:num>
  <w:num w:numId="46">
    <w:abstractNumId w:val="23"/>
  </w:num>
  <w:num w:numId="47">
    <w:abstractNumId w:val="41"/>
  </w:num>
  <w:num w:numId="48">
    <w:abstractNumId w:val="11"/>
  </w:num>
  <w:num w:numId="49">
    <w:abstractNumId w:val="35"/>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към"/>
    <w:docVar w:name="LW_ANNEX_NBR_FIRST" w:val="1"/>
    <w:docVar w:name="LW_ANNEX_NBR_LAST" w:val="1"/>
    <w:docVar w:name="LW_ANNEX_UNIQUE" w:val="1"/>
    <w:docVar w:name="LW_CORRIGENDUM" w:val="&lt;UNUSED&gt;"/>
    <w:docVar w:name="LW_COVERPAGE_EXISTS" w:val="True"/>
    <w:docVar w:name="LW_COVERPAGE_GUID" w:val="5E60FC8B-4EBA-43BB-AD45-25AC9DEA4E8C"/>
    <w:docVar w:name="LW_COVERPAGE_TYPE" w:val="1"/>
    <w:docVar w:name="LW_CROSSREFERENCE" w:val="{SWD(2023) 376 final}"/>
    <w:docVar w:name="LW_DocType" w:val="NORMAL"/>
    <w:docVar w:name="LW_EMISSION" w:val="16.11.2023"/>
    <w:docVar w:name="LW_EMISSION_ISODATE" w:val="2023-11-16"/>
    <w:docVar w:name="LW_EMISSION_LOCATION" w:val="BRX"/>
    <w:docVar w:name="LW_EMISSION_PREFIX" w:val="\u1041?\u1088?\u1102?\u1082?\u1089?\u1077?\u1083?,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за изменение на Решение за изпълнение (ЕС) (ST 10161/21 и ST 10161/21 ADD 1) от 13 юли 2021 г. за одобряване на оценката на плана за възстановяване и устойчивост на Белгия"/>
    <w:docVar w:name="LW_PART_NBR" w:val="1"/>
    <w:docVar w:name="LW_PART_NBR_TOTAL" w:val="1"/>
    <w:docVar w:name="LW_REF.INST.NEW" w:val="COM"/>
    <w:docVar w:name="LW_REF.INST.NEW_ADOPTED" w:val="final"/>
    <w:docVar w:name="LW_REF.INST.NEW_TEXT" w:val="(2023)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ПРИЛОЖЕНИЕ_x000b_"/>
    <w:docVar w:name="LW_TYPEACTEPRINCIPAL.CP" w:val="Предложение за РЕШЕНИЕ ЗА ИЗПЪЛНЕНИЕ НА СЪВЕТА"/>
    <w:docVar w:name="LwApiVersions" w:val="LW4CoDe 1.23.2.0; LW 8.0, Build 20211117"/>
  </w:docVars>
  <w:rsids>
    <w:rsidRoot w:val="00526F1A"/>
    <w:rsid w:val="000000A0"/>
    <w:rsid w:val="00000814"/>
    <w:rsid w:val="000015F8"/>
    <w:rsid w:val="00001AD9"/>
    <w:rsid w:val="00001BB8"/>
    <w:rsid w:val="00001C38"/>
    <w:rsid w:val="000021A5"/>
    <w:rsid w:val="000023BE"/>
    <w:rsid w:val="000027C0"/>
    <w:rsid w:val="000029C0"/>
    <w:rsid w:val="00002BE4"/>
    <w:rsid w:val="00002C26"/>
    <w:rsid w:val="000030B9"/>
    <w:rsid w:val="00003213"/>
    <w:rsid w:val="00003C78"/>
    <w:rsid w:val="00003D0B"/>
    <w:rsid w:val="00003F74"/>
    <w:rsid w:val="0000415C"/>
    <w:rsid w:val="0000415D"/>
    <w:rsid w:val="0000431F"/>
    <w:rsid w:val="0000461A"/>
    <w:rsid w:val="0000474F"/>
    <w:rsid w:val="00004872"/>
    <w:rsid w:val="000049C3"/>
    <w:rsid w:val="00004E0C"/>
    <w:rsid w:val="0000547A"/>
    <w:rsid w:val="000055B6"/>
    <w:rsid w:val="000055BF"/>
    <w:rsid w:val="0000565E"/>
    <w:rsid w:val="00005E16"/>
    <w:rsid w:val="00005E83"/>
    <w:rsid w:val="000062F5"/>
    <w:rsid w:val="000064D4"/>
    <w:rsid w:val="0000674C"/>
    <w:rsid w:val="00006C11"/>
    <w:rsid w:val="00007616"/>
    <w:rsid w:val="000079CE"/>
    <w:rsid w:val="00010945"/>
    <w:rsid w:val="00010CF8"/>
    <w:rsid w:val="000110C0"/>
    <w:rsid w:val="0001176F"/>
    <w:rsid w:val="000117B6"/>
    <w:rsid w:val="000117F6"/>
    <w:rsid w:val="00011ADA"/>
    <w:rsid w:val="00011BCA"/>
    <w:rsid w:val="00011DC9"/>
    <w:rsid w:val="00011F6B"/>
    <w:rsid w:val="00012F04"/>
    <w:rsid w:val="00012F4C"/>
    <w:rsid w:val="000130A6"/>
    <w:rsid w:val="00013224"/>
    <w:rsid w:val="00013533"/>
    <w:rsid w:val="000139BF"/>
    <w:rsid w:val="00014194"/>
    <w:rsid w:val="0001424F"/>
    <w:rsid w:val="000145A1"/>
    <w:rsid w:val="00014612"/>
    <w:rsid w:val="00014C88"/>
    <w:rsid w:val="00015E86"/>
    <w:rsid w:val="00016095"/>
    <w:rsid w:val="000160D5"/>
    <w:rsid w:val="00016273"/>
    <w:rsid w:val="000169C3"/>
    <w:rsid w:val="0001774B"/>
    <w:rsid w:val="000179DF"/>
    <w:rsid w:val="00017F25"/>
    <w:rsid w:val="00020AAA"/>
    <w:rsid w:val="00020D36"/>
    <w:rsid w:val="00021370"/>
    <w:rsid w:val="00021A3D"/>
    <w:rsid w:val="00022384"/>
    <w:rsid w:val="000224F7"/>
    <w:rsid w:val="000225A9"/>
    <w:rsid w:val="000225AC"/>
    <w:rsid w:val="00023009"/>
    <w:rsid w:val="0002301F"/>
    <w:rsid w:val="000238C7"/>
    <w:rsid w:val="00023922"/>
    <w:rsid w:val="00023B5E"/>
    <w:rsid w:val="00023C3C"/>
    <w:rsid w:val="0002420B"/>
    <w:rsid w:val="00024BA8"/>
    <w:rsid w:val="00024E6C"/>
    <w:rsid w:val="00024FEF"/>
    <w:rsid w:val="00025237"/>
    <w:rsid w:val="0002535C"/>
    <w:rsid w:val="00025544"/>
    <w:rsid w:val="00025546"/>
    <w:rsid w:val="0002561E"/>
    <w:rsid w:val="00025F3E"/>
    <w:rsid w:val="0002617C"/>
    <w:rsid w:val="0002620D"/>
    <w:rsid w:val="000262C2"/>
    <w:rsid w:val="000263CE"/>
    <w:rsid w:val="0002655B"/>
    <w:rsid w:val="00026C47"/>
    <w:rsid w:val="00026E45"/>
    <w:rsid w:val="0002721A"/>
    <w:rsid w:val="00027615"/>
    <w:rsid w:val="00030835"/>
    <w:rsid w:val="000309E8"/>
    <w:rsid w:val="00030B57"/>
    <w:rsid w:val="00030EF3"/>
    <w:rsid w:val="00031582"/>
    <w:rsid w:val="000316A1"/>
    <w:rsid w:val="000319C7"/>
    <w:rsid w:val="00032D6B"/>
    <w:rsid w:val="00032F20"/>
    <w:rsid w:val="0003312D"/>
    <w:rsid w:val="000338AB"/>
    <w:rsid w:val="00033A90"/>
    <w:rsid w:val="00034457"/>
    <w:rsid w:val="00034C68"/>
    <w:rsid w:val="00034EB5"/>
    <w:rsid w:val="00035FF1"/>
    <w:rsid w:val="000364D4"/>
    <w:rsid w:val="00036877"/>
    <w:rsid w:val="00036931"/>
    <w:rsid w:val="000373FC"/>
    <w:rsid w:val="00037C9A"/>
    <w:rsid w:val="00037D6F"/>
    <w:rsid w:val="000403D7"/>
    <w:rsid w:val="00040923"/>
    <w:rsid w:val="0004103E"/>
    <w:rsid w:val="0004123B"/>
    <w:rsid w:val="0004156B"/>
    <w:rsid w:val="000418DD"/>
    <w:rsid w:val="000420FB"/>
    <w:rsid w:val="00042741"/>
    <w:rsid w:val="00042E0D"/>
    <w:rsid w:val="0004324F"/>
    <w:rsid w:val="00043354"/>
    <w:rsid w:val="0004365E"/>
    <w:rsid w:val="0004381F"/>
    <w:rsid w:val="00043FB6"/>
    <w:rsid w:val="00044270"/>
    <w:rsid w:val="00044457"/>
    <w:rsid w:val="00044988"/>
    <w:rsid w:val="00044F79"/>
    <w:rsid w:val="00045509"/>
    <w:rsid w:val="00045584"/>
    <w:rsid w:val="0004583E"/>
    <w:rsid w:val="000459AE"/>
    <w:rsid w:val="00045BDD"/>
    <w:rsid w:val="000464F3"/>
    <w:rsid w:val="0004672A"/>
    <w:rsid w:val="00046AF2"/>
    <w:rsid w:val="000475A4"/>
    <w:rsid w:val="0004786B"/>
    <w:rsid w:val="00047F34"/>
    <w:rsid w:val="00050451"/>
    <w:rsid w:val="0005126D"/>
    <w:rsid w:val="00051278"/>
    <w:rsid w:val="00051495"/>
    <w:rsid w:val="00051810"/>
    <w:rsid w:val="00051967"/>
    <w:rsid w:val="00051ABF"/>
    <w:rsid w:val="00051CC5"/>
    <w:rsid w:val="00051FFE"/>
    <w:rsid w:val="00052130"/>
    <w:rsid w:val="00052245"/>
    <w:rsid w:val="000522CF"/>
    <w:rsid w:val="00052306"/>
    <w:rsid w:val="00052343"/>
    <w:rsid w:val="00052AB0"/>
    <w:rsid w:val="00052AEC"/>
    <w:rsid w:val="000533FA"/>
    <w:rsid w:val="0005372E"/>
    <w:rsid w:val="00053F04"/>
    <w:rsid w:val="0005446D"/>
    <w:rsid w:val="00054604"/>
    <w:rsid w:val="00054A2C"/>
    <w:rsid w:val="00054E8D"/>
    <w:rsid w:val="0005596B"/>
    <w:rsid w:val="00055D98"/>
    <w:rsid w:val="00055E1F"/>
    <w:rsid w:val="000563CC"/>
    <w:rsid w:val="00056C67"/>
    <w:rsid w:val="00057086"/>
    <w:rsid w:val="00057461"/>
    <w:rsid w:val="000575F1"/>
    <w:rsid w:val="000576C7"/>
    <w:rsid w:val="00057911"/>
    <w:rsid w:val="00060F86"/>
    <w:rsid w:val="000610AA"/>
    <w:rsid w:val="00061443"/>
    <w:rsid w:val="00061684"/>
    <w:rsid w:val="00061909"/>
    <w:rsid w:val="00061F8C"/>
    <w:rsid w:val="000620EA"/>
    <w:rsid w:val="0006244B"/>
    <w:rsid w:val="000624A2"/>
    <w:rsid w:val="00063672"/>
    <w:rsid w:val="00063D6F"/>
    <w:rsid w:val="000640E0"/>
    <w:rsid w:val="0006426C"/>
    <w:rsid w:val="00064416"/>
    <w:rsid w:val="00064A7A"/>
    <w:rsid w:val="00064D8C"/>
    <w:rsid w:val="00065B55"/>
    <w:rsid w:val="00065E6F"/>
    <w:rsid w:val="000661A9"/>
    <w:rsid w:val="00066477"/>
    <w:rsid w:val="00066833"/>
    <w:rsid w:val="00066964"/>
    <w:rsid w:val="000670AF"/>
    <w:rsid w:val="00067185"/>
    <w:rsid w:val="0006739D"/>
    <w:rsid w:val="000673F5"/>
    <w:rsid w:val="000679A4"/>
    <w:rsid w:val="00067A64"/>
    <w:rsid w:val="00070011"/>
    <w:rsid w:val="0007024A"/>
    <w:rsid w:val="000708BB"/>
    <w:rsid w:val="000709B3"/>
    <w:rsid w:val="00070C17"/>
    <w:rsid w:val="00070C1D"/>
    <w:rsid w:val="0007139C"/>
    <w:rsid w:val="00071490"/>
    <w:rsid w:val="00071BE5"/>
    <w:rsid w:val="00071C22"/>
    <w:rsid w:val="00071E3B"/>
    <w:rsid w:val="00071E93"/>
    <w:rsid w:val="00072382"/>
    <w:rsid w:val="00072B78"/>
    <w:rsid w:val="00072BC1"/>
    <w:rsid w:val="00072F02"/>
    <w:rsid w:val="0007355E"/>
    <w:rsid w:val="000745EC"/>
    <w:rsid w:val="00074A3C"/>
    <w:rsid w:val="00074DE4"/>
    <w:rsid w:val="00075847"/>
    <w:rsid w:val="000759E2"/>
    <w:rsid w:val="00075B56"/>
    <w:rsid w:val="0007644C"/>
    <w:rsid w:val="000766C3"/>
    <w:rsid w:val="0007679C"/>
    <w:rsid w:val="00076998"/>
    <w:rsid w:val="00076EDF"/>
    <w:rsid w:val="00077504"/>
    <w:rsid w:val="00077974"/>
    <w:rsid w:val="00077E54"/>
    <w:rsid w:val="00077E65"/>
    <w:rsid w:val="00077FB0"/>
    <w:rsid w:val="000803D9"/>
    <w:rsid w:val="00080403"/>
    <w:rsid w:val="00080E73"/>
    <w:rsid w:val="00081415"/>
    <w:rsid w:val="000818B5"/>
    <w:rsid w:val="00081922"/>
    <w:rsid w:val="0008200F"/>
    <w:rsid w:val="00082279"/>
    <w:rsid w:val="0008241F"/>
    <w:rsid w:val="00082434"/>
    <w:rsid w:val="00082F9B"/>
    <w:rsid w:val="00083527"/>
    <w:rsid w:val="000840AB"/>
    <w:rsid w:val="000846B9"/>
    <w:rsid w:val="0008506E"/>
    <w:rsid w:val="0008511E"/>
    <w:rsid w:val="00085ABF"/>
    <w:rsid w:val="00085F7A"/>
    <w:rsid w:val="0008629D"/>
    <w:rsid w:val="000862DA"/>
    <w:rsid w:val="00086843"/>
    <w:rsid w:val="0008714B"/>
    <w:rsid w:val="000871FE"/>
    <w:rsid w:val="0008754F"/>
    <w:rsid w:val="000878CB"/>
    <w:rsid w:val="00087C97"/>
    <w:rsid w:val="00091332"/>
    <w:rsid w:val="000914F5"/>
    <w:rsid w:val="00091B5A"/>
    <w:rsid w:val="000929F3"/>
    <w:rsid w:val="00092B94"/>
    <w:rsid w:val="00093080"/>
    <w:rsid w:val="000930D7"/>
    <w:rsid w:val="0009329D"/>
    <w:rsid w:val="0009338D"/>
    <w:rsid w:val="000935BA"/>
    <w:rsid w:val="0009365E"/>
    <w:rsid w:val="00093B22"/>
    <w:rsid w:val="00093CD7"/>
    <w:rsid w:val="00093E59"/>
    <w:rsid w:val="0009404B"/>
    <w:rsid w:val="0009405C"/>
    <w:rsid w:val="000952A4"/>
    <w:rsid w:val="00095562"/>
    <w:rsid w:val="00095946"/>
    <w:rsid w:val="0009602C"/>
    <w:rsid w:val="00096102"/>
    <w:rsid w:val="000964EB"/>
    <w:rsid w:val="00096840"/>
    <w:rsid w:val="00096C5D"/>
    <w:rsid w:val="000971F2"/>
    <w:rsid w:val="000972A8"/>
    <w:rsid w:val="0009750B"/>
    <w:rsid w:val="000976B2"/>
    <w:rsid w:val="00097CA9"/>
    <w:rsid w:val="000A09A2"/>
    <w:rsid w:val="000A0B0E"/>
    <w:rsid w:val="000A0DFC"/>
    <w:rsid w:val="000A1193"/>
    <w:rsid w:val="000A1957"/>
    <w:rsid w:val="000A1CEF"/>
    <w:rsid w:val="000A1F6E"/>
    <w:rsid w:val="000A2B78"/>
    <w:rsid w:val="000A2C29"/>
    <w:rsid w:val="000A309A"/>
    <w:rsid w:val="000A33F0"/>
    <w:rsid w:val="000A3862"/>
    <w:rsid w:val="000A3EC5"/>
    <w:rsid w:val="000A45E5"/>
    <w:rsid w:val="000A4865"/>
    <w:rsid w:val="000A4A0B"/>
    <w:rsid w:val="000A4BC3"/>
    <w:rsid w:val="000A4CB7"/>
    <w:rsid w:val="000A5046"/>
    <w:rsid w:val="000A574C"/>
    <w:rsid w:val="000A578F"/>
    <w:rsid w:val="000A57A7"/>
    <w:rsid w:val="000A57F9"/>
    <w:rsid w:val="000A6890"/>
    <w:rsid w:val="000A6D86"/>
    <w:rsid w:val="000A6F27"/>
    <w:rsid w:val="000A72DD"/>
    <w:rsid w:val="000A7613"/>
    <w:rsid w:val="000A76CC"/>
    <w:rsid w:val="000A7F6E"/>
    <w:rsid w:val="000B079E"/>
    <w:rsid w:val="000B079F"/>
    <w:rsid w:val="000B07DB"/>
    <w:rsid w:val="000B0C6E"/>
    <w:rsid w:val="000B0E11"/>
    <w:rsid w:val="000B128C"/>
    <w:rsid w:val="000B1485"/>
    <w:rsid w:val="000B1A5D"/>
    <w:rsid w:val="000B1B95"/>
    <w:rsid w:val="000B2310"/>
    <w:rsid w:val="000B2D41"/>
    <w:rsid w:val="000B2D6D"/>
    <w:rsid w:val="000B2E8E"/>
    <w:rsid w:val="000B2EF2"/>
    <w:rsid w:val="000B2F4A"/>
    <w:rsid w:val="000B2F87"/>
    <w:rsid w:val="000B34A7"/>
    <w:rsid w:val="000B388D"/>
    <w:rsid w:val="000B3963"/>
    <w:rsid w:val="000B3AA4"/>
    <w:rsid w:val="000B3B8F"/>
    <w:rsid w:val="000B4843"/>
    <w:rsid w:val="000B48A1"/>
    <w:rsid w:val="000B5007"/>
    <w:rsid w:val="000B52CB"/>
    <w:rsid w:val="000B5321"/>
    <w:rsid w:val="000B572C"/>
    <w:rsid w:val="000B5DCC"/>
    <w:rsid w:val="000B5E43"/>
    <w:rsid w:val="000B689D"/>
    <w:rsid w:val="000B73CD"/>
    <w:rsid w:val="000B7470"/>
    <w:rsid w:val="000B7A0E"/>
    <w:rsid w:val="000B7B91"/>
    <w:rsid w:val="000B7DB1"/>
    <w:rsid w:val="000B7F54"/>
    <w:rsid w:val="000B7F58"/>
    <w:rsid w:val="000C0118"/>
    <w:rsid w:val="000C020E"/>
    <w:rsid w:val="000C02CD"/>
    <w:rsid w:val="000C0C6C"/>
    <w:rsid w:val="000C0DF3"/>
    <w:rsid w:val="000C11EC"/>
    <w:rsid w:val="000C14A0"/>
    <w:rsid w:val="000C1F03"/>
    <w:rsid w:val="000C209E"/>
    <w:rsid w:val="000C2458"/>
    <w:rsid w:val="000C27CF"/>
    <w:rsid w:val="000C29A0"/>
    <w:rsid w:val="000C29F9"/>
    <w:rsid w:val="000C33FE"/>
    <w:rsid w:val="000C354A"/>
    <w:rsid w:val="000C432F"/>
    <w:rsid w:val="000C46BB"/>
    <w:rsid w:val="000C4DAF"/>
    <w:rsid w:val="000C4DB1"/>
    <w:rsid w:val="000C5172"/>
    <w:rsid w:val="000C5834"/>
    <w:rsid w:val="000C5B03"/>
    <w:rsid w:val="000C5DC3"/>
    <w:rsid w:val="000C6589"/>
    <w:rsid w:val="000C68AF"/>
    <w:rsid w:val="000C6995"/>
    <w:rsid w:val="000C69E7"/>
    <w:rsid w:val="000C6A22"/>
    <w:rsid w:val="000C707A"/>
    <w:rsid w:val="000C7143"/>
    <w:rsid w:val="000C71D0"/>
    <w:rsid w:val="000C72E3"/>
    <w:rsid w:val="000C7440"/>
    <w:rsid w:val="000C765F"/>
    <w:rsid w:val="000C78D5"/>
    <w:rsid w:val="000C78E6"/>
    <w:rsid w:val="000C7A03"/>
    <w:rsid w:val="000C7A29"/>
    <w:rsid w:val="000C7B0D"/>
    <w:rsid w:val="000C7E26"/>
    <w:rsid w:val="000D0007"/>
    <w:rsid w:val="000D077F"/>
    <w:rsid w:val="000D0BBB"/>
    <w:rsid w:val="000D0FE9"/>
    <w:rsid w:val="000D108F"/>
    <w:rsid w:val="000D12FA"/>
    <w:rsid w:val="000D1B54"/>
    <w:rsid w:val="000D20E3"/>
    <w:rsid w:val="000D21B3"/>
    <w:rsid w:val="000D2488"/>
    <w:rsid w:val="000D28BB"/>
    <w:rsid w:val="000D2A06"/>
    <w:rsid w:val="000D2B14"/>
    <w:rsid w:val="000D2BFE"/>
    <w:rsid w:val="000D30AB"/>
    <w:rsid w:val="000D383D"/>
    <w:rsid w:val="000D3BBC"/>
    <w:rsid w:val="000D45E2"/>
    <w:rsid w:val="000D4BA9"/>
    <w:rsid w:val="000D4E64"/>
    <w:rsid w:val="000D5850"/>
    <w:rsid w:val="000D58F4"/>
    <w:rsid w:val="000D5E30"/>
    <w:rsid w:val="000D5F07"/>
    <w:rsid w:val="000D5F86"/>
    <w:rsid w:val="000D62A3"/>
    <w:rsid w:val="000D6458"/>
    <w:rsid w:val="000D6920"/>
    <w:rsid w:val="000D6D75"/>
    <w:rsid w:val="000D6EA4"/>
    <w:rsid w:val="000D7243"/>
    <w:rsid w:val="000D7308"/>
    <w:rsid w:val="000D73BF"/>
    <w:rsid w:val="000D7599"/>
    <w:rsid w:val="000D7965"/>
    <w:rsid w:val="000E0273"/>
    <w:rsid w:val="000E0E79"/>
    <w:rsid w:val="000E1BD0"/>
    <w:rsid w:val="000E1F60"/>
    <w:rsid w:val="000E2B90"/>
    <w:rsid w:val="000E3435"/>
    <w:rsid w:val="000E352B"/>
    <w:rsid w:val="000E359D"/>
    <w:rsid w:val="000E3727"/>
    <w:rsid w:val="000E39FB"/>
    <w:rsid w:val="000E40E5"/>
    <w:rsid w:val="000E4397"/>
    <w:rsid w:val="000E4420"/>
    <w:rsid w:val="000E4499"/>
    <w:rsid w:val="000E46AA"/>
    <w:rsid w:val="000E4729"/>
    <w:rsid w:val="000E4A6B"/>
    <w:rsid w:val="000E4C5E"/>
    <w:rsid w:val="000E51DC"/>
    <w:rsid w:val="000E52BE"/>
    <w:rsid w:val="000E5646"/>
    <w:rsid w:val="000E5CAE"/>
    <w:rsid w:val="000E5E25"/>
    <w:rsid w:val="000E6523"/>
    <w:rsid w:val="000E69D0"/>
    <w:rsid w:val="000E718A"/>
    <w:rsid w:val="000E72A8"/>
    <w:rsid w:val="000E759F"/>
    <w:rsid w:val="000E777E"/>
    <w:rsid w:val="000E7EC8"/>
    <w:rsid w:val="000F0C44"/>
    <w:rsid w:val="000F103D"/>
    <w:rsid w:val="000F10BB"/>
    <w:rsid w:val="000F18BA"/>
    <w:rsid w:val="000F1F2F"/>
    <w:rsid w:val="000F1FCB"/>
    <w:rsid w:val="000F2758"/>
    <w:rsid w:val="000F282B"/>
    <w:rsid w:val="000F2972"/>
    <w:rsid w:val="000F2F2B"/>
    <w:rsid w:val="000F312F"/>
    <w:rsid w:val="000F34FA"/>
    <w:rsid w:val="000F3974"/>
    <w:rsid w:val="000F3AA9"/>
    <w:rsid w:val="000F4087"/>
    <w:rsid w:val="000F423C"/>
    <w:rsid w:val="000F4322"/>
    <w:rsid w:val="000F4712"/>
    <w:rsid w:val="000F473E"/>
    <w:rsid w:val="000F4A97"/>
    <w:rsid w:val="000F4B0D"/>
    <w:rsid w:val="000F54EA"/>
    <w:rsid w:val="000F5505"/>
    <w:rsid w:val="000F555C"/>
    <w:rsid w:val="000F59EF"/>
    <w:rsid w:val="000F6137"/>
    <w:rsid w:val="000F62C7"/>
    <w:rsid w:val="000F730A"/>
    <w:rsid w:val="000F7502"/>
    <w:rsid w:val="000F751D"/>
    <w:rsid w:val="000F7557"/>
    <w:rsid w:val="000F7A69"/>
    <w:rsid w:val="000F7C4D"/>
    <w:rsid w:val="001004C0"/>
    <w:rsid w:val="00100A65"/>
    <w:rsid w:val="00100B48"/>
    <w:rsid w:val="00100F55"/>
    <w:rsid w:val="001013A2"/>
    <w:rsid w:val="0010197E"/>
    <w:rsid w:val="00101C2B"/>
    <w:rsid w:val="00101D40"/>
    <w:rsid w:val="00102010"/>
    <w:rsid w:val="00102BF5"/>
    <w:rsid w:val="00103155"/>
    <w:rsid w:val="00103238"/>
    <w:rsid w:val="001032B8"/>
    <w:rsid w:val="001034B2"/>
    <w:rsid w:val="001046B2"/>
    <w:rsid w:val="00104871"/>
    <w:rsid w:val="00104DB4"/>
    <w:rsid w:val="00105206"/>
    <w:rsid w:val="00105221"/>
    <w:rsid w:val="00105277"/>
    <w:rsid w:val="00105B93"/>
    <w:rsid w:val="00105C5D"/>
    <w:rsid w:val="00105E9B"/>
    <w:rsid w:val="00106C4A"/>
    <w:rsid w:val="00106EE5"/>
    <w:rsid w:val="00107273"/>
    <w:rsid w:val="00107BB7"/>
    <w:rsid w:val="00110357"/>
    <w:rsid w:val="00110707"/>
    <w:rsid w:val="00110743"/>
    <w:rsid w:val="001107D5"/>
    <w:rsid w:val="00110C65"/>
    <w:rsid w:val="00111078"/>
    <w:rsid w:val="00111097"/>
    <w:rsid w:val="0011131A"/>
    <w:rsid w:val="001117CD"/>
    <w:rsid w:val="00111E4B"/>
    <w:rsid w:val="00111F30"/>
    <w:rsid w:val="0011245C"/>
    <w:rsid w:val="001124FA"/>
    <w:rsid w:val="001125FD"/>
    <w:rsid w:val="001128FC"/>
    <w:rsid w:val="00112E1E"/>
    <w:rsid w:val="00113127"/>
    <w:rsid w:val="00113265"/>
    <w:rsid w:val="00113C80"/>
    <w:rsid w:val="001141C5"/>
    <w:rsid w:val="001143ED"/>
    <w:rsid w:val="00114BF4"/>
    <w:rsid w:val="00114C4E"/>
    <w:rsid w:val="00115797"/>
    <w:rsid w:val="001161C4"/>
    <w:rsid w:val="0011748F"/>
    <w:rsid w:val="00117B08"/>
    <w:rsid w:val="00120554"/>
    <w:rsid w:val="00120823"/>
    <w:rsid w:val="00120D06"/>
    <w:rsid w:val="001210B3"/>
    <w:rsid w:val="001210C6"/>
    <w:rsid w:val="0012163E"/>
    <w:rsid w:val="00121F8E"/>
    <w:rsid w:val="0012207E"/>
    <w:rsid w:val="0012229F"/>
    <w:rsid w:val="001224D9"/>
    <w:rsid w:val="00122AE9"/>
    <w:rsid w:val="00122B06"/>
    <w:rsid w:val="00122E18"/>
    <w:rsid w:val="001235D0"/>
    <w:rsid w:val="0012363A"/>
    <w:rsid w:val="00123ABA"/>
    <w:rsid w:val="00123E29"/>
    <w:rsid w:val="001241E5"/>
    <w:rsid w:val="00124302"/>
    <w:rsid w:val="00124476"/>
    <w:rsid w:val="00124779"/>
    <w:rsid w:val="00124B11"/>
    <w:rsid w:val="00124FF5"/>
    <w:rsid w:val="001255A0"/>
    <w:rsid w:val="00125891"/>
    <w:rsid w:val="00126068"/>
    <w:rsid w:val="001260C9"/>
    <w:rsid w:val="00126356"/>
    <w:rsid w:val="00126EFC"/>
    <w:rsid w:val="00127357"/>
    <w:rsid w:val="0012785C"/>
    <w:rsid w:val="00127AF2"/>
    <w:rsid w:val="00127BFE"/>
    <w:rsid w:val="00127EA7"/>
    <w:rsid w:val="0013046C"/>
    <w:rsid w:val="001306D3"/>
    <w:rsid w:val="001310E7"/>
    <w:rsid w:val="001314A1"/>
    <w:rsid w:val="00131A86"/>
    <w:rsid w:val="00131D10"/>
    <w:rsid w:val="00132361"/>
    <w:rsid w:val="001328C8"/>
    <w:rsid w:val="00132AE1"/>
    <w:rsid w:val="00132B0A"/>
    <w:rsid w:val="00132B30"/>
    <w:rsid w:val="00132CA8"/>
    <w:rsid w:val="00132E5A"/>
    <w:rsid w:val="00132EDC"/>
    <w:rsid w:val="00133195"/>
    <w:rsid w:val="00133598"/>
    <w:rsid w:val="00134148"/>
    <w:rsid w:val="0013472A"/>
    <w:rsid w:val="0013477B"/>
    <w:rsid w:val="00134A37"/>
    <w:rsid w:val="001364C5"/>
    <w:rsid w:val="00136A25"/>
    <w:rsid w:val="00136B02"/>
    <w:rsid w:val="00137078"/>
    <w:rsid w:val="00137C01"/>
    <w:rsid w:val="00137DCD"/>
    <w:rsid w:val="00140277"/>
    <w:rsid w:val="00140393"/>
    <w:rsid w:val="001406AF"/>
    <w:rsid w:val="00140C4C"/>
    <w:rsid w:val="00140DF2"/>
    <w:rsid w:val="001413B4"/>
    <w:rsid w:val="001414DA"/>
    <w:rsid w:val="0014154A"/>
    <w:rsid w:val="00141D0D"/>
    <w:rsid w:val="00141F38"/>
    <w:rsid w:val="00142FA4"/>
    <w:rsid w:val="001430AD"/>
    <w:rsid w:val="00143925"/>
    <w:rsid w:val="00143DF5"/>
    <w:rsid w:val="00143E23"/>
    <w:rsid w:val="00143FEC"/>
    <w:rsid w:val="0014400A"/>
    <w:rsid w:val="00144093"/>
    <w:rsid w:val="00144315"/>
    <w:rsid w:val="001448E8"/>
    <w:rsid w:val="00144C4D"/>
    <w:rsid w:val="00144CA4"/>
    <w:rsid w:val="00144D24"/>
    <w:rsid w:val="001455CF"/>
    <w:rsid w:val="001463B2"/>
    <w:rsid w:val="00146404"/>
    <w:rsid w:val="0014643F"/>
    <w:rsid w:val="0014651B"/>
    <w:rsid w:val="00150375"/>
    <w:rsid w:val="0015050F"/>
    <w:rsid w:val="0015062F"/>
    <w:rsid w:val="00150A56"/>
    <w:rsid w:val="00150E5C"/>
    <w:rsid w:val="00151283"/>
    <w:rsid w:val="00151415"/>
    <w:rsid w:val="0015182D"/>
    <w:rsid w:val="00151E86"/>
    <w:rsid w:val="001522F2"/>
    <w:rsid w:val="00152A3B"/>
    <w:rsid w:val="00152A5A"/>
    <w:rsid w:val="00152E21"/>
    <w:rsid w:val="001530DC"/>
    <w:rsid w:val="00153116"/>
    <w:rsid w:val="00153222"/>
    <w:rsid w:val="001536F5"/>
    <w:rsid w:val="00153934"/>
    <w:rsid w:val="00153A2A"/>
    <w:rsid w:val="00153F06"/>
    <w:rsid w:val="001544E7"/>
    <w:rsid w:val="00154820"/>
    <w:rsid w:val="00154ABD"/>
    <w:rsid w:val="00154D1B"/>
    <w:rsid w:val="001557A6"/>
    <w:rsid w:val="00155A89"/>
    <w:rsid w:val="00156244"/>
    <w:rsid w:val="0015643A"/>
    <w:rsid w:val="00156A12"/>
    <w:rsid w:val="00156DF2"/>
    <w:rsid w:val="00157D57"/>
    <w:rsid w:val="00160211"/>
    <w:rsid w:val="001602F9"/>
    <w:rsid w:val="0016076D"/>
    <w:rsid w:val="0016084F"/>
    <w:rsid w:val="001609F3"/>
    <w:rsid w:val="00160B63"/>
    <w:rsid w:val="00160F0E"/>
    <w:rsid w:val="00161284"/>
    <w:rsid w:val="001612B2"/>
    <w:rsid w:val="00161355"/>
    <w:rsid w:val="00161653"/>
    <w:rsid w:val="00161987"/>
    <w:rsid w:val="00162232"/>
    <w:rsid w:val="00162BB6"/>
    <w:rsid w:val="001630F8"/>
    <w:rsid w:val="00163381"/>
    <w:rsid w:val="0016392E"/>
    <w:rsid w:val="00163EDA"/>
    <w:rsid w:val="001640F6"/>
    <w:rsid w:val="00164125"/>
    <w:rsid w:val="0016440D"/>
    <w:rsid w:val="0016469B"/>
    <w:rsid w:val="00164B6F"/>
    <w:rsid w:val="00164CAE"/>
    <w:rsid w:val="001653AE"/>
    <w:rsid w:val="0016556B"/>
    <w:rsid w:val="00165AC4"/>
    <w:rsid w:val="0016681A"/>
    <w:rsid w:val="0016686C"/>
    <w:rsid w:val="00166AF9"/>
    <w:rsid w:val="00166C4E"/>
    <w:rsid w:val="00166CC7"/>
    <w:rsid w:val="001672EB"/>
    <w:rsid w:val="001677E1"/>
    <w:rsid w:val="00167F5D"/>
    <w:rsid w:val="0017006B"/>
    <w:rsid w:val="00170366"/>
    <w:rsid w:val="001703D9"/>
    <w:rsid w:val="001708CC"/>
    <w:rsid w:val="00170CAF"/>
    <w:rsid w:val="00171205"/>
    <w:rsid w:val="001716F2"/>
    <w:rsid w:val="00171923"/>
    <w:rsid w:val="001720F3"/>
    <w:rsid w:val="00172349"/>
    <w:rsid w:val="001729E8"/>
    <w:rsid w:val="00172A02"/>
    <w:rsid w:val="00172AFF"/>
    <w:rsid w:val="001731BE"/>
    <w:rsid w:val="0017325C"/>
    <w:rsid w:val="001733B0"/>
    <w:rsid w:val="00173690"/>
    <w:rsid w:val="00173810"/>
    <w:rsid w:val="00173E96"/>
    <w:rsid w:val="001741A2"/>
    <w:rsid w:val="001743C7"/>
    <w:rsid w:val="00174577"/>
    <w:rsid w:val="00174BD6"/>
    <w:rsid w:val="00174D7D"/>
    <w:rsid w:val="00174F03"/>
    <w:rsid w:val="00174F5C"/>
    <w:rsid w:val="00175704"/>
    <w:rsid w:val="00175852"/>
    <w:rsid w:val="001759B7"/>
    <w:rsid w:val="00175B95"/>
    <w:rsid w:val="00175EB9"/>
    <w:rsid w:val="00175F2B"/>
    <w:rsid w:val="00176156"/>
    <w:rsid w:val="00176AB2"/>
    <w:rsid w:val="00177254"/>
    <w:rsid w:val="0017747F"/>
    <w:rsid w:val="00177615"/>
    <w:rsid w:val="00177E38"/>
    <w:rsid w:val="00177F07"/>
    <w:rsid w:val="0018025C"/>
    <w:rsid w:val="0018081F"/>
    <w:rsid w:val="00180DAD"/>
    <w:rsid w:val="00180E38"/>
    <w:rsid w:val="00181492"/>
    <w:rsid w:val="00181AAE"/>
    <w:rsid w:val="00181C72"/>
    <w:rsid w:val="00181CB1"/>
    <w:rsid w:val="00182032"/>
    <w:rsid w:val="0018214E"/>
    <w:rsid w:val="001821F5"/>
    <w:rsid w:val="00182308"/>
    <w:rsid w:val="001826E7"/>
    <w:rsid w:val="00182F27"/>
    <w:rsid w:val="001832B9"/>
    <w:rsid w:val="001835DE"/>
    <w:rsid w:val="00183CB6"/>
    <w:rsid w:val="001846C1"/>
    <w:rsid w:val="00185196"/>
    <w:rsid w:val="0018572E"/>
    <w:rsid w:val="001860E2"/>
    <w:rsid w:val="0018616C"/>
    <w:rsid w:val="00186592"/>
    <w:rsid w:val="00186798"/>
    <w:rsid w:val="0018698A"/>
    <w:rsid w:val="00186B56"/>
    <w:rsid w:val="00186E1B"/>
    <w:rsid w:val="0018701E"/>
    <w:rsid w:val="00190684"/>
    <w:rsid w:val="00190A7F"/>
    <w:rsid w:val="00190DED"/>
    <w:rsid w:val="00190F61"/>
    <w:rsid w:val="00191505"/>
    <w:rsid w:val="00191ACA"/>
    <w:rsid w:val="001923BC"/>
    <w:rsid w:val="001923D3"/>
    <w:rsid w:val="0019262A"/>
    <w:rsid w:val="0019286A"/>
    <w:rsid w:val="00192D4B"/>
    <w:rsid w:val="001936C3"/>
    <w:rsid w:val="00193EA1"/>
    <w:rsid w:val="00193EC8"/>
    <w:rsid w:val="001941E0"/>
    <w:rsid w:val="001942E3"/>
    <w:rsid w:val="001945CC"/>
    <w:rsid w:val="00194645"/>
    <w:rsid w:val="00194DBD"/>
    <w:rsid w:val="0019572D"/>
    <w:rsid w:val="0019579D"/>
    <w:rsid w:val="00195C6D"/>
    <w:rsid w:val="00195CC1"/>
    <w:rsid w:val="00195E27"/>
    <w:rsid w:val="00196404"/>
    <w:rsid w:val="0019644C"/>
    <w:rsid w:val="001964C0"/>
    <w:rsid w:val="00196789"/>
    <w:rsid w:val="00196C1A"/>
    <w:rsid w:val="0019783A"/>
    <w:rsid w:val="001978A4"/>
    <w:rsid w:val="00197BA7"/>
    <w:rsid w:val="00197C1E"/>
    <w:rsid w:val="00197EB9"/>
    <w:rsid w:val="001A0431"/>
    <w:rsid w:val="001A0514"/>
    <w:rsid w:val="001A05BE"/>
    <w:rsid w:val="001A1076"/>
    <w:rsid w:val="001A16C6"/>
    <w:rsid w:val="001A242D"/>
    <w:rsid w:val="001A244F"/>
    <w:rsid w:val="001A25EF"/>
    <w:rsid w:val="001A32B5"/>
    <w:rsid w:val="001A3925"/>
    <w:rsid w:val="001A3958"/>
    <w:rsid w:val="001A4297"/>
    <w:rsid w:val="001A4927"/>
    <w:rsid w:val="001A4A4A"/>
    <w:rsid w:val="001A4B5F"/>
    <w:rsid w:val="001A4D93"/>
    <w:rsid w:val="001A4DAA"/>
    <w:rsid w:val="001A51E3"/>
    <w:rsid w:val="001A5687"/>
    <w:rsid w:val="001A60E8"/>
    <w:rsid w:val="001A6651"/>
    <w:rsid w:val="001A6BB6"/>
    <w:rsid w:val="001A6C0D"/>
    <w:rsid w:val="001A7010"/>
    <w:rsid w:val="001A712E"/>
    <w:rsid w:val="001A770B"/>
    <w:rsid w:val="001A7D95"/>
    <w:rsid w:val="001B018F"/>
    <w:rsid w:val="001B02AC"/>
    <w:rsid w:val="001B0522"/>
    <w:rsid w:val="001B0784"/>
    <w:rsid w:val="001B0A96"/>
    <w:rsid w:val="001B0BB8"/>
    <w:rsid w:val="001B0C4B"/>
    <w:rsid w:val="001B1028"/>
    <w:rsid w:val="001B135E"/>
    <w:rsid w:val="001B1602"/>
    <w:rsid w:val="001B16F6"/>
    <w:rsid w:val="001B1E8C"/>
    <w:rsid w:val="001B2352"/>
    <w:rsid w:val="001B2613"/>
    <w:rsid w:val="001B2A97"/>
    <w:rsid w:val="001B2B00"/>
    <w:rsid w:val="001B2D0F"/>
    <w:rsid w:val="001B2F23"/>
    <w:rsid w:val="001B30E0"/>
    <w:rsid w:val="001B316B"/>
    <w:rsid w:val="001B348C"/>
    <w:rsid w:val="001B3D88"/>
    <w:rsid w:val="001B3E39"/>
    <w:rsid w:val="001B3F54"/>
    <w:rsid w:val="001B4892"/>
    <w:rsid w:val="001B48B8"/>
    <w:rsid w:val="001B545A"/>
    <w:rsid w:val="001B55E1"/>
    <w:rsid w:val="001B5FEA"/>
    <w:rsid w:val="001B61BA"/>
    <w:rsid w:val="001B6223"/>
    <w:rsid w:val="001B6462"/>
    <w:rsid w:val="001B6972"/>
    <w:rsid w:val="001B7059"/>
    <w:rsid w:val="001B74E8"/>
    <w:rsid w:val="001B7765"/>
    <w:rsid w:val="001B7879"/>
    <w:rsid w:val="001B7F98"/>
    <w:rsid w:val="001B7FCB"/>
    <w:rsid w:val="001C008A"/>
    <w:rsid w:val="001C03DA"/>
    <w:rsid w:val="001C1C63"/>
    <w:rsid w:val="001C1F1C"/>
    <w:rsid w:val="001C2129"/>
    <w:rsid w:val="001C2406"/>
    <w:rsid w:val="001C274F"/>
    <w:rsid w:val="001C2968"/>
    <w:rsid w:val="001C2B32"/>
    <w:rsid w:val="001C2B91"/>
    <w:rsid w:val="001C2FE2"/>
    <w:rsid w:val="001C3751"/>
    <w:rsid w:val="001C3D69"/>
    <w:rsid w:val="001C47A3"/>
    <w:rsid w:val="001C5079"/>
    <w:rsid w:val="001C52D8"/>
    <w:rsid w:val="001C5494"/>
    <w:rsid w:val="001C5805"/>
    <w:rsid w:val="001C5A1A"/>
    <w:rsid w:val="001C5A78"/>
    <w:rsid w:val="001C5DAE"/>
    <w:rsid w:val="001C6A6A"/>
    <w:rsid w:val="001C6F0C"/>
    <w:rsid w:val="001C7035"/>
    <w:rsid w:val="001C707B"/>
    <w:rsid w:val="001C709A"/>
    <w:rsid w:val="001C723E"/>
    <w:rsid w:val="001C7695"/>
    <w:rsid w:val="001C7888"/>
    <w:rsid w:val="001D12E0"/>
    <w:rsid w:val="001D1329"/>
    <w:rsid w:val="001D136A"/>
    <w:rsid w:val="001D1700"/>
    <w:rsid w:val="001D187E"/>
    <w:rsid w:val="001D18BD"/>
    <w:rsid w:val="001D1E3A"/>
    <w:rsid w:val="001D21A1"/>
    <w:rsid w:val="001D2E19"/>
    <w:rsid w:val="001D3582"/>
    <w:rsid w:val="001D4482"/>
    <w:rsid w:val="001D47BD"/>
    <w:rsid w:val="001D49E4"/>
    <w:rsid w:val="001D4CB0"/>
    <w:rsid w:val="001D4DDC"/>
    <w:rsid w:val="001D5015"/>
    <w:rsid w:val="001D5393"/>
    <w:rsid w:val="001D58CC"/>
    <w:rsid w:val="001D5C71"/>
    <w:rsid w:val="001D5E7C"/>
    <w:rsid w:val="001D665C"/>
    <w:rsid w:val="001D6FC5"/>
    <w:rsid w:val="001D7092"/>
    <w:rsid w:val="001D73E1"/>
    <w:rsid w:val="001D75E7"/>
    <w:rsid w:val="001D76E5"/>
    <w:rsid w:val="001D7D1E"/>
    <w:rsid w:val="001D7F9E"/>
    <w:rsid w:val="001E0674"/>
    <w:rsid w:val="001E06F2"/>
    <w:rsid w:val="001E0BF7"/>
    <w:rsid w:val="001E0E17"/>
    <w:rsid w:val="001E19F6"/>
    <w:rsid w:val="001E1A27"/>
    <w:rsid w:val="001E24DA"/>
    <w:rsid w:val="001E2E78"/>
    <w:rsid w:val="001E3516"/>
    <w:rsid w:val="001E3658"/>
    <w:rsid w:val="001E3B24"/>
    <w:rsid w:val="001E3BA7"/>
    <w:rsid w:val="001E4001"/>
    <w:rsid w:val="001E43F5"/>
    <w:rsid w:val="001E45F4"/>
    <w:rsid w:val="001E4A0E"/>
    <w:rsid w:val="001E4B2F"/>
    <w:rsid w:val="001E4DA4"/>
    <w:rsid w:val="001E5046"/>
    <w:rsid w:val="001E56F5"/>
    <w:rsid w:val="001E5B84"/>
    <w:rsid w:val="001E5D5D"/>
    <w:rsid w:val="001E5DBD"/>
    <w:rsid w:val="001E5DE8"/>
    <w:rsid w:val="001E68A5"/>
    <w:rsid w:val="001E6CF9"/>
    <w:rsid w:val="001E6D8C"/>
    <w:rsid w:val="001E724A"/>
    <w:rsid w:val="001E75BF"/>
    <w:rsid w:val="001E796B"/>
    <w:rsid w:val="001E7BC5"/>
    <w:rsid w:val="001E7E28"/>
    <w:rsid w:val="001F0357"/>
    <w:rsid w:val="001F0DBA"/>
    <w:rsid w:val="001F0DC8"/>
    <w:rsid w:val="001F0F87"/>
    <w:rsid w:val="001F10EF"/>
    <w:rsid w:val="001F14E8"/>
    <w:rsid w:val="001F18D9"/>
    <w:rsid w:val="001F19D4"/>
    <w:rsid w:val="001F1F8A"/>
    <w:rsid w:val="001F2820"/>
    <w:rsid w:val="001F299C"/>
    <w:rsid w:val="001F2A2E"/>
    <w:rsid w:val="001F3798"/>
    <w:rsid w:val="001F4358"/>
    <w:rsid w:val="001F44F7"/>
    <w:rsid w:val="001F4BEA"/>
    <w:rsid w:val="001F4D49"/>
    <w:rsid w:val="001F50CE"/>
    <w:rsid w:val="001F5CC3"/>
    <w:rsid w:val="001F5D07"/>
    <w:rsid w:val="001F607A"/>
    <w:rsid w:val="001F6253"/>
    <w:rsid w:val="001F6566"/>
    <w:rsid w:val="001F68C9"/>
    <w:rsid w:val="001F69F6"/>
    <w:rsid w:val="001F7116"/>
    <w:rsid w:val="002007D2"/>
    <w:rsid w:val="00200EAE"/>
    <w:rsid w:val="00200FA4"/>
    <w:rsid w:val="00200FB5"/>
    <w:rsid w:val="0020164E"/>
    <w:rsid w:val="0020167A"/>
    <w:rsid w:val="00201D72"/>
    <w:rsid w:val="002023BA"/>
    <w:rsid w:val="0020291E"/>
    <w:rsid w:val="002032A6"/>
    <w:rsid w:val="00203BDD"/>
    <w:rsid w:val="00203ECB"/>
    <w:rsid w:val="0020406B"/>
    <w:rsid w:val="0020411D"/>
    <w:rsid w:val="0020442B"/>
    <w:rsid w:val="00204491"/>
    <w:rsid w:val="002044A2"/>
    <w:rsid w:val="00204533"/>
    <w:rsid w:val="00204C25"/>
    <w:rsid w:val="00204EDA"/>
    <w:rsid w:val="0020574D"/>
    <w:rsid w:val="00205DE0"/>
    <w:rsid w:val="00205EB3"/>
    <w:rsid w:val="002062D0"/>
    <w:rsid w:val="00206848"/>
    <w:rsid w:val="00206928"/>
    <w:rsid w:val="002070D5"/>
    <w:rsid w:val="00207116"/>
    <w:rsid w:val="002073AB"/>
    <w:rsid w:val="002074DA"/>
    <w:rsid w:val="0020787F"/>
    <w:rsid w:val="00207886"/>
    <w:rsid w:val="002105C2"/>
    <w:rsid w:val="00210AD6"/>
    <w:rsid w:val="00210EB8"/>
    <w:rsid w:val="00210F85"/>
    <w:rsid w:val="0021245F"/>
    <w:rsid w:val="0021306D"/>
    <w:rsid w:val="00213289"/>
    <w:rsid w:val="0021459D"/>
    <w:rsid w:val="002147CA"/>
    <w:rsid w:val="002147EE"/>
    <w:rsid w:val="00214A3C"/>
    <w:rsid w:val="00214A9E"/>
    <w:rsid w:val="00214C9D"/>
    <w:rsid w:val="002150A8"/>
    <w:rsid w:val="002150CE"/>
    <w:rsid w:val="002150DC"/>
    <w:rsid w:val="00215199"/>
    <w:rsid w:val="002156D3"/>
    <w:rsid w:val="0021596E"/>
    <w:rsid w:val="0021597C"/>
    <w:rsid w:val="002162C4"/>
    <w:rsid w:val="00216A1E"/>
    <w:rsid w:val="00216B1E"/>
    <w:rsid w:val="00216B78"/>
    <w:rsid w:val="00217269"/>
    <w:rsid w:val="002174FA"/>
    <w:rsid w:val="002207FA"/>
    <w:rsid w:val="002211DD"/>
    <w:rsid w:val="002214CE"/>
    <w:rsid w:val="00221872"/>
    <w:rsid w:val="00221A18"/>
    <w:rsid w:val="00221ACB"/>
    <w:rsid w:val="00221D36"/>
    <w:rsid w:val="00221DBB"/>
    <w:rsid w:val="00221FBF"/>
    <w:rsid w:val="0022284F"/>
    <w:rsid w:val="00222FD3"/>
    <w:rsid w:val="002231D9"/>
    <w:rsid w:val="00223856"/>
    <w:rsid w:val="00223972"/>
    <w:rsid w:val="0022411F"/>
    <w:rsid w:val="0022482A"/>
    <w:rsid w:val="00225D51"/>
    <w:rsid w:val="0022601E"/>
    <w:rsid w:val="00226135"/>
    <w:rsid w:val="00226199"/>
    <w:rsid w:val="00227813"/>
    <w:rsid w:val="00230EA2"/>
    <w:rsid w:val="00230F88"/>
    <w:rsid w:val="002312A7"/>
    <w:rsid w:val="002316C3"/>
    <w:rsid w:val="00231700"/>
    <w:rsid w:val="00232882"/>
    <w:rsid w:val="00232B66"/>
    <w:rsid w:val="00232EBC"/>
    <w:rsid w:val="00232F92"/>
    <w:rsid w:val="00233256"/>
    <w:rsid w:val="00233706"/>
    <w:rsid w:val="00233953"/>
    <w:rsid w:val="00233C74"/>
    <w:rsid w:val="00233F8B"/>
    <w:rsid w:val="00234190"/>
    <w:rsid w:val="002347CE"/>
    <w:rsid w:val="0023482D"/>
    <w:rsid w:val="00234D6F"/>
    <w:rsid w:val="00234ED2"/>
    <w:rsid w:val="00235128"/>
    <w:rsid w:val="00235A41"/>
    <w:rsid w:val="00235B38"/>
    <w:rsid w:val="00235E11"/>
    <w:rsid w:val="002369F5"/>
    <w:rsid w:val="002371C9"/>
    <w:rsid w:val="002377D3"/>
    <w:rsid w:val="00237926"/>
    <w:rsid w:val="00237C18"/>
    <w:rsid w:val="0024018D"/>
    <w:rsid w:val="00240305"/>
    <w:rsid w:val="00240513"/>
    <w:rsid w:val="00240808"/>
    <w:rsid w:val="00240C37"/>
    <w:rsid w:val="00240D28"/>
    <w:rsid w:val="002410D7"/>
    <w:rsid w:val="002411F6"/>
    <w:rsid w:val="0024160C"/>
    <w:rsid w:val="00241EB9"/>
    <w:rsid w:val="00241F0D"/>
    <w:rsid w:val="002420A7"/>
    <w:rsid w:val="00242A6D"/>
    <w:rsid w:val="002432AB"/>
    <w:rsid w:val="0024335A"/>
    <w:rsid w:val="00243D25"/>
    <w:rsid w:val="00243DEB"/>
    <w:rsid w:val="002445EC"/>
    <w:rsid w:val="002450DE"/>
    <w:rsid w:val="002452C6"/>
    <w:rsid w:val="0024530B"/>
    <w:rsid w:val="00245596"/>
    <w:rsid w:val="00245710"/>
    <w:rsid w:val="00246036"/>
    <w:rsid w:val="002466C1"/>
    <w:rsid w:val="00246964"/>
    <w:rsid w:val="00246B3B"/>
    <w:rsid w:val="00246D13"/>
    <w:rsid w:val="0024759E"/>
    <w:rsid w:val="00247AE7"/>
    <w:rsid w:val="00247ED6"/>
    <w:rsid w:val="002510A9"/>
    <w:rsid w:val="00251123"/>
    <w:rsid w:val="00251812"/>
    <w:rsid w:val="002522B7"/>
    <w:rsid w:val="00252F91"/>
    <w:rsid w:val="00253608"/>
    <w:rsid w:val="00253B93"/>
    <w:rsid w:val="00253C83"/>
    <w:rsid w:val="00253C90"/>
    <w:rsid w:val="002541F2"/>
    <w:rsid w:val="0025487C"/>
    <w:rsid w:val="002550A0"/>
    <w:rsid w:val="002550F0"/>
    <w:rsid w:val="0025571A"/>
    <w:rsid w:val="0025600A"/>
    <w:rsid w:val="00256A55"/>
    <w:rsid w:val="00256A7B"/>
    <w:rsid w:val="00257122"/>
    <w:rsid w:val="00257398"/>
    <w:rsid w:val="00257966"/>
    <w:rsid w:val="00257BAE"/>
    <w:rsid w:val="0026012F"/>
    <w:rsid w:val="00260BD7"/>
    <w:rsid w:val="00260E3F"/>
    <w:rsid w:val="00261203"/>
    <w:rsid w:val="0026146F"/>
    <w:rsid w:val="002614A4"/>
    <w:rsid w:val="002617C4"/>
    <w:rsid w:val="002617EF"/>
    <w:rsid w:val="00261A67"/>
    <w:rsid w:val="00261B82"/>
    <w:rsid w:val="00261D7D"/>
    <w:rsid w:val="0026237B"/>
    <w:rsid w:val="002623DF"/>
    <w:rsid w:val="00262469"/>
    <w:rsid w:val="00262C31"/>
    <w:rsid w:val="00263053"/>
    <w:rsid w:val="00263709"/>
    <w:rsid w:val="0026389B"/>
    <w:rsid w:val="00263908"/>
    <w:rsid w:val="00263965"/>
    <w:rsid w:val="00265314"/>
    <w:rsid w:val="0026545E"/>
    <w:rsid w:val="00265CC7"/>
    <w:rsid w:val="00266148"/>
    <w:rsid w:val="002665EF"/>
    <w:rsid w:val="0026673E"/>
    <w:rsid w:val="002667E2"/>
    <w:rsid w:val="00266BB7"/>
    <w:rsid w:val="00267160"/>
    <w:rsid w:val="0026723F"/>
    <w:rsid w:val="00267286"/>
    <w:rsid w:val="0026735C"/>
    <w:rsid w:val="002674C5"/>
    <w:rsid w:val="00267C2D"/>
    <w:rsid w:val="00267E63"/>
    <w:rsid w:val="00270626"/>
    <w:rsid w:val="00270A37"/>
    <w:rsid w:val="002715A6"/>
    <w:rsid w:val="002717D6"/>
    <w:rsid w:val="00271D6F"/>
    <w:rsid w:val="0027216B"/>
    <w:rsid w:val="00272AEB"/>
    <w:rsid w:val="00272B09"/>
    <w:rsid w:val="00272F1F"/>
    <w:rsid w:val="00273214"/>
    <w:rsid w:val="0027359E"/>
    <w:rsid w:val="002737E5"/>
    <w:rsid w:val="00273886"/>
    <w:rsid w:val="0027403D"/>
    <w:rsid w:val="0027461A"/>
    <w:rsid w:val="00274930"/>
    <w:rsid w:val="00274F38"/>
    <w:rsid w:val="002750ED"/>
    <w:rsid w:val="00275487"/>
    <w:rsid w:val="00275795"/>
    <w:rsid w:val="00275A34"/>
    <w:rsid w:val="00275C49"/>
    <w:rsid w:val="00275DA4"/>
    <w:rsid w:val="002761C3"/>
    <w:rsid w:val="002765B4"/>
    <w:rsid w:val="00276668"/>
    <w:rsid w:val="00276C57"/>
    <w:rsid w:val="002778FD"/>
    <w:rsid w:val="00277EA3"/>
    <w:rsid w:val="002801A2"/>
    <w:rsid w:val="002803E6"/>
    <w:rsid w:val="0028083D"/>
    <w:rsid w:val="00280B7C"/>
    <w:rsid w:val="00280E7A"/>
    <w:rsid w:val="0028127F"/>
    <w:rsid w:val="002817E8"/>
    <w:rsid w:val="00281AD8"/>
    <w:rsid w:val="00281AF5"/>
    <w:rsid w:val="00282174"/>
    <w:rsid w:val="00282905"/>
    <w:rsid w:val="00282DB2"/>
    <w:rsid w:val="002834AD"/>
    <w:rsid w:val="00283521"/>
    <w:rsid w:val="00283656"/>
    <w:rsid w:val="002836FA"/>
    <w:rsid w:val="00283FAC"/>
    <w:rsid w:val="0028450E"/>
    <w:rsid w:val="0028455A"/>
    <w:rsid w:val="0028462E"/>
    <w:rsid w:val="00284B8C"/>
    <w:rsid w:val="00284FB5"/>
    <w:rsid w:val="00285069"/>
    <w:rsid w:val="0028540D"/>
    <w:rsid w:val="00285610"/>
    <w:rsid w:val="002858EF"/>
    <w:rsid w:val="00285B2D"/>
    <w:rsid w:val="00285BD4"/>
    <w:rsid w:val="00285EBD"/>
    <w:rsid w:val="00286622"/>
    <w:rsid w:val="00286727"/>
    <w:rsid w:val="00286E50"/>
    <w:rsid w:val="0028746A"/>
    <w:rsid w:val="0028785E"/>
    <w:rsid w:val="00287AC0"/>
    <w:rsid w:val="00287C63"/>
    <w:rsid w:val="00287E69"/>
    <w:rsid w:val="00290CA3"/>
    <w:rsid w:val="00290FAB"/>
    <w:rsid w:val="00291B5D"/>
    <w:rsid w:val="0029228E"/>
    <w:rsid w:val="002927DC"/>
    <w:rsid w:val="00292AA0"/>
    <w:rsid w:val="0029303A"/>
    <w:rsid w:val="0029318F"/>
    <w:rsid w:val="0029349C"/>
    <w:rsid w:val="002934E0"/>
    <w:rsid w:val="002934FE"/>
    <w:rsid w:val="002938ED"/>
    <w:rsid w:val="00293E1F"/>
    <w:rsid w:val="00294261"/>
    <w:rsid w:val="00294310"/>
    <w:rsid w:val="002944A9"/>
    <w:rsid w:val="002947B1"/>
    <w:rsid w:val="002950FA"/>
    <w:rsid w:val="00295533"/>
    <w:rsid w:val="00295797"/>
    <w:rsid w:val="00295AF6"/>
    <w:rsid w:val="0029603C"/>
    <w:rsid w:val="00296991"/>
    <w:rsid w:val="00296BD9"/>
    <w:rsid w:val="00296C13"/>
    <w:rsid w:val="00296C80"/>
    <w:rsid w:val="00296D79"/>
    <w:rsid w:val="00296DED"/>
    <w:rsid w:val="00296F03"/>
    <w:rsid w:val="002970DB"/>
    <w:rsid w:val="0029736B"/>
    <w:rsid w:val="00297444"/>
    <w:rsid w:val="00297804"/>
    <w:rsid w:val="00297881"/>
    <w:rsid w:val="002978E3"/>
    <w:rsid w:val="00297A62"/>
    <w:rsid w:val="00297B29"/>
    <w:rsid w:val="00297BD2"/>
    <w:rsid w:val="00297D5A"/>
    <w:rsid w:val="00297E53"/>
    <w:rsid w:val="00297FAE"/>
    <w:rsid w:val="002A0256"/>
    <w:rsid w:val="002A02BF"/>
    <w:rsid w:val="002A0427"/>
    <w:rsid w:val="002A05EC"/>
    <w:rsid w:val="002A086C"/>
    <w:rsid w:val="002A08F7"/>
    <w:rsid w:val="002A09B4"/>
    <w:rsid w:val="002A0B81"/>
    <w:rsid w:val="002A1665"/>
    <w:rsid w:val="002A1C70"/>
    <w:rsid w:val="002A1E65"/>
    <w:rsid w:val="002A26A4"/>
    <w:rsid w:val="002A40A8"/>
    <w:rsid w:val="002A44E2"/>
    <w:rsid w:val="002A48F8"/>
    <w:rsid w:val="002A4E52"/>
    <w:rsid w:val="002A50D7"/>
    <w:rsid w:val="002A54DE"/>
    <w:rsid w:val="002A59BD"/>
    <w:rsid w:val="002A607B"/>
    <w:rsid w:val="002A629F"/>
    <w:rsid w:val="002A6370"/>
    <w:rsid w:val="002A655F"/>
    <w:rsid w:val="002A6657"/>
    <w:rsid w:val="002A6A91"/>
    <w:rsid w:val="002A6B49"/>
    <w:rsid w:val="002A6D0C"/>
    <w:rsid w:val="002A6E3B"/>
    <w:rsid w:val="002A71AB"/>
    <w:rsid w:val="002A74C7"/>
    <w:rsid w:val="002A7635"/>
    <w:rsid w:val="002A794D"/>
    <w:rsid w:val="002B03D3"/>
    <w:rsid w:val="002B051A"/>
    <w:rsid w:val="002B07BC"/>
    <w:rsid w:val="002B0F65"/>
    <w:rsid w:val="002B13D0"/>
    <w:rsid w:val="002B177D"/>
    <w:rsid w:val="002B2025"/>
    <w:rsid w:val="002B235B"/>
    <w:rsid w:val="002B2D5C"/>
    <w:rsid w:val="002B3444"/>
    <w:rsid w:val="002B3E48"/>
    <w:rsid w:val="002B4367"/>
    <w:rsid w:val="002B4C2F"/>
    <w:rsid w:val="002B5802"/>
    <w:rsid w:val="002B5D06"/>
    <w:rsid w:val="002B60A5"/>
    <w:rsid w:val="002B62FC"/>
    <w:rsid w:val="002B6860"/>
    <w:rsid w:val="002B6D02"/>
    <w:rsid w:val="002B7001"/>
    <w:rsid w:val="002B70DD"/>
    <w:rsid w:val="002B71CE"/>
    <w:rsid w:val="002B74F5"/>
    <w:rsid w:val="002B7E64"/>
    <w:rsid w:val="002C012B"/>
    <w:rsid w:val="002C0351"/>
    <w:rsid w:val="002C06D1"/>
    <w:rsid w:val="002C078D"/>
    <w:rsid w:val="002C1257"/>
    <w:rsid w:val="002C144B"/>
    <w:rsid w:val="002C176D"/>
    <w:rsid w:val="002C1847"/>
    <w:rsid w:val="002C1A39"/>
    <w:rsid w:val="002C1CC3"/>
    <w:rsid w:val="002C1FCB"/>
    <w:rsid w:val="002C2248"/>
    <w:rsid w:val="002C262A"/>
    <w:rsid w:val="002C2D36"/>
    <w:rsid w:val="002C3490"/>
    <w:rsid w:val="002C382F"/>
    <w:rsid w:val="002C3EC6"/>
    <w:rsid w:val="002C4147"/>
    <w:rsid w:val="002C4C6E"/>
    <w:rsid w:val="002C50B1"/>
    <w:rsid w:val="002C56A7"/>
    <w:rsid w:val="002C5ADF"/>
    <w:rsid w:val="002C600A"/>
    <w:rsid w:val="002C601E"/>
    <w:rsid w:val="002C6066"/>
    <w:rsid w:val="002C6A1C"/>
    <w:rsid w:val="002C6F8B"/>
    <w:rsid w:val="002C7369"/>
    <w:rsid w:val="002C7399"/>
    <w:rsid w:val="002C7A5C"/>
    <w:rsid w:val="002D0262"/>
    <w:rsid w:val="002D049A"/>
    <w:rsid w:val="002D0A3E"/>
    <w:rsid w:val="002D16A5"/>
    <w:rsid w:val="002D1B53"/>
    <w:rsid w:val="002D1D17"/>
    <w:rsid w:val="002D2408"/>
    <w:rsid w:val="002D25F6"/>
    <w:rsid w:val="002D304C"/>
    <w:rsid w:val="002D3977"/>
    <w:rsid w:val="002D3DE7"/>
    <w:rsid w:val="002D3E7D"/>
    <w:rsid w:val="002D3E9F"/>
    <w:rsid w:val="002D4398"/>
    <w:rsid w:val="002D4787"/>
    <w:rsid w:val="002D499E"/>
    <w:rsid w:val="002D4BD7"/>
    <w:rsid w:val="002D5347"/>
    <w:rsid w:val="002D5415"/>
    <w:rsid w:val="002D55E0"/>
    <w:rsid w:val="002D591F"/>
    <w:rsid w:val="002D6159"/>
    <w:rsid w:val="002D6D6C"/>
    <w:rsid w:val="002D6FF4"/>
    <w:rsid w:val="002D738C"/>
    <w:rsid w:val="002D74FE"/>
    <w:rsid w:val="002D78EB"/>
    <w:rsid w:val="002D7A6A"/>
    <w:rsid w:val="002D7D4A"/>
    <w:rsid w:val="002D7ED7"/>
    <w:rsid w:val="002E030D"/>
    <w:rsid w:val="002E0F4E"/>
    <w:rsid w:val="002E1501"/>
    <w:rsid w:val="002E1634"/>
    <w:rsid w:val="002E22FC"/>
    <w:rsid w:val="002E24D7"/>
    <w:rsid w:val="002E24EC"/>
    <w:rsid w:val="002E282C"/>
    <w:rsid w:val="002E2BD2"/>
    <w:rsid w:val="002E34FE"/>
    <w:rsid w:val="002E3771"/>
    <w:rsid w:val="002E4352"/>
    <w:rsid w:val="002E47B0"/>
    <w:rsid w:val="002E4C55"/>
    <w:rsid w:val="002E5039"/>
    <w:rsid w:val="002E5441"/>
    <w:rsid w:val="002E5495"/>
    <w:rsid w:val="002E56C7"/>
    <w:rsid w:val="002E5F96"/>
    <w:rsid w:val="002E605A"/>
    <w:rsid w:val="002E6165"/>
    <w:rsid w:val="002E649A"/>
    <w:rsid w:val="002E6852"/>
    <w:rsid w:val="002E6AFF"/>
    <w:rsid w:val="002E6BF3"/>
    <w:rsid w:val="002E743D"/>
    <w:rsid w:val="002E74F1"/>
    <w:rsid w:val="002F0A84"/>
    <w:rsid w:val="002F111B"/>
    <w:rsid w:val="002F1355"/>
    <w:rsid w:val="002F18E9"/>
    <w:rsid w:val="002F19E2"/>
    <w:rsid w:val="002F1BB7"/>
    <w:rsid w:val="002F1D46"/>
    <w:rsid w:val="002F1F0B"/>
    <w:rsid w:val="002F20A6"/>
    <w:rsid w:val="002F279E"/>
    <w:rsid w:val="002F2C26"/>
    <w:rsid w:val="002F3067"/>
    <w:rsid w:val="002F3227"/>
    <w:rsid w:val="002F38A2"/>
    <w:rsid w:val="002F39AC"/>
    <w:rsid w:val="002F3B70"/>
    <w:rsid w:val="002F3BA5"/>
    <w:rsid w:val="002F3D6B"/>
    <w:rsid w:val="002F3EF7"/>
    <w:rsid w:val="002F3F3A"/>
    <w:rsid w:val="002F4787"/>
    <w:rsid w:val="002F4CC0"/>
    <w:rsid w:val="002F4ED8"/>
    <w:rsid w:val="002F55BA"/>
    <w:rsid w:val="002F5637"/>
    <w:rsid w:val="002F5834"/>
    <w:rsid w:val="002F5B1E"/>
    <w:rsid w:val="002F60ED"/>
    <w:rsid w:val="002F678F"/>
    <w:rsid w:val="002F6CD2"/>
    <w:rsid w:val="002F6DB5"/>
    <w:rsid w:val="002F6E42"/>
    <w:rsid w:val="002F6F4E"/>
    <w:rsid w:val="002F6FF9"/>
    <w:rsid w:val="002F7822"/>
    <w:rsid w:val="002F7DBD"/>
    <w:rsid w:val="002F7ECD"/>
    <w:rsid w:val="00300615"/>
    <w:rsid w:val="00300779"/>
    <w:rsid w:val="00300C3C"/>
    <w:rsid w:val="00300E73"/>
    <w:rsid w:val="003010C3"/>
    <w:rsid w:val="003017D8"/>
    <w:rsid w:val="003018FE"/>
    <w:rsid w:val="0030237A"/>
    <w:rsid w:val="003027DD"/>
    <w:rsid w:val="003028C9"/>
    <w:rsid w:val="00302950"/>
    <w:rsid w:val="00302FC8"/>
    <w:rsid w:val="00303317"/>
    <w:rsid w:val="00303CBD"/>
    <w:rsid w:val="00303D59"/>
    <w:rsid w:val="00303FED"/>
    <w:rsid w:val="0030426D"/>
    <w:rsid w:val="00304340"/>
    <w:rsid w:val="00304D1F"/>
    <w:rsid w:val="0030582E"/>
    <w:rsid w:val="00305A0F"/>
    <w:rsid w:val="00305A4E"/>
    <w:rsid w:val="00305B5A"/>
    <w:rsid w:val="003063E8"/>
    <w:rsid w:val="00306B30"/>
    <w:rsid w:val="00306B5B"/>
    <w:rsid w:val="0030729E"/>
    <w:rsid w:val="003072FD"/>
    <w:rsid w:val="003077B3"/>
    <w:rsid w:val="00307B2B"/>
    <w:rsid w:val="00307B66"/>
    <w:rsid w:val="0031030A"/>
    <w:rsid w:val="003106E9"/>
    <w:rsid w:val="00310A20"/>
    <w:rsid w:val="00311394"/>
    <w:rsid w:val="00311580"/>
    <w:rsid w:val="00311636"/>
    <w:rsid w:val="003116E3"/>
    <w:rsid w:val="00311B55"/>
    <w:rsid w:val="00311D7C"/>
    <w:rsid w:val="00312036"/>
    <w:rsid w:val="00312038"/>
    <w:rsid w:val="0031207E"/>
    <w:rsid w:val="003122E5"/>
    <w:rsid w:val="00312F20"/>
    <w:rsid w:val="0031461B"/>
    <w:rsid w:val="00314737"/>
    <w:rsid w:val="00314879"/>
    <w:rsid w:val="00314A21"/>
    <w:rsid w:val="00314B84"/>
    <w:rsid w:val="00315525"/>
    <w:rsid w:val="0031568B"/>
    <w:rsid w:val="00315860"/>
    <w:rsid w:val="00315ACA"/>
    <w:rsid w:val="00315F1C"/>
    <w:rsid w:val="00315FCF"/>
    <w:rsid w:val="003162E9"/>
    <w:rsid w:val="0031721F"/>
    <w:rsid w:val="00317721"/>
    <w:rsid w:val="00317750"/>
    <w:rsid w:val="003178EC"/>
    <w:rsid w:val="00320512"/>
    <w:rsid w:val="003209EF"/>
    <w:rsid w:val="00320C8C"/>
    <w:rsid w:val="00320C8D"/>
    <w:rsid w:val="00320FA6"/>
    <w:rsid w:val="0032117B"/>
    <w:rsid w:val="0032133C"/>
    <w:rsid w:val="00321565"/>
    <w:rsid w:val="003216A6"/>
    <w:rsid w:val="00321BC3"/>
    <w:rsid w:val="003223B3"/>
    <w:rsid w:val="0032251B"/>
    <w:rsid w:val="0032255B"/>
    <w:rsid w:val="00322EAE"/>
    <w:rsid w:val="00322EF8"/>
    <w:rsid w:val="00322F7C"/>
    <w:rsid w:val="00323118"/>
    <w:rsid w:val="00323AF9"/>
    <w:rsid w:val="00323CBD"/>
    <w:rsid w:val="00323CF4"/>
    <w:rsid w:val="00323DD7"/>
    <w:rsid w:val="00324530"/>
    <w:rsid w:val="0032475B"/>
    <w:rsid w:val="00324CC6"/>
    <w:rsid w:val="00324D0F"/>
    <w:rsid w:val="00324E28"/>
    <w:rsid w:val="003253B4"/>
    <w:rsid w:val="00325518"/>
    <w:rsid w:val="0032591B"/>
    <w:rsid w:val="00325C76"/>
    <w:rsid w:val="00326905"/>
    <w:rsid w:val="003269E4"/>
    <w:rsid w:val="00326B32"/>
    <w:rsid w:val="00327312"/>
    <w:rsid w:val="003275D2"/>
    <w:rsid w:val="00327C32"/>
    <w:rsid w:val="00327E3C"/>
    <w:rsid w:val="003303F0"/>
    <w:rsid w:val="003309A2"/>
    <w:rsid w:val="00330FDE"/>
    <w:rsid w:val="003313DC"/>
    <w:rsid w:val="00331437"/>
    <w:rsid w:val="0033219E"/>
    <w:rsid w:val="0033229B"/>
    <w:rsid w:val="003322AC"/>
    <w:rsid w:val="0033296F"/>
    <w:rsid w:val="003329C7"/>
    <w:rsid w:val="00332B70"/>
    <w:rsid w:val="003333EF"/>
    <w:rsid w:val="00333712"/>
    <w:rsid w:val="0033468A"/>
    <w:rsid w:val="00335163"/>
    <w:rsid w:val="003354AB"/>
    <w:rsid w:val="00335629"/>
    <w:rsid w:val="0033592A"/>
    <w:rsid w:val="00335C24"/>
    <w:rsid w:val="003364DD"/>
    <w:rsid w:val="003366BC"/>
    <w:rsid w:val="003369C8"/>
    <w:rsid w:val="00336D0F"/>
    <w:rsid w:val="003370E9"/>
    <w:rsid w:val="0033710A"/>
    <w:rsid w:val="003371DA"/>
    <w:rsid w:val="003373DC"/>
    <w:rsid w:val="003374C7"/>
    <w:rsid w:val="00337606"/>
    <w:rsid w:val="00337794"/>
    <w:rsid w:val="00337873"/>
    <w:rsid w:val="003401E1"/>
    <w:rsid w:val="003405C6"/>
    <w:rsid w:val="0034079B"/>
    <w:rsid w:val="003407D6"/>
    <w:rsid w:val="003407F9"/>
    <w:rsid w:val="00340E70"/>
    <w:rsid w:val="00340F8D"/>
    <w:rsid w:val="00341EE2"/>
    <w:rsid w:val="00342B37"/>
    <w:rsid w:val="00343040"/>
    <w:rsid w:val="00343C4D"/>
    <w:rsid w:val="003447EB"/>
    <w:rsid w:val="003448D7"/>
    <w:rsid w:val="00344ADB"/>
    <w:rsid w:val="00344B74"/>
    <w:rsid w:val="00345193"/>
    <w:rsid w:val="00345227"/>
    <w:rsid w:val="003457C4"/>
    <w:rsid w:val="003462D3"/>
    <w:rsid w:val="003465E8"/>
    <w:rsid w:val="003466CE"/>
    <w:rsid w:val="00346A55"/>
    <w:rsid w:val="00346ABB"/>
    <w:rsid w:val="00347296"/>
    <w:rsid w:val="00347BB8"/>
    <w:rsid w:val="00347C5C"/>
    <w:rsid w:val="00350ABA"/>
    <w:rsid w:val="00350C89"/>
    <w:rsid w:val="00350D51"/>
    <w:rsid w:val="00350E6B"/>
    <w:rsid w:val="003514D9"/>
    <w:rsid w:val="00351581"/>
    <w:rsid w:val="00351789"/>
    <w:rsid w:val="00351DF9"/>
    <w:rsid w:val="003520CF"/>
    <w:rsid w:val="003529D4"/>
    <w:rsid w:val="00352A54"/>
    <w:rsid w:val="00352AC6"/>
    <w:rsid w:val="00352D21"/>
    <w:rsid w:val="00352E42"/>
    <w:rsid w:val="0035315C"/>
    <w:rsid w:val="00353410"/>
    <w:rsid w:val="00353B01"/>
    <w:rsid w:val="00354229"/>
    <w:rsid w:val="0035446F"/>
    <w:rsid w:val="003545BA"/>
    <w:rsid w:val="00354752"/>
    <w:rsid w:val="00354DA6"/>
    <w:rsid w:val="00354E0A"/>
    <w:rsid w:val="00354F0D"/>
    <w:rsid w:val="00355B2C"/>
    <w:rsid w:val="00355BF3"/>
    <w:rsid w:val="00355DFF"/>
    <w:rsid w:val="00355FA7"/>
    <w:rsid w:val="00356240"/>
    <w:rsid w:val="003569ED"/>
    <w:rsid w:val="00356C33"/>
    <w:rsid w:val="00356E77"/>
    <w:rsid w:val="00356EA9"/>
    <w:rsid w:val="00356FDD"/>
    <w:rsid w:val="003570FD"/>
    <w:rsid w:val="0035760A"/>
    <w:rsid w:val="00360296"/>
    <w:rsid w:val="00360558"/>
    <w:rsid w:val="003607A3"/>
    <w:rsid w:val="00360889"/>
    <w:rsid w:val="00360C38"/>
    <w:rsid w:val="00360FBC"/>
    <w:rsid w:val="003612CE"/>
    <w:rsid w:val="00362945"/>
    <w:rsid w:val="0036389C"/>
    <w:rsid w:val="00364125"/>
    <w:rsid w:val="0036427C"/>
    <w:rsid w:val="00364347"/>
    <w:rsid w:val="003647FB"/>
    <w:rsid w:val="00364B86"/>
    <w:rsid w:val="00364CCF"/>
    <w:rsid w:val="00364D4C"/>
    <w:rsid w:val="00365511"/>
    <w:rsid w:val="0036569A"/>
    <w:rsid w:val="003658CF"/>
    <w:rsid w:val="00365D25"/>
    <w:rsid w:val="003660ED"/>
    <w:rsid w:val="0036625A"/>
    <w:rsid w:val="00366425"/>
    <w:rsid w:val="003666E2"/>
    <w:rsid w:val="003668F4"/>
    <w:rsid w:val="00366C68"/>
    <w:rsid w:val="003670DE"/>
    <w:rsid w:val="003673C3"/>
    <w:rsid w:val="00367BD4"/>
    <w:rsid w:val="003700C8"/>
    <w:rsid w:val="0037089E"/>
    <w:rsid w:val="00370C1B"/>
    <w:rsid w:val="00370D20"/>
    <w:rsid w:val="00370E1F"/>
    <w:rsid w:val="00371265"/>
    <w:rsid w:val="00371A4E"/>
    <w:rsid w:val="00371A60"/>
    <w:rsid w:val="00372346"/>
    <w:rsid w:val="003723EC"/>
    <w:rsid w:val="00372488"/>
    <w:rsid w:val="003724C9"/>
    <w:rsid w:val="00373167"/>
    <w:rsid w:val="00373E65"/>
    <w:rsid w:val="00373F25"/>
    <w:rsid w:val="0037444A"/>
    <w:rsid w:val="0037484E"/>
    <w:rsid w:val="0037506C"/>
    <w:rsid w:val="003756AF"/>
    <w:rsid w:val="003758E1"/>
    <w:rsid w:val="0037596D"/>
    <w:rsid w:val="00375BD1"/>
    <w:rsid w:val="0037605B"/>
    <w:rsid w:val="00376855"/>
    <w:rsid w:val="00376AF5"/>
    <w:rsid w:val="00376C60"/>
    <w:rsid w:val="00376FB3"/>
    <w:rsid w:val="00377762"/>
    <w:rsid w:val="003778DB"/>
    <w:rsid w:val="0037795C"/>
    <w:rsid w:val="00377D88"/>
    <w:rsid w:val="003803F2"/>
    <w:rsid w:val="00380C7B"/>
    <w:rsid w:val="00380CDE"/>
    <w:rsid w:val="00381499"/>
    <w:rsid w:val="003814ED"/>
    <w:rsid w:val="003818EE"/>
    <w:rsid w:val="003819C4"/>
    <w:rsid w:val="003830B7"/>
    <w:rsid w:val="00383243"/>
    <w:rsid w:val="003843AA"/>
    <w:rsid w:val="00384674"/>
    <w:rsid w:val="003846DB"/>
    <w:rsid w:val="00384771"/>
    <w:rsid w:val="003847C4"/>
    <w:rsid w:val="00386706"/>
    <w:rsid w:val="00386864"/>
    <w:rsid w:val="003873C6"/>
    <w:rsid w:val="00387425"/>
    <w:rsid w:val="00387807"/>
    <w:rsid w:val="00387B31"/>
    <w:rsid w:val="00387C60"/>
    <w:rsid w:val="00387CC6"/>
    <w:rsid w:val="00387E96"/>
    <w:rsid w:val="00387F81"/>
    <w:rsid w:val="003901C2"/>
    <w:rsid w:val="00390392"/>
    <w:rsid w:val="00390757"/>
    <w:rsid w:val="003907CE"/>
    <w:rsid w:val="0039153E"/>
    <w:rsid w:val="00391EE5"/>
    <w:rsid w:val="0039251C"/>
    <w:rsid w:val="00392770"/>
    <w:rsid w:val="00392859"/>
    <w:rsid w:val="00392C3B"/>
    <w:rsid w:val="00393006"/>
    <w:rsid w:val="00393104"/>
    <w:rsid w:val="0039399C"/>
    <w:rsid w:val="00393BDE"/>
    <w:rsid w:val="00393BEB"/>
    <w:rsid w:val="00394073"/>
    <w:rsid w:val="00394A1C"/>
    <w:rsid w:val="00394AF3"/>
    <w:rsid w:val="00394B5A"/>
    <w:rsid w:val="0039543E"/>
    <w:rsid w:val="00395A2D"/>
    <w:rsid w:val="00396400"/>
    <w:rsid w:val="0039686A"/>
    <w:rsid w:val="00396B06"/>
    <w:rsid w:val="00396B6C"/>
    <w:rsid w:val="003973F1"/>
    <w:rsid w:val="003975DE"/>
    <w:rsid w:val="00397E27"/>
    <w:rsid w:val="00397EAF"/>
    <w:rsid w:val="003A0443"/>
    <w:rsid w:val="003A0548"/>
    <w:rsid w:val="003A059D"/>
    <w:rsid w:val="003A0825"/>
    <w:rsid w:val="003A08C0"/>
    <w:rsid w:val="003A09FD"/>
    <w:rsid w:val="003A0B41"/>
    <w:rsid w:val="003A0C0B"/>
    <w:rsid w:val="003A1107"/>
    <w:rsid w:val="003A15D8"/>
    <w:rsid w:val="003A174D"/>
    <w:rsid w:val="003A1A6D"/>
    <w:rsid w:val="003A1C28"/>
    <w:rsid w:val="003A1E36"/>
    <w:rsid w:val="003A1E3F"/>
    <w:rsid w:val="003A1FB7"/>
    <w:rsid w:val="003A1FD0"/>
    <w:rsid w:val="003A204C"/>
    <w:rsid w:val="003A236B"/>
    <w:rsid w:val="003A23C3"/>
    <w:rsid w:val="003A2CE3"/>
    <w:rsid w:val="003A33CA"/>
    <w:rsid w:val="003A3465"/>
    <w:rsid w:val="003A34C6"/>
    <w:rsid w:val="003A3D06"/>
    <w:rsid w:val="003A3E5F"/>
    <w:rsid w:val="003A421A"/>
    <w:rsid w:val="003A4415"/>
    <w:rsid w:val="003A473F"/>
    <w:rsid w:val="003A485E"/>
    <w:rsid w:val="003A4B78"/>
    <w:rsid w:val="003A4E81"/>
    <w:rsid w:val="003A4EDE"/>
    <w:rsid w:val="003A528B"/>
    <w:rsid w:val="003A5659"/>
    <w:rsid w:val="003A5FCD"/>
    <w:rsid w:val="003A608C"/>
    <w:rsid w:val="003A62C1"/>
    <w:rsid w:val="003A6605"/>
    <w:rsid w:val="003A67C6"/>
    <w:rsid w:val="003A700B"/>
    <w:rsid w:val="003A7228"/>
    <w:rsid w:val="003A7851"/>
    <w:rsid w:val="003B0848"/>
    <w:rsid w:val="003B0C94"/>
    <w:rsid w:val="003B0ED4"/>
    <w:rsid w:val="003B0FDC"/>
    <w:rsid w:val="003B179B"/>
    <w:rsid w:val="003B17AB"/>
    <w:rsid w:val="003B21F6"/>
    <w:rsid w:val="003B2C71"/>
    <w:rsid w:val="003B2C85"/>
    <w:rsid w:val="003B3258"/>
    <w:rsid w:val="003B32D3"/>
    <w:rsid w:val="003B391A"/>
    <w:rsid w:val="003B396C"/>
    <w:rsid w:val="003B3BDF"/>
    <w:rsid w:val="003B3F93"/>
    <w:rsid w:val="003B40BA"/>
    <w:rsid w:val="003B4A7A"/>
    <w:rsid w:val="003B508D"/>
    <w:rsid w:val="003B52C5"/>
    <w:rsid w:val="003B5ED5"/>
    <w:rsid w:val="003B605E"/>
    <w:rsid w:val="003B6201"/>
    <w:rsid w:val="003B66B6"/>
    <w:rsid w:val="003B67DA"/>
    <w:rsid w:val="003B6E19"/>
    <w:rsid w:val="003B7854"/>
    <w:rsid w:val="003B7D6B"/>
    <w:rsid w:val="003B7EBC"/>
    <w:rsid w:val="003B7EDA"/>
    <w:rsid w:val="003C05DF"/>
    <w:rsid w:val="003C0FA2"/>
    <w:rsid w:val="003C1F4B"/>
    <w:rsid w:val="003C20E0"/>
    <w:rsid w:val="003C25F6"/>
    <w:rsid w:val="003C26C3"/>
    <w:rsid w:val="003C27AF"/>
    <w:rsid w:val="003C28C9"/>
    <w:rsid w:val="003C2B39"/>
    <w:rsid w:val="003C2C66"/>
    <w:rsid w:val="003C31B9"/>
    <w:rsid w:val="003C376C"/>
    <w:rsid w:val="003C3784"/>
    <w:rsid w:val="003C39AE"/>
    <w:rsid w:val="003C4016"/>
    <w:rsid w:val="003C43BA"/>
    <w:rsid w:val="003C46A1"/>
    <w:rsid w:val="003C48DD"/>
    <w:rsid w:val="003C4F97"/>
    <w:rsid w:val="003C59F5"/>
    <w:rsid w:val="003C5A27"/>
    <w:rsid w:val="003C5A5A"/>
    <w:rsid w:val="003C6324"/>
    <w:rsid w:val="003C64D6"/>
    <w:rsid w:val="003C66B0"/>
    <w:rsid w:val="003C6A1A"/>
    <w:rsid w:val="003C76A9"/>
    <w:rsid w:val="003C7ECB"/>
    <w:rsid w:val="003D0480"/>
    <w:rsid w:val="003D0A0C"/>
    <w:rsid w:val="003D0F5F"/>
    <w:rsid w:val="003D0F60"/>
    <w:rsid w:val="003D1283"/>
    <w:rsid w:val="003D1330"/>
    <w:rsid w:val="003D1EE5"/>
    <w:rsid w:val="003D2074"/>
    <w:rsid w:val="003D22C7"/>
    <w:rsid w:val="003D23D0"/>
    <w:rsid w:val="003D2646"/>
    <w:rsid w:val="003D26FC"/>
    <w:rsid w:val="003D274D"/>
    <w:rsid w:val="003D2D45"/>
    <w:rsid w:val="003D302D"/>
    <w:rsid w:val="003D360A"/>
    <w:rsid w:val="003D3DA8"/>
    <w:rsid w:val="003D489F"/>
    <w:rsid w:val="003D536C"/>
    <w:rsid w:val="003D54D1"/>
    <w:rsid w:val="003D5819"/>
    <w:rsid w:val="003D5B40"/>
    <w:rsid w:val="003D5BA8"/>
    <w:rsid w:val="003D5F5A"/>
    <w:rsid w:val="003D663D"/>
    <w:rsid w:val="003D67BC"/>
    <w:rsid w:val="003D6E92"/>
    <w:rsid w:val="003D74BB"/>
    <w:rsid w:val="003D78A4"/>
    <w:rsid w:val="003D7D7C"/>
    <w:rsid w:val="003D7EA7"/>
    <w:rsid w:val="003D7F6B"/>
    <w:rsid w:val="003D7FFC"/>
    <w:rsid w:val="003E0098"/>
    <w:rsid w:val="003E00DF"/>
    <w:rsid w:val="003E011C"/>
    <w:rsid w:val="003E0798"/>
    <w:rsid w:val="003E0F68"/>
    <w:rsid w:val="003E109C"/>
    <w:rsid w:val="003E1125"/>
    <w:rsid w:val="003E1192"/>
    <w:rsid w:val="003E13A8"/>
    <w:rsid w:val="003E1B17"/>
    <w:rsid w:val="003E230D"/>
    <w:rsid w:val="003E23E3"/>
    <w:rsid w:val="003E245D"/>
    <w:rsid w:val="003E2A79"/>
    <w:rsid w:val="003E2BAC"/>
    <w:rsid w:val="003E2C38"/>
    <w:rsid w:val="003E2C42"/>
    <w:rsid w:val="003E34C4"/>
    <w:rsid w:val="003E34DE"/>
    <w:rsid w:val="003E374F"/>
    <w:rsid w:val="003E3769"/>
    <w:rsid w:val="003E39C9"/>
    <w:rsid w:val="003E3C91"/>
    <w:rsid w:val="003E43B6"/>
    <w:rsid w:val="003E43D2"/>
    <w:rsid w:val="003E45F7"/>
    <w:rsid w:val="003E4DBD"/>
    <w:rsid w:val="003E50FE"/>
    <w:rsid w:val="003E535D"/>
    <w:rsid w:val="003E547F"/>
    <w:rsid w:val="003E62DA"/>
    <w:rsid w:val="003E65CB"/>
    <w:rsid w:val="003E6D96"/>
    <w:rsid w:val="003E6FFB"/>
    <w:rsid w:val="003E7006"/>
    <w:rsid w:val="003E72D7"/>
    <w:rsid w:val="003E7483"/>
    <w:rsid w:val="003E7528"/>
    <w:rsid w:val="003E7690"/>
    <w:rsid w:val="003E7E87"/>
    <w:rsid w:val="003F12BB"/>
    <w:rsid w:val="003F1567"/>
    <w:rsid w:val="003F169E"/>
    <w:rsid w:val="003F1744"/>
    <w:rsid w:val="003F1FC2"/>
    <w:rsid w:val="003F2388"/>
    <w:rsid w:val="003F316B"/>
    <w:rsid w:val="003F34D9"/>
    <w:rsid w:val="003F42AF"/>
    <w:rsid w:val="003F42C8"/>
    <w:rsid w:val="003F4732"/>
    <w:rsid w:val="003F482A"/>
    <w:rsid w:val="003F4D7F"/>
    <w:rsid w:val="003F4FD9"/>
    <w:rsid w:val="003F53C3"/>
    <w:rsid w:val="003F654B"/>
    <w:rsid w:val="003F70F6"/>
    <w:rsid w:val="003F78E0"/>
    <w:rsid w:val="003F7D7D"/>
    <w:rsid w:val="00400010"/>
    <w:rsid w:val="004005C8"/>
    <w:rsid w:val="00400843"/>
    <w:rsid w:val="00400A50"/>
    <w:rsid w:val="00400BE1"/>
    <w:rsid w:val="00400D28"/>
    <w:rsid w:val="00401AD9"/>
    <w:rsid w:val="00401C67"/>
    <w:rsid w:val="00401F05"/>
    <w:rsid w:val="00402617"/>
    <w:rsid w:val="00402C83"/>
    <w:rsid w:val="004035CC"/>
    <w:rsid w:val="0040366C"/>
    <w:rsid w:val="004037D7"/>
    <w:rsid w:val="004038DE"/>
    <w:rsid w:val="0040391C"/>
    <w:rsid w:val="00403A1B"/>
    <w:rsid w:val="00404141"/>
    <w:rsid w:val="00404380"/>
    <w:rsid w:val="004043B8"/>
    <w:rsid w:val="00404401"/>
    <w:rsid w:val="00404F67"/>
    <w:rsid w:val="00405957"/>
    <w:rsid w:val="00405F1C"/>
    <w:rsid w:val="0040612B"/>
    <w:rsid w:val="004063FD"/>
    <w:rsid w:val="00407962"/>
    <w:rsid w:val="00407D17"/>
    <w:rsid w:val="0041154F"/>
    <w:rsid w:val="00411554"/>
    <w:rsid w:val="00411581"/>
    <w:rsid w:val="0041185F"/>
    <w:rsid w:val="0041199D"/>
    <w:rsid w:val="004122CE"/>
    <w:rsid w:val="004123A4"/>
    <w:rsid w:val="00412C56"/>
    <w:rsid w:val="00412D26"/>
    <w:rsid w:val="0041300B"/>
    <w:rsid w:val="0041313F"/>
    <w:rsid w:val="004137F2"/>
    <w:rsid w:val="00413A53"/>
    <w:rsid w:val="00413C2A"/>
    <w:rsid w:val="0041482F"/>
    <w:rsid w:val="00414D3C"/>
    <w:rsid w:val="00414FE7"/>
    <w:rsid w:val="00415013"/>
    <w:rsid w:val="0041518E"/>
    <w:rsid w:val="00415B45"/>
    <w:rsid w:val="00415E58"/>
    <w:rsid w:val="00415E7D"/>
    <w:rsid w:val="004160A1"/>
    <w:rsid w:val="00416329"/>
    <w:rsid w:val="00416352"/>
    <w:rsid w:val="004166B0"/>
    <w:rsid w:val="00416CEE"/>
    <w:rsid w:val="00417171"/>
    <w:rsid w:val="00417550"/>
    <w:rsid w:val="00417C68"/>
    <w:rsid w:val="00417DB5"/>
    <w:rsid w:val="0042003C"/>
    <w:rsid w:val="004200DA"/>
    <w:rsid w:val="004204CA"/>
    <w:rsid w:val="00420630"/>
    <w:rsid w:val="00420B53"/>
    <w:rsid w:val="00420B74"/>
    <w:rsid w:val="00420C1C"/>
    <w:rsid w:val="00420E74"/>
    <w:rsid w:val="00421314"/>
    <w:rsid w:val="0042151E"/>
    <w:rsid w:val="00421643"/>
    <w:rsid w:val="00421823"/>
    <w:rsid w:val="00421C7E"/>
    <w:rsid w:val="00421DCD"/>
    <w:rsid w:val="00421F8D"/>
    <w:rsid w:val="00422357"/>
    <w:rsid w:val="004226FF"/>
    <w:rsid w:val="00422B23"/>
    <w:rsid w:val="00423904"/>
    <w:rsid w:val="00424086"/>
    <w:rsid w:val="004240B2"/>
    <w:rsid w:val="004246DD"/>
    <w:rsid w:val="00424B7E"/>
    <w:rsid w:val="00425178"/>
    <w:rsid w:val="0042539B"/>
    <w:rsid w:val="00425733"/>
    <w:rsid w:val="00425841"/>
    <w:rsid w:val="00425A93"/>
    <w:rsid w:val="00425B33"/>
    <w:rsid w:val="00425F8E"/>
    <w:rsid w:val="00425FC9"/>
    <w:rsid w:val="0042617F"/>
    <w:rsid w:val="00426880"/>
    <w:rsid w:val="00426A34"/>
    <w:rsid w:val="00426C63"/>
    <w:rsid w:val="004271CF"/>
    <w:rsid w:val="00427921"/>
    <w:rsid w:val="00427EF5"/>
    <w:rsid w:val="0043020D"/>
    <w:rsid w:val="00430876"/>
    <w:rsid w:val="00430885"/>
    <w:rsid w:val="0043135D"/>
    <w:rsid w:val="004314F8"/>
    <w:rsid w:val="00431834"/>
    <w:rsid w:val="00431B31"/>
    <w:rsid w:val="00431CC3"/>
    <w:rsid w:val="00431F29"/>
    <w:rsid w:val="00432012"/>
    <w:rsid w:val="004320B6"/>
    <w:rsid w:val="00432374"/>
    <w:rsid w:val="00433135"/>
    <w:rsid w:val="00433593"/>
    <w:rsid w:val="00434362"/>
    <w:rsid w:val="004347F6"/>
    <w:rsid w:val="0043490D"/>
    <w:rsid w:val="00434E8A"/>
    <w:rsid w:val="00434EFE"/>
    <w:rsid w:val="00434F56"/>
    <w:rsid w:val="004351A3"/>
    <w:rsid w:val="0043547C"/>
    <w:rsid w:val="004357EF"/>
    <w:rsid w:val="00435808"/>
    <w:rsid w:val="00435895"/>
    <w:rsid w:val="00435DFA"/>
    <w:rsid w:val="00435E7F"/>
    <w:rsid w:val="004362BE"/>
    <w:rsid w:val="00436481"/>
    <w:rsid w:val="004364A9"/>
    <w:rsid w:val="00436C62"/>
    <w:rsid w:val="00436CC7"/>
    <w:rsid w:val="00436E82"/>
    <w:rsid w:val="0043723E"/>
    <w:rsid w:val="004372BE"/>
    <w:rsid w:val="00437334"/>
    <w:rsid w:val="004375C2"/>
    <w:rsid w:val="00437611"/>
    <w:rsid w:val="0043780C"/>
    <w:rsid w:val="00437C67"/>
    <w:rsid w:val="00440874"/>
    <w:rsid w:val="00440916"/>
    <w:rsid w:val="00440E16"/>
    <w:rsid w:val="004411AD"/>
    <w:rsid w:val="004417BE"/>
    <w:rsid w:val="0044184D"/>
    <w:rsid w:val="00441F9D"/>
    <w:rsid w:val="00442DB4"/>
    <w:rsid w:val="00442DDA"/>
    <w:rsid w:val="00443274"/>
    <w:rsid w:val="00443294"/>
    <w:rsid w:val="0044329A"/>
    <w:rsid w:val="004432D3"/>
    <w:rsid w:val="00443680"/>
    <w:rsid w:val="00443819"/>
    <w:rsid w:val="0044383C"/>
    <w:rsid w:val="00443B91"/>
    <w:rsid w:val="00444742"/>
    <w:rsid w:val="004447A6"/>
    <w:rsid w:val="00444A73"/>
    <w:rsid w:val="00444E70"/>
    <w:rsid w:val="0044517F"/>
    <w:rsid w:val="0044557E"/>
    <w:rsid w:val="00446059"/>
    <w:rsid w:val="004465D2"/>
    <w:rsid w:val="004468E8"/>
    <w:rsid w:val="00446D50"/>
    <w:rsid w:val="00447691"/>
    <w:rsid w:val="00447BAD"/>
    <w:rsid w:val="00450050"/>
    <w:rsid w:val="00450198"/>
    <w:rsid w:val="0045056B"/>
    <w:rsid w:val="00450787"/>
    <w:rsid w:val="00450D4B"/>
    <w:rsid w:val="00451063"/>
    <w:rsid w:val="00451323"/>
    <w:rsid w:val="004514CB"/>
    <w:rsid w:val="004517D7"/>
    <w:rsid w:val="0045181D"/>
    <w:rsid w:val="00452041"/>
    <w:rsid w:val="00452189"/>
    <w:rsid w:val="00452914"/>
    <w:rsid w:val="00452B21"/>
    <w:rsid w:val="00452B56"/>
    <w:rsid w:val="00452F59"/>
    <w:rsid w:val="0045311A"/>
    <w:rsid w:val="004532A9"/>
    <w:rsid w:val="004538EC"/>
    <w:rsid w:val="00453A27"/>
    <w:rsid w:val="00453BBA"/>
    <w:rsid w:val="00453BEC"/>
    <w:rsid w:val="00453C6C"/>
    <w:rsid w:val="00454194"/>
    <w:rsid w:val="00454457"/>
    <w:rsid w:val="00454B5D"/>
    <w:rsid w:val="00454C54"/>
    <w:rsid w:val="00454E4D"/>
    <w:rsid w:val="00455520"/>
    <w:rsid w:val="0045577B"/>
    <w:rsid w:val="0045595F"/>
    <w:rsid w:val="00455EB5"/>
    <w:rsid w:val="00456544"/>
    <w:rsid w:val="004575B8"/>
    <w:rsid w:val="00457724"/>
    <w:rsid w:val="00457D12"/>
    <w:rsid w:val="00457D77"/>
    <w:rsid w:val="004603FC"/>
    <w:rsid w:val="00460643"/>
    <w:rsid w:val="00460679"/>
    <w:rsid w:val="00460887"/>
    <w:rsid w:val="00460F18"/>
    <w:rsid w:val="004612D7"/>
    <w:rsid w:val="00461359"/>
    <w:rsid w:val="00461490"/>
    <w:rsid w:val="004614B7"/>
    <w:rsid w:val="00461909"/>
    <w:rsid w:val="00461BB3"/>
    <w:rsid w:val="00461F8B"/>
    <w:rsid w:val="00461F99"/>
    <w:rsid w:val="00462047"/>
    <w:rsid w:val="00462121"/>
    <w:rsid w:val="0046224C"/>
    <w:rsid w:val="00462350"/>
    <w:rsid w:val="00462B7C"/>
    <w:rsid w:val="00462B8C"/>
    <w:rsid w:val="00462D05"/>
    <w:rsid w:val="00462D79"/>
    <w:rsid w:val="00463131"/>
    <w:rsid w:val="00463370"/>
    <w:rsid w:val="00463739"/>
    <w:rsid w:val="004637FB"/>
    <w:rsid w:val="004639B7"/>
    <w:rsid w:val="004639DE"/>
    <w:rsid w:val="00464229"/>
    <w:rsid w:val="004642D4"/>
    <w:rsid w:val="00464604"/>
    <w:rsid w:val="0046466C"/>
    <w:rsid w:val="00464E38"/>
    <w:rsid w:val="00466C22"/>
    <w:rsid w:val="00466D5D"/>
    <w:rsid w:val="00466EE0"/>
    <w:rsid w:val="00467416"/>
    <w:rsid w:val="004676EE"/>
    <w:rsid w:val="004700BC"/>
    <w:rsid w:val="004709DE"/>
    <w:rsid w:val="00470FBB"/>
    <w:rsid w:val="00471143"/>
    <w:rsid w:val="0047173D"/>
    <w:rsid w:val="00471DBF"/>
    <w:rsid w:val="00471E59"/>
    <w:rsid w:val="00471EB9"/>
    <w:rsid w:val="00473487"/>
    <w:rsid w:val="00473615"/>
    <w:rsid w:val="00473E94"/>
    <w:rsid w:val="0047431E"/>
    <w:rsid w:val="004743C0"/>
    <w:rsid w:val="00474594"/>
    <w:rsid w:val="0047474E"/>
    <w:rsid w:val="004747B9"/>
    <w:rsid w:val="00474F05"/>
    <w:rsid w:val="004758A9"/>
    <w:rsid w:val="004759ED"/>
    <w:rsid w:val="00475F51"/>
    <w:rsid w:val="0047630A"/>
    <w:rsid w:val="00476409"/>
    <w:rsid w:val="00476536"/>
    <w:rsid w:val="0047653C"/>
    <w:rsid w:val="0047683C"/>
    <w:rsid w:val="00476B1C"/>
    <w:rsid w:val="00476F8C"/>
    <w:rsid w:val="00477277"/>
    <w:rsid w:val="00477820"/>
    <w:rsid w:val="00477AF2"/>
    <w:rsid w:val="00477F13"/>
    <w:rsid w:val="00480834"/>
    <w:rsid w:val="004808A2"/>
    <w:rsid w:val="00480C54"/>
    <w:rsid w:val="00480CE0"/>
    <w:rsid w:val="00480F05"/>
    <w:rsid w:val="0048123E"/>
    <w:rsid w:val="00481887"/>
    <w:rsid w:val="004819F0"/>
    <w:rsid w:val="00481C73"/>
    <w:rsid w:val="00481DD9"/>
    <w:rsid w:val="0048227D"/>
    <w:rsid w:val="004823D8"/>
    <w:rsid w:val="004827F2"/>
    <w:rsid w:val="00482837"/>
    <w:rsid w:val="00482BF4"/>
    <w:rsid w:val="00482F21"/>
    <w:rsid w:val="00483023"/>
    <w:rsid w:val="00483062"/>
    <w:rsid w:val="004835DC"/>
    <w:rsid w:val="0048396E"/>
    <w:rsid w:val="00484B5F"/>
    <w:rsid w:val="0048502E"/>
    <w:rsid w:val="004856DB"/>
    <w:rsid w:val="0048576D"/>
    <w:rsid w:val="004857EE"/>
    <w:rsid w:val="00486032"/>
    <w:rsid w:val="00486598"/>
    <w:rsid w:val="0048690E"/>
    <w:rsid w:val="00487960"/>
    <w:rsid w:val="00487A13"/>
    <w:rsid w:val="00487D70"/>
    <w:rsid w:val="00487F9C"/>
    <w:rsid w:val="00490226"/>
    <w:rsid w:val="004908DF"/>
    <w:rsid w:val="00491086"/>
    <w:rsid w:val="004914DF"/>
    <w:rsid w:val="00491590"/>
    <w:rsid w:val="00491618"/>
    <w:rsid w:val="0049195E"/>
    <w:rsid w:val="00491988"/>
    <w:rsid w:val="00491BEE"/>
    <w:rsid w:val="0049222B"/>
    <w:rsid w:val="00492687"/>
    <w:rsid w:val="00492771"/>
    <w:rsid w:val="0049339F"/>
    <w:rsid w:val="0049354D"/>
    <w:rsid w:val="004935F1"/>
    <w:rsid w:val="004938C9"/>
    <w:rsid w:val="00493B14"/>
    <w:rsid w:val="00494420"/>
    <w:rsid w:val="00495216"/>
    <w:rsid w:val="00495514"/>
    <w:rsid w:val="00495927"/>
    <w:rsid w:val="00495975"/>
    <w:rsid w:val="00495B5D"/>
    <w:rsid w:val="00495C2C"/>
    <w:rsid w:val="00496C4E"/>
    <w:rsid w:val="00497293"/>
    <w:rsid w:val="00497590"/>
    <w:rsid w:val="004977AA"/>
    <w:rsid w:val="00497B86"/>
    <w:rsid w:val="00497F49"/>
    <w:rsid w:val="004A01B5"/>
    <w:rsid w:val="004A027C"/>
    <w:rsid w:val="004A0343"/>
    <w:rsid w:val="004A101D"/>
    <w:rsid w:val="004A11AE"/>
    <w:rsid w:val="004A11DC"/>
    <w:rsid w:val="004A11E4"/>
    <w:rsid w:val="004A1418"/>
    <w:rsid w:val="004A1D99"/>
    <w:rsid w:val="004A1FF7"/>
    <w:rsid w:val="004A2110"/>
    <w:rsid w:val="004A21DC"/>
    <w:rsid w:val="004A23FD"/>
    <w:rsid w:val="004A264C"/>
    <w:rsid w:val="004A26F7"/>
    <w:rsid w:val="004A286D"/>
    <w:rsid w:val="004A296E"/>
    <w:rsid w:val="004A2B8C"/>
    <w:rsid w:val="004A2E11"/>
    <w:rsid w:val="004A2FF9"/>
    <w:rsid w:val="004A35A3"/>
    <w:rsid w:val="004A362B"/>
    <w:rsid w:val="004A38E9"/>
    <w:rsid w:val="004A3E6C"/>
    <w:rsid w:val="004A46A4"/>
    <w:rsid w:val="004A4750"/>
    <w:rsid w:val="004A48AA"/>
    <w:rsid w:val="004A48DE"/>
    <w:rsid w:val="004A49FE"/>
    <w:rsid w:val="004A4BA7"/>
    <w:rsid w:val="004A4E9A"/>
    <w:rsid w:val="004A510A"/>
    <w:rsid w:val="004A53C9"/>
    <w:rsid w:val="004A5C27"/>
    <w:rsid w:val="004A5C90"/>
    <w:rsid w:val="004A646C"/>
    <w:rsid w:val="004A6D57"/>
    <w:rsid w:val="004A7582"/>
    <w:rsid w:val="004A77A3"/>
    <w:rsid w:val="004A78CB"/>
    <w:rsid w:val="004A7925"/>
    <w:rsid w:val="004A7979"/>
    <w:rsid w:val="004A7A31"/>
    <w:rsid w:val="004A7C65"/>
    <w:rsid w:val="004A7DAD"/>
    <w:rsid w:val="004B03E1"/>
    <w:rsid w:val="004B09E7"/>
    <w:rsid w:val="004B0A09"/>
    <w:rsid w:val="004B0B9D"/>
    <w:rsid w:val="004B1070"/>
    <w:rsid w:val="004B12B6"/>
    <w:rsid w:val="004B15B0"/>
    <w:rsid w:val="004B1639"/>
    <w:rsid w:val="004B170F"/>
    <w:rsid w:val="004B1861"/>
    <w:rsid w:val="004B1C79"/>
    <w:rsid w:val="004B1CF0"/>
    <w:rsid w:val="004B35B4"/>
    <w:rsid w:val="004B37FD"/>
    <w:rsid w:val="004B38BD"/>
    <w:rsid w:val="004B3E55"/>
    <w:rsid w:val="004B4263"/>
    <w:rsid w:val="004B4407"/>
    <w:rsid w:val="004B4530"/>
    <w:rsid w:val="004B47B7"/>
    <w:rsid w:val="004B501B"/>
    <w:rsid w:val="004B5187"/>
    <w:rsid w:val="004B51FF"/>
    <w:rsid w:val="004B522B"/>
    <w:rsid w:val="004B56A8"/>
    <w:rsid w:val="004B5C92"/>
    <w:rsid w:val="004B5EF8"/>
    <w:rsid w:val="004B6096"/>
    <w:rsid w:val="004B61D2"/>
    <w:rsid w:val="004B6C82"/>
    <w:rsid w:val="004B6C93"/>
    <w:rsid w:val="004B6CF4"/>
    <w:rsid w:val="004B75DB"/>
    <w:rsid w:val="004B7861"/>
    <w:rsid w:val="004C025A"/>
    <w:rsid w:val="004C05A5"/>
    <w:rsid w:val="004C0637"/>
    <w:rsid w:val="004C086E"/>
    <w:rsid w:val="004C0D7A"/>
    <w:rsid w:val="004C147E"/>
    <w:rsid w:val="004C1677"/>
    <w:rsid w:val="004C16DC"/>
    <w:rsid w:val="004C1B1F"/>
    <w:rsid w:val="004C1C9A"/>
    <w:rsid w:val="004C1E07"/>
    <w:rsid w:val="004C1FA8"/>
    <w:rsid w:val="004C2FB5"/>
    <w:rsid w:val="004C3141"/>
    <w:rsid w:val="004C31EF"/>
    <w:rsid w:val="004C33AE"/>
    <w:rsid w:val="004C3D78"/>
    <w:rsid w:val="004C3FEF"/>
    <w:rsid w:val="004C42A4"/>
    <w:rsid w:val="004C4B38"/>
    <w:rsid w:val="004C4BD3"/>
    <w:rsid w:val="004C4DB3"/>
    <w:rsid w:val="004C5121"/>
    <w:rsid w:val="004C524C"/>
    <w:rsid w:val="004C5514"/>
    <w:rsid w:val="004C57D3"/>
    <w:rsid w:val="004C5834"/>
    <w:rsid w:val="004C6C72"/>
    <w:rsid w:val="004C6F38"/>
    <w:rsid w:val="004C7110"/>
    <w:rsid w:val="004C7721"/>
    <w:rsid w:val="004C77B4"/>
    <w:rsid w:val="004C7D4D"/>
    <w:rsid w:val="004D004E"/>
    <w:rsid w:val="004D0647"/>
    <w:rsid w:val="004D117B"/>
    <w:rsid w:val="004D1618"/>
    <w:rsid w:val="004D1639"/>
    <w:rsid w:val="004D1A89"/>
    <w:rsid w:val="004D1DC3"/>
    <w:rsid w:val="004D23AA"/>
    <w:rsid w:val="004D26AA"/>
    <w:rsid w:val="004D274C"/>
    <w:rsid w:val="004D2A3D"/>
    <w:rsid w:val="004D2D54"/>
    <w:rsid w:val="004D32CE"/>
    <w:rsid w:val="004D34B0"/>
    <w:rsid w:val="004D35C2"/>
    <w:rsid w:val="004D390C"/>
    <w:rsid w:val="004D3A3A"/>
    <w:rsid w:val="004D3D90"/>
    <w:rsid w:val="004D40BC"/>
    <w:rsid w:val="004D4356"/>
    <w:rsid w:val="004D48DE"/>
    <w:rsid w:val="004D515B"/>
    <w:rsid w:val="004D5393"/>
    <w:rsid w:val="004D5C31"/>
    <w:rsid w:val="004D5FDD"/>
    <w:rsid w:val="004D6121"/>
    <w:rsid w:val="004D6394"/>
    <w:rsid w:val="004D640B"/>
    <w:rsid w:val="004D685F"/>
    <w:rsid w:val="004D6EBF"/>
    <w:rsid w:val="004D7321"/>
    <w:rsid w:val="004D7905"/>
    <w:rsid w:val="004D7A95"/>
    <w:rsid w:val="004D7D62"/>
    <w:rsid w:val="004E03C4"/>
    <w:rsid w:val="004E11FD"/>
    <w:rsid w:val="004E1BE8"/>
    <w:rsid w:val="004E1DC9"/>
    <w:rsid w:val="004E1E6F"/>
    <w:rsid w:val="004E22F0"/>
    <w:rsid w:val="004E2683"/>
    <w:rsid w:val="004E2808"/>
    <w:rsid w:val="004E28CB"/>
    <w:rsid w:val="004E2AEF"/>
    <w:rsid w:val="004E2EF4"/>
    <w:rsid w:val="004E3362"/>
    <w:rsid w:val="004E3C3E"/>
    <w:rsid w:val="004E4334"/>
    <w:rsid w:val="004E43B2"/>
    <w:rsid w:val="004E4ADD"/>
    <w:rsid w:val="004E4E59"/>
    <w:rsid w:val="004E4E7A"/>
    <w:rsid w:val="004E4F42"/>
    <w:rsid w:val="004E4FD5"/>
    <w:rsid w:val="004E596D"/>
    <w:rsid w:val="004E59F7"/>
    <w:rsid w:val="004E5A4D"/>
    <w:rsid w:val="004E5AA3"/>
    <w:rsid w:val="004E5FC6"/>
    <w:rsid w:val="004E637A"/>
    <w:rsid w:val="004E6749"/>
    <w:rsid w:val="004E6A29"/>
    <w:rsid w:val="004E6BE8"/>
    <w:rsid w:val="004E6F3C"/>
    <w:rsid w:val="004E7BCD"/>
    <w:rsid w:val="004E7D40"/>
    <w:rsid w:val="004E7DD2"/>
    <w:rsid w:val="004F0010"/>
    <w:rsid w:val="004F0455"/>
    <w:rsid w:val="004F0B79"/>
    <w:rsid w:val="004F0FB1"/>
    <w:rsid w:val="004F15AB"/>
    <w:rsid w:val="004F172E"/>
    <w:rsid w:val="004F179E"/>
    <w:rsid w:val="004F179F"/>
    <w:rsid w:val="004F1A37"/>
    <w:rsid w:val="004F1BB8"/>
    <w:rsid w:val="004F2009"/>
    <w:rsid w:val="004F2097"/>
    <w:rsid w:val="004F212C"/>
    <w:rsid w:val="004F31A5"/>
    <w:rsid w:val="004F3339"/>
    <w:rsid w:val="004F3945"/>
    <w:rsid w:val="004F3ACA"/>
    <w:rsid w:val="004F3ECA"/>
    <w:rsid w:val="004F4607"/>
    <w:rsid w:val="004F4790"/>
    <w:rsid w:val="004F47C3"/>
    <w:rsid w:val="004F4887"/>
    <w:rsid w:val="004F4FF0"/>
    <w:rsid w:val="004F563A"/>
    <w:rsid w:val="004F5672"/>
    <w:rsid w:val="004F59B3"/>
    <w:rsid w:val="004F5F5B"/>
    <w:rsid w:val="004F5FB7"/>
    <w:rsid w:val="004F6BFC"/>
    <w:rsid w:val="004F6DA4"/>
    <w:rsid w:val="004F70C3"/>
    <w:rsid w:val="004F713E"/>
    <w:rsid w:val="004F760F"/>
    <w:rsid w:val="004F7D1C"/>
    <w:rsid w:val="004F7E24"/>
    <w:rsid w:val="00500458"/>
    <w:rsid w:val="0050079B"/>
    <w:rsid w:val="00500DB0"/>
    <w:rsid w:val="0050121A"/>
    <w:rsid w:val="005012D0"/>
    <w:rsid w:val="0050169F"/>
    <w:rsid w:val="00501A0D"/>
    <w:rsid w:val="00502441"/>
    <w:rsid w:val="005024D7"/>
    <w:rsid w:val="0050308D"/>
    <w:rsid w:val="00503364"/>
    <w:rsid w:val="00503458"/>
    <w:rsid w:val="0050382A"/>
    <w:rsid w:val="00503839"/>
    <w:rsid w:val="005042B6"/>
    <w:rsid w:val="0050541B"/>
    <w:rsid w:val="005061C5"/>
    <w:rsid w:val="00506650"/>
    <w:rsid w:val="00506AED"/>
    <w:rsid w:val="00506F38"/>
    <w:rsid w:val="005072A9"/>
    <w:rsid w:val="00507837"/>
    <w:rsid w:val="00507A33"/>
    <w:rsid w:val="005106E0"/>
    <w:rsid w:val="00510723"/>
    <w:rsid w:val="00510A5B"/>
    <w:rsid w:val="00510A8C"/>
    <w:rsid w:val="00510B5A"/>
    <w:rsid w:val="00511383"/>
    <w:rsid w:val="005115E9"/>
    <w:rsid w:val="005117AB"/>
    <w:rsid w:val="00511AE4"/>
    <w:rsid w:val="00511E68"/>
    <w:rsid w:val="0051296F"/>
    <w:rsid w:val="00513235"/>
    <w:rsid w:val="00513435"/>
    <w:rsid w:val="00514393"/>
    <w:rsid w:val="005145DA"/>
    <w:rsid w:val="005148DA"/>
    <w:rsid w:val="00514B79"/>
    <w:rsid w:val="00514D39"/>
    <w:rsid w:val="0051505A"/>
    <w:rsid w:val="00515146"/>
    <w:rsid w:val="005153DD"/>
    <w:rsid w:val="00515447"/>
    <w:rsid w:val="005156A6"/>
    <w:rsid w:val="00515CAC"/>
    <w:rsid w:val="00515F30"/>
    <w:rsid w:val="00516089"/>
    <w:rsid w:val="00516987"/>
    <w:rsid w:val="00516BC2"/>
    <w:rsid w:val="00516BDE"/>
    <w:rsid w:val="00516F31"/>
    <w:rsid w:val="00516FDC"/>
    <w:rsid w:val="005172F7"/>
    <w:rsid w:val="00517568"/>
    <w:rsid w:val="005177E1"/>
    <w:rsid w:val="00517CB3"/>
    <w:rsid w:val="00517F21"/>
    <w:rsid w:val="00520310"/>
    <w:rsid w:val="00520667"/>
    <w:rsid w:val="00520672"/>
    <w:rsid w:val="00520A26"/>
    <w:rsid w:val="00520BEF"/>
    <w:rsid w:val="00520D8C"/>
    <w:rsid w:val="00520DB3"/>
    <w:rsid w:val="005216F9"/>
    <w:rsid w:val="00521B3F"/>
    <w:rsid w:val="00521EBC"/>
    <w:rsid w:val="00521F0F"/>
    <w:rsid w:val="0052297F"/>
    <w:rsid w:val="00523533"/>
    <w:rsid w:val="00523C37"/>
    <w:rsid w:val="005243D3"/>
    <w:rsid w:val="00524597"/>
    <w:rsid w:val="00524743"/>
    <w:rsid w:val="00524CA5"/>
    <w:rsid w:val="0052512A"/>
    <w:rsid w:val="00525258"/>
    <w:rsid w:val="005254FD"/>
    <w:rsid w:val="00525560"/>
    <w:rsid w:val="005256A3"/>
    <w:rsid w:val="00525BB4"/>
    <w:rsid w:val="00525C08"/>
    <w:rsid w:val="00525CEE"/>
    <w:rsid w:val="00526067"/>
    <w:rsid w:val="00526212"/>
    <w:rsid w:val="005265C9"/>
    <w:rsid w:val="0052678C"/>
    <w:rsid w:val="00526EF9"/>
    <w:rsid w:val="00526F1A"/>
    <w:rsid w:val="005271C6"/>
    <w:rsid w:val="00527C9E"/>
    <w:rsid w:val="00527FB7"/>
    <w:rsid w:val="00527FD9"/>
    <w:rsid w:val="00530392"/>
    <w:rsid w:val="00530610"/>
    <w:rsid w:val="0053089A"/>
    <w:rsid w:val="00530A3D"/>
    <w:rsid w:val="00530B3F"/>
    <w:rsid w:val="00530C73"/>
    <w:rsid w:val="00531028"/>
    <w:rsid w:val="0053112A"/>
    <w:rsid w:val="00531549"/>
    <w:rsid w:val="00532075"/>
    <w:rsid w:val="005328C3"/>
    <w:rsid w:val="00532E36"/>
    <w:rsid w:val="00533730"/>
    <w:rsid w:val="00533D8F"/>
    <w:rsid w:val="00534CBF"/>
    <w:rsid w:val="00535A44"/>
    <w:rsid w:val="00535C5D"/>
    <w:rsid w:val="00535D5A"/>
    <w:rsid w:val="005363FC"/>
    <w:rsid w:val="00536EE1"/>
    <w:rsid w:val="00536F9C"/>
    <w:rsid w:val="00536FDC"/>
    <w:rsid w:val="00537565"/>
    <w:rsid w:val="00537FD3"/>
    <w:rsid w:val="00540375"/>
    <w:rsid w:val="00540C13"/>
    <w:rsid w:val="00540C2C"/>
    <w:rsid w:val="00540F85"/>
    <w:rsid w:val="0054134E"/>
    <w:rsid w:val="0054175D"/>
    <w:rsid w:val="0054188F"/>
    <w:rsid w:val="00541D67"/>
    <w:rsid w:val="00542272"/>
    <w:rsid w:val="005425CB"/>
    <w:rsid w:val="0054277A"/>
    <w:rsid w:val="00542A64"/>
    <w:rsid w:val="00542C99"/>
    <w:rsid w:val="00542D76"/>
    <w:rsid w:val="0054334B"/>
    <w:rsid w:val="005436BB"/>
    <w:rsid w:val="0054395D"/>
    <w:rsid w:val="005439E5"/>
    <w:rsid w:val="00543A0B"/>
    <w:rsid w:val="00543BE7"/>
    <w:rsid w:val="005441F4"/>
    <w:rsid w:val="0054466F"/>
    <w:rsid w:val="00544A36"/>
    <w:rsid w:val="00545263"/>
    <w:rsid w:val="005452C5"/>
    <w:rsid w:val="005453F1"/>
    <w:rsid w:val="00545A16"/>
    <w:rsid w:val="00545C88"/>
    <w:rsid w:val="0054616B"/>
    <w:rsid w:val="005465E0"/>
    <w:rsid w:val="005469B8"/>
    <w:rsid w:val="005469C0"/>
    <w:rsid w:val="00547487"/>
    <w:rsid w:val="0054782A"/>
    <w:rsid w:val="00550B11"/>
    <w:rsid w:val="00551263"/>
    <w:rsid w:val="00551397"/>
    <w:rsid w:val="00551CB0"/>
    <w:rsid w:val="005529A4"/>
    <w:rsid w:val="005531F9"/>
    <w:rsid w:val="005532FC"/>
    <w:rsid w:val="00553D68"/>
    <w:rsid w:val="005549AF"/>
    <w:rsid w:val="00554C15"/>
    <w:rsid w:val="00554C3C"/>
    <w:rsid w:val="00554EB2"/>
    <w:rsid w:val="005557C1"/>
    <w:rsid w:val="00555E40"/>
    <w:rsid w:val="00556506"/>
    <w:rsid w:val="005565A1"/>
    <w:rsid w:val="00556687"/>
    <w:rsid w:val="00556FC6"/>
    <w:rsid w:val="00557BE1"/>
    <w:rsid w:val="005601A5"/>
    <w:rsid w:val="00560697"/>
    <w:rsid w:val="00560F55"/>
    <w:rsid w:val="005610BC"/>
    <w:rsid w:val="00561203"/>
    <w:rsid w:val="00561657"/>
    <w:rsid w:val="0056183C"/>
    <w:rsid w:val="00561BFC"/>
    <w:rsid w:val="00561C61"/>
    <w:rsid w:val="00562668"/>
    <w:rsid w:val="0056295E"/>
    <w:rsid w:val="00562C5A"/>
    <w:rsid w:val="0056334B"/>
    <w:rsid w:val="005639A7"/>
    <w:rsid w:val="00564027"/>
    <w:rsid w:val="0056406E"/>
    <w:rsid w:val="00564434"/>
    <w:rsid w:val="005644F5"/>
    <w:rsid w:val="00564769"/>
    <w:rsid w:val="0056494A"/>
    <w:rsid w:val="00564E62"/>
    <w:rsid w:val="005653AE"/>
    <w:rsid w:val="00565505"/>
    <w:rsid w:val="00565CCC"/>
    <w:rsid w:val="00565D3E"/>
    <w:rsid w:val="00566D4C"/>
    <w:rsid w:val="00567729"/>
    <w:rsid w:val="00567D20"/>
    <w:rsid w:val="00567FA6"/>
    <w:rsid w:val="00570C22"/>
    <w:rsid w:val="005716AF"/>
    <w:rsid w:val="0057197D"/>
    <w:rsid w:val="00571A68"/>
    <w:rsid w:val="00571AAA"/>
    <w:rsid w:val="00571E87"/>
    <w:rsid w:val="00571FFD"/>
    <w:rsid w:val="005720D2"/>
    <w:rsid w:val="00572312"/>
    <w:rsid w:val="00572363"/>
    <w:rsid w:val="005725B6"/>
    <w:rsid w:val="0057267B"/>
    <w:rsid w:val="00572B40"/>
    <w:rsid w:val="00572E85"/>
    <w:rsid w:val="00572F45"/>
    <w:rsid w:val="0057323A"/>
    <w:rsid w:val="00573265"/>
    <w:rsid w:val="005734B7"/>
    <w:rsid w:val="0057350D"/>
    <w:rsid w:val="00573C8F"/>
    <w:rsid w:val="005742E0"/>
    <w:rsid w:val="005743E6"/>
    <w:rsid w:val="0057475E"/>
    <w:rsid w:val="005749C7"/>
    <w:rsid w:val="0057507A"/>
    <w:rsid w:val="00575286"/>
    <w:rsid w:val="00575493"/>
    <w:rsid w:val="005754AB"/>
    <w:rsid w:val="0057599B"/>
    <w:rsid w:val="00575B6B"/>
    <w:rsid w:val="00575BF0"/>
    <w:rsid w:val="00575DEF"/>
    <w:rsid w:val="005762B9"/>
    <w:rsid w:val="005767D2"/>
    <w:rsid w:val="00576BB8"/>
    <w:rsid w:val="00576FAE"/>
    <w:rsid w:val="0057701A"/>
    <w:rsid w:val="00577046"/>
    <w:rsid w:val="00577527"/>
    <w:rsid w:val="00577706"/>
    <w:rsid w:val="00577E64"/>
    <w:rsid w:val="00577EF1"/>
    <w:rsid w:val="005801DB"/>
    <w:rsid w:val="005806F3"/>
    <w:rsid w:val="0058078F"/>
    <w:rsid w:val="00580823"/>
    <w:rsid w:val="005809D8"/>
    <w:rsid w:val="00581220"/>
    <w:rsid w:val="005812C6"/>
    <w:rsid w:val="005813E8"/>
    <w:rsid w:val="00581855"/>
    <w:rsid w:val="0058234A"/>
    <w:rsid w:val="005825FB"/>
    <w:rsid w:val="005828B2"/>
    <w:rsid w:val="00582C24"/>
    <w:rsid w:val="00582DB2"/>
    <w:rsid w:val="0058350C"/>
    <w:rsid w:val="0058366C"/>
    <w:rsid w:val="0058371E"/>
    <w:rsid w:val="00583929"/>
    <w:rsid w:val="00583B2E"/>
    <w:rsid w:val="00584B74"/>
    <w:rsid w:val="00584CC2"/>
    <w:rsid w:val="00585002"/>
    <w:rsid w:val="00585135"/>
    <w:rsid w:val="00585437"/>
    <w:rsid w:val="005866E0"/>
    <w:rsid w:val="005869AC"/>
    <w:rsid w:val="00587655"/>
    <w:rsid w:val="00587A17"/>
    <w:rsid w:val="00587A63"/>
    <w:rsid w:val="00587BE2"/>
    <w:rsid w:val="00587E23"/>
    <w:rsid w:val="00587E82"/>
    <w:rsid w:val="0059048A"/>
    <w:rsid w:val="005908E6"/>
    <w:rsid w:val="00590DA4"/>
    <w:rsid w:val="00590DA9"/>
    <w:rsid w:val="00590DAF"/>
    <w:rsid w:val="00590EB3"/>
    <w:rsid w:val="005922C8"/>
    <w:rsid w:val="00592460"/>
    <w:rsid w:val="00592589"/>
    <w:rsid w:val="00593AEB"/>
    <w:rsid w:val="00594070"/>
    <w:rsid w:val="005943CD"/>
    <w:rsid w:val="0059459B"/>
    <w:rsid w:val="005948EF"/>
    <w:rsid w:val="00594BF3"/>
    <w:rsid w:val="005952C9"/>
    <w:rsid w:val="0059562B"/>
    <w:rsid w:val="0059579C"/>
    <w:rsid w:val="00595B1D"/>
    <w:rsid w:val="00595B5D"/>
    <w:rsid w:val="00597206"/>
    <w:rsid w:val="0059733D"/>
    <w:rsid w:val="005974A0"/>
    <w:rsid w:val="005975A3"/>
    <w:rsid w:val="00597F9A"/>
    <w:rsid w:val="00597FA2"/>
    <w:rsid w:val="005A0303"/>
    <w:rsid w:val="005A0374"/>
    <w:rsid w:val="005A0748"/>
    <w:rsid w:val="005A0C27"/>
    <w:rsid w:val="005A0F69"/>
    <w:rsid w:val="005A0F79"/>
    <w:rsid w:val="005A1250"/>
    <w:rsid w:val="005A14A6"/>
    <w:rsid w:val="005A1AC5"/>
    <w:rsid w:val="005A24CF"/>
    <w:rsid w:val="005A24FD"/>
    <w:rsid w:val="005A29E4"/>
    <w:rsid w:val="005A2E84"/>
    <w:rsid w:val="005A303D"/>
    <w:rsid w:val="005A3112"/>
    <w:rsid w:val="005A33EB"/>
    <w:rsid w:val="005A378A"/>
    <w:rsid w:val="005A37E3"/>
    <w:rsid w:val="005A3936"/>
    <w:rsid w:val="005A395E"/>
    <w:rsid w:val="005A3E55"/>
    <w:rsid w:val="005A3EB4"/>
    <w:rsid w:val="005A46EF"/>
    <w:rsid w:val="005A48FE"/>
    <w:rsid w:val="005A5460"/>
    <w:rsid w:val="005A57FA"/>
    <w:rsid w:val="005A5B8A"/>
    <w:rsid w:val="005A5CD4"/>
    <w:rsid w:val="005A60B9"/>
    <w:rsid w:val="005A65FC"/>
    <w:rsid w:val="005A7138"/>
    <w:rsid w:val="005A7836"/>
    <w:rsid w:val="005A79A9"/>
    <w:rsid w:val="005A7E7F"/>
    <w:rsid w:val="005A7FD3"/>
    <w:rsid w:val="005B02A8"/>
    <w:rsid w:val="005B068B"/>
    <w:rsid w:val="005B06C8"/>
    <w:rsid w:val="005B0B68"/>
    <w:rsid w:val="005B0DC5"/>
    <w:rsid w:val="005B12CC"/>
    <w:rsid w:val="005B1551"/>
    <w:rsid w:val="005B1928"/>
    <w:rsid w:val="005B224C"/>
    <w:rsid w:val="005B2DDB"/>
    <w:rsid w:val="005B3254"/>
    <w:rsid w:val="005B379C"/>
    <w:rsid w:val="005B39B7"/>
    <w:rsid w:val="005B3BD4"/>
    <w:rsid w:val="005B4269"/>
    <w:rsid w:val="005B42C9"/>
    <w:rsid w:val="005B43C6"/>
    <w:rsid w:val="005B442C"/>
    <w:rsid w:val="005B444E"/>
    <w:rsid w:val="005B4473"/>
    <w:rsid w:val="005B4A6F"/>
    <w:rsid w:val="005B4BAC"/>
    <w:rsid w:val="005B4C81"/>
    <w:rsid w:val="005B5289"/>
    <w:rsid w:val="005B55A4"/>
    <w:rsid w:val="005B5651"/>
    <w:rsid w:val="005B56CE"/>
    <w:rsid w:val="005B5E8E"/>
    <w:rsid w:val="005B6206"/>
    <w:rsid w:val="005B638F"/>
    <w:rsid w:val="005B65EE"/>
    <w:rsid w:val="005B668B"/>
    <w:rsid w:val="005B761A"/>
    <w:rsid w:val="005B7818"/>
    <w:rsid w:val="005B7A84"/>
    <w:rsid w:val="005C0059"/>
    <w:rsid w:val="005C0293"/>
    <w:rsid w:val="005C0594"/>
    <w:rsid w:val="005C0EF9"/>
    <w:rsid w:val="005C1510"/>
    <w:rsid w:val="005C168A"/>
    <w:rsid w:val="005C16B0"/>
    <w:rsid w:val="005C17BC"/>
    <w:rsid w:val="005C1898"/>
    <w:rsid w:val="005C1C82"/>
    <w:rsid w:val="005C278D"/>
    <w:rsid w:val="005C2AF7"/>
    <w:rsid w:val="005C2FDB"/>
    <w:rsid w:val="005C385D"/>
    <w:rsid w:val="005C46E1"/>
    <w:rsid w:val="005C4C4C"/>
    <w:rsid w:val="005C4F6B"/>
    <w:rsid w:val="005C4F7C"/>
    <w:rsid w:val="005C5D32"/>
    <w:rsid w:val="005C60C3"/>
    <w:rsid w:val="005C6234"/>
    <w:rsid w:val="005C6AD2"/>
    <w:rsid w:val="005C6E72"/>
    <w:rsid w:val="005C709C"/>
    <w:rsid w:val="005C72DC"/>
    <w:rsid w:val="005C776D"/>
    <w:rsid w:val="005C7AEC"/>
    <w:rsid w:val="005C7FC9"/>
    <w:rsid w:val="005D00F2"/>
    <w:rsid w:val="005D02CE"/>
    <w:rsid w:val="005D068D"/>
    <w:rsid w:val="005D06B6"/>
    <w:rsid w:val="005D0870"/>
    <w:rsid w:val="005D0D43"/>
    <w:rsid w:val="005D1028"/>
    <w:rsid w:val="005D1422"/>
    <w:rsid w:val="005D16BA"/>
    <w:rsid w:val="005D182E"/>
    <w:rsid w:val="005D198E"/>
    <w:rsid w:val="005D19BA"/>
    <w:rsid w:val="005D19FA"/>
    <w:rsid w:val="005D23A5"/>
    <w:rsid w:val="005D2DE4"/>
    <w:rsid w:val="005D31C5"/>
    <w:rsid w:val="005D351B"/>
    <w:rsid w:val="005D3529"/>
    <w:rsid w:val="005D38B2"/>
    <w:rsid w:val="005D3CC9"/>
    <w:rsid w:val="005D3D87"/>
    <w:rsid w:val="005D4EBE"/>
    <w:rsid w:val="005D52D7"/>
    <w:rsid w:val="005D5C6C"/>
    <w:rsid w:val="005D5D1D"/>
    <w:rsid w:val="005D5E28"/>
    <w:rsid w:val="005D63FD"/>
    <w:rsid w:val="005D66C4"/>
    <w:rsid w:val="005D6A29"/>
    <w:rsid w:val="005D72FB"/>
    <w:rsid w:val="005D74C4"/>
    <w:rsid w:val="005D7A85"/>
    <w:rsid w:val="005D7CBB"/>
    <w:rsid w:val="005D7CF0"/>
    <w:rsid w:val="005E06D6"/>
    <w:rsid w:val="005E0731"/>
    <w:rsid w:val="005E08DF"/>
    <w:rsid w:val="005E0955"/>
    <w:rsid w:val="005E0982"/>
    <w:rsid w:val="005E1070"/>
    <w:rsid w:val="005E12CE"/>
    <w:rsid w:val="005E16D2"/>
    <w:rsid w:val="005E1B34"/>
    <w:rsid w:val="005E2156"/>
    <w:rsid w:val="005E22DA"/>
    <w:rsid w:val="005E2310"/>
    <w:rsid w:val="005E2A70"/>
    <w:rsid w:val="005E2D43"/>
    <w:rsid w:val="005E339B"/>
    <w:rsid w:val="005E3422"/>
    <w:rsid w:val="005E3F59"/>
    <w:rsid w:val="005E41C1"/>
    <w:rsid w:val="005E4EC5"/>
    <w:rsid w:val="005E4F72"/>
    <w:rsid w:val="005E53B3"/>
    <w:rsid w:val="005E5C53"/>
    <w:rsid w:val="005E6297"/>
    <w:rsid w:val="005E6908"/>
    <w:rsid w:val="005E7018"/>
    <w:rsid w:val="005E75AB"/>
    <w:rsid w:val="005E788A"/>
    <w:rsid w:val="005E7C46"/>
    <w:rsid w:val="005F0107"/>
    <w:rsid w:val="005F0B0C"/>
    <w:rsid w:val="005F0F73"/>
    <w:rsid w:val="005F1270"/>
    <w:rsid w:val="005F1285"/>
    <w:rsid w:val="005F1F81"/>
    <w:rsid w:val="005F1FBA"/>
    <w:rsid w:val="005F21BC"/>
    <w:rsid w:val="005F2252"/>
    <w:rsid w:val="005F2A45"/>
    <w:rsid w:val="005F2C2A"/>
    <w:rsid w:val="005F2C81"/>
    <w:rsid w:val="005F3008"/>
    <w:rsid w:val="005F3401"/>
    <w:rsid w:val="005F3504"/>
    <w:rsid w:val="005F356A"/>
    <w:rsid w:val="005F35CC"/>
    <w:rsid w:val="005F3692"/>
    <w:rsid w:val="005F395E"/>
    <w:rsid w:val="005F3FE8"/>
    <w:rsid w:val="005F4074"/>
    <w:rsid w:val="005F42D1"/>
    <w:rsid w:val="005F483A"/>
    <w:rsid w:val="005F4A53"/>
    <w:rsid w:val="005F4D43"/>
    <w:rsid w:val="005F4DD0"/>
    <w:rsid w:val="005F50B1"/>
    <w:rsid w:val="005F50B7"/>
    <w:rsid w:val="005F5AFC"/>
    <w:rsid w:val="005F6038"/>
    <w:rsid w:val="005F6B21"/>
    <w:rsid w:val="005F6B99"/>
    <w:rsid w:val="005F7203"/>
    <w:rsid w:val="005F75A1"/>
    <w:rsid w:val="005F7A8A"/>
    <w:rsid w:val="00600942"/>
    <w:rsid w:val="00600ADD"/>
    <w:rsid w:val="00600B3B"/>
    <w:rsid w:val="00600C83"/>
    <w:rsid w:val="00600D3D"/>
    <w:rsid w:val="00600DBF"/>
    <w:rsid w:val="00600EE8"/>
    <w:rsid w:val="0060107B"/>
    <w:rsid w:val="00601185"/>
    <w:rsid w:val="006012A4"/>
    <w:rsid w:val="0060173E"/>
    <w:rsid w:val="0060179E"/>
    <w:rsid w:val="00601AAD"/>
    <w:rsid w:val="00601F08"/>
    <w:rsid w:val="006024BC"/>
    <w:rsid w:val="00602731"/>
    <w:rsid w:val="006029E4"/>
    <w:rsid w:val="00603139"/>
    <w:rsid w:val="00603231"/>
    <w:rsid w:val="006032DE"/>
    <w:rsid w:val="00603367"/>
    <w:rsid w:val="00603712"/>
    <w:rsid w:val="00603BAD"/>
    <w:rsid w:val="006042EA"/>
    <w:rsid w:val="00604318"/>
    <w:rsid w:val="00604903"/>
    <w:rsid w:val="00604A19"/>
    <w:rsid w:val="00604DC7"/>
    <w:rsid w:val="00604F57"/>
    <w:rsid w:val="006056CA"/>
    <w:rsid w:val="00605895"/>
    <w:rsid w:val="0060618D"/>
    <w:rsid w:val="006064E8"/>
    <w:rsid w:val="006069FE"/>
    <w:rsid w:val="0060707A"/>
    <w:rsid w:val="006076CB"/>
    <w:rsid w:val="006077E9"/>
    <w:rsid w:val="006100C2"/>
    <w:rsid w:val="00610268"/>
    <w:rsid w:val="00610E9D"/>
    <w:rsid w:val="00611346"/>
    <w:rsid w:val="006114FE"/>
    <w:rsid w:val="006117DE"/>
    <w:rsid w:val="006119BE"/>
    <w:rsid w:val="00611A94"/>
    <w:rsid w:val="00611E80"/>
    <w:rsid w:val="00612A38"/>
    <w:rsid w:val="00612ACE"/>
    <w:rsid w:val="00612B77"/>
    <w:rsid w:val="00612C67"/>
    <w:rsid w:val="00613C1F"/>
    <w:rsid w:val="006141F2"/>
    <w:rsid w:val="0061430D"/>
    <w:rsid w:val="00614446"/>
    <w:rsid w:val="006145D1"/>
    <w:rsid w:val="00614758"/>
    <w:rsid w:val="00614C01"/>
    <w:rsid w:val="00614D42"/>
    <w:rsid w:val="00614DCC"/>
    <w:rsid w:val="00614FB4"/>
    <w:rsid w:val="00615455"/>
    <w:rsid w:val="00615683"/>
    <w:rsid w:val="00615739"/>
    <w:rsid w:val="0061614F"/>
    <w:rsid w:val="00616303"/>
    <w:rsid w:val="0061649B"/>
    <w:rsid w:val="0061657D"/>
    <w:rsid w:val="00616C84"/>
    <w:rsid w:val="00616DC1"/>
    <w:rsid w:val="00617410"/>
    <w:rsid w:val="00617669"/>
    <w:rsid w:val="00617E7D"/>
    <w:rsid w:val="0062080E"/>
    <w:rsid w:val="00620A93"/>
    <w:rsid w:val="00620DBA"/>
    <w:rsid w:val="00620DD7"/>
    <w:rsid w:val="00620F0B"/>
    <w:rsid w:val="006211AF"/>
    <w:rsid w:val="00621326"/>
    <w:rsid w:val="0062172B"/>
    <w:rsid w:val="0062220B"/>
    <w:rsid w:val="00622CE6"/>
    <w:rsid w:val="00622D46"/>
    <w:rsid w:val="00622EE9"/>
    <w:rsid w:val="006233FA"/>
    <w:rsid w:val="00623581"/>
    <w:rsid w:val="00623AF4"/>
    <w:rsid w:val="00624002"/>
    <w:rsid w:val="0062430F"/>
    <w:rsid w:val="00624479"/>
    <w:rsid w:val="006245EC"/>
    <w:rsid w:val="00624633"/>
    <w:rsid w:val="00624B82"/>
    <w:rsid w:val="00624E36"/>
    <w:rsid w:val="006253AE"/>
    <w:rsid w:val="00625599"/>
    <w:rsid w:val="00625C93"/>
    <w:rsid w:val="00625CB1"/>
    <w:rsid w:val="00625CEC"/>
    <w:rsid w:val="00625F70"/>
    <w:rsid w:val="00625FDA"/>
    <w:rsid w:val="00626F1C"/>
    <w:rsid w:val="006272AC"/>
    <w:rsid w:val="006272BE"/>
    <w:rsid w:val="0062732C"/>
    <w:rsid w:val="006273A7"/>
    <w:rsid w:val="00627458"/>
    <w:rsid w:val="00627A94"/>
    <w:rsid w:val="00627C29"/>
    <w:rsid w:val="00627EA2"/>
    <w:rsid w:val="00630137"/>
    <w:rsid w:val="006301AB"/>
    <w:rsid w:val="0063030F"/>
    <w:rsid w:val="0063107C"/>
    <w:rsid w:val="006312BA"/>
    <w:rsid w:val="00631763"/>
    <w:rsid w:val="0063176F"/>
    <w:rsid w:val="00631950"/>
    <w:rsid w:val="00632913"/>
    <w:rsid w:val="00632928"/>
    <w:rsid w:val="006329A8"/>
    <w:rsid w:val="00632C2D"/>
    <w:rsid w:val="00632DE4"/>
    <w:rsid w:val="00632F3A"/>
    <w:rsid w:val="00632F6E"/>
    <w:rsid w:val="0063382B"/>
    <w:rsid w:val="00633AB5"/>
    <w:rsid w:val="00633DAC"/>
    <w:rsid w:val="00634888"/>
    <w:rsid w:val="00634E0A"/>
    <w:rsid w:val="00634E44"/>
    <w:rsid w:val="00634EE4"/>
    <w:rsid w:val="006351F0"/>
    <w:rsid w:val="0063563E"/>
    <w:rsid w:val="006356B9"/>
    <w:rsid w:val="006356E0"/>
    <w:rsid w:val="00635857"/>
    <w:rsid w:val="00635EEC"/>
    <w:rsid w:val="006362CC"/>
    <w:rsid w:val="0063661C"/>
    <w:rsid w:val="00637867"/>
    <w:rsid w:val="00637B46"/>
    <w:rsid w:val="00637B8C"/>
    <w:rsid w:val="00637EFE"/>
    <w:rsid w:val="0064042C"/>
    <w:rsid w:val="00641045"/>
    <w:rsid w:val="006414DF"/>
    <w:rsid w:val="00641700"/>
    <w:rsid w:val="00641772"/>
    <w:rsid w:val="00641BF3"/>
    <w:rsid w:val="00641CB2"/>
    <w:rsid w:val="00641F7F"/>
    <w:rsid w:val="006421DC"/>
    <w:rsid w:val="006425BD"/>
    <w:rsid w:val="00642855"/>
    <w:rsid w:val="006429C2"/>
    <w:rsid w:val="00643172"/>
    <w:rsid w:val="006433D0"/>
    <w:rsid w:val="00643B2A"/>
    <w:rsid w:val="0064401D"/>
    <w:rsid w:val="006444D7"/>
    <w:rsid w:val="00644B6B"/>
    <w:rsid w:val="00644D7C"/>
    <w:rsid w:val="00644DA8"/>
    <w:rsid w:val="00644EC6"/>
    <w:rsid w:val="006454D6"/>
    <w:rsid w:val="00645601"/>
    <w:rsid w:val="00645DFB"/>
    <w:rsid w:val="00646155"/>
    <w:rsid w:val="00646B55"/>
    <w:rsid w:val="00646BC9"/>
    <w:rsid w:val="00646FE5"/>
    <w:rsid w:val="0064713A"/>
    <w:rsid w:val="0064722F"/>
    <w:rsid w:val="006473EB"/>
    <w:rsid w:val="00647523"/>
    <w:rsid w:val="00650026"/>
    <w:rsid w:val="00650223"/>
    <w:rsid w:val="0065043A"/>
    <w:rsid w:val="00651057"/>
    <w:rsid w:val="0065128E"/>
    <w:rsid w:val="006513EA"/>
    <w:rsid w:val="0065145F"/>
    <w:rsid w:val="00651801"/>
    <w:rsid w:val="006518AF"/>
    <w:rsid w:val="00651E53"/>
    <w:rsid w:val="00652AA3"/>
    <w:rsid w:val="00652ADA"/>
    <w:rsid w:val="00652B05"/>
    <w:rsid w:val="00652BFF"/>
    <w:rsid w:val="00652D1D"/>
    <w:rsid w:val="00652D72"/>
    <w:rsid w:val="00653211"/>
    <w:rsid w:val="006535BC"/>
    <w:rsid w:val="006535D3"/>
    <w:rsid w:val="00653774"/>
    <w:rsid w:val="00653BBC"/>
    <w:rsid w:val="00654DE3"/>
    <w:rsid w:val="00655295"/>
    <w:rsid w:val="0065550F"/>
    <w:rsid w:val="00655827"/>
    <w:rsid w:val="00655F69"/>
    <w:rsid w:val="00656BC1"/>
    <w:rsid w:val="00657444"/>
    <w:rsid w:val="00657CCA"/>
    <w:rsid w:val="00660362"/>
    <w:rsid w:val="0066068A"/>
    <w:rsid w:val="0066077B"/>
    <w:rsid w:val="00660F4A"/>
    <w:rsid w:val="0066125F"/>
    <w:rsid w:val="0066178E"/>
    <w:rsid w:val="00661864"/>
    <w:rsid w:val="00661E55"/>
    <w:rsid w:val="00661FCD"/>
    <w:rsid w:val="00662917"/>
    <w:rsid w:val="00662D28"/>
    <w:rsid w:val="006633D5"/>
    <w:rsid w:val="006634D3"/>
    <w:rsid w:val="0066355D"/>
    <w:rsid w:val="006635A9"/>
    <w:rsid w:val="006641C4"/>
    <w:rsid w:val="00664850"/>
    <w:rsid w:val="006648B8"/>
    <w:rsid w:val="00664CDD"/>
    <w:rsid w:val="00664D22"/>
    <w:rsid w:val="00664F45"/>
    <w:rsid w:val="006656B4"/>
    <w:rsid w:val="006656D5"/>
    <w:rsid w:val="006657F2"/>
    <w:rsid w:val="00665E5D"/>
    <w:rsid w:val="006666D8"/>
    <w:rsid w:val="00666B82"/>
    <w:rsid w:val="00666E2A"/>
    <w:rsid w:val="00667342"/>
    <w:rsid w:val="00667794"/>
    <w:rsid w:val="006677B1"/>
    <w:rsid w:val="00667860"/>
    <w:rsid w:val="00667B8C"/>
    <w:rsid w:val="00667DC0"/>
    <w:rsid w:val="006703D3"/>
    <w:rsid w:val="00670B1F"/>
    <w:rsid w:val="00670B8C"/>
    <w:rsid w:val="00670B90"/>
    <w:rsid w:val="0067107A"/>
    <w:rsid w:val="00671584"/>
    <w:rsid w:val="00671B52"/>
    <w:rsid w:val="00671B61"/>
    <w:rsid w:val="00671FD6"/>
    <w:rsid w:val="00672658"/>
    <w:rsid w:val="00672D59"/>
    <w:rsid w:val="00672E83"/>
    <w:rsid w:val="0067344F"/>
    <w:rsid w:val="006735FC"/>
    <w:rsid w:val="00673739"/>
    <w:rsid w:val="00673A50"/>
    <w:rsid w:val="00673B79"/>
    <w:rsid w:val="00673BCB"/>
    <w:rsid w:val="00673FAA"/>
    <w:rsid w:val="00674007"/>
    <w:rsid w:val="00675489"/>
    <w:rsid w:val="0067591F"/>
    <w:rsid w:val="006759E6"/>
    <w:rsid w:val="00675B08"/>
    <w:rsid w:val="00675C9C"/>
    <w:rsid w:val="00675CE9"/>
    <w:rsid w:val="00676050"/>
    <w:rsid w:val="0067619E"/>
    <w:rsid w:val="006763FF"/>
    <w:rsid w:val="006767D6"/>
    <w:rsid w:val="006768A8"/>
    <w:rsid w:val="006771E5"/>
    <w:rsid w:val="0067751C"/>
    <w:rsid w:val="00677F61"/>
    <w:rsid w:val="00677F96"/>
    <w:rsid w:val="006801A4"/>
    <w:rsid w:val="00680A0B"/>
    <w:rsid w:val="00680BC7"/>
    <w:rsid w:val="00680C08"/>
    <w:rsid w:val="006810B5"/>
    <w:rsid w:val="00681141"/>
    <w:rsid w:val="00681363"/>
    <w:rsid w:val="00681368"/>
    <w:rsid w:val="00681412"/>
    <w:rsid w:val="00681687"/>
    <w:rsid w:val="00681903"/>
    <w:rsid w:val="00681C24"/>
    <w:rsid w:val="00681E95"/>
    <w:rsid w:val="00682104"/>
    <w:rsid w:val="00682111"/>
    <w:rsid w:val="006822E5"/>
    <w:rsid w:val="006825F9"/>
    <w:rsid w:val="00682C01"/>
    <w:rsid w:val="00682F64"/>
    <w:rsid w:val="00683424"/>
    <w:rsid w:val="00683DDE"/>
    <w:rsid w:val="00684043"/>
    <w:rsid w:val="006840C2"/>
    <w:rsid w:val="006843B4"/>
    <w:rsid w:val="00684456"/>
    <w:rsid w:val="0068447A"/>
    <w:rsid w:val="00684490"/>
    <w:rsid w:val="00684A32"/>
    <w:rsid w:val="00684B41"/>
    <w:rsid w:val="00684B9E"/>
    <w:rsid w:val="00684BBC"/>
    <w:rsid w:val="00685064"/>
    <w:rsid w:val="006857C5"/>
    <w:rsid w:val="00685D7A"/>
    <w:rsid w:val="00686022"/>
    <w:rsid w:val="00686A17"/>
    <w:rsid w:val="00686D52"/>
    <w:rsid w:val="006872D1"/>
    <w:rsid w:val="006872E7"/>
    <w:rsid w:val="006873DC"/>
    <w:rsid w:val="0068773C"/>
    <w:rsid w:val="006906CF"/>
    <w:rsid w:val="006907D7"/>
    <w:rsid w:val="00690C48"/>
    <w:rsid w:val="0069116A"/>
    <w:rsid w:val="00691874"/>
    <w:rsid w:val="00691A70"/>
    <w:rsid w:val="00691B71"/>
    <w:rsid w:val="00691CFD"/>
    <w:rsid w:val="00691D4D"/>
    <w:rsid w:val="00692095"/>
    <w:rsid w:val="0069209A"/>
    <w:rsid w:val="00692130"/>
    <w:rsid w:val="006921D1"/>
    <w:rsid w:val="006921D3"/>
    <w:rsid w:val="00692A67"/>
    <w:rsid w:val="00692E2A"/>
    <w:rsid w:val="00693039"/>
    <w:rsid w:val="006932C9"/>
    <w:rsid w:val="0069331C"/>
    <w:rsid w:val="00693746"/>
    <w:rsid w:val="006937EB"/>
    <w:rsid w:val="00694A21"/>
    <w:rsid w:val="00695163"/>
    <w:rsid w:val="0069540C"/>
    <w:rsid w:val="00695444"/>
    <w:rsid w:val="0069572F"/>
    <w:rsid w:val="0069593D"/>
    <w:rsid w:val="00695ADC"/>
    <w:rsid w:val="00695E53"/>
    <w:rsid w:val="0069670B"/>
    <w:rsid w:val="00696A5A"/>
    <w:rsid w:val="00697424"/>
    <w:rsid w:val="00697929"/>
    <w:rsid w:val="00697B2B"/>
    <w:rsid w:val="00697FE7"/>
    <w:rsid w:val="00697FFC"/>
    <w:rsid w:val="006A0380"/>
    <w:rsid w:val="006A05DC"/>
    <w:rsid w:val="006A09EA"/>
    <w:rsid w:val="006A0A68"/>
    <w:rsid w:val="006A0D0C"/>
    <w:rsid w:val="006A101C"/>
    <w:rsid w:val="006A1056"/>
    <w:rsid w:val="006A14BE"/>
    <w:rsid w:val="006A1A97"/>
    <w:rsid w:val="006A1BA2"/>
    <w:rsid w:val="006A1D5A"/>
    <w:rsid w:val="006A2262"/>
    <w:rsid w:val="006A231E"/>
    <w:rsid w:val="006A242E"/>
    <w:rsid w:val="006A26AD"/>
    <w:rsid w:val="006A2A5C"/>
    <w:rsid w:val="006A2BA1"/>
    <w:rsid w:val="006A2F9E"/>
    <w:rsid w:val="006A3088"/>
    <w:rsid w:val="006A311E"/>
    <w:rsid w:val="006A349D"/>
    <w:rsid w:val="006A3AFD"/>
    <w:rsid w:val="006A3DE4"/>
    <w:rsid w:val="006A3F48"/>
    <w:rsid w:val="006A4040"/>
    <w:rsid w:val="006A41D9"/>
    <w:rsid w:val="006A4324"/>
    <w:rsid w:val="006A45B7"/>
    <w:rsid w:val="006A4761"/>
    <w:rsid w:val="006A48CC"/>
    <w:rsid w:val="006A5340"/>
    <w:rsid w:val="006A55E9"/>
    <w:rsid w:val="006A58CC"/>
    <w:rsid w:val="006A5A78"/>
    <w:rsid w:val="006A5EE4"/>
    <w:rsid w:val="006A608F"/>
    <w:rsid w:val="006A61E3"/>
    <w:rsid w:val="006A6483"/>
    <w:rsid w:val="006A6809"/>
    <w:rsid w:val="006A6B58"/>
    <w:rsid w:val="006A6CF5"/>
    <w:rsid w:val="006A7240"/>
    <w:rsid w:val="006A7B63"/>
    <w:rsid w:val="006B0847"/>
    <w:rsid w:val="006B0EBF"/>
    <w:rsid w:val="006B0EDF"/>
    <w:rsid w:val="006B1D90"/>
    <w:rsid w:val="006B2AA0"/>
    <w:rsid w:val="006B2EC5"/>
    <w:rsid w:val="006B351A"/>
    <w:rsid w:val="006B3C36"/>
    <w:rsid w:val="006B43D1"/>
    <w:rsid w:val="006B43DD"/>
    <w:rsid w:val="006B4B26"/>
    <w:rsid w:val="006B4DDB"/>
    <w:rsid w:val="006B5102"/>
    <w:rsid w:val="006B5A93"/>
    <w:rsid w:val="006B5BA8"/>
    <w:rsid w:val="006B5C5E"/>
    <w:rsid w:val="006B6566"/>
    <w:rsid w:val="006B687E"/>
    <w:rsid w:val="006B6C11"/>
    <w:rsid w:val="006B6FC2"/>
    <w:rsid w:val="006B753D"/>
    <w:rsid w:val="006B7952"/>
    <w:rsid w:val="006B7D42"/>
    <w:rsid w:val="006B7EDE"/>
    <w:rsid w:val="006C003F"/>
    <w:rsid w:val="006C03AF"/>
    <w:rsid w:val="006C07E7"/>
    <w:rsid w:val="006C0A1E"/>
    <w:rsid w:val="006C0CA7"/>
    <w:rsid w:val="006C0E48"/>
    <w:rsid w:val="006C102F"/>
    <w:rsid w:val="006C1039"/>
    <w:rsid w:val="006C10F2"/>
    <w:rsid w:val="006C1843"/>
    <w:rsid w:val="006C1975"/>
    <w:rsid w:val="006C1A57"/>
    <w:rsid w:val="006C1ACF"/>
    <w:rsid w:val="006C1F49"/>
    <w:rsid w:val="006C1F97"/>
    <w:rsid w:val="006C2F1F"/>
    <w:rsid w:val="006C31D1"/>
    <w:rsid w:val="006C337D"/>
    <w:rsid w:val="006C3756"/>
    <w:rsid w:val="006C3FF7"/>
    <w:rsid w:val="006C4579"/>
    <w:rsid w:val="006C4B2A"/>
    <w:rsid w:val="006C57ED"/>
    <w:rsid w:val="006C5857"/>
    <w:rsid w:val="006C58D8"/>
    <w:rsid w:val="006C5BA4"/>
    <w:rsid w:val="006C5C35"/>
    <w:rsid w:val="006C5D4A"/>
    <w:rsid w:val="006C5EDE"/>
    <w:rsid w:val="006C5EF9"/>
    <w:rsid w:val="006C6026"/>
    <w:rsid w:val="006C683A"/>
    <w:rsid w:val="006C6ADD"/>
    <w:rsid w:val="006C6C54"/>
    <w:rsid w:val="006C6DD0"/>
    <w:rsid w:val="006C7292"/>
    <w:rsid w:val="006C78AD"/>
    <w:rsid w:val="006C7FA4"/>
    <w:rsid w:val="006D0348"/>
    <w:rsid w:val="006D0509"/>
    <w:rsid w:val="006D099E"/>
    <w:rsid w:val="006D0FB3"/>
    <w:rsid w:val="006D12C4"/>
    <w:rsid w:val="006D1BB5"/>
    <w:rsid w:val="006D29A2"/>
    <w:rsid w:val="006D2CF9"/>
    <w:rsid w:val="006D310C"/>
    <w:rsid w:val="006D3BFF"/>
    <w:rsid w:val="006D3C6D"/>
    <w:rsid w:val="006D3EE2"/>
    <w:rsid w:val="006D4A5B"/>
    <w:rsid w:val="006D54DC"/>
    <w:rsid w:val="006D5CB0"/>
    <w:rsid w:val="006D634B"/>
    <w:rsid w:val="006D6B39"/>
    <w:rsid w:val="006D7B2D"/>
    <w:rsid w:val="006D7BD3"/>
    <w:rsid w:val="006D7D96"/>
    <w:rsid w:val="006D7DD1"/>
    <w:rsid w:val="006E0411"/>
    <w:rsid w:val="006E05DF"/>
    <w:rsid w:val="006E0B08"/>
    <w:rsid w:val="006E0CD3"/>
    <w:rsid w:val="006E15F1"/>
    <w:rsid w:val="006E1EBE"/>
    <w:rsid w:val="006E2108"/>
    <w:rsid w:val="006E21B0"/>
    <w:rsid w:val="006E23FD"/>
    <w:rsid w:val="006E2585"/>
    <w:rsid w:val="006E321E"/>
    <w:rsid w:val="006E32B6"/>
    <w:rsid w:val="006E3702"/>
    <w:rsid w:val="006E37A7"/>
    <w:rsid w:val="006E3E64"/>
    <w:rsid w:val="006E44C4"/>
    <w:rsid w:val="006E4523"/>
    <w:rsid w:val="006E4A62"/>
    <w:rsid w:val="006E4A6F"/>
    <w:rsid w:val="006E4C37"/>
    <w:rsid w:val="006E5656"/>
    <w:rsid w:val="006E59B4"/>
    <w:rsid w:val="006E5F06"/>
    <w:rsid w:val="006E5F67"/>
    <w:rsid w:val="006E5FBD"/>
    <w:rsid w:val="006E6253"/>
    <w:rsid w:val="006E6276"/>
    <w:rsid w:val="006E68E3"/>
    <w:rsid w:val="006E6AF4"/>
    <w:rsid w:val="006E72C2"/>
    <w:rsid w:val="006E76DE"/>
    <w:rsid w:val="006E77EB"/>
    <w:rsid w:val="006E7C6B"/>
    <w:rsid w:val="006E7C7F"/>
    <w:rsid w:val="006E7CE4"/>
    <w:rsid w:val="006E7F13"/>
    <w:rsid w:val="006F0007"/>
    <w:rsid w:val="006F0048"/>
    <w:rsid w:val="006F04E5"/>
    <w:rsid w:val="006F1307"/>
    <w:rsid w:val="006F18C5"/>
    <w:rsid w:val="006F1DF9"/>
    <w:rsid w:val="006F2153"/>
    <w:rsid w:val="006F224E"/>
    <w:rsid w:val="006F297A"/>
    <w:rsid w:val="006F2A47"/>
    <w:rsid w:val="006F30F9"/>
    <w:rsid w:val="006F39C1"/>
    <w:rsid w:val="006F3BAC"/>
    <w:rsid w:val="006F3CCB"/>
    <w:rsid w:val="006F3CE5"/>
    <w:rsid w:val="006F3D95"/>
    <w:rsid w:val="006F41FC"/>
    <w:rsid w:val="006F437A"/>
    <w:rsid w:val="006F43C9"/>
    <w:rsid w:val="006F4715"/>
    <w:rsid w:val="006F4AAC"/>
    <w:rsid w:val="006F4B50"/>
    <w:rsid w:val="006F52AB"/>
    <w:rsid w:val="006F54B4"/>
    <w:rsid w:val="006F54BB"/>
    <w:rsid w:val="006F54E7"/>
    <w:rsid w:val="006F566A"/>
    <w:rsid w:val="006F5856"/>
    <w:rsid w:val="006F5875"/>
    <w:rsid w:val="006F61C9"/>
    <w:rsid w:val="006F6225"/>
    <w:rsid w:val="006F6407"/>
    <w:rsid w:val="006F6818"/>
    <w:rsid w:val="006F73FA"/>
    <w:rsid w:val="006F7619"/>
    <w:rsid w:val="006F7C2F"/>
    <w:rsid w:val="006F7CA9"/>
    <w:rsid w:val="006FFD51"/>
    <w:rsid w:val="00700A22"/>
    <w:rsid w:val="00700E66"/>
    <w:rsid w:val="00700F7E"/>
    <w:rsid w:val="0070158A"/>
    <w:rsid w:val="007015C0"/>
    <w:rsid w:val="0070210C"/>
    <w:rsid w:val="0070230A"/>
    <w:rsid w:val="007024DC"/>
    <w:rsid w:val="00702E2C"/>
    <w:rsid w:val="007032F7"/>
    <w:rsid w:val="007037EF"/>
    <w:rsid w:val="00703A7E"/>
    <w:rsid w:val="00703C81"/>
    <w:rsid w:val="00703D11"/>
    <w:rsid w:val="0070407B"/>
    <w:rsid w:val="0070424A"/>
    <w:rsid w:val="00704426"/>
    <w:rsid w:val="0070459A"/>
    <w:rsid w:val="00705B23"/>
    <w:rsid w:val="007065ED"/>
    <w:rsid w:val="00706C0D"/>
    <w:rsid w:val="00707272"/>
    <w:rsid w:val="00707357"/>
    <w:rsid w:val="00707645"/>
    <w:rsid w:val="00707BA6"/>
    <w:rsid w:val="00707F61"/>
    <w:rsid w:val="00707F6C"/>
    <w:rsid w:val="00710255"/>
    <w:rsid w:val="007107BF"/>
    <w:rsid w:val="00710AF7"/>
    <w:rsid w:val="00710C8F"/>
    <w:rsid w:val="00711063"/>
    <w:rsid w:val="007112EB"/>
    <w:rsid w:val="00711791"/>
    <w:rsid w:val="007118DB"/>
    <w:rsid w:val="00711942"/>
    <w:rsid w:val="00711A2E"/>
    <w:rsid w:val="00711BE2"/>
    <w:rsid w:val="00711C2D"/>
    <w:rsid w:val="00711DC4"/>
    <w:rsid w:val="00711FC7"/>
    <w:rsid w:val="007121A3"/>
    <w:rsid w:val="00712491"/>
    <w:rsid w:val="007124FE"/>
    <w:rsid w:val="00712644"/>
    <w:rsid w:val="00712906"/>
    <w:rsid w:val="00712E89"/>
    <w:rsid w:val="0071308D"/>
    <w:rsid w:val="00713448"/>
    <w:rsid w:val="00713B9A"/>
    <w:rsid w:val="00714527"/>
    <w:rsid w:val="00715098"/>
    <w:rsid w:val="007151EA"/>
    <w:rsid w:val="00715223"/>
    <w:rsid w:val="007161FC"/>
    <w:rsid w:val="007162E6"/>
    <w:rsid w:val="0071650A"/>
    <w:rsid w:val="007168A8"/>
    <w:rsid w:val="00716ADA"/>
    <w:rsid w:val="00716D74"/>
    <w:rsid w:val="00716E8E"/>
    <w:rsid w:val="00716F4F"/>
    <w:rsid w:val="00717A42"/>
    <w:rsid w:val="00717C57"/>
    <w:rsid w:val="00720768"/>
    <w:rsid w:val="00720851"/>
    <w:rsid w:val="0072090F"/>
    <w:rsid w:val="00720966"/>
    <w:rsid w:val="00720CE9"/>
    <w:rsid w:val="00720DEA"/>
    <w:rsid w:val="00720EAD"/>
    <w:rsid w:val="00720FBB"/>
    <w:rsid w:val="00720FF8"/>
    <w:rsid w:val="00721974"/>
    <w:rsid w:val="0072265E"/>
    <w:rsid w:val="007229DC"/>
    <w:rsid w:val="00722C51"/>
    <w:rsid w:val="007232DC"/>
    <w:rsid w:val="0072348C"/>
    <w:rsid w:val="00723748"/>
    <w:rsid w:val="00723852"/>
    <w:rsid w:val="00723A59"/>
    <w:rsid w:val="00723FC3"/>
    <w:rsid w:val="00724556"/>
    <w:rsid w:val="00725197"/>
    <w:rsid w:val="00725579"/>
    <w:rsid w:val="007257AA"/>
    <w:rsid w:val="007257FB"/>
    <w:rsid w:val="00725A2A"/>
    <w:rsid w:val="0072626C"/>
    <w:rsid w:val="0072651A"/>
    <w:rsid w:val="00726BA4"/>
    <w:rsid w:val="00726C6D"/>
    <w:rsid w:val="00726D25"/>
    <w:rsid w:val="00726E80"/>
    <w:rsid w:val="007271DC"/>
    <w:rsid w:val="00727243"/>
    <w:rsid w:val="007272F4"/>
    <w:rsid w:val="00727EEC"/>
    <w:rsid w:val="0073029A"/>
    <w:rsid w:val="0073099D"/>
    <w:rsid w:val="00730F27"/>
    <w:rsid w:val="0073129A"/>
    <w:rsid w:val="0073183B"/>
    <w:rsid w:val="007319D0"/>
    <w:rsid w:val="007327A1"/>
    <w:rsid w:val="00732B65"/>
    <w:rsid w:val="00732BC7"/>
    <w:rsid w:val="00733094"/>
    <w:rsid w:val="00733191"/>
    <w:rsid w:val="00733425"/>
    <w:rsid w:val="00733F3E"/>
    <w:rsid w:val="00734038"/>
    <w:rsid w:val="00734FAA"/>
    <w:rsid w:val="00735107"/>
    <w:rsid w:val="007354C3"/>
    <w:rsid w:val="007359A6"/>
    <w:rsid w:val="00735CF8"/>
    <w:rsid w:val="0073664A"/>
    <w:rsid w:val="00736C3C"/>
    <w:rsid w:val="00736EF0"/>
    <w:rsid w:val="007370C1"/>
    <w:rsid w:val="0073723E"/>
    <w:rsid w:val="00737AD2"/>
    <w:rsid w:val="00737E7C"/>
    <w:rsid w:val="0074036C"/>
    <w:rsid w:val="00740564"/>
    <w:rsid w:val="00740B7B"/>
    <w:rsid w:val="00740DD0"/>
    <w:rsid w:val="0074106C"/>
    <w:rsid w:val="0074136B"/>
    <w:rsid w:val="007415C3"/>
    <w:rsid w:val="00741CD6"/>
    <w:rsid w:val="00742086"/>
    <w:rsid w:val="007426E2"/>
    <w:rsid w:val="00743049"/>
    <w:rsid w:val="00743EEC"/>
    <w:rsid w:val="00743EFE"/>
    <w:rsid w:val="00744D5D"/>
    <w:rsid w:val="00744EE2"/>
    <w:rsid w:val="00744F70"/>
    <w:rsid w:val="007450AD"/>
    <w:rsid w:val="0074511C"/>
    <w:rsid w:val="00745410"/>
    <w:rsid w:val="00745502"/>
    <w:rsid w:val="007457B0"/>
    <w:rsid w:val="00745A67"/>
    <w:rsid w:val="00745BB7"/>
    <w:rsid w:val="0074627C"/>
    <w:rsid w:val="00746462"/>
    <w:rsid w:val="007464FA"/>
    <w:rsid w:val="00746662"/>
    <w:rsid w:val="00747820"/>
    <w:rsid w:val="0074792D"/>
    <w:rsid w:val="00747BA2"/>
    <w:rsid w:val="00747C06"/>
    <w:rsid w:val="00747DF7"/>
    <w:rsid w:val="00747E16"/>
    <w:rsid w:val="00747F40"/>
    <w:rsid w:val="00750018"/>
    <w:rsid w:val="0075022C"/>
    <w:rsid w:val="00750323"/>
    <w:rsid w:val="007509B1"/>
    <w:rsid w:val="00750A29"/>
    <w:rsid w:val="00750C3B"/>
    <w:rsid w:val="00750FC8"/>
    <w:rsid w:val="0075111A"/>
    <w:rsid w:val="00751427"/>
    <w:rsid w:val="007514EB"/>
    <w:rsid w:val="0075161D"/>
    <w:rsid w:val="00751AA0"/>
    <w:rsid w:val="00751DB7"/>
    <w:rsid w:val="00751E87"/>
    <w:rsid w:val="007521DD"/>
    <w:rsid w:val="007522C0"/>
    <w:rsid w:val="00752A6D"/>
    <w:rsid w:val="007530F1"/>
    <w:rsid w:val="007538F1"/>
    <w:rsid w:val="00753BAF"/>
    <w:rsid w:val="00753BD2"/>
    <w:rsid w:val="00753C70"/>
    <w:rsid w:val="00754688"/>
    <w:rsid w:val="007548F4"/>
    <w:rsid w:val="00754961"/>
    <w:rsid w:val="00754B78"/>
    <w:rsid w:val="00754D57"/>
    <w:rsid w:val="00754DF1"/>
    <w:rsid w:val="00755474"/>
    <w:rsid w:val="00755824"/>
    <w:rsid w:val="00755CAA"/>
    <w:rsid w:val="00755CC7"/>
    <w:rsid w:val="00755FD4"/>
    <w:rsid w:val="00756445"/>
    <w:rsid w:val="007564DE"/>
    <w:rsid w:val="007568D8"/>
    <w:rsid w:val="007572B5"/>
    <w:rsid w:val="0075738F"/>
    <w:rsid w:val="00757393"/>
    <w:rsid w:val="0075756F"/>
    <w:rsid w:val="00760239"/>
    <w:rsid w:val="00760334"/>
    <w:rsid w:val="0076057C"/>
    <w:rsid w:val="00760CD8"/>
    <w:rsid w:val="007614D9"/>
    <w:rsid w:val="00761643"/>
    <w:rsid w:val="007619AD"/>
    <w:rsid w:val="00762FE0"/>
    <w:rsid w:val="00763ADE"/>
    <w:rsid w:val="00763AEB"/>
    <w:rsid w:val="00763FF1"/>
    <w:rsid w:val="007641B8"/>
    <w:rsid w:val="007643E7"/>
    <w:rsid w:val="00764660"/>
    <w:rsid w:val="007648B8"/>
    <w:rsid w:val="00764A19"/>
    <w:rsid w:val="00764ADB"/>
    <w:rsid w:val="00764FD9"/>
    <w:rsid w:val="007653A4"/>
    <w:rsid w:val="00765507"/>
    <w:rsid w:val="007658AD"/>
    <w:rsid w:val="00765EA4"/>
    <w:rsid w:val="00765EE0"/>
    <w:rsid w:val="0076605D"/>
    <w:rsid w:val="00766A0D"/>
    <w:rsid w:val="00766C3E"/>
    <w:rsid w:val="00766C9F"/>
    <w:rsid w:val="00767041"/>
    <w:rsid w:val="0076707B"/>
    <w:rsid w:val="0076726C"/>
    <w:rsid w:val="00767877"/>
    <w:rsid w:val="0077013C"/>
    <w:rsid w:val="007706B1"/>
    <w:rsid w:val="007706FD"/>
    <w:rsid w:val="007708E7"/>
    <w:rsid w:val="00770C0D"/>
    <w:rsid w:val="00770C0F"/>
    <w:rsid w:val="00770DC5"/>
    <w:rsid w:val="00771058"/>
    <w:rsid w:val="0077215C"/>
    <w:rsid w:val="007721F2"/>
    <w:rsid w:val="00772637"/>
    <w:rsid w:val="007727E9"/>
    <w:rsid w:val="00772CBB"/>
    <w:rsid w:val="00773376"/>
    <w:rsid w:val="007744F7"/>
    <w:rsid w:val="0077480D"/>
    <w:rsid w:val="007749C8"/>
    <w:rsid w:val="00775024"/>
    <w:rsid w:val="00775B4B"/>
    <w:rsid w:val="00775B67"/>
    <w:rsid w:val="00775B9E"/>
    <w:rsid w:val="00775DC5"/>
    <w:rsid w:val="00776116"/>
    <w:rsid w:val="007763CE"/>
    <w:rsid w:val="00776517"/>
    <w:rsid w:val="00776615"/>
    <w:rsid w:val="007768D1"/>
    <w:rsid w:val="00776B49"/>
    <w:rsid w:val="00776E5C"/>
    <w:rsid w:val="0077719C"/>
    <w:rsid w:val="00777255"/>
    <w:rsid w:val="0077787B"/>
    <w:rsid w:val="00777ECD"/>
    <w:rsid w:val="00777FED"/>
    <w:rsid w:val="007800C1"/>
    <w:rsid w:val="007804CB"/>
    <w:rsid w:val="00780BE9"/>
    <w:rsid w:val="00780E8A"/>
    <w:rsid w:val="007814AB"/>
    <w:rsid w:val="00781A06"/>
    <w:rsid w:val="00781B04"/>
    <w:rsid w:val="00781DAB"/>
    <w:rsid w:val="00781F9B"/>
    <w:rsid w:val="0078288C"/>
    <w:rsid w:val="007828D8"/>
    <w:rsid w:val="00782C33"/>
    <w:rsid w:val="00782ED5"/>
    <w:rsid w:val="007831F3"/>
    <w:rsid w:val="0078340D"/>
    <w:rsid w:val="007837A5"/>
    <w:rsid w:val="00783924"/>
    <w:rsid w:val="0078394C"/>
    <w:rsid w:val="00784D8D"/>
    <w:rsid w:val="00784DB3"/>
    <w:rsid w:val="00784E11"/>
    <w:rsid w:val="00785134"/>
    <w:rsid w:val="00785BBB"/>
    <w:rsid w:val="00785E74"/>
    <w:rsid w:val="00785F7B"/>
    <w:rsid w:val="007865E1"/>
    <w:rsid w:val="00786B44"/>
    <w:rsid w:val="00786FC3"/>
    <w:rsid w:val="00787145"/>
    <w:rsid w:val="0078757A"/>
    <w:rsid w:val="00787A5D"/>
    <w:rsid w:val="00787C39"/>
    <w:rsid w:val="0079004D"/>
    <w:rsid w:val="00790374"/>
    <w:rsid w:val="00790F91"/>
    <w:rsid w:val="00791540"/>
    <w:rsid w:val="0079198C"/>
    <w:rsid w:val="00791DA5"/>
    <w:rsid w:val="00792361"/>
    <w:rsid w:val="00792DB0"/>
    <w:rsid w:val="00792EE6"/>
    <w:rsid w:val="007936BD"/>
    <w:rsid w:val="00793823"/>
    <w:rsid w:val="00793CF1"/>
    <w:rsid w:val="007941E6"/>
    <w:rsid w:val="007944CA"/>
    <w:rsid w:val="00794DE2"/>
    <w:rsid w:val="0079568B"/>
    <w:rsid w:val="00795746"/>
    <w:rsid w:val="00795EC0"/>
    <w:rsid w:val="007961B8"/>
    <w:rsid w:val="007969E0"/>
    <w:rsid w:val="0079709F"/>
    <w:rsid w:val="00797544"/>
    <w:rsid w:val="007A0241"/>
    <w:rsid w:val="007A0AF9"/>
    <w:rsid w:val="007A0D36"/>
    <w:rsid w:val="007A0FD0"/>
    <w:rsid w:val="007A1062"/>
    <w:rsid w:val="007A12F4"/>
    <w:rsid w:val="007A26FA"/>
    <w:rsid w:val="007A2B95"/>
    <w:rsid w:val="007A2C12"/>
    <w:rsid w:val="007A2D20"/>
    <w:rsid w:val="007A339E"/>
    <w:rsid w:val="007A3774"/>
    <w:rsid w:val="007A3B35"/>
    <w:rsid w:val="007A3D43"/>
    <w:rsid w:val="007A4577"/>
    <w:rsid w:val="007A4742"/>
    <w:rsid w:val="007A4BD8"/>
    <w:rsid w:val="007A51AF"/>
    <w:rsid w:val="007A59BA"/>
    <w:rsid w:val="007A5E90"/>
    <w:rsid w:val="007A5FA8"/>
    <w:rsid w:val="007A65B2"/>
    <w:rsid w:val="007A6627"/>
    <w:rsid w:val="007A6908"/>
    <w:rsid w:val="007A6A05"/>
    <w:rsid w:val="007A6C30"/>
    <w:rsid w:val="007A6EE3"/>
    <w:rsid w:val="007A7536"/>
    <w:rsid w:val="007A7F31"/>
    <w:rsid w:val="007B0AD5"/>
    <w:rsid w:val="007B0B62"/>
    <w:rsid w:val="007B0BFB"/>
    <w:rsid w:val="007B0E34"/>
    <w:rsid w:val="007B12D7"/>
    <w:rsid w:val="007B1437"/>
    <w:rsid w:val="007B17A2"/>
    <w:rsid w:val="007B18FD"/>
    <w:rsid w:val="007B1947"/>
    <w:rsid w:val="007B1F34"/>
    <w:rsid w:val="007B227C"/>
    <w:rsid w:val="007B2433"/>
    <w:rsid w:val="007B2462"/>
    <w:rsid w:val="007B2B87"/>
    <w:rsid w:val="007B3049"/>
    <w:rsid w:val="007B33F7"/>
    <w:rsid w:val="007B3863"/>
    <w:rsid w:val="007B3C3B"/>
    <w:rsid w:val="007B3F16"/>
    <w:rsid w:val="007B4235"/>
    <w:rsid w:val="007B427A"/>
    <w:rsid w:val="007B43ED"/>
    <w:rsid w:val="007B44F4"/>
    <w:rsid w:val="007B4CE1"/>
    <w:rsid w:val="007B4E6F"/>
    <w:rsid w:val="007B53A4"/>
    <w:rsid w:val="007B6963"/>
    <w:rsid w:val="007B708A"/>
    <w:rsid w:val="007B7590"/>
    <w:rsid w:val="007B767C"/>
    <w:rsid w:val="007B7A73"/>
    <w:rsid w:val="007B7AE0"/>
    <w:rsid w:val="007B7F05"/>
    <w:rsid w:val="007C04E2"/>
    <w:rsid w:val="007C0C91"/>
    <w:rsid w:val="007C0F97"/>
    <w:rsid w:val="007C1190"/>
    <w:rsid w:val="007C13C9"/>
    <w:rsid w:val="007C1542"/>
    <w:rsid w:val="007C16B6"/>
    <w:rsid w:val="007C1BCA"/>
    <w:rsid w:val="007C20C2"/>
    <w:rsid w:val="007C23E5"/>
    <w:rsid w:val="007C2824"/>
    <w:rsid w:val="007C2918"/>
    <w:rsid w:val="007C2CD6"/>
    <w:rsid w:val="007C2FD1"/>
    <w:rsid w:val="007C3B0C"/>
    <w:rsid w:val="007C3FE5"/>
    <w:rsid w:val="007C4243"/>
    <w:rsid w:val="007C44D3"/>
    <w:rsid w:val="007C4773"/>
    <w:rsid w:val="007C4D5B"/>
    <w:rsid w:val="007C5234"/>
    <w:rsid w:val="007C5252"/>
    <w:rsid w:val="007C5576"/>
    <w:rsid w:val="007C562C"/>
    <w:rsid w:val="007C6212"/>
    <w:rsid w:val="007C69AA"/>
    <w:rsid w:val="007C6A67"/>
    <w:rsid w:val="007C6C82"/>
    <w:rsid w:val="007C75C4"/>
    <w:rsid w:val="007D0E0B"/>
    <w:rsid w:val="007D1191"/>
    <w:rsid w:val="007D23DF"/>
    <w:rsid w:val="007D2508"/>
    <w:rsid w:val="007D2700"/>
    <w:rsid w:val="007D3639"/>
    <w:rsid w:val="007D3A28"/>
    <w:rsid w:val="007D3B28"/>
    <w:rsid w:val="007D443D"/>
    <w:rsid w:val="007D4DCB"/>
    <w:rsid w:val="007D4E9B"/>
    <w:rsid w:val="007D547B"/>
    <w:rsid w:val="007D59CA"/>
    <w:rsid w:val="007D59DA"/>
    <w:rsid w:val="007D5C02"/>
    <w:rsid w:val="007D5CB3"/>
    <w:rsid w:val="007D5E77"/>
    <w:rsid w:val="007D685B"/>
    <w:rsid w:val="007D6BCE"/>
    <w:rsid w:val="007D6C5B"/>
    <w:rsid w:val="007D72B9"/>
    <w:rsid w:val="007D739D"/>
    <w:rsid w:val="007D76F7"/>
    <w:rsid w:val="007D7817"/>
    <w:rsid w:val="007D7B59"/>
    <w:rsid w:val="007D7C95"/>
    <w:rsid w:val="007E01A5"/>
    <w:rsid w:val="007E07BF"/>
    <w:rsid w:val="007E1102"/>
    <w:rsid w:val="007E1684"/>
    <w:rsid w:val="007E17F5"/>
    <w:rsid w:val="007E1933"/>
    <w:rsid w:val="007E1FF5"/>
    <w:rsid w:val="007E2192"/>
    <w:rsid w:val="007E2650"/>
    <w:rsid w:val="007E2D9F"/>
    <w:rsid w:val="007E32D8"/>
    <w:rsid w:val="007E3867"/>
    <w:rsid w:val="007E3BB5"/>
    <w:rsid w:val="007E3F28"/>
    <w:rsid w:val="007E44FC"/>
    <w:rsid w:val="007E4A13"/>
    <w:rsid w:val="007E4A77"/>
    <w:rsid w:val="007E50A7"/>
    <w:rsid w:val="007E5179"/>
    <w:rsid w:val="007E590D"/>
    <w:rsid w:val="007E5AFF"/>
    <w:rsid w:val="007E5E1C"/>
    <w:rsid w:val="007E634B"/>
    <w:rsid w:val="007E646F"/>
    <w:rsid w:val="007E6645"/>
    <w:rsid w:val="007E6701"/>
    <w:rsid w:val="007E6982"/>
    <w:rsid w:val="007E699F"/>
    <w:rsid w:val="007E6B66"/>
    <w:rsid w:val="007E6D7E"/>
    <w:rsid w:val="007E6E21"/>
    <w:rsid w:val="007E6E71"/>
    <w:rsid w:val="007E75DC"/>
    <w:rsid w:val="007E75F7"/>
    <w:rsid w:val="007E7C80"/>
    <w:rsid w:val="007E7E59"/>
    <w:rsid w:val="007F032C"/>
    <w:rsid w:val="007F073D"/>
    <w:rsid w:val="007F0E3F"/>
    <w:rsid w:val="007F13ED"/>
    <w:rsid w:val="007F143E"/>
    <w:rsid w:val="007F15DB"/>
    <w:rsid w:val="007F1C96"/>
    <w:rsid w:val="007F21C0"/>
    <w:rsid w:val="007F26BC"/>
    <w:rsid w:val="007F2732"/>
    <w:rsid w:val="007F28AE"/>
    <w:rsid w:val="007F2A1D"/>
    <w:rsid w:val="007F2C4F"/>
    <w:rsid w:val="007F3182"/>
    <w:rsid w:val="007F3374"/>
    <w:rsid w:val="007F34BE"/>
    <w:rsid w:val="007F3B4B"/>
    <w:rsid w:val="007F4352"/>
    <w:rsid w:val="007F43B8"/>
    <w:rsid w:val="007F4541"/>
    <w:rsid w:val="007F46C7"/>
    <w:rsid w:val="007F50D1"/>
    <w:rsid w:val="007F54B5"/>
    <w:rsid w:val="007F5563"/>
    <w:rsid w:val="007F56C3"/>
    <w:rsid w:val="007F6150"/>
    <w:rsid w:val="007F6591"/>
    <w:rsid w:val="007F6870"/>
    <w:rsid w:val="007F6B9C"/>
    <w:rsid w:val="007F6BC3"/>
    <w:rsid w:val="007F7CE2"/>
    <w:rsid w:val="007F7DE3"/>
    <w:rsid w:val="007F7E13"/>
    <w:rsid w:val="00800233"/>
    <w:rsid w:val="008003BC"/>
    <w:rsid w:val="00800461"/>
    <w:rsid w:val="00800ADA"/>
    <w:rsid w:val="00800B83"/>
    <w:rsid w:val="00800B99"/>
    <w:rsid w:val="00800D1A"/>
    <w:rsid w:val="00800DD0"/>
    <w:rsid w:val="00800E78"/>
    <w:rsid w:val="00801308"/>
    <w:rsid w:val="00801434"/>
    <w:rsid w:val="008014D9"/>
    <w:rsid w:val="00801770"/>
    <w:rsid w:val="00801BED"/>
    <w:rsid w:val="00801E26"/>
    <w:rsid w:val="00801F17"/>
    <w:rsid w:val="00801F29"/>
    <w:rsid w:val="008022BB"/>
    <w:rsid w:val="00802630"/>
    <w:rsid w:val="0080271A"/>
    <w:rsid w:val="0080284D"/>
    <w:rsid w:val="008030B6"/>
    <w:rsid w:val="008031FB"/>
    <w:rsid w:val="008040AE"/>
    <w:rsid w:val="00806B10"/>
    <w:rsid w:val="00806CB0"/>
    <w:rsid w:val="00806CE6"/>
    <w:rsid w:val="00806D45"/>
    <w:rsid w:val="008076D4"/>
    <w:rsid w:val="0080774B"/>
    <w:rsid w:val="008106BC"/>
    <w:rsid w:val="00811979"/>
    <w:rsid w:val="00811B41"/>
    <w:rsid w:val="00811C73"/>
    <w:rsid w:val="00811EF9"/>
    <w:rsid w:val="008126B1"/>
    <w:rsid w:val="008128A6"/>
    <w:rsid w:val="00812BA5"/>
    <w:rsid w:val="00812F00"/>
    <w:rsid w:val="008132D0"/>
    <w:rsid w:val="00813323"/>
    <w:rsid w:val="00813354"/>
    <w:rsid w:val="00813576"/>
    <w:rsid w:val="00813811"/>
    <w:rsid w:val="00813E51"/>
    <w:rsid w:val="0081443E"/>
    <w:rsid w:val="008144B6"/>
    <w:rsid w:val="0081464B"/>
    <w:rsid w:val="008148FA"/>
    <w:rsid w:val="00814D88"/>
    <w:rsid w:val="00814EA1"/>
    <w:rsid w:val="00815531"/>
    <w:rsid w:val="008156A9"/>
    <w:rsid w:val="0081587D"/>
    <w:rsid w:val="00815FE8"/>
    <w:rsid w:val="00816341"/>
    <w:rsid w:val="008163E5"/>
    <w:rsid w:val="0081643A"/>
    <w:rsid w:val="0081644F"/>
    <w:rsid w:val="00816597"/>
    <w:rsid w:val="008166B5"/>
    <w:rsid w:val="00817357"/>
    <w:rsid w:val="00817456"/>
    <w:rsid w:val="008174D4"/>
    <w:rsid w:val="008174E3"/>
    <w:rsid w:val="008177C0"/>
    <w:rsid w:val="008201B9"/>
    <w:rsid w:val="0082020E"/>
    <w:rsid w:val="0082097D"/>
    <w:rsid w:val="00820B9D"/>
    <w:rsid w:val="00821459"/>
    <w:rsid w:val="0082179D"/>
    <w:rsid w:val="00821A08"/>
    <w:rsid w:val="00821BEC"/>
    <w:rsid w:val="00821D81"/>
    <w:rsid w:val="00822006"/>
    <w:rsid w:val="00822036"/>
    <w:rsid w:val="008220CE"/>
    <w:rsid w:val="0082266D"/>
    <w:rsid w:val="00822984"/>
    <w:rsid w:val="00822C08"/>
    <w:rsid w:val="00823797"/>
    <w:rsid w:val="0082388C"/>
    <w:rsid w:val="00823947"/>
    <w:rsid w:val="00823E2E"/>
    <w:rsid w:val="00823FB2"/>
    <w:rsid w:val="00824D6C"/>
    <w:rsid w:val="00824F40"/>
    <w:rsid w:val="0082530F"/>
    <w:rsid w:val="008253EA"/>
    <w:rsid w:val="0082549E"/>
    <w:rsid w:val="00825826"/>
    <w:rsid w:val="00825B54"/>
    <w:rsid w:val="00826685"/>
    <w:rsid w:val="00826E4C"/>
    <w:rsid w:val="00826EEC"/>
    <w:rsid w:val="00827376"/>
    <w:rsid w:val="00827718"/>
    <w:rsid w:val="00827AA8"/>
    <w:rsid w:val="00827EA7"/>
    <w:rsid w:val="00827F27"/>
    <w:rsid w:val="0083018D"/>
    <w:rsid w:val="00830631"/>
    <w:rsid w:val="00830695"/>
    <w:rsid w:val="00830872"/>
    <w:rsid w:val="00830939"/>
    <w:rsid w:val="00830B09"/>
    <w:rsid w:val="00831471"/>
    <w:rsid w:val="008318E8"/>
    <w:rsid w:val="00831C24"/>
    <w:rsid w:val="00831D7A"/>
    <w:rsid w:val="00832256"/>
    <w:rsid w:val="0083354E"/>
    <w:rsid w:val="00834229"/>
    <w:rsid w:val="008343C4"/>
    <w:rsid w:val="00834828"/>
    <w:rsid w:val="00834848"/>
    <w:rsid w:val="00835332"/>
    <w:rsid w:val="008353BD"/>
    <w:rsid w:val="00835644"/>
    <w:rsid w:val="00835808"/>
    <w:rsid w:val="00835868"/>
    <w:rsid w:val="00835F63"/>
    <w:rsid w:val="0083631E"/>
    <w:rsid w:val="0083646B"/>
    <w:rsid w:val="00836687"/>
    <w:rsid w:val="0083668E"/>
    <w:rsid w:val="008368C4"/>
    <w:rsid w:val="008368DA"/>
    <w:rsid w:val="00836C24"/>
    <w:rsid w:val="008377E7"/>
    <w:rsid w:val="00837E2E"/>
    <w:rsid w:val="00837EF8"/>
    <w:rsid w:val="008406D5"/>
    <w:rsid w:val="0084183E"/>
    <w:rsid w:val="00841910"/>
    <w:rsid w:val="00841F20"/>
    <w:rsid w:val="00842495"/>
    <w:rsid w:val="00842ADF"/>
    <w:rsid w:val="00842C88"/>
    <w:rsid w:val="00843775"/>
    <w:rsid w:val="00843BB5"/>
    <w:rsid w:val="00845206"/>
    <w:rsid w:val="008455A8"/>
    <w:rsid w:val="008456B1"/>
    <w:rsid w:val="0084582D"/>
    <w:rsid w:val="00845B9F"/>
    <w:rsid w:val="0084610E"/>
    <w:rsid w:val="0084664B"/>
    <w:rsid w:val="008467B4"/>
    <w:rsid w:val="008467FF"/>
    <w:rsid w:val="008468F7"/>
    <w:rsid w:val="00846963"/>
    <w:rsid w:val="00846D5C"/>
    <w:rsid w:val="00846FF5"/>
    <w:rsid w:val="008471A5"/>
    <w:rsid w:val="00847224"/>
    <w:rsid w:val="0084745C"/>
    <w:rsid w:val="0084746C"/>
    <w:rsid w:val="008479A7"/>
    <w:rsid w:val="00847AD0"/>
    <w:rsid w:val="00847FA6"/>
    <w:rsid w:val="008505AD"/>
    <w:rsid w:val="0085068A"/>
    <w:rsid w:val="00850AAB"/>
    <w:rsid w:val="00850CEB"/>
    <w:rsid w:val="00850DD7"/>
    <w:rsid w:val="00851186"/>
    <w:rsid w:val="00851346"/>
    <w:rsid w:val="0085162D"/>
    <w:rsid w:val="0085185E"/>
    <w:rsid w:val="00851DF6"/>
    <w:rsid w:val="00851E29"/>
    <w:rsid w:val="008522D3"/>
    <w:rsid w:val="00852E08"/>
    <w:rsid w:val="0085311C"/>
    <w:rsid w:val="008535CD"/>
    <w:rsid w:val="00853C68"/>
    <w:rsid w:val="00853E38"/>
    <w:rsid w:val="00853F97"/>
    <w:rsid w:val="008546DF"/>
    <w:rsid w:val="00854797"/>
    <w:rsid w:val="00854B02"/>
    <w:rsid w:val="00855149"/>
    <w:rsid w:val="00855825"/>
    <w:rsid w:val="00855F08"/>
    <w:rsid w:val="00855FDF"/>
    <w:rsid w:val="00856024"/>
    <w:rsid w:val="008575CB"/>
    <w:rsid w:val="00857AD4"/>
    <w:rsid w:val="00857B93"/>
    <w:rsid w:val="00857DE3"/>
    <w:rsid w:val="008601D5"/>
    <w:rsid w:val="008602D1"/>
    <w:rsid w:val="0086061F"/>
    <w:rsid w:val="0086068A"/>
    <w:rsid w:val="0086079F"/>
    <w:rsid w:val="00860CDF"/>
    <w:rsid w:val="00861111"/>
    <w:rsid w:val="0086165F"/>
    <w:rsid w:val="0086173C"/>
    <w:rsid w:val="00861774"/>
    <w:rsid w:val="00861AD3"/>
    <w:rsid w:val="00861BCB"/>
    <w:rsid w:val="00861C29"/>
    <w:rsid w:val="008622B3"/>
    <w:rsid w:val="0086266F"/>
    <w:rsid w:val="00862A9A"/>
    <w:rsid w:val="00862BC1"/>
    <w:rsid w:val="008630DF"/>
    <w:rsid w:val="008639CA"/>
    <w:rsid w:val="00863AAB"/>
    <w:rsid w:val="00863B93"/>
    <w:rsid w:val="00863F30"/>
    <w:rsid w:val="00864222"/>
    <w:rsid w:val="00864229"/>
    <w:rsid w:val="00864AE5"/>
    <w:rsid w:val="00864B07"/>
    <w:rsid w:val="008650FA"/>
    <w:rsid w:val="008652BB"/>
    <w:rsid w:val="008655EF"/>
    <w:rsid w:val="00865F3C"/>
    <w:rsid w:val="008667CB"/>
    <w:rsid w:val="00866A0C"/>
    <w:rsid w:val="00866F93"/>
    <w:rsid w:val="008672D3"/>
    <w:rsid w:val="008673CC"/>
    <w:rsid w:val="008673EC"/>
    <w:rsid w:val="008674FC"/>
    <w:rsid w:val="008676F9"/>
    <w:rsid w:val="00867899"/>
    <w:rsid w:val="0086791C"/>
    <w:rsid w:val="008703AF"/>
    <w:rsid w:val="00870616"/>
    <w:rsid w:val="008708FF"/>
    <w:rsid w:val="00870F31"/>
    <w:rsid w:val="00871339"/>
    <w:rsid w:val="008714B2"/>
    <w:rsid w:val="008716D8"/>
    <w:rsid w:val="00871EB6"/>
    <w:rsid w:val="00871FE9"/>
    <w:rsid w:val="00872482"/>
    <w:rsid w:val="00872675"/>
    <w:rsid w:val="0087269C"/>
    <w:rsid w:val="0087299D"/>
    <w:rsid w:val="00872CA4"/>
    <w:rsid w:val="00873067"/>
    <w:rsid w:val="008736E9"/>
    <w:rsid w:val="008738E6"/>
    <w:rsid w:val="00873986"/>
    <w:rsid w:val="00873A9B"/>
    <w:rsid w:val="00873BB3"/>
    <w:rsid w:val="00873D62"/>
    <w:rsid w:val="00873F8F"/>
    <w:rsid w:val="00874162"/>
    <w:rsid w:val="00874605"/>
    <w:rsid w:val="00874A39"/>
    <w:rsid w:val="00874D1E"/>
    <w:rsid w:val="00875424"/>
    <w:rsid w:val="00875472"/>
    <w:rsid w:val="00875F4F"/>
    <w:rsid w:val="00876112"/>
    <w:rsid w:val="008764AD"/>
    <w:rsid w:val="0087662B"/>
    <w:rsid w:val="0087664F"/>
    <w:rsid w:val="0087673E"/>
    <w:rsid w:val="008767D9"/>
    <w:rsid w:val="00876A97"/>
    <w:rsid w:val="00876C50"/>
    <w:rsid w:val="00876D18"/>
    <w:rsid w:val="0087762B"/>
    <w:rsid w:val="00877EAB"/>
    <w:rsid w:val="00877F13"/>
    <w:rsid w:val="00880465"/>
    <w:rsid w:val="0088094B"/>
    <w:rsid w:val="00880D7D"/>
    <w:rsid w:val="00880EA9"/>
    <w:rsid w:val="0088115E"/>
    <w:rsid w:val="00881951"/>
    <w:rsid w:val="00881C20"/>
    <w:rsid w:val="00881D72"/>
    <w:rsid w:val="0088268A"/>
    <w:rsid w:val="00883C1D"/>
    <w:rsid w:val="00883D68"/>
    <w:rsid w:val="00883D98"/>
    <w:rsid w:val="00883F37"/>
    <w:rsid w:val="008840D8"/>
    <w:rsid w:val="0088411B"/>
    <w:rsid w:val="0088462F"/>
    <w:rsid w:val="00885383"/>
    <w:rsid w:val="00885504"/>
    <w:rsid w:val="0088579D"/>
    <w:rsid w:val="00885AAB"/>
    <w:rsid w:val="00885B2A"/>
    <w:rsid w:val="00886026"/>
    <w:rsid w:val="00886125"/>
    <w:rsid w:val="008862B2"/>
    <w:rsid w:val="00886428"/>
    <w:rsid w:val="00886596"/>
    <w:rsid w:val="008865F0"/>
    <w:rsid w:val="008868D0"/>
    <w:rsid w:val="00886AD3"/>
    <w:rsid w:val="00886E68"/>
    <w:rsid w:val="008871FE"/>
    <w:rsid w:val="008872E6"/>
    <w:rsid w:val="00887465"/>
    <w:rsid w:val="00887754"/>
    <w:rsid w:val="008902DC"/>
    <w:rsid w:val="00890314"/>
    <w:rsid w:val="00890734"/>
    <w:rsid w:val="008907B5"/>
    <w:rsid w:val="00890B50"/>
    <w:rsid w:val="00891300"/>
    <w:rsid w:val="0089219E"/>
    <w:rsid w:val="008922FB"/>
    <w:rsid w:val="00892780"/>
    <w:rsid w:val="0089300C"/>
    <w:rsid w:val="0089300F"/>
    <w:rsid w:val="008933F4"/>
    <w:rsid w:val="008934DC"/>
    <w:rsid w:val="00893522"/>
    <w:rsid w:val="00893C3B"/>
    <w:rsid w:val="00893EF4"/>
    <w:rsid w:val="008940D2"/>
    <w:rsid w:val="008940DB"/>
    <w:rsid w:val="008941A1"/>
    <w:rsid w:val="00894DEA"/>
    <w:rsid w:val="008951A6"/>
    <w:rsid w:val="008952A9"/>
    <w:rsid w:val="008954E0"/>
    <w:rsid w:val="00895507"/>
    <w:rsid w:val="008956F0"/>
    <w:rsid w:val="008957F0"/>
    <w:rsid w:val="00895A5E"/>
    <w:rsid w:val="00896332"/>
    <w:rsid w:val="008968E2"/>
    <w:rsid w:val="0089734A"/>
    <w:rsid w:val="0089762B"/>
    <w:rsid w:val="008977D1"/>
    <w:rsid w:val="008978B8"/>
    <w:rsid w:val="00897B34"/>
    <w:rsid w:val="008A088C"/>
    <w:rsid w:val="008A08CB"/>
    <w:rsid w:val="008A0A24"/>
    <w:rsid w:val="008A0AC7"/>
    <w:rsid w:val="008A1AF1"/>
    <w:rsid w:val="008A2421"/>
    <w:rsid w:val="008A2440"/>
    <w:rsid w:val="008A24D7"/>
    <w:rsid w:val="008A2504"/>
    <w:rsid w:val="008A2C04"/>
    <w:rsid w:val="008A3ACD"/>
    <w:rsid w:val="008A3D19"/>
    <w:rsid w:val="008A40CB"/>
    <w:rsid w:val="008A4401"/>
    <w:rsid w:val="008A4593"/>
    <w:rsid w:val="008A4C71"/>
    <w:rsid w:val="008A50C6"/>
    <w:rsid w:val="008A5166"/>
    <w:rsid w:val="008A57E5"/>
    <w:rsid w:val="008A582A"/>
    <w:rsid w:val="008A5A38"/>
    <w:rsid w:val="008A5CBF"/>
    <w:rsid w:val="008A6803"/>
    <w:rsid w:val="008A6851"/>
    <w:rsid w:val="008A7153"/>
    <w:rsid w:val="008B0044"/>
    <w:rsid w:val="008B00AD"/>
    <w:rsid w:val="008B03DA"/>
    <w:rsid w:val="008B1234"/>
    <w:rsid w:val="008B1922"/>
    <w:rsid w:val="008B1CCA"/>
    <w:rsid w:val="008B2CF0"/>
    <w:rsid w:val="008B3268"/>
    <w:rsid w:val="008B3376"/>
    <w:rsid w:val="008B3C44"/>
    <w:rsid w:val="008B3F43"/>
    <w:rsid w:val="008B41E5"/>
    <w:rsid w:val="008B4204"/>
    <w:rsid w:val="008B4690"/>
    <w:rsid w:val="008B4913"/>
    <w:rsid w:val="008B4FD6"/>
    <w:rsid w:val="008B50BC"/>
    <w:rsid w:val="008B58A6"/>
    <w:rsid w:val="008B5D02"/>
    <w:rsid w:val="008B5D88"/>
    <w:rsid w:val="008B5FE2"/>
    <w:rsid w:val="008B6517"/>
    <w:rsid w:val="008B656B"/>
    <w:rsid w:val="008B6C1A"/>
    <w:rsid w:val="008B6FAF"/>
    <w:rsid w:val="008B70C2"/>
    <w:rsid w:val="008B717A"/>
    <w:rsid w:val="008C0229"/>
    <w:rsid w:val="008C05B6"/>
    <w:rsid w:val="008C0AA0"/>
    <w:rsid w:val="008C0D68"/>
    <w:rsid w:val="008C13C6"/>
    <w:rsid w:val="008C1451"/>
    <w:rsid w:val="008C16F4"/>
    <w:rsid w:val="008C1EEB"/>
    <w:rsid w:val="008C1FF0"/>
    <w:rsid w:val="008C24EB"/>
    <w:rsid w:val="008C251C"/>
    <w:rsid w:val="008C27B5"/>
    <w:rsid w:val="008C2874"/>
    <w:rsid w:val="008C2D6C"/>
    <w:rsid w:val="008C2DE4"/>
    <w:rsid w:val="008C2E3A"/>
    <w:rsid w:val="008C333C"/>
    <w:rsid w:val="008C3A62"/>
    <w:rsid w:val="008C3B46"/>
    <w:rsid w:val="008C3C4B"/>
    <w:rsid w:val="008C40F2"/>
    <w:rsid w:val="008C42C7"/>
    <w:rsid w:val="008C42CA"/>
    <w:rsid w:val="008C4389"/>
    <w:rsid w:val="008C4E54"/>
    <w:rsid w:val="008C4FCF"/>
    <w:rsid w:val="008C567C"/>
    <w:rsid w:val="008C59B4"/>
    <w:rsid w:val="008C5EE2"/>
    <w:rsid w:val="008C61E9"/>
    <w:rsid w:val="008C6292"/>
    <w:rsid w:val="008C65E3"/>
    <w:rsid w:val="008C65E8"/>
    <w:rsid w:val="008C6B42"/>
    <w:rsid w:val="008C72A3"/>
    <w:rsid w:val="008C74F6"/>
    <w:rsid w:val="008C7AC9"/>
    <w:rsid w:val="008C7B03"/>
    <w:rsid w:val="008C7BB6"/>
    <w:rsid w:val="008C7C51"/>
    <w:rsid w:val="008C7E81"/>
    <w:rsid w:val="008D0A4D"/>
    <w:rsid w:val="008D107C"/>
    <w:rsid w:val="008D1319"/>
    <w:rsid w:val="008D144B"/>
    <w:rsid w:val="008D1696"/>
    <w:rsid w:val="008D1C68"/>
    <w:rsid w:val="008D2002"/>
    <w:rsid w:val="008D28D6"/>
    <w:rsid w:val="008D3135"/>
    <w:rsid w:val="008D32A1"/>
    <w:rsid w:val="008D3568"/>
    <w:rsid w:val="008D381D"/>
    <w:rsid w:val="008D3B2C"/>
    <w:rsid w:val="008D3ED0"/>
    <w:rsid w:val="008D4264"/>
    <w:rsid w:val="008D4FBD"/>
    <w:rsid w:val="008D4FF8"/>
    <w:rsid w:val="008D5987"/>
    <w:rsid w:val="008D5EF7"/>
    <w:rsid w:val="008D76E9"/>
    <w:rsid w:val="008D7B56"/>
    <w:rsid w:val="008D7C40"/>
    <w:rsid w:val="008D7C68"/>
    <w:rsid w:val="008D7E43"/>
    <w:rsid w:val="008D7F95"/>
    <w:rsid w:val="008E03DA"/>
    <w:rsid w:val="008E0B35"/>
    <w:rsid w:val="008E0C17"/>
    <w:rsid w:val="008E137F"/>
    <w:rsid w:val="008E1B6B"/>
    <w:rsid w:val="008E1D46"/>
    <w:rsid w:val="008E1F77"/>
    <w:rsid w:val="008E24AD"/>
    <w:rsid w:val="008E30AE"/>
    <w:rsid w:val="008E30F3"/>
    <w:rsid w:val="008E3720"/>
    <w:rsid w:val="008E394B"/>
    <w:rsid w:val="008E39C8"/>
    <w:rsid w:val="008E3FDE"/>
    <w:rsid w:val="008E43A2"/>
    <w:rsid w:val="008E45E3"/>
    <w:rsid w:val="008E4784"/>
    <w:rsid w:val="008E48AD"/>
    <w:rsid w:val="008E5148"/>
    <w:rsid w:val="008E5445"/>
    <w:rsid w:val="008E57F8"/>
    <w:rsid w:val="008E6189"/>
    <w:rsid w:val="008E6918"/>
    <w:rsid w:val="008E6F32"/>
    <w:rsid w:val="008E6F4E"/>
    <w:rsid w:val="008E73BF"/>
    <w:rsid w:val="008E7A30"/>
    <w:rsid w:val="008E7BEF"/>
    <w:rsid w:val="008F0165"/>
    <w:rsid w:val="008F0186"/>
    <w:rsid w:val="008F01C6"/>
    <w:rsid w:val="008F02E0"/>
    <w:rsid w:val="008F0709"/>
    <w:rsid w:val="008F0767"/>
    <w:rsid w:val="008F0804"/>
    <w:rsid w:val="008F0B64"/>
    <w:rsid w:val="008F11EB"/>
    <w:rsid w:val="008F13B3"/>
    <w:rsid w:val="008F13B6"/>
    <w:rsid w:val="008F1A6E"/>
    <w:rsid w:val="008F1F17"/>
    <w:rsid w:val="008F2117"/>
    <w:rsid w:val="008F212F"/>
    <w:rsid w:val="008F23E2"/>
    <w:rsid w:val="008F251D"/>
    <w:rsid w:val="008F29C4"/>
    <w:rsid w:val="008F2CB3"/>
    <w:rsid w:val="008F2E7B"/>
    <w:rsid w:val="008F319E"/>
    <w:rsid w:val="008F32CA"/>
    <w:rsid w:val="008F38F4"/>
    <w:rsid w:val="008F4D5C"/>
    <w:rsid w:val="008F4DD0"/>
    <w:rsid w:val="008F5846"/>
    <w:rsid w:val="008F5AD8"/>
    <w:rsid w:val="008F5B47"/>
    <w:rsid w:val="008F5E7C"/>
    <w:rsid w:val="008F6098"/>
    <w:rsid w:val="008F6110"/>
    <w:rsid w:val="008F6CB0"/>
    <w:rsid w:val="008F7211"/>
    <w:rsid w:val="008F7246"/>
    <w:rsid w:val="009000E4"/>
    <w:rsid w:val="00900142"/>
    <w:rsid w:val="0090093A"/>
    <w:rsid w:val="00901545"/>
    <w:rsid w:val="00901553"/>
    <w:rsid w:val="0090162A"/>
    <w:rsid w:val="00901684"/>
    <w:rsid w:val="009016AD"/>
    <w:rsid w:val="009017C3"/>
    <w:rsid w:val="009017C6"/>
    <w:rsid w:val="00901FCE"/>
    <w:rsid w:val="009026FA"/>
    <w:rsid w:val="00902E0F"/>
    <w:rsid w:val="00902F96"/>
    <w:rsid w:val="0090395B"/>
    <w:rsid w:val="00903C6F"/>
    <w:rsid w:val="0090471D"/>
    <w:rsid w:val="00904A12"/>
    <w:rsid w:val="00904BE0"/>
    <w:rsid w:val="00904BEF"/>
    <w:rsid w:val="00905009"/>
    <w:rsid w:val="0090509C"/>
    <w:rsid w:val="009054D3"/>
    <w:rsid w:val="00905B76"/>
    <w:rsid w:val="00906553"/>
    <w:rsid w:val="0090691C"/>
    <w:rsid w:val="00906B2C"/>
    <w:rsid w:val="00906F2D"/>
    <w:rsid w:val="00906F73"/>
    <w:rsid w:val="00907051"/>
    <w:rsid w:val="009075D1"/>
    <w:rsid w:val="009075FD"/>
    <w:rsid w:val="009076A0"/>
    <w:rsid w:val="009079AB"/>
    <w:rsid w:val="00907D85"/>
    <w:rsid w:val="00907D9A"/>
    <w:rsid w:val="0091060C"/>
    <w:rsid w:val="00910A00"/>
    <w:rsid w:val="00910CE4"/>
    <w:rsid w:val="00910F87"/>
    <w:rsid w:val="00911B14"/>
    <w:rsid w:val="00911DB1"/>
    <w:rsid w:val="009124CD"/>
    <w:rsid w:val="00912818"/>
    <w:rsid w:val="0091286B"/>
    <w:rsid w:val="00912A1B"/>
    <w:rsid w:val="00912C2A"/>
    <w:rsid w:val="00912D84"/>
    <w:rsid w:val="0091326D"/>
    <w:rsid w:val="00913302"/>
    <w:rsid w:val="009136E5"/>
    <w:rsid w:val="00913E5E"/>
    <w:rsid w:val="0091404D"/>
    <w:rsid w:val="00914185"/>
    <w:rsid w:val="00914267"/>
    <w:rsid w:val="00914700"/>
    <w:rsid w:val="00914A8A"/>
    <w:rsid w:val="00914AB2"/>
    <w:rsid w:val="00914F6C"/>
    <w:rsid w:val="0091520C"/>
    <w:rsid w:val="0091542C"/>
    <w:rsid w:val="0091545E"/>
    <w:rsid w:val="00915474"/>
    <w:rsid w:val="009154FA"/>
    <w:rsid w:val="00915572"/>
    <w:rsid w:val="0091578D"/>
    <w:rsid w:val="00915916"/>
    <w:rsid w:val="00915960"/>
    <w:rsid w:val="00915DAA"/>
    <w:rsid w:val="009161FC"/>
    <w:rsid w:val="009164D7"/>
    <w:rsid w:val="0091675A"/>
    <w:rsid w:val="0091685F"/>
    <w:rsid w:val="00916CC5"/>
    <w:rsid w:val="009174D1"/>
    <w:rsid w:val="00917C60"/>
    <w:rsid w:val="00920082"/>
    <w:rsid w:val="0092080E"/>
    <w:rsid w:val="00920B86"/>
    <w:rsid w:val="00920C08"/>
    <w:rsid w:val="009212F5"/>
    <w:rsid w:val="009213B7"/>
    <w:rsid w:val="009215A6"/>
    <w:rsid w:val="0092199E"/>
    <w:rsid w:val="009219D0"/>
    <w:rsid w:val="009221C4"/>
    <w:rsid w:val="009223A2"/>
    <w:rsid w:val="009230B7"/>
    <w:rsid w:val="0092326E"/>
    <w:rsid w:val="0092341F"/>
    <w:rsid w:val="009242EF"/>
    <w:rsid w:val="009243FA"/>
    <w:rsid w:val="0092477E"/>
    <w:rsid w:val="00924807"/>
    <w:rsid w:val="009248FA"/>
    <w:rsid w:val="00925322"/>
    <w:rsid w:val="00925640"/>
    <w:rsid w:val="009258E7"/>
    <w:rsid w:val="009260B4"/>
    <w:rsid w:val="00926246"/>
    <w:rsid w:val="00926269"/>
    <w:rsid w:val="00926561"/>
    <w:rsid w:val="00926CC0"/>
    <w:rsid w:val="00927047"/>
    <w:rsid w:val="009273D8"/>
    <w:rsid w:val="00927447"/>
    <w:rsid w:val="00930320"/>
    <w:rsid w:val="0093033E"/>
    <w:rsid w:val="00930671"/>
    <w:rsid w:val="009308F4"/>
    <w:rsid w:val="00930912"/>
    <w:rsid w:val="00930CAC"/>
    <w:rsid w:val="0093106E"/>
    <w:rsid w:val="009314A0"/>
    <w:rsid w:val="0093183C"/>
    <w:rsid w:val="00931BBF"/>
    <w:rsid w:val="00931E26"/>
    <w:rsid w:val="00931E79"/>
    <w:rsid w:val="00932059"/>
    <w:rsid w:val="00932605"/>
    <w:rsid w:val="009336FC"/>
    <w:rsid w:val="0093371A"/>
    <w:rsid w:val="009339B0"/>
    <w:rsid w:val="00934076"/>
    <w:rsid w:val="009343A6"/>
    <w:rsid w:val="0093497A"/>
    <w:rsid w:val="00934AA7"/>
    <w:rsid w:val="00934AE1"/>
    <w:rsid w:val="00934B9A"/>
    <w:rsid w:val="00934FC8"/>
    <w:rsid w:val="009357D9"/>
    <w:rsid w:val="0093585A"/>
    <w:rsid w:val="00935CE4"/>
    <w:rsid w:val="00935D02"/>
    <w:rsid w:val="00935D5A"/>
    <w:rsid w:val="00935D83"/>
    <w:rsid w:val="00935EEC"/>
    <w:rsid w:val="009360CA"/>
    <w:rsid w:val="0093632D"/>
    <w:rsid w:val="009365B5"/>
    <w:rsid w:val="009367A6"/>
    <w:rsid w:val="0093687C"/>
    <w:rsid w:val="009370B1"/>
    <w:rsid w:val="00937570"/>
    <w:rsid w:val="009375C8"/>
    <w:rsid w:val="0094001A"/>
    <w:rsid w:val="009404C9"/>
    <w:rsid w:val="009408D8"/>
    <w:rsid w:val="00941097"/>
    <w:rsid w:val="00941A1E"/>
    <w:rsid w:val="00941AD3"/>
    <w:rsid w:val="00941F27"/>
    <w:rsid w:val="009427AA"/>
    <w:rsid w:val="00942A8A"/>
    <w:rsid w:val="00943271"/>
    <w:rsid w:val="00943285"/>
    <w:rsid w:val="009434C6"/>
    <w:rsid w:val="00943F1A"/>
    <w:rsid w:val="00944477"/>
    <w:rsid w:val="00944852"/>
    <w:rsid w:val="00944AA1"/>
    <w:rsid w:val="009458DC"/>
    <w:rsid w:val="00945984"/>
    <w:rsid w:val="00945D09"/>
    <w:rsid w:val="00946000"/>
    <w:rsid w:val="0094621F"/>
    <w:rsid w:val="009463D8"/>
    <w:rsid w:val="009465B1"/>
    <w:rsid w:val="009465C3"/>
    <w:rsid w:val="0094660E"/>
    <w:rsid w:val="00946927"/>
    <w:rsid w:val="0094694B"/>
    <w:rsid w:val="0094730D"/>
    <w:rsid w:val="00950703"/>
    <w:rsid w:val="009507CA"/>
    <w:rsid w:val="00950A95"/>
    <w:rsid w:val="00950C06"/>
    <w:rsid w:val="00950C67"/>
    <w:rsid w:val="00950D53"/>
    <w:rsid w:val="00950DF7"/>
    <w:rsid w:val="00951198"/>
    <w:rsid w:val="0095156D"/>
    <w:rsid w:val="009517AB"/>
    <w:rsid w:val="00952EB8"/>
    <w:rsid w:val="00952F7D"/>
    <w:rsid w:val="00953201"/>
    <w:rsid w:val="009534AA"/>
    <w:rsid w:val="00953768"/>
    <w:rsid w:val="00953AA2"/>
    <w:rsid w:val="00953BA4"/>
    <w:rsid w:val="00953C13"/>
    <w:rsid w:val="009541B0"/>
    <w:rsid w:val="00954476"/>
    <w:rsid w:val="00954533"/>
    <w:rsid w:val="009545A1"/>
    <w:rsid w:val="00954B0A"/>
    <w:rsid w:val="00954CB0"/>
    <w:rsid w:val="00954D56"/>
    <w:rsid w:val="00955065"/>
    <w:rsid w:val="00955262"/>
    <w:rsid w:val="00956C47"/>
    <w:rsid w:val="00956C5D"/>
    <w:rsid w:val="00956E64"/>
    <w:rsid w:val="00956E6D"/>
    <w:rsid w:val="00956EFC"/>
    <w:rsid w:val="00957805"/>
    <w:rsid w:val="00957876"/>
    <w:rsid w:val="0095787C"/>
    <w:rsid w:val="00960BDE"/>
    <w:rsid w:val="00960E21"/>
    <w:rsid w:val="0096194F"/>
    <w:rsid w:val="00961AC2"/>
    <w:rsid w:val="00961DFD"/>
    <w:rsid w:val="00962240"/>
    <w:rsid w:val="009623FC"/>
    <w:rsid w:val="0096261D"/>
    <w:rsid w:val="00962C01"/>
    <w:rsid w:val="00962CD1"/>
    <w:rsid w:val="00962D19"/>
    <w:rsid w:val="00962D75"/>
    <w:rsid w:val="00963EA1"/>
    <w:rsid w:val="00963F3F"/>
    <w:rsid w:val="009648C4"/>
    <w:rsid w:val="00964D3A"/>
    <w:rsid w:val="00964D54"/>
    <w:rsid w:val="00965328"/>
    <w:rsid w:val="0096555B"/>
    <w:rsid w:val="00965715"/>
    <w:rsid w:val="0096579B"/>
    <w:rsid w:val="00965C2B"/>
    <w:rsid w:val="00965E0C"/>
    <w:rsid w:val="009665B3"/>
    <w:rsid w:val="00966C89"/>
    <w:rsid w:val="00966E13"/>
    <w:rsid w:val="00966E6D"/>
    <w:rsid w:val="009673AE"/>
    <w:rsid w:val="00967691"/>
    <w:rsid w:val="009700CD"/>
    <w:rsid w:val="009708C4"/>
    <w:rsid w:val="00970933"/>
    <w:rsid w:val="00970F49"/>
    <w:rsid w:val="00971376"/>
    <w:rsid w:val="00972043"/>
    <w:rsid w:val="00972060"/>
    <w:rsid w:val="00972077"/>
    <w:rsid w:val="00972455"/>
    <w:rsid w:val="0097268E"/>
    <w:rsid w:val="00972A75"/>
    <w:rsid w:val="00972F5E"/>
    <w:rsid w:val="009735AF"/>
    <w:rsid w:val="0097361F"/>
    <w:rsid w:val="00973642"/>
    <w:rsid w:val="00973B61"/>
    <w:rsid w:val="00973BC8"/>
    <w:rsid w:val="009744FC"/>
    <w:rsid w:val="00974DF5"/>
    <w:rsid w:val="0097511D"/>
    <w:rsid w:val="00975308"/>
    <w:rsid w:val="009753D4"/>
    <w:rsid w:val="00975B65"/>
    <w:rsid w:val="00975C02"/>
    <w:rsid w:val="00975EDF"/>
    <w:rsid w:val="00977198"/>
    <w:rsid w:val="009771A1"/>
    <w:rsid w:val="00977463"/>
    <w:rsid w:val="00977752"/>
    <w:rsid w:val="00980B76"/>
    <w:rsid w:val="00980CB7"/>
    <w:rsid w:val="00980EDB"/>
    <w:rsid w:val="00981144"/>
    <w:rsid w:val="009813C4"/>
    <w:rsid w:val="009814B3"/>
    <w:rsid w:val="0098171C"/>
    <w:rsid w:val="00981747"/>
    <w:rsid w:val="00981776"/>
    <w:rsid w:val="0098220E"/>
    <w:rsid w:val="009824C9"/>
    <w:rsid w:val="009830A8"/>
    <w:rsid w:val="0098323E"/>
    <w:rsid w:val="0098388A"/>
    <w:rsid w:val="00983897"/>
    <w:rsid w:val="00983E9A"/>
    <w:rsid w:val="009842F6"/>
    <w:rsid w:val="009843C6"/>
    <w:rsid w:val="00984569"/>
    <w:rsid w:val="00984606"/>
    <w:rsid w:val="00985808"/>
    <w:rsid w:val="009858E4"/>
    <w:rsid w:val="00985C58"/>
    <w:rsid w:val="00986381"/>
    <w:rsid w:val="00986581"/>
    <w:rsid w:val="0098673A"/>
    <w:rsid w:val="00986862"/>
    <w:rsid w:val="009869BE"/>
    <w:rsid w:val="00987710"/>
    <w:rsid w:val="0098776C"/>
    <w:rsid w:val="0098777D"/>
    <w:rsid w:val="00987A17"/>
    <w:rsid w:val="009901FF"/>
    <w:rsid w:val="00990C08"/>
    <w:rsid w:val="00990DF8"/>
    <w:rsid w:val="009910A4"/>
    <w:rsid w:val="00991397"/>
    <w:rsid w:val="009917DE"/>
    <w:rsid w:val="009918D8"/>
    <w:rsid w:val="0099215E"/>
    <w:rsid w:val="009922DE"/>
    <w:rsid w:val="009926AA"/>
    <w:rsid w:val="00992CA0"/>
    <w:rsid w:val="00994474"/>
    <w:rsid w:val="00994728"/>
    <w:rsid w:val="00994924"/>
    <w:rsid w:val="009949A7"/>
    <w:rsid w:val="00994E5F"/>
    <w:rsid w:val="00995630"/>
    <w:rsid w:val="00995A95"/>
    <w:rsid w:val="00995C5E"/>
    <w:rsid w:val="009962EB"/>
    <w:rsid w:val="0099632C"/>
    <w:rsid w:val="00996596"/>
    <w:rsid w:val="00996715"/>
    <w:rsid w:val="00996746"/>
    <w:rsid w:val="00996C2E"/>
    <w:rsid w:val="00996E1E"/>
    <w:rsid w:val="0099706C"/>
    <w:rsid w:val="00997412"/>
    <w:rsid w:val="0099794A"/>
    <w:rsid w:val="009979CF"/>
    <w:rsid w:val="00997E1E"/>
    <w:rsid w:val="009A0077"/>
    <w:rsid w:val="009A0487"/>
    <w:rsid w:val="009A0A3C"/>
    <w:rsid w:val="009A0B56"/>
    <w:rsid w:val="009A18B4"/>
    <w:rsid w:val="009A1DA3"/>
    <w:rsid w:val="009A1EC6"/>
    <w:rsid w:val="009A22C6"/>
    <w:rsid w:val="009A257B"/>
    <w:rsid w:val="009A2DD4"/>
    <w:rsid w:val="009A2E0D"/>
    <w:rsid w:val="009A2FD2"/>
    <w:rsid w:val="009A3109"/>
    <w:rsid w:val="009A3383"/>
    <w:rsid w:val="009A3413"/>
    <w:rsid w:val="009A3714"/>
    <w:rsid w:val="009A3987"/>
    <w:rsid w:val="009A3A74"/>
    <w:rsid w:val="009A3CDE"/>
    <w:rsid w:val="009A3F2C"/>
    <w:rsid w:val="009A4991"/>
    <w:rsid w:val="009A499E"/>
    <w:rsid w:val="009A4C21"/>
    <w:rsid w:val="009A4EA7"/>
    <w:rsid w:val="009A511C"/>
    <w:rsid w:val="009A515E"/>
    <w:rsid w:val="009A5FC7"/>
    <w:rsid w:val="009A6589"/>
    <w:rsid w:val="009A6AA9"/>
    <w:rsid w:val="009A6B10"/>
    <w:rsid w:val="009A6C13"/>
    <w:rsid w:val="009A7364"/>
    <w:rsid w:val="009A75DA"/>
    <w:rsid w:val="009A7734"/>
    <w:rsid w:val="009A7800"/>
    <w:rsid w:val="009A7B78"/>
    <w:rsid w:val="009A7CDA"/>
    <w:rsid w:val="009A7CEA"/>
    <w:rsid w:val="009B0206"/>
    <w:rsid w:val="009B0247"/>
    <w:rsid w:val="009B028D"/>
    <w:rsid w:val="009B0870"/>
    <w:rsid w:val="009B0C80"/>
    <w:rsid w:val="009B173C"/>
    <w:rsid w:val="009B1D8B"/>
    <w:rsid w:val="009B220E"/>
    <w:rsid w:val="009B2822"/>
    <w:rsid w:val="009B28BD"/>
    <w:rsid w:val="009B2952"/>
    <w:rsid w:val="009B3E04"/>
    <w:rsid w:val="009B51F2"/>
    <w:rsid w:val="009B51F4"/>
    <w:rsid w:val="009B5320"/>
    <w:rsid w:val="009B5768"/>
    <w:rsid w:val="009B5D33"/>
    <w:rsid w:val="009B5FFA"/>
    <w:rsid w:val="009B67A2"/>
    <w:rsid w:val="009B6E18"/>
    <w:rsid w:val="009B6E43"/>
    <w:rsid w:val="009B6EEC"/>
    <w:rsid w:val="009C01F4"/>
    <w:rsid w:val="009C072A"/>
    <w:rsid w:val="009C08AC"/>
    <w:rsid w:val="009C0912"/>
    <w:rsid w:val="009C0FED"/>
    <w:rsid w:val="009C140F"/>
    <w:rsid w:val="009C16DF"/>
    <w:rsid w:val="009C202C"/>
    <w:rsid w:val="009C20A2"/>
    <w:rsid w:val="009C2170"/>
    <w:rsid w:val="009C2302"/>
    <w:rsid w:val="009C27E0"/>
    <w:rsid w:val="009C281B"/>
    <w:rsid w:val="009C297A"/>
    <w:rsid w:val="009C2A0D"/>
    <w:rsid w:val="009C2CA1"/>
    <w:rsid w:val="009C2EB7"/>
    <w:rsid w:val="009C30EB"/>
    <w:rsid w:val="009C3563"/>
    <w:rsid w:val="009C3990"/>
    <w:rsid w:val="009C3A5E"/>
    <w:rsid w:val="009C3BA4"/>
    <w:rsid w:val="009C3D11"/>
    <w:rsid w:val="009C3DA5"/>
    <w:rsid w:val="009C3DC2"/>
    <w:rsid w:val="009C3FFF"/>
    <w:rsid w:val="009C4187"/>
    <w:rsid w:val="009C4293"/>
    <w:rsid w:val="009C4390"/>
    <w:rsid w:val="009C49F0"/>
    <w:rsid w:val="009C4AAB"/>
    <w:rsid w:val="009C52CB"/>
    <w:rsid w:val="009C5309"/>
    <w:rsid w:val="009C5BA6"/>
    <w:rsid w:val="009C5BFE"/>
    <w:rsid w:val="009C5D4F"/>
    <w:rsid w:val="009C5EFC"/>
    <w:rsid w:val="009C5F6F"/>
    <w:rsid w:val="009C6161"/>
    <w:rsid w:val="009C6A6A"/>
    <w:rsid w:val="009C6AD1"/>
    <w:rsid w:val="009C6CC3"/>
    <w:rsid w:val="009C6FF2"/>
    <w:rsid w:val="009C707A"/>
    <w:rsid w:val="009C7C26"/>
    <w:rsid w:val="009C7C42"/>
    <w:rsid w:val="009D0055"/>
    <w:rsid w:val="009D04FB"/>
    <w:rsid w:val="009D0B0F"/>
    <w:rsid w:val="009D114F"/>
    <w:rsid w:val="009D1B38"/>
    <w:rsid w:val="009D1E06"/>
    <w:rsid w:val="009D2087"/>
    <w:rsid w:val="009D26B6"/>
    <w:rsid w:val="009D2849"/>
    <w:rsid w:val="009D2A8F"/>
    <w:rsid w:val="009D2CCA"/>
    <w:rsid w:val="009D2F59"/>
    <w:rsid w:val="009D3047"/>
    <w:rsid w:val="009D30F5"/>
    <w:rsid w:val="009D37E8"/>
    <w:rsid w:val="009D3A30"/>
    <w:rsid w:val="009D47FF"/>
    <w:rsid w:val="009D5F43"/>
    <w:rsid w:val="009D602F"/>
    <w:rsid w:val="009D6109"/>
    <w:rsid w:val="009D6348"/>
    <w:rsid w:val="009D6966"/>
    <w:rsid w:val="009D6FE3"/>
    <w:rsid w:val="009D7A4B"/>
    <w:rsid w:val="009D7CE6"/>
    <w:rsid w:val="009E0174"/>
    <w:rsid w:val="009E0244"/>
    <w:rsid w:val="009E0A88"/>
    <w:rsid w:val="009E0C6E"/>
    <w:rsid w:val="009E116C"/>
    <w:rsid w:val="009E1224"/>
    <w:rsid w:val="009E1B5F"/>
    <w:rsid w:val="009E1C08"/>
    <w:rsid w:val="009E2B5E"/>
    <w:rsid w:val="009E336C"/>
    <w:rsid w:val="009E35F6"/>
    <w:rsid w:val="009E390E"/>
    <w:rsid w:val="009E3A47"/>
    <w:rsid w:val="009E3B94"/>
    <w:rsid w:val="009E3BA7"/>
    <w:rsid w:val="009E3D70"/>
    <w:rsid w:val="009E3F17"/>
    <w:rsid w:val="009E42F2"/>
    <w:rsid w:val="009E47DE"/>
    <w:rsid w:val="009E4837"/>
    <w:rsid w:val="009E57D6"/>
    <w:rsid w:val="009E58CA"/>
    <w:rsid w:val="009E591C"/>
    <w:rsid w:val="009E5B39"/>
    <w:rsid w:val="009E5B9E"/>
    <w:rsid w:val="009E5CEC"/>
    <w:rsid w:val="009E5F57"/>
    <w:rsid w:val="009E61F5"/>
    <w:rsid w:val="009E644D"/>
    <w:rsid w:val="009E64A4"/>
    <w:rsid w:val="009E6B1E"/>
    <w:rsid w:val="009E6B43"/>
    <w:rsid w:val="009E7238"/>
    <w:rsid w:val="009E75AA"/>
    <w:rsid w:val="009E774D"/>
    <w:rsid w:val="009E7C92"/>
    <w:rsid w:val="009E7CE1"/>
    <w:rsid w:val="009F013D"/>
    <w:rsid w:val="009F01DD"/>
    <w:rsid w:val="009F03BC"/>
    <w:rsid w:val="009F0666"/>
    <w:rsid w:val="009F0E03"/>
    <w:rsid w:val="009F123D"/>
    <w:rsid w:val="009F1631"/>
    <w:rsid w:val="009F1A0C"/>
    <w:rsid w:val="009F25FD"/>
    <w:rsid w:val="009F2922"/>
    <w:rsid w:val="009F3767"/>
    <w:rsid w:val="009F3A4E"/>
    <w:rsid w:val="009F3B9C"/>
    <w:rsid w:val="009F3BE5"/>
    <w:rsid w:val="009F41BD"/>
    <w:rsid w:val="009F420B"/>
    <w:rsid w:val="009F4881"/>
    <w:rsid w:val="009F4B39"/>
    <w:rsid w:val="009F4CAF"/>
    <w:rsid w:val="009F516D"/>
    <w:rsid w:val="009F5297"/>
    <w:rsid w:val="009F530E"/>
    <w:rsid w:val="009F5348"/>
    <w:rsid w:val="009F55E8"/>
    <w:rsid w:val="009F5AB5"/>
    <w:rsid w:val="009F602D"/>
    <w:rsid w:val="009F6F9E"/>
    <w:rsid w:val="009F795E"/>
    <w:rsid w:val="009F79E9"/>
    <w:rsid w:val="009F7CC3"/>
    <w:rsid w:val="00A00356"/>
    <w:rsid w:val="00A00A8F"/>
    <w:rsid w:val="00A00A92"/>
    <w:rsid w:val="00A00C7D"/>
    <w:rsid w:val="00A01D68"/>
    <w:rsid w:val="00A01FAE"/>
    <w:rsid w:val="00A020E9"/>
    <w:rsid w:val="00A02546"/>
    <w:rsid w:val="00A0269A"/>
    <w:rsid w:val="00A026F3"/>
    <w:rsid w:val="00A0286F"/>
    <w:rsid w:val="00A02B27"/>
    <w:rsid w:val="00A03C1D"/>
    <w:rsid w:val="00A043B5"/>
    <w:rsid w:val="00A04CF3"/>
    <w:rsid w:val="00A04E90"/>
    <w:rsid w:val="00A04F39"/>
    <w:rsid w:val="00A04FD2"/>
    <w:rsid w:val="00A05439"/>
    <w:rsid w:val="00A054EA"/>
    <w:rsid w:val="00A0604E"/>
    <w:rsid w:val="00A0686F"/>
    <w:rsid w:val="00A070FA"/>
    <w:rsid w:val="00A074F3"/>
    <w:rsid w:val="00A07E01"/>
    <w:rsid w:val="00A103D6"/>
    <w:rsid w:val="00A105E5"/>
    <w:rsid w:val="00A10D83"/>
    <w:rsid w:val="00A10F1C"/>
    <w:rsid w:val="00A11458"/>
    <w:rsid w:val="00A116BC"/>
    <w:rsid w:val="00A11723"/>
    <w:rsid w:val="00A11866"/>
    <w:rsid w:val="00A11A17"/>
    <w:rsid w:val="00A11BFE"/>
    <w:rsid w:val="00A11D98"/>
    <w:rsid w:val="00A1260D"/>
    <w:rsid w:val="00A127EB"/>
    <w:rsid w:val="00A12AE7"/>
    <w:rsid w:val="00A12AEE"/>
    <w:rsid w:val="00A133E3"/>
    <w:rsid w:val="00A13630"/>
    <w:rsid w:val="00A14649"/>
    <w:rsid w:val="00A146FC"/>
    <w:rsid w:val="00A147CC"/>
    <w:rsid w:val="00A148F1"/>
    <w:rsid w:val="00A15303"/>
    <w:rsid w:val="00A15DD3"/>
    <w:rsid w:val="00A1621F"/>
    <w:rsid w:val="00A165C2"/>
    <w:rsid w:val="00A16A2D"/>
    <w:rsid w:val="00A16F84"/>
    <w:rsid w:val="00A17248"/>
    <w:rsid w:val="00A175FF"/>
    <w:rsid w:val="00A176EB"/>
    <w:rsid w:val="00A17B49"/>
    <w:rsid w:val="00A17CBA"/>
    <w:rsid w:val="00A20C46"/>
    <w:rsid w:val="00A20E1E"/>
    <w:rsid w:val="00A21020"/>
    <w:rsid w:val="00A2126F"/>
    <w:rsid w:val="00A215A1"/>
    <w:rsid w:val="00A21721"/>
    <w:rsid w:val="00A21B64"/>
    <w:rsid w:val="00A22124"/>
    <w:rsid w:val="00A22275"/>
    <w:rsid w:val="00A225A1"/>
    <w:rsid w:val="00A2266A"/>
    <w:rsid w:val="00A22AC8"/>
    <w:rsid w:val="00A22F11"/>
    <w:rsid w:val="00A23289"/>
    <w:rsid w:val="00A2342B"/>
    <w:rsid w:val="00A2372D"/>
    <w:rsid w:val="00A2383A"/>
    <w:rsid w:val="00A23D06"/>
    <w:rsid w:val="00A23D19"/>
    <w:rsid w:val="00A23E7D"/>
    <w:rsid w:val="00A23EA5"/>
    <w:rsid w:val="00A23EF2"/>
    <w:rsid w:val="00A23F6E"/>
    <w:rsid w:val="00A24136"/>
    <w:rsid w:val="00A24663"/>
    <w:rsid w:val="00A2479F"/>
    <w:rsid w:val="00A25638"/>
    <w:rsid w:val="00A25B7A"/>
    <w:rsid w:val="00A261BE"/>
    <w:rsid w:val="00A265F3"/>
    <w:rsid w:val="00A266C3"/>
    <w:rsid w:val="00A26C83"/>
    <w:rsid w:val="00A26EF8"/>
    <w:rsid w:val="00A2711F"/>
    <w:rsid w:val="00A273D8"/>
    <w:rsid w:val="00A27693"/>
    <w:rsid w:val="00A276F9"/>
    <w:rsid w:val="00A2787A"/>
    <w:rsid w:val="00A27F8D"/>
    <w:rsid w:val="00A300FF"/>
    <w:rsid w:val="00A30796"/>
    <w:rsid w:val="00A30870"/>
    <w:rsid w:val="00A30D53"/>
    <w:rsid w:val="00A30F52"/>
    <w:rsid w:val="00A30F64"/>
    <w:rsid w:val="00A31296"/>
    <w:rsid w:val="00A317B4"/>
    <w:rsid w:val="00A317BD"/>
    <w:rsid w:val="00A319AC"/>
    <w:rsid w:val="00A31CB0"/>
    <w:rsid w:val="00A32416"/>
    <w:rsid w:val="00A32441"/>
    <w:rsid w:val="00A3273B"/>
    <w:rsid w:val="00A336CE"/>
    <w:rsid w:val="00A33E7B"/>
    <w:rsid w:val="00A33ECE"/>
    <w:rsid w:val="00A340E8"/>
    <w:rsid w:val="00A34314"/>
    <w:rsid w:val="00A343AD"/>
    <w:rsid w:val="00A343C3"/>
    <w:rsid w:val="00A3443B"/>
    <w:rsid w:val="00A34776"/>
    <w:rsid w:val="00A34816"/>
    <w:rsid w:val="00A34A2C"/>
    <w:rsid w:val="00A34B3D"/>
    <w:rsid w:val="00A34E4B"/>
    <w:rsid w:val="00A351DA"/>
    <w:rsid w:val="00A35574"/>
    <w:rsid w:val="00A35981"/>
    <w:rsid w:val="00A35D0D"/>
    <w:rsid w:val="00A35DF3"/>
    <w:rsid w:val="00A3662F"/>
    <w:rsid w:val="00A37074"/>
    <w:rsid w:val="00A3707C"/>
    <w:rsid w:val="00A37605"/>
    <w:rsid w:val="00A3763A"/>
    <w:rsid w:val="00A379CE"/>
    <w:rsid w:val="00A37CE6"/>
    <w:rsid w:val="00A37EEB"/>
    <w:rsid w:val="00A4000C"/>
    <w:rsid w:val="00A40225"/>
    <w:rsid w:val="00A40353"/>
    <w:rsid w:val="00A4098E"/>
    <w:rsid w:val="00A40C4C"/>
    <w:rsid w:val="00A40F9D"/>
    <w:rsid w:val="00A4101C"/>
    <w:rsid w:val="00A4129C"/>
    <w:rsid w:val="00A41488"/>
    <w:rsid w:val="00A414EA"/>
    <w:rsid w:val="00A423C2"/>
    <w:rsid w:val="00A4249B"/>
    <w:rsid w:val="00A43348"/>
    <w:rsid w:val="00A43592"/>
    <w:rsid w:val="00A439AC"/>
    <w:rsid w:val="00A43D7C"/>
    <w:rsid w:val="00A43D7E"/>
    <w:rsid w:val="00A43D9B"/>
    <w:rsid w:val="00A44313"/>
    <w:rsid w:val="00A443F8"/>
    <w:rsid w:val="00A445AE"/>
    <w:rsid w:val="00A445B5"/>
    <w:rsid w:val="00A4478D"/>
    <w:rsid w:val="00A44A03"/>
    <w:rsid w:val="00A44BA4"/>
    <w:rsid w:val="00A44EEB"/>
    <w:rsid w:val="00A45555"/>
    <w:rsid w:val="00A459F6"/>
    <w:rsid w:val="00A45AA9"/>
    <w:rsid w:val="00A466CA"/>
    <w:rsid w:val="00A46891"/>
    <w:rsid w:val="00A46B16"/>
    <w:rsid w:val="00A46B2A"/>
    <w:rsid w:val="00A46FB1"/>
    <w:rsid w:val="00A47A55"/>
    <w:rsid w:val="00A50076"/>
    <w:rsid w:val="00A503E7"/>
    <w:rsid w:val="00A50A10"/>
    <w:rsid w:val="00A50B22"/>
    <w:rsid w:val="00A50CF3"/>
    <w:rsid w:val="00A510FD"/>
    <w:rsid w:val="00A51170"/>
    <w:rsid w:val="00A512FD"/>
    <w:rsid w:val="00A513E5"/>
    <w:rsid w:val="00A51478"/>
    <w:rsid w:val="00A51AAF"/>
    <w:rsid w:val="00A520D5"/>
    <w:rsid w:val="00A521ED"/>
    <w:rsid w:val="00A523A0"/>
    <w:rsid w:val="00A524FB"/>
    <w:rsid w:val="00A5299A"/>
    <w:rsid w:val="00A52AE9"/>
    <w:rsid w:val="00A52E63"/>
    <w:rsid w:val="00A532F8"/>
    <w:rsid w:val="00A53697"/>
    <w:rsid w:val="00A538CC"/>
    <w:rsid w:val="00A5445F"/>
    <w:rsid w:val="00A546C8"/>
    <w:rsid w:val="00A54EC4"/>
    <w:rsid w:val="00A54F63"/>
    <w:rsid w:val="00A553B2"/>
    <w:rsid w:val="00A553F2"/>
    <w:rsid w:val="00A55707"/>
    <w:rsid w:val="00A55E53"/>
    <w:rsid w:val="00A56479"/>
    <w:rsid w:val="00A56708"/>
    <w:rsid w:val="00A56AF7"/>
    <w:rsid w:val="00A56B63"/>
    <w:rsid w:val="00A56DF3"/>
    <w:rsid w:val="00A56FB4"/>
    <w:rsid w:val="00A56FEF"/>
    <w:rsid w:val="00A5702F"/>
    <w:rsid w:val="00A572D3"/>
    <w:rsid w:val="00A575B0"/>
    <w:rsid w:val="00A577F9"/>
    <w:rsid w:val="00A5786D"/>
    <w:rsid w:val="00A579D9"/>
    <w:rsid w:val="00A57A77"/>
    <w:rsid w:val="00A57B04"/>
    <w:rsid w:val="00A57CDF"/>
    <w:rsid w:val="00A57E86"/>
    <w:rsid w:val="00A57ED8"/>
    <w:rsid w:val="00A603E4"/>
    <w:rsid w:val="00A60402"/>
    <w:rsid w:val="00A605A2"/>
    <w:rsid w:val="00A609A6"/>
    <w:rsid w:val="00A611E5"/>
    <w:rsid w:val="00A61420"/>
    <w:rsid w:val="00A616B3"/>
    <w:rsid w:val="00A6195D"/>
    <w:rsid w:val="00A61FB7"/>
    <w:rsid w:val="00A622A9"/>
    <w:rsid w:val="00A626D2"/>
    <w:rsid w:val="00A62C0E"/>
    <w:rsid w:val="00A6403B"/>
    <w:rsid w:val="00A6457B"/>
    <w:rsid w:val="00A65815"/>
    <w:rsid w:val="00A6582C"/>
    <w:rsid w:val="00A65948"/>
    <w:rsid w:val="00A66277"/>
    <w:rsid w:val="00A66332"/>
    <w:rsid w:val="00A66C72"/>
    <w:rsid w:val="00A66D52"/>
    <w:rsid w:val="00A66F51"/>
    <w:rsid w:val="00A675C3"/>
    <w:rsid w:val="00A67AFA"/>
    <w:rsid w:val="00A67B3A"/>
    <w:rsid w:val="00A67C86"/>
    <w:rsid w:val="00A70099"/>
    <w:rsid w:val="00A70525"/>
    <w:rsid w:val="00A70747"/>
    <w:rsid w:val="00A70BF5"/>
    <w:rsid w:val="00A71958"/>
    <w:rsid w:val="00A719EC"/>
    <w:rsid w:val="00A71B78"/>
    <w:rsid w:val="00A71D9C"/>
    <w:rsid w:val="00A722D9"/>
    <w:rsid w:val="00A7267D"/>
    <w:rsid w:val="00A727F2"/>
    <w:rsid w:val="00A7297A"/>
    <w:rsid w:val="00A72CC7"/>
    <w:rsid w:val="00A72D0D"/>
    <w:rsid w:val="00A73282"/>
    <w:rsid w:val="00A73515"/>
    <w:rsid w:val="00A7380E"/>
    <w:rsid w:val="00A73A90"/>
    <w:rsid w:val="00A741F6"/>
    <w:rsid w:val="00A7445F"/>
    <w:rsid w:val="00A7534C"/>
    <w:rsid w:val="00A7535F"/>
    <w:rsid w:val="00A756AD"/>
    <w:rsid w:val="00A75710"/>
    <w:rsid w:val="00A75859"/>
    <w:rsid w:val="00A75C3A"/>
    <w:rsid w:val="00A75CCA"/>
    <w:rsid w:val="00A7654D"/>
    <w:rsid w:val="00A76A26"/>
    <w:rsid w:val="00A774DC"/>
    <w:rsid w:val="00A7799A"/>
    <w:rsid w:val="00A8086A"/>
    <w:rsid w:val="00A80882"/>
    <w:rsid w:val="00A818C8"/>
    <w:rsid w:val="00A81950"/>
    <w:rsid w:val="00A81CD3"/>
    <w:rsid w:val="00A81CD7"/>
    <w:rsid w:val="00A822DF"/>
    <w:rsid w:val="00A823B8"/>
    <w:rsid w:val="00A82795"/>
    <w:rsid w:val="00A82A72"/>
    <w:rsid w:val="00A82A95"/>
    <w:rsid w:val="00A82AD7"/>
    <w:rsid w:val="00A82C15"/>
    <w:rsid w:val="00A82C8D"/>
    <w:rsid w:val="00A83692"/>
    <w:rsid w:val="00A83936"/>
    <w:rsid w:val="00A83E74"/>
    <w:rsid w:val="00A8459B"/>
    <w:rsid w:val="00A845A0"/>
    <w:rsid w:val="00A84E80"/>
    <w:rsid w:val="00A85512"/>
    <w:rsid w:val="00A85531"/>
    <w:rsid w:val="00A8561F"/>
    <w:rsid w:val="00A8564A"/>
    <w:rsid w:val="00A859E6"/>
    <w:rsid w:val="00A867AE"/>
    <w:rsid w:val="00A86A8D"/>
    <w:rsid w:val="00A86F86"/>
    <w:rsid w:val="00A86FBB"/>
    <w:rsid w:val="00A87244"/>
    <w:rsid w:val="00A87669"/>
    <w:rsid w:val="00A87FDE"/>
    <w:rsid w:val="00A9004D"/>
    <w:rsid w:val="00A90CAE"/>
    <w:rsid w:val="00A90DD0"/>
    <w:rsid w:val="00A90EAB"/>
    <w:rsid w:val="00A90FCF"/>
    <w:rsid w:val="00A9124B"/>
    <w:rsid w:val="00A9126A"/>
    <w:rsid w:val="00A915C1"/>
    <w:rsid w:val="00A9179C"/>
    <w:rsid w:val="00A925EF"/>
    <w:rsid w:val="00A92B30"/>
    <w:rsid w:val="00A94263"/>
    <w:rsid w:val="00A94844"/>
    <w:rsid w:val="00A94952"/>
    <w:rsid w:val="00A94972"/>
    <w:rsid w:val="00A94C1B"/>
    <w:rsid w:val="00A94FA1"/>
    <w:rsid w:val="00A953C8"/>
    <w:rsid w:val="00A953D0"/>
    <w:rsid w:val="00A95451"/>
    <w:rsid w:val="00A955A7"/>
    <w:rsid w:val="00A9577C"/>
    <w:rsid w:val="00A95920"/>
    <w:rsid w:val="00A95C39"/>
    <w:rsid w:val="00A95C88"/>
    <w:rsid w:val="00A96234"/>
    <w:rsid w:val="00A96527"/>
    <w:rsid w:val="00A96AA1"/>
    <w:rsid w:val="00A96B92"/>
    <w:rsid w:val="00A96C59"/>
    <w:rsid w:val="00A97295"/>
    <w:rsid w:val="00A973C6"/>
    <w:rsid w:val="00A97BB0"/>
    <w:rsid w:val="00AA0524"/>
    <w:rsid w:val="00AA0A9F"/>
    <w:rsid w:val="00AA14AD"/>
    <w:rsid w:val="00AA1602"/>
    <w:rsid w:val="00AA2053"/>
    <w:rsid w:val="00AA21DB"/>
    <w:rsid w:val="00AA24B0"/>
    <w:rsid w:val="00AA24E5"/>
    <w:rsid w:val="00AA28FD"/>
    <w:rsid w:val="00AA2B11"/>
    <w:rsid w:val="00AA2DD6"/>
    <w:rsid w:val="00AA303B"/>
    <w:rsid w:val="00AA31C8"/>
    <w:rsid w:val="00AA35C0"/>
    <w:rsid w:val="00AA48E3"/>
    <w:rsid w:val="00AA52A7"/>
    <w:rsid w:val="00AA5B34"/>
    <w:rsid w:val="00AA606C"/>
    <w:rsid w:val="00AA6209"/>
    <w:rsid w:val="00AA6BBB"/>
    <w:rsid w:val="00AA6BFC"/>
    <w:rsid w:val="00AA6F0C"/>
    <w:rsid w:val="00AA7581"/>
    <w:rsid w:val="00AA7AB9"/>
    <w:rsid w:val="00AA7EC5"/>
    <w:rsid w:val="00AB06A6"/>
    <w:rsid w:val="00AB0C3A"/>
    <w:rsid w:val="00AB1125"/>
    <w:rsid w:val="00AB1A70"/>
    <w:rsid w:val="00AB20D1"/>
    <w:rsid w:val="00AB2187"/>
    <w:rsid w:val="00AB266B"/>
    <w:rsid w:val="00AB2BFA"/>
    <w:rsid w:val="00AB2C27"/>
    <w:rsid w:val="00AB2E9F"/>
    <w:rsid w:val="00AB320D"/>
    <w:rsid w:val="00AB35F6"/>
    <w:rsid w:val="00AB3B42"/>
    <w:rsid w:val="00AB3BE1"/>
    <w:rsid w:val="00AB3FDC"/>
    <w:rsid w:val="00AB5415"/>
    <w:rsid w:val="00AB59B7"/>
    <w:rsid w:val="00AB60F9"/>
    <w:rsid w:val="00AB6450"/>
    <w:rsid w:val="00AB6476"/>
    <w:rsid w:val="00AB65E5"/>
    <w:rsid w:val="00AB6726"/>
    <w:rsid w:val="00AB6932"/>
    <w:rsid w:val="00AB7008"/>
    <w:rsid w:val="00AB7267"/>
    <w:rsid w:val="00AB745F"/>
    <w:rsid w:val="00AB763C"/>
    <w:rsid w:val="00AB7A2E"/>
    <w:rsid w:val="00AB7C31"/>
    <w:rsid w:val="00AB7E36"/>
    <w:rsid w:val="00AB7E52"/>
    <w:rsid w:val="00AB7F11"/>
    <w:rsid w:val="00AC0066"/>
    <w:rsid w:val="00AC00B3"/>
    <w:rsid w:val="00AC02A8"/>
    <w:rsid w:val="00AC05A7"/>
    <w:rsid w:val="00AC09AC"/>
    <w:rsid w:val="00AC1386"/>
    <w:rsid w:val="00AC1495"/>
    <w:rsid w:val="00AC165F"/>
    <w:rsid w:val="00AC17FF"/>
    <w:rsid w:val="00AC1CB8"/>
    <w:rsid w:val="00AC2642"/>
    <w:rsid w:val="00AC290F"/>
    <w:rsid w:val="00AC2BA5"/>
    <w:rsid w:val="00AC2CFF"/>
    <w:rsid w:val="00AC2EF3"/>
    <w:rsid w:val="00AC2F63"/>
    <w:rsid w:val="00AC3495"/>
    <w:rsid w:val="00AC41C5"/>
    <w:rsid w:val="00AC4449"/>
    <w:rsid w:val="00AC49A9"/>
    <w:rsid w:val="00AC53FC"/>
    <w:rsid w:val="00AC56E9"/>
    <w:rsid w:val="00AC57BF"/>
    <w:rsid w:val="00AC5D3F"/>
    <w:rsid w:val="00AC5E93"/>
    <w:rsid w:val="00AC5FFA"/>
    <w:rsid w:val="00AC64C0"/>
    <w:rsid w:val="00AC652A"/>
    <w:rsid w:val="00AC6665"/>
    <w:rsid w:val="00AC6707"/>
    <w:rsid w:val="00AC688C"/>
    <w:rsid w:val="00AC6A1D"/>
    <w:rsid w:val="00AC6BA4"/>
    <w:rsid w:val="00AC6EE7"/>
    <w:rsid w:val="00AC71D5"/>
    <w:rsid w:val="00AC77C2"/>
    <w:rsid w:val="00AD0B8F"/>
    <w:rsid w:val="00AD0FF4"/>
    <w:rsid w:val="00AD117E"/>
    <w:rsid w:val="00AD1C66"/>
    <w:rsid w:val="00AD1FF4"/>
    <w:rsid w:val="00AD20DA"/>
    <w:rsid w:val="00AD24EF"/>
    <w:rsid w:val="00AD26BF"/>
    <w:rsid w:val="00AD2F93"/>
    <w:rsid w:val="00AD3276"/>
    <w:rsid w:val="00AD32FD"/>
    <w:rsid w:val="00AD3E36"/>
    <w:rsid w:val="00AD4A11"/>
    <w:rsid w:val="00AD4B8F"/>
    <w:rsid w:val="00AD4D19"/>
    <w:rsid w:val="00AD4D24"/>
    <w:rsid w:val="00AD4E9E"/>
    <w:rsid w:val="00AD5043"/>
    <w:rsid w:val="00AD5266"/>
    <w:rsid w:val="00AD5735"/>
    <w:rsid w:val="00AD59D7"/>
    <w:rsid w:val="00AD59E0"/>
    <w:rsid w:val="00AD5A24"/>
    <w:rsid w:val="00AD5AF3"/>
    <w:rsid w:val="00AD624B"/>
    <w:rsid w:val="00AD6440"/>
    <w:rsid w:val="00AD73E6"/>
    <w:rsid w:val="00AD78F8"/>
    <w:rsid w:val="00AD7A56"/>
    <w:rsid w:val="00AD7D5F"/>
    <w:rsid w:val="00AE026F"/>
    <w:rsid w:val="00AE02BD"/>
    <w:rsid w:val="00AE092F"/>
    <w:rsid w:val="00AE0A6C"/>
    <w:rsid w:val="00AE12FB"/>
    <w:rsid w:val="00AE134C"/>
    <w:rsid w:val="00AE1579"/>
    <w:rsid w:val="00AE1898"/>
    <w:rsid w:val="00AE1977"/>
    <w:rsid w:val="00AE1AC2"/>
    <w:rsid w:val="00AE1DAC"/>
    <w:rsid w:val="00AE2271"/>
    <w:rsid w:val="00AE3175"/>
    <w:rsid w:val="00AE3685"/>
    <w:rsid w:val="00AE3ABC"/>
    <w:rsid w:val="00AE3C4D"/>
    <w:rsid w:val="00AE3D26"/>
    <w:rsid w:val="00AE42D6"/>
    <w:rsid w:val="00AE44C4"/>
    <w:rsid w:val="00AE45FF"/>
    <w:rsid w:val="00AE4664"/>
    <w:rsid w:val="00AE46B4"/>
    <w:rsid w:val="00AE4FD6"/>
    <w:rsid w:val="00AE528C"/>
    <w:rsid w:val="00AE6137"/>
    <w:rsid w:val="00AE63CB"/>
    <w:rsid w:val="00AE685B"/>
    <w:rsid w:val="00AE6C34"/>
    <w:rsid w:val="00AE7348"/>
    <w:rsid w:val="00AE7D2B"/>
    <w:rsid w:val="00AE7F90"/>
    <w:rsid w:val="00AF01C7"/>
    <w:rsid w:val="00AF06A5"/>
    <w:rsid w:val="00AF0BF8"/>
    <w:rsid w:val="00AF0D06"/>
    <w:rsid w:val="00AF0D37"/>
    <w:rsid w:val="00AF12EE"/>
    <w:rsid w:val="00AF19E9"/>
    <w:rsid w:val="00AF2981"/>
    <w:rsid w:val="00AF2E54"/>
    <w:rsid w:val="00AF35D2"/>
    <w:rsid w:val="00AF35F0"/>
    <w:rsid w:val="00AF35FF"/>
    <w:rsid w:val="00AF385B"/>
    <w:rsid w:val="00AF3B89"/>
    <w:rsid w:val="00AF5487"/>
    <w:rsid w:val="00AF56BB"/>
    <w:rsid w:val="00AF5CB4"/>
    <w:rsid w:val="00AF645A"/>
    <w:rsid w:val="00AF679E"/>
    <w:rsid w:val="00AF6ACD"/>
    <w:rsid w:val="00AF7334"/>
    <w:rsid w:val="00AF7999"/>
    <w:rsid w:val="00AF7E84"/>
    <w:rsid w:val="00B004C2"/>
    <w:rsid w:val="00B00740"/>
    <w:rsid w:val="00B01098"/>
    <w:rsid w:val="00B025DA"/>
    <w:rsid w:val="00B025F6"/>
    <w:rsid w:val="00B02B86"/>
    <w:rsid w:val="00B02CD5"/>
    <w:rsid w:val="00B02D70"/>
    <w:rsid w:val="00B02E60"/>
    <w:rsid w:val="00B037E3"/>
    <w:rsid w:val="00B03953"/>
    <w:rsid w:val="00B04091"/>
    <w:rsid w:val="00B0469C"/>
    <w:rsid w:val="00B046E8"/>
    <w:rsid w:val="00B04A91"/>
    <w:rsid w:val="00B04F26"/>
    <w:rsid w:val="00B05337"/>
    <w:rsid w:val="00B05573"/>
    <w:rsid w:val="00B05699"/>
    <w:rsid w:val="00B05909"/>
    <w:rsid w:val="00B05C7C"/>
    <w:rsid w:val="00B05E41"/>
    <w:rsid w:val="00B0610A"/>
    <w:rsid w:val="00B069E6"/>
    <w:rsid w:val="00B06ECF"/>
    <w:rsid w:val="00B0708F"/>
    <w:rsid w:val="00B0729E"/>
    <w:rsid w:val="00B07390"/>
    <w:rsid w:val="00B0740C"/>
    <w:rsid w:val="00B079B5"/>
    <w:rsid w:val="00B10041"/>
    <w:rsid w:val="00B102D0"/>
    <w:rsid w:val="00B10673"/>
    <w:rsid w:val="00B10CB7"/>
    <w:rsid w:val="00B10CDF"/>
    <w:rsid w:val="00B115DC"/>
    <w:rsid w:val="00B1185D"/>
    <w:rsid w:val="00B118DB"/>
    <w:rsid w:val="00B1195E"/>
    <w:rsid w:val="00B11D93"/>
    <w:rsid w:val="00B11EB5"/>
    <w:rsid w:val="00B12516"/>
    <w:rsid w:val="00B131F8"/>
    <w:rsid w:val="00B132D9"/>
    <w:rsid w:val="00B13D25"/>
    <w:rsid w:val="00B13EB9"/>
    <w:rsid w:val="00B1422C"/>
    <w:rsid w:val="00B142B0"/>
    <w:rsid w:val="00B14899"/>
    <w:rsid w:val="00B14B2C"/>
    <w:rsid w:val="00B14CC7"/>
    <w:rsid w:val="00B15174"/>
    <w:rsid w:val="00B15F7E"/>
    <w:rsid w:val="00B16D7D"/>
    <w:rsid w:val="00B16FED"/>
    <w:rsid w:val="00B171EB"/>
    <w:rsid w:val="00B1779C"/>
    <w:rsid w:val="00B178A1"/>
    <w:rsid w:val="00B179C7"/>
    <w:rsid w:val="00B17CA5"/>
    <w:rsid w:val="00B2012E"/>
    <w:rsid w:val="00B203CD"/>
    <w:rsid w:val="00B20536"/>
    <w:rsid w:val="00B20781"/>
    <w:rsid w:val="00B2186F"/>
    <w:rsid w:val="00B21C30"/>
    <w:rsid w:val="00B2219A"/>
    <w:rsid w:val="00B22354"/>
    <w:rsid w:val="00B22452"/>
    <w:rsid w:val="00B22925"/>
    <w:rsid w:val="00B22FFA"/>
    <w:rsid w:val="00B2321E"/>
    <w:rsid w:val="00B23330"/>
    <w:rsid w:val="00B2355F"/>
    <w:rsid w:val="00B236C3"/>
    <w:rsid w:val="00B23CAA"/>
    <w:rsid w:val="00B24353"/>
    <w:rsid w:val="00B2442C"/>
    <w:rsid w:val="00B24ACB"/>
    <w:rsid w:val="00B251C8"/>
    <w:rsid w:val="00B25500"/>
    <w:rsid w:val="00B25823"/>
    <w:rsid w:val="00B25F75"/>
    <w:rsid w:val="00B26038"/>
    <w:rsid w:val="00B26390"/>
    <w:rsid w:val="00B264B5"/>
    <w:rsid w:val="00B26514"/>
    <w:rsid w:val="00B26C14"/>
    <w:rsid w:val="00B27AF1"/>
    <w:rsid w:val="00B27CAA"/>
    <w:rsid w:val="00B27CB1"/>
    <w:rsid w:val="00B3000C"/>
    <w:rsid w:val="00B301F2"/>
    <w:rsid w:val="00B3036C"/>
    <w:rsid w:val="00B3085F"/>
    <w:rsid w:val="00B30BC3"/>
    <w:rsid w:val="00B30CE1"/>
    <w:rsid w:val="00B30FB8"/>
    <w:rsid w:val="00B31AD4"/>
    <w:rsid w:val="00B3255A"/>
    <w:rsid w:val="00B325DA"/>
    <w:rsid w:val="00B32638"/>
    <w:rsid w:val="00B328BD"/>
    <w:rsid w:val="00B32A1D"/>
    <w:rsid w:val="00B32B5A"/>
    <w:rsid w:val="00B333EF"/>
    <w:rsid w:val="00B335C1"/>
    <w:rsid w:val="00B33C4A"/>
    <w:rsid w:val="00B34A1C"/>
    <w:rsid w:val="00B34B4F"/>
    <w:rsid w:val="00B34BB0"/>
    <w:rsid w:val="00B34ECC"/>
    <w:rsid w:val="00B35071"/>
    <w:rsid w:val="00B35298"/>
    <w:rsid w:val="00B35B91"/>
    <w:rsid w:val="00B35E54"/>
    <w:rsid w:val="00B36971"/>
    <w:rsid w:val="00B36DFD"/>
    <w:rsid w:val="00B37BED"/>
    <w:rsid w:val="00B37DB2"/>
    <w:rsid w:val="00B37FB3"/>
    <w:rsid w:val="00B40161"/>
    <w:rsid w:val="00B40345"/>
    <w:rsid w:val="00B403FF"/>
    <w:rsid w:val="00B406BE"/>
    <w:rsid w:val="00B40732"/>
    <w:rsid w:val="00B40CB2"/>
    <w:rsid w:val="00B41889"/>
    <w:rsid w:val="00B41E89"/>
    <w:rsid w:val="00B41F42"/>
    <w:rsid w:val="00B41FE2"/>
    <w:rsid w:val="00B4210A"/>
    <w:rsid w:val="00B42338"/>
    <w:rsid w:val="00B424B4"/>
    <w:rsid w:val="00B424C2"/>
    <w:rsid w:val="00B42B1A"/>
    <w:rsid w:val="00B42C01"/>
    <w:rsid w:val="00B42C64"/>
    <w:rsid w:val="00B42D7A"/>
    <w:rsid w:val="00B42FF6"/>
    <w:rsid w:val="00B43314"/>
    <w:rsid w:val="00B43552"/>
    <w:rsid w:val="00B43D52"/>
    <w:rsid w:val="00B43E33"/>
    <w:rsid w:val="00B43F95"/>
    <w:rsid w:val="00B44215"/>
    <w:rsid w:val="00B447C1"/>
    <w:rsid w:val="00B44A51"/>
    <w:rsid w:val="00B44C00"/>
    <w:rsid w:val="00B45B72"/>
    <w:rsid w:val="00B45BBD"/>
    <w:rsid w:val="00B46317"/>
    <w:rsid w:val="00B4719C"/>
    <w:rsid w:val="00B473BB"/>
    <w:rsid w:val="00B4783D"/>
    <w:rsid w:val="00B479B4"/>
    <w:rsid w:val="00B47D39"/>
    <w:rsid w:val="00B47F5D"/>
    <w:rsid w:val="00B503D9"/>
    <w:rsid w:val="00B50531"/>
    <w:rsid w:val="00B50631"/>
    <w:rsid w:val="00B506AA"/>
    <w:rsid w:val="00B50E36"/>
    <w:rsid w:val="00B50F25"/>
    <w:rsid w:val="00B511BB"/>
    <w:rsid w:val="00B519F7"/>
    <w:rsid w:val="00B51A4C"/>
    <w:rsid w:val="00B51FAB"/>
    <w:rsid w:val="00B52814"/>
    <w:rsid w:val="00B52AA6"/>
    <w:rsid w:val="00B53FDE"/>
    <w:rsid w:val="00B54195"/>
    <w:rsid w:val="00B5420E"/>
    <w:rsid w:val="00B54276"/>
    <w:rsid w:val="00B543FA"/>
    <w:rsid w:val="00B54518"/>
    <w:rsid w:val="00B547E0"/>
    <w:rsid w:val="00B54856"/>
    <w:rsid w:val="00B54F73"/>
    <w:rsid w:val="00B55022"/>
    <w:rsid w:val="00B552AC"/>
    <w:rsid w:val="00B554B1"/>
    <w:rsid w:val="00B55578"/>
    <w:rsid w:val="00B5563C"/>
    <w:rsid w:val="00B55827"/>
    <w:rsid w:val="00B558EA"/>
    <w:rsid w:val="00B55B0F"/>
    <w:rsid w:val="00B55B72"/>
    <w:rsid w:val="00B565B5"/>
    <w:rsid w:val="00B56D9F"/>
    <w:rsid w:val="00B57087"/>
    <w:rsid w:val="00B57403"/>
    <w:rsid w:val="00B579B0"/>
    <w:rsid w:val="00B57EC7"/>
    <w:rsid w:val="00B57FB5"/>
    <w:rsid w:val="00B6017D"/>
    <w:rsid w:val="00B604C9"/>
    <w:rsid w:val="00B60CF7"/>
    <w:rsid w:val="00B60E84"/>
    <w:rsid w:val="00B60FDC"/>
    <w:rsid w:val="00B6179C"/>
    <w:rsid w:val="00B6217D"/>
    <w:rsid w:val="00B63171"/>
    <w:rsid w:val="00B6333F"/>
    <w:rsid w:val="00B637E5"/>
    <w:rsid w:val="00B638A5"/>
    <w:rsid w:val="00B63AE4"/>
    <w:rsid w:val="00B63E3C"/>
    <w:rsid w:val="00B64273"/>
    <w:rsid w:val="00B6450E"/>
    <w:rsid w:val="00B64A3B"/>
    <w:rsid w:val="00B64DA9"/>
    <w:rsid w:val="00B653D8"/>
    <w:rsid w:val="00B653E7"/>
    <w:rsid w:val="00B65D18"/>
    <w:rsid w:val="00B65DA0"/>
    <w:rsid w:val="00B65E6D"/>
    <w:rsid w:val="00B65F0B"/>
    <w:rsid w:val="00B660C3"/>
    <w:rsid w:val="00B665D9"/>
    <w:rsid w:val="00B66CC1"/>
    <w:rsid w:val="00B66CDF"/>
    <w:rsid w:val="00B6724B"/>
    <w:rsid w:val="00B6731B"/>
    <w:rsid w:val="00B673A8"/>
    <w:rsid w:val="00B673DE"/>
    <w:rsid w:val="00B676CB"/>
    <w:rsid w:val="00B70459"/>
    <w:rsid w:val="00B70A6D"/>
    <w:rsid w:val="00B70DEE"/>
    <w:rsid w:val="00B7111D"/>
    <w:rsid w:val="00B7170F"/>
    <w:rsid w:val="00B728CD"/>
    <w:rsid w:val="00B729A2"/>
    <w:rsid w:val="00B732A9"/>
    <w:rsid w:val="00B73420"/>
    <w:rsid w:val="00B73482"/>
    <w:rsid w:val="00B73714"/>
    <w:rsid w:val="00B73E39"/>
    <w:rsid w:val="00B73ED1"/>
    <w:rsid w:val="00B740D5"/>
    <w:rsid w:val="00B74341"/>
    <w:rsid w:val="00B7467F"/>
    <w:rsid w:val="00B746BF"/>
    <w:rsid w:val="00B7473F"/>
    <w:rsid w:val="00B74B1D"/>
    <w:rsid w:val="00B74C19"/>
    <w:rsid w:val="00B74D06"/>
    <w:rsid w:val="00B74E0C"/>
    <w:rsid w:val="00B75276"/>
    <w:rsid w:val="00B75852"/>
    <w:rsid w:val="00B75898"/>
    <w:rsid w:val="00B75CF1"/>
    <w:rsid w:val="00B75DF7"/>
    <w:rsid w:val="00B7619B"/>
    <w:rsid w:val="00B764AE"/>
    <w:rsid w:val="00B76763"/>
    <w:rsid w:val="00B774F8"/>
    <w:rsid w:val="00B80486"/>
    <w:rsid w:val="00B80A44"/>
    <w:rsid w:val="00B80AC7"/>
    <w:rsid w:val="00B80BAD"/>
    <w:rsid w:val="00B80FD6"/>
    <w:rsid w:val="00B81245"/>
    <w:rsid w:val="00B81311"/>
    <w:rsid w:val="00B816B9"/>
    <w:rsid w:val="00B818E3"/>
    <w:rsid w:val="00B81A93"/>
    <w:rsid w:val="00B81FA3"/>
    <w:rsid w:val="00B8234D"/>
    <w:rsid w:val="00B8255A"/>
    <w:rsid w:val="00B8256E"/>
    <w:rsid w:val="00B82A1F"/>
    <w:rsid w:val="00B83161"/>
    <w:rsid w:val="00B83D91"/>
    <w:rsid w:val="00B84184"/>
    <w:rsid w:val="00B846F9"/>
    <w:rsid w:val="00B847AD"/>
    <w:rsid w:val="00B84B37"/>
    <w:rsid w:val="00B85035"/>
    <w:rsid w:val="00B855E6"/>
    <w:rsid w:val="00B85741"/>
    <w:rsid w:val="00B864E5"/>
    <w:rsid w:val="00B8699B"/>
    <w:rsid w:val="00B86E64"/>
    <w:rsid w:val="00B86E7A"/>
    <w:rsid w:val="00B86F65"/>
    <w:rsid w:val="00B86F8C"/>
    <w:rsid w:val="00B870D3"/>
    <w:rsid w:val="00B8722E"/>
    <w:rsid w:val="00B876B6"/>
    <w:rsid w:val="00B878A7"/>
    <w:rsid w:val="00B87A7D"/>
    <w:rsid w:val="00B87AB4"/>
    <w:rsid w:val="00B87C75"/>
    <w:rsid w:val="00B87EC7"/>
    <w:rsid w:val="00B87F1C"/>
    <w:rsid w:val="00B90406"/>
    <w:rsid w:val="00B9055F"/>
    <w:rsid w:val="00B905DC"/>
    <w:rsid w:val="00B907C0"/>
    <w:rsid w:val="00B90858"/>
    <w:rsid w:val="00B90A79"/>
    <w:rsid w:val="00B9144A"/>
    <w:rsid w:val="00B917AB"/>
    <w:rsid w:val="00B9185A"/>
    <w:rsid w:val="00B91A41"/>
    <w:rsid w:val="00B91E47"/>
    <w:rsid w:val="00B920B2"/>
    <w:rsid w:val="00B92328"/>
    <w:rsid w:val="00B9250F"/>
    <w:rsid w:val="00B925BE"/>
    <w:rsid w:val="00B92738"/>
    <w:rsid w:val="00B92D3B"/>
    <w:rsid w:val="00B92DCE"/>
    <w:rsid w:val="00B938F3"/>
    <w:rsid w:val="00B939E8"/>
    <w:rsid w:val="00B93C85"/>
    <w:rsid w:val="00B941B6"/>
    <w:rsid w:val="00B94393"/>
    <w:rsid w:val="00B944F8"/>
    <w:rsid w:val="00B946A7"/>
    <w:rsid w:val="00B9591A"/>
    <w:rsid w:val="00B95A53"/>
    <w:rsid w:val="00B95A58"/>
    <w:rsid w:val="00B9627A"/>
    <w:rsid w:val="00B9644B"/>
    <w:rsid w:val="00B96474"/>
    <w:rsid w:val="00B96924"/>
    <w:rsid w:val="00B97605"/>
    <w:rsid w:val="00B9793C"/>
    <w:rsid w:val="00B97A3C"/>
    <w:rsid w:val="00B97B0F"/>
    <w:rsid w:val="00B97D81"/>
    <w:rsid w:val="00B97E4C"/>
    <w:rsid w:val="00B97EB7"/>
    <w:rsid w:val="00BA010C"/>
    <w:rsid w:val="00BA03C8"/>
    <w:rsid w:val="00BA0526"/>
    <w:rsid w:val="00BA08D7"/>
    <w:rsid w:val="00BA10A7"/>
    <w:rsid w:val="00BA1875"/>
    <w:rsid w:val="00BA221B"/>
    <w:rsid w:val="00BA2379"/>
    <w:rsid w:val="00BA2385"/>
    <w:rsid w:val="00BA23DA"/>
    <w:rsid w:val="00BA2481"/>
    <w:rsid w:val="00BA281F"/>
    <w:rsid w:val="00BA3297"/>
    <w:rsid w:val="00BA3ED2"/>
    <w:rsid w:val="00BA4BF2"/>
    <w:rsid w:val="00BA4DC5"/>
    <w:rsid w:val="00BA516B"/>
    <w:rsid w:val="00BA56C4"/>
    <w:rsid w:val="00BA58DE"/>
    <w:rsid w:val="00BA5B59"/>
    <w:rsid w:val="00BA644C"/>
    <w:rsid w:val="00BA7576"/>
    <w:rsid w:val="00BA7609"/>
    <w:rsid w:val="00BA7711"/>
    <w:rsid w:val="00BB0060"/>
    <w:rsid w:val="00BB025D"/>
    <w:rsid w:val="00BB0332"/>
    <w:rsid w:val="00BB05EA"/>
    <w:rsid w:val="00BB083D"/>
    <w:rsid w:val="00BB0B30"/>
    <w:rsid w:val="00BB0F6E"/>
    <w:rsid w:val="00BB1452"/>
    <w:rsid w:val="00BB179D"/>
    <w:rsid w:val="00BB1B19"/>
    <w:rsid w:val="00BB1BE4"/>
    <w:rsid w:val="00BB1EDE"/>
    <w:rsid w:val="00BB21BB"/>
    <w:rsid w:val="00BB26D6"/>
    <w:rsid w:val="00BB2AD5"/>
    <w:rsid w:val="00BB2C2C"/>
    <w:rsid w:val="00BB2DE5"/>
    <w:rsid w:val="00BB3650"/>
    <w:rsid w:val="00BB38CC"/>
    <w:rsid w:val="00BB3A4B"/>
    <w:rsid w:val="00BB3EA8"/>
    <w:rsid w:val="00BB4A68"/>
    <w:rsid w:val="00BB4F33"/>
    <w:rsid w:val="00BB582D"/>
    <w:rsid w:val="00BB5B5A"/>
    <w:rsid w:val="00BB5BE6"/>
    <w:rsid w:val="00BB5E71"/>
    <w:rsid w:val="00BB5F4B"/>
    <w:rsid w:val="00BB70A9"/>
    <w:rsid w:val="00BB772B"/>
    <w:rsid w:val="00BB7A3E"/>
    <w:rsid w:val="00BB7AB9"/>
    <w:rsid w:val="00BB7E56"/>
    <w:rsid w:val="00BC04F2"/>
    <w:rsid w:val="00BC075C"/>
    <w:rsid w:val="00BC0A55"/>
    <w:rsid w:val="00BC0C31"/>
    <w:rsid w:val="00BC0D89"/>
    <w:rsid w:val="00BC119D"/>
    <w:rsid w:val="00BC135A"/>
    <w:rsid w:val="00BC1778"/>
    <w:rsid w:val="00BC1E62"/>
    <w:rsid w:val="00BC233C"/>
    <w:rsid w:val="00BC25BE"/>
    <w:rsid w:val="00BC273C"/>
    <w:rsid w:val="00BC2A20"/>
    <w:rsid w:val="00BC2BA5"/>
    <w:rsid w:val="00BC2D13"/>
    <w:rsid w:val="00BC2FB4"/>
    <w:rsid w:val="00BC309E"/>
    <w:rsid w:val="00BC3721"/>
    <w:rsid w:val="00BC3F49"/>
    <w:rsid w:val="00BC4342"/>
    <w:rsid w:val="00BC43C4"/>
    <w:rsid w:val="00BC4469"/>
    <w:rsid w:val="00BC4CC9"/>
    <w:rsid w:val="00BC4DBD"/>
    <w:rsid w:val="00BC4DDC"/>
    <w:rsid w:val="00BC5212"/>
    <w:rsid w:val="00BC5626"/>
    <w:rsid w:val="00BC5700"/>
    <w:rsid w:val="00BC5D4D"/>
    <w:rsid w:val="00BC5EDD"/>
    <w:rsid w:val="00BC5FE7"/>
    <w:rsid w:val="00BC5FF4"/>
    <w:rsid w:val="00BC622D"/>
    <w:rsid w:val="00BC6A83"/>
    <w:rsid w:val="00BC6F63"/>
    <w:rsid w:val="00BC7480"/>
    <w:rsid w:val="00BC79AD"/>
    <w:rsid w:val="00BC7C6D"/>
    <w:rsid w:val="00BD117F"/>
    <w:rsid w:val="00BD1CD2"/>
    <w:rsid w:val="00BD1FAD"/>
    <w:rsid w:val="00BD200C"/>
    <w:rsid w:val="00BD219C"/>
    <w:rsid w:val="00BD291D"/>
    <w:rsid w:val="00BD2AFC"/>
    <w:rsid w:val="00BD319B"/>
    <w:rsid w:val="00BD337B"/>
    <w:rsid w:val="00BD38B0"/>
    <w:rsid w:val="00BD3F28"/>
    <w:rsid w:val="00BD454D"/>
    <w:rsid w:val="00BD50B2"/>
    <w:rsid w:val="00BD5467"/>
    <w:rsid w:val="00BD5627"/>
    <w:rsid w:val="00BD5BC7"/>
    <w:rsid w:val="00BD5C36"/>
    <w:rsid w:val="00BD6576"/>
    <w:rsid w:val="00BD659A"/>
    <w:rsid w:val="00BD6BF0"/>
    <w:rsid w:val="00BD6DD1"/>
    <w:rsid w:val="00BD71D8"/>
    <w:rsid w:val="00BD7426"/>
    <w:rsid w:val="00BD751C"/>
    <w:rsid w:val="00BD765F"/>
    <w:rsid w:val="00BD784A"/>
    <w:rsid w:val="00BD7ABC"/>
    <w:rsid w:val="00BD7B3F"/>
    <w:rsid w:val="00BE06FA"/>
    <w:rsid w:val="00BE091F"/>
    <w:rsid w:val="00BE0970"/>
    <w:rsid w:val="00BE0E5E"/>
    <w:rsid w:val="00BE1616"/>
    <w:rsid w:val="00BE17AF"/>
    <w:rsid w:val="00BE1C58"/>
    <w:rsid w:val="00BE1EB5"/>
    <w:rsid w:val="00BE252F"/>
    <w:rsid w:val="00BE2542"/>
    <w:rsid w:val="00BE2697"/>
    <w:rsid w:val="00BE29F6"/>
    <w:rsid w:val="00BE2E99"/>
    <w:rsid w:val="00BE32AA"/>
    <w:rsid w:val="00BE3379"/>
    <w:rsid w:val="00BE33B8"/>
    <w:rsid w:val="00BE3875"/>
    <w:rsid w:val="00BE39C4"/>
    <w:rsid w:val="00BE3BB9"/>
    <w:rsid w:val="00BE3DC3"/>
    <w:rsid w:val="00BE40B9"/>
    <w:rsid w:val="00BE415F"/>
    <w:rsid w:val="00BE433D"/>
    <w:rsid w:val="00BE51AD"/>
    <w:rsid w:val="00BE547D"/>
    <w:rsid w:val="00BE568C"/>
    <w:rsid w:val="00BE5890"/>
    <w:rsid w:val="00BE58AC"/>
    <w:rsid w:val="00BE5EA6"/>
    <w:rsid w:val="00BE6683"/>
    <w:rsid w:val="00BE66EF"/>
    <w:rsid w:val="00BE6AA9"/>
    <w:rsid w:val="00BE7184"/>
    <w:rsid w:val="00BE77AA"/>
    <w:rsid w:val="00BE7858"/>
    <w:rsid w:val="00BE79B6"/>
    <w:rsid w:val="00BE7AC2"/>
    <w:rsid w:val="00BE7B3C"/>
    <w:rsid w:val="00BF0337"/>
    <w:rsid w:val="00BF09FE"/>
    <w:rsid w:val="00BF0CB6"/>
    <w:rsid w:val="00BF0DE5"/>
    <w:rsid w:val="00BF114A"/>
    <w:rsid w:val="00BF16CC"/>
    <w:rsid w:val="00BF18BD"/>
    <w:rsid w:val="00BF1BD6"/>
    <w:rsid w:val="00BF1D81"/>
    <w:rsid w:val="00BF1DA0"/>
    <w:rsid w:val="00BF1FDF"/>
    <w:rsid w:val="00BF207F"/>
    <w:rsid w:val="00BF2AF7"/>
    <w:rsid w:val="00BF3359"/>
    <w:rsid w:val="00BF341C"/>
    <w:rsid w:val="00BF3564"/>
    <w:rsid w:val="00BF3816"/>
    <w:rsid w:val="00BF3822"/>
    <w:rsid w:val="00BF407D"/>
    <w:rsid w:val="00BF43C5"/>
    <w:rsid w:val="00BF4AD8"/>
    <w:rsid w:val="00BF5046"/>
    <w:rsid w:val="00BF5086"/>
    <w:rsid w:val="00BF5E35"/>
    <w:rsid w:val="00BF6165"/>
    <w:rsid w:val="00BF6328"/>
    <w:rsid w:val="00BF6332"/>
    <w:rsid w:val="00BF68EE"/>
    <w:rsid w:val="00BF6BD4"/>
    <w:rsid w:val="00BF6C11"/>
    <w:rsid w:val="00BF7916"/>
    <w:rsid w:val="00BF7D4A"/>
    <w:rsid w:val="00C002F3"/>
    <w:rsid w:val="00C0033C"/>
    <w:rsid w:val="00C003AD"/>
    <w:rsid w:val="00C00623"/>
    <w:rsid w:val="00C00624"/>
    <w:rsid w:val="00C014D7"/>
    <w:rsid w:val="00C015FF"/>
    <w:rsid w:val="00C018DD"/>
    <w:rsid w:val="00C01DFA"/>
    <w:rsid w:val="00C02F66"/>
    <w:rsid w:val="00C030D7"/>
    <w:rsid w:val="00C034EC"/>
    <w:rsid w:val="00C03AC5"/>
    <w:rsid w:val="00C04B98"/>
    <w:rsid w:val="00C04F11"/>
    <w:rsid w:val="00C04F79"/>
    <w:rsid w:val="00C04FB8"/>
    <w:rsid w:val="00C05552"/>
    <w:rsid w:val="00C057CB"/>
    <w:rsid w:val="00C05828"/>
    <w:rsid w:val="00C05854"/>
    <w:rsid w:val="00C05C30"/>
    <w:rsid w:val="00C05E0B"/>
    <w:rsid w:val="00C065E4"/>
    <w:rsid w:val="00C06701"/>
    <w:rsid w:val="00C06810"/>
    <w:rsid w:val="00C0721B"/>
    <w:rsid w:val="00C07410"/>
    <w:rsid w:val="00C0755D"/>
    <w:rsid w:val="00C07594"/>
    <w:rsid w:val="00C07C95"/>
    <w:rsid w:val="00C07EC9"/>
    <w:rsid w:val="00C102B2"/>
    <w:rsid w:val="00C102DF"/>
    <w:rsid w:val="00C1044F"/>
    <w:rsid w:val="00C10B16"/>
    <w:rsid w:val="00C114B2"/>
    <w:rsid w:val="00C11592"/>
    <w:rsid w:val="00C120C4"/>
    <w:rsid w:val="00C121C2"/>
    <w:rsid w:val="00C122A7"/>
    <w:rsid w:val="00C123D6"/>
    <w:rsid w:val="00C123E3"/>
    <w:rsid w:val="00C1247F"/>
    <w:rsid w:val="00C125D4"/>
    <w:rsid w:val="00C1265D"/>
    <w:rsid w:val="00C12994"/>
    <w:rsid w:val="00C12D02"/>
    <w:rsid w:val="00C13413"/>
    <w:rsid w:val="00C137EB"/>
    <w:rsid w:val="00C13B0F"/>
    <w:rsid w:val="00C14818"/>
    <w:rsid w:val="00C14AA6"/>
    <w:rsid w:val="00C14B23"/>
    <w:rsid w:val="00C1546D"/>
    <w:rsid w:val="00C15869"/>
    <w:rsid w:val="00C159C6"/>
    <w:rsid w:val="00C160A1"/>
    <w:rsid w:val="00C163AB"/>
    <w:rsid w:val="00C1641E"/>
    <w:rsid w:val="00C16581"/>
    <w:rsid w:val="00C16CD0"/>
    <w:rsid w:val="00C16E01"/>
    <w:rsid w:val="00C16E66"/>
    <w:rsid w:val="00C17098"/>
    <w:rsid w:val="00C1751D"/>
    <w:rsid w:val="00C176C5"/>
    <w:rsid w:val="00C17CBC"/>
    <w:rsid w:val="00C20488"/>
    <w:rsid w:val="00C205A5"/>
    <w:rsid w:val="00C206BA"/>
    <w:rsid w:val="00C20A22"/>
    <w:rsid w:val="00C20B32"/>
    <w:rsid w:val="00C21A63"/>
    <w:rsid w:val="00C21AEE"/>
    <w:rsid w:val="00C21DF4"/>
    <w:rsid w:val="00C224CA"/>
    <w:rsid w:val="00C226EA"/>
    <w:rsid w:val="00C226EC"/>
    <w:rsid w:val="00C2290B"/>
    <w:rsid w:val="00C22EC2"/>
    <w:rsid w:val="00C22F08"/>
    <w:rsid w:val="00C23660"/>
    <w:rsid w:val="00C2379D"/>
    <w:rsid w:val="00C24000"/>
    <w:rsid w:val="00C241A0"/>
    <w:rsid w:val="00C24591"/>
    <w:rsid w:val="00C24970"/>
    <w:rsid w:val="00C24CCE"/>
    <w:rsid w:val="00C24F88"/>
    <w:rsid w:val="00C25001"/>
    <w:rsid w:val="00C250E4"/>
    <w:rsid w:val="00C25AE4"/>
    <w:rsid w:val="00C262ED"/>
    <w:rsid w:val="00C26FCC"/>
    <w:rsid w:val="00C27297"/>
    <w:rsid w:val="00C2748A"/>
    <w:rsid w:val="00C277FE"/>
    <w:rsid w:val="00C27F56"/>
    <w:rsid w:val="00C301D8"/>
    <w:rsid w:val="00C3057E"/>
    <w:rsid w:val="00C30670"/>
    <w:rsid w:val="00C307C4"/>
    <w:rsid w:val="00C31227"/>
    <w:rsid w:val="00C3133A"/>
    <w:rsid w:val="00C31E05"/>
    <w:rsid w:val="00C32238"/>
    <w:rsid w:val="00C325C7"/>
    <w:rsid w:val="00C32A10"/>
    <w:rsid w:val="00C33950"/>
    <w:rsid w:val="00C33B0A"/>
    <w:rsid w:val="00C33F7E"/>
    <w:rsid w:val="00C34762"/>
    <w:rsid w:val="00C34A1B"/>
    <w:rsid w:val="00C34A6A"/>
    <w:rsid w:val="00C34EE6"/>
    <w:rsid w:val="00C34F0C"/>
    <w:rsid w:val="00C358DE"/>
    <w:rsid w:val="00C35B67"/>
    <w:rsid w:val="00C35D30"/>
    <w:rsid w:val="00C35D93"/>
    <w:rsid w:val="00C3620A"/>
    <w:rsid w:val="00C36F14"/>
    <w:rsid w:val="00C37481"/>
    <w:rsid w:val="00C3781B"/>
    <w:rsid w:val="00C40283"/>
    <w:rsid w:val="00C40406"/>
    <w:rsid w:val="00C40A4E"/>
    <w:rsid w:val="00C40C46"/>
    <w:rsid w:val="00C4102A"/>
    <w:rsid w:val="00C41CCD"/>
    <w:rsid w:val="00C41DB5"/>
    <w:rsid w:val="00C41E2A"/>
    <w:rsid w:val="00C41FE9"/>
    <w:rsid w:val="00C42A7C"/>
    <w:rsid w:val="00C42EF8"/>
    <w:rsid w:val="00C433C6"/>
    <w:rsid w:val="00C43583"/>
    <w:rsid w:val="00C44023"/>
    <w:rsid w:val="00C44233"/>
    <w:rsid w:val="00C443D0"/>
    <w:rsid w:val="00C445C0"/>
    <w:rsid w:val="00C44F69"/>
    <w:rsid w:val="00C45057"/>
    <w:rsid w:val="00C4546A"/>
    <w:rsid w:val="00C45625"/>
    <w:rsid w:val="00C45E30"/>
    <w:rsid w:val="00C45E79"/>
    <w:rsid w:val="00C46A81"/>
    <w:rsid w:val="00C46E92"/>
    <w:rsid w:val="00C4725F"/>
    <w:rsid w:val="00C4732D"/>
    <w:rsid w:val="00C47D9C"/>
    <w:rsid w:val="00C47DF3"/>
    <w:rsid w:val="00C507A3"/>
    <w:rsid w:val="00C50B36"/>
    <w:rsid w:val="00C50D8E"/>
    <w:rsid w:val="00C5100D"/>
    <w:rsid w:val="00C515CF"/>
    <w:rsid w:val="00C51A46"/>
    <w:rsid w:val="00C51A81"/>
    <w:rsid w:val="00C51D73"/>
    <w:rsid w:val="00C52552"/>
    <w:rsid w:val="00C526C1"/>
    <w:rsid w:val="00C52873"/>
    <w:rsid w:val="00C52931"/>
    <w:rsid w:val="00C52A56"/>
    <w:rsid w:val="00C530C2"/>
    <w:rsid w:val="00C5320F"/>
    <w:rsid w:val="00C532D5"/>
    <w:rsid w:val="00C535EF"/>
    <w:rsid w:val="00C536FA"/>
    <w:rsid w:val="00C53C40"/>
    <w:rsid w:val="00C54167"/>
    <w:rsid w:val="00C54553"/>
    <w:rsid w:val="00C545AA"/>
    <w:rsid w:val="00C54C83"/>
    <w:rsid w:val="00C55498"/>
    <w:rsid w:val="00C556A6"/>
    <w:rsid w:val="00C55D12"/>
    <w:rsid w:val="00C55F32"/>
    <w:rsid w:val="00C56720"/>
    <w:rsid w:val="00C56B50"/>
    <w:rsid w:val="00C56E89"/>
    <w:rsid w:val="00C570F1"/>
    <w:rsid w:val="00C57843"/>
    <w:rsid w:val="00C5792B"/>
    <w:rsid w:val="00C6019A"/>
    <w:rsid w:val="00C6025E"/>
    <w:rsid w:val="00C605E4"/>
    <w:rsid w:val="00C60CF4"/>
    <w:rsid w:val="00C610DD"/>
    <w:rsid w:val="00C615D7"/>
    <w:rsid w:val="00C6191F"/>
    <w:rsid w:val="00C61A90"/>
    <w:rsid w:val="00C61BE0"/>
    <w:rsid w:val="00C61EAB"/>
    <w:rsid w:val="00C62010"/>
    <w:rsid w:val="00C6242E"/>
    <w:rsid w:val="00C62B58"/>
    <w:rsid w:val="00C62BCF"/>
    <w:rsid w:val="00C62BD2"/>
    <w:rsid w:val="00C62D29"/>
    <w:rsid w:val="00C62E78"/>
    <w:rsid w:val="00C62EB2"/>
    <w:rsid w:val="00C63215"/>
    <w:rsid w:val="00C63715"/>
    <w:rsid w:val="00C64B02"/>
    <w:rsid w:val="00C65109"/>
    <w:rsid w:val="00C6571E"/>
    <w:rsid w:val="00C657A8"/>
    <w:rsid w:val="00C65956"/>
    <w:rsid w:val="00C65A09"/>
    <w:rsid w:val="00C65CD7"/>
    <w:rsid w:val="00C660D3"/>
    <w:rsid w:val="00C663F5"/>
    <w:rsid w:val="00C6654E"/>
    <w:rsid w:val="00C666F2"/>
    <w:rsid w:val="00C66990"/>
    <w:rsid w:val="00C671C4"/>
    <w:rsid w:val="00C6749B"/>
    <w:rsid w:val="00C679DB"/>
    <w:rsid w:val="00C67BA5"/>
    <w:rsid w:val="00C67C9A"/>
    <w:rsid w:val="00C7011C"/>
    <w:rsid w:val="00C703A6"/>
    <w:rsid w:val="00C7043D"/>
    <w:rsid w:val="00C70668"/>
    <w:rsid w:val="00C70EE5"/>
    <w:rsid w:val="00C712FD"/>
    <w:rsid w:val="00C718E1"/>
    <w:rsid w:val="00C71A78"/>
    <w:rsid w:val="00C71A99"/>
    <w:rsid w:val="00C71BA7"/>
    <w:rsid w:val="00C71BEE"/>
    <w:rsid w:val="00C71DC4"/>
    <w:rsid w:val="00C71FBD"/>
    <w:rsid w:val="00C72F5C"/>
    <w:rsid w:val="00C7301C"/>
    <w:rsid w:val="00C73213"/>
    <w:rsid w:val="00C734E6"/>
    <w:rsid w:val="00C7395F"/>
    <w:rsid w:val="00C73D29"/>
    <w:rsid w:val="00C740B3"/>
    <w:rsid w:val="00C7438E"/>
    <w:rsid w:val="00C74FC7"/>
    <w:rsid w:val="00C7518B"/>
    <w:rsid w:val="00C75635"/>
    <w:rsid w:val="00C75AEF"/>
    <w:rsid w:val="00C75F0B"/>
    <w:rsid w:val="00C75F89"/>
    <w:rsid w:val="00C76260"/>
    <w:rsid w:val="00C76A36"/>
    <w:rsid w:val="00C7714F"/>
    <w:rsid w:val="00C775D8"/>
    <w:rsid w:val="00C779CC"/>
    <w:rsid w:val="00C77BFF"/>
    <w:rsid w:val="00C77EE8"/>
    <w:rsid w:val="00C80044"/>
    <w:rsid w:val="00C80402"/>
    <w:rsid w:val="00C80616"/>
    <w:rsid w:val="00C80642"/>
    <w:rsid w:val="00C80807"/>
    <w:rsid w:val="00C8083C"/>
    <w:rsid w:val="00C8119A"/>
    <w:rsid w:val="00C815B0"/>
    <w:rsid w:val="00C817DD"/>
    <w:rsid w:val="00C81B0C"/>
    <w:rsid w:val="00C82D0F"/>
    <w:rsid w:val="00C835CD"/>
    <w:rsid w:val="00C8374F"/>
    <w:rsid w:val="00C84223"/>
    <w:rsid w:val="00C848AA"/>
    <w:rsid w:val="00C84B12"/>
    <w:rsid w:val="00C8540F"/>
    <w:rsid w:val="00C8547D"/>
    <w:rsid w:val="00C854CB"/>
    <w:rsid w:val="00C854E9"/>
    <w:rsid w:val="00C855E5"/>
    <w:rsid w:val="00C858A8"/>
    <w:rsid w:val="00C864E8"/>
    <w:rsid w:val="00C86622"/>
    <w:rsid w:val="00C86A25"/>
    <w:rsid w:val="00C8736D"/>
    <w:rsid w:val="00C876B6"/>
    <w:rsid w:val="00C877F3"/>
    <w:rsid w:val="00C87B7A"/>
    <w:rsid w:val="00C902CF"/>
    <w:rsid w:val="00C9055E"/>
    <w:rsid w:val="00C907C1"/>
    <w:rsid w:val="00C9122D"/>
    <w:rsid w:val="00C91290"/>
    <w:rsid w:val="00C91878"/>
    <w:rsid w:val="00C91E8F"/>
    <w:rsid w:val="00C91FC3"/>
    <w:rsid w:val="00C92071"/>
    <w:rsid w:val="00C92133"/>
    <w:rsid w:val="00C921C9"/>
    <w:rsid w:val="00C92A45"/>
    <w:rsid w:val="00C92B25"/>
    <w:rsid w:val="00C930DD"/>
    <w:rsid w:val="00C9339B"/>
    <w:rsid w:val="00C9358A"/>
    <w:rsid w:val="00C937CF"/>
    <w:rsid w:val="00C93909"/>
    <w:rsid w:val="00C9393A"/>
    <w:rsid w:val="00C948F8"/>
    <w:rsid w:val="00C94F31"/>
    <w:rsid w:val="00C94F33"/>
    <w:rsid w:val="00C94F3E"/>
    <w:rsid w:val="00C94F48"/>
    <w:rsid w:val="00C953B1"/>
    <w:rsid w:val="00C95F32"/>
    <w:rsid w:val="00C96558"/>
    <w:rsid w:val="00C96963"/>
    <w:rsid w:val="00C96C9C"/>
    <w:rsid w:val="00C96F2A"/>
    <w:rsid w:val="00C9706E"/>
    <w:rsid w:val="00C97375"/>
    <w:rsid w:val="00C97F26"/>
    <w:rsid w:val="00CA02BE"/>
    <w:rsid w:val="00CA0A35"/>
    <w:rsid w:val="00CA1057"/>
    <w:rsid w:val="00CA1497"/>
    <w:rsid w:val="00CA15BC"/>
    <w:rsid w:val="00CA15FA"/>
    <w:rsid w:val="00CA1645"/>
    <w:rsid w:val="00CA2AF7"/>
    <w:rsid w:val="00CA2B63"/>
    <w:rsid w:val="00CA3569"/>
    <w:rsid w:val="00CA4038"/>
    <w:rsid w:val="00CA4268"/>
    <w:rsid w:val="00CA4324"/>
    <w:rsid w:val="00CA449B"/>
    <w:rsid w:val="00CA44F1"/>
    <w:rsid w:val="00CA468A"/>
    <w:rsid w:val="00CA4A8E"/>
    <w:rsid w:val="00CA5020"/>
    <w:rsid w:val="00CA51A8"/>
    <w:rsid w:val="00CA56DD"/>
    <w:rsid w:val="00CA588B"/>
    <w:rsid w:val="00CA5AB7"/>
    <w:rsid w:val="00CA5DFB"/>
    <w:rsid w:val="00CA6124"/>
    <w:rsid w:val="00CA6483"/>
    <w:rsid w:val="00CA6AB3"/>
    <w:rsid w:val="00CA6AF9"/>
    <w:rsid w:val="00CA6F66"/>
    <w:rsid w:val="00CA756C"/>
    <w:rsid w:val="00CA7D7C"/>
    <w:rsid w:val="00CB05C6"/>
    <w:rsid w:val="00CB0797"/>
    <w:rsid w:val="00CB083D"/>
    <w:rsid w:val="00CB0855"/>
    <w:rsid w:val="00CB0A07"/>
    <w:rsid w:val="00CB0D1C"/>
    <w:rsid w:val="00CB0DE3"/>
    <w:rsid w:val="00CB1EF5"/>
    <w:rsid w:val="00CB226B"/>
    <w:rsid w:val="00CB291E"/>
    <w:rsid w:val="00CB2BF1"/>
    <w:rsid w:val="00CB363C"/>
    <w:rsid w:val="00CB3ACD"/>
    <w:rsid w:val="00CB3DBB"/>
    <w:rsid w:val="00CB3E49"/>
    <w:rsid w:val="00CB3EBA"/>
    <w:rsid w:val="00CB4058"/>
    <w:rsid w:val="00CB444E"/>
    <w:rsid w:val="00CB5105"/>
    <w:rsid w:val="00CB541A"/>
    <w:rsid w:val="00CB5557"/>
    <w:rsid w:val="00CB6156"/>
    <w:rsid w:val="00CB631D"/>
    <w:rsid w:val="00CB64A1"/>
    <w:rsid w:val="00CB6925"/>
    <w:rsid w:val="00CB6E0E"/>
    <w:rsid w:val="00CB74DC"/>
    <w:rsid w:val="00CB776F"/>
    <w:rsid w:val="00CB7E5A"/>
    <w:rsid w:val="00CC0362"/>
    <w:rsid w:val="00CC08E2"/>
    <w:rsid w:val="00CC0C46"/>
    <w:rsid w:val="00CC0EE2"/>
    <w:rsid w:val="00CC0EE8"/>
    <w:rsid w:val="00CC1407"/>
    <w:rsid w:val="00CC14D1"/>
    <w:rsid w:val="00CC16FD"/>
    <w:rsid w:val="00CC1B06"/>
    <w:rsid w:val="00CC20BC"/>
    <w:rsid w:val="00CC2416"/>
    <w:rsid w:val="00CC252E"/>
    <w:rsid w:val="00CC2A39"/>
    <w:rsid w:val="00CC2AF7"/>
    <w:rsid w:val="00CC2CD2"/>
    <w:rsid w:val="00CC3144"/>
    <w:rsid w:val="00CC32C7"/>
    <w:rsid w:val="00CC3656"/>
    <w:rsid w:val="00CC3BE2"/>
    <w:rsid w:val="00CC4454"/>
    <w:rsid w:val="00CC461B"/>
    <w:rsid w:val="00CC4DA7"/>
    <w:rsid w:val="00CC4E21"/>
    <w:rsid w:val="00CC4FAE"/>
    <w:rsid w:val="00CC5A03"/>
    <w:rsid w:val="00CC5A75"/>
    <w:rsid w:val="00CC5E74"/>
    <w:rsid w:val="00CC6185"/>
    <w:rsid w:val="00CC632F"/>
    <w:rsid w:val="00CC6C55"/>
    <w:rsid w:val="00CC6C83"/>
    <w:rsid w:val="00CC748E"/>
    <w:rsid w:val="00CC75BD"/>
    <w:rsid w:val="00CC7C83"/>
    <w:rsid w:val="00CC7DF2"/>
    <w:rsid w:val="00CD0169"/>
    <w:rsid w:val="00CD040E"/>
    <w:rsid w:val="00CD052E"/>
    <w:rsid w:val="00CD079A"/>
    <w:rsid w:val="00CD07AF"/>
    <w:rsid w:val="00CD0939"/>
    <w:rsid w:val="00CD0A66"/>
    <w:rsid w:val="00CD0C4B"/>
    <w:rsid w:val="00CD0D0F"/>
    <w:rsid w:val="00CD0F47"/>
    <w:rsid w:val="00CD0FA2"/>
    <w:rsid w:val="00CD0FD9"/>
    <w:rsid w:val="00CD138A"/>
    <w:rsid w:val="00CD1573"/>
    <w:rsid w:val="00CD1D24"/>
    <w:rsid w:val="00CD1E85"/>
    <w:rsid w:val="00CD1EB5"/>
    <w:rsid w:val="00CD2220"/>
    <w:rsid w:val="00CD23D7"/>
    <w:rsid w:val="00CD2745"/>
    <w:rsid w:val="00CD29FA"/>
    <w:rsid w:val="00CD319F"/>
    <w:rsid w:val="00CD3B05"/>
    <w:rsid w:val="00CD3BD6"/>
    <w:rsid w:val="00CD5123"/>
    <w:rsid w:val="00CD5984"/>
    <w:rsid w:val="00CD63D5"/>
    <w:rsid w:val="00CD6CA7"/>
    <w:rsid w:val="00CD6D2C"/>
    <w:rsid w:val="00CD6DF6"/>
    <w:rsid w:val="00CD71B9"/>
    <w:rsid w:val="00CD7613"/>
    <w:rsid w:val="00CD78DE"/>
    <w:rsid w:val="00CE02D8"/>
    <w:rsid w:val="00CE081F"/>
    <w:rsid w:val="00CE0945"/>
    <w:rsid w:val="00CE1507"/>
    <w:rsid w:val="00CE1CE7"/>
    <w:rsid w:val="00CE2266"/>
    <w:rsid w:val="00CE23E3"/>
    <w:rsid w:val="00CE24E5"/>
    <w:rsid w:val="00CE2562"/>
    <w:rsid w:val="00CE2765"/>
    <w:rsid w:val="00CE2D2D"/>
    <w:rsid w:val="00CE36D2"/>
    <w:rsid w:val="00CE36FF"/>
    <w:rsid w:val="00CE389B"/>
    <w:rsid w:val="00CE3A13"/>
    <w:rsid w:val="00CE3A5B"/>
    <w:rsid w:val="00CE3C72"/>
    <w:rsid w:val="00CE43D8"/>
    <w:rsid w:val="00CE43EF"/>
    <w:rsid w:val="00CE468B"/>
    <w:rsid w:val="00CE4D7E"/>
    <w:rsid w:val="00CE4F46"/>
    <w:rsid w:val="00CE54A0"/>
    <w:rsid w:val="00CE54D3"/>
    <w:rsid w:val="00CE54F9"/>
    <w:rsid w:val="00CE5AA8"/>
    <w:rsid w:val="00CE68BC"/>
    <w:rsid w:val="00CE6959"/>
    <w:rsid w:val="00CE6969"/>
    <w:rsid w:val="00CE7118"/>
    <w:rsid w:val="00CE7960"/>
    <w:rsid w:val="00CF03F9"/>
    <w:rsid w:val="00CF0607"/>
    <w:rsid w:val="00CF16E0"/>
    <w:rsid w:val="00CF1C03"/>
    <w:rsid w:val="00CF2216"/>
    <w:rsid w:val="00CF236A"/>
    <w:rsid w:val="00CF29C8"/>
    <w:rsid w:val="00CF2CA8"/>
    <w:rsid w:val="00CF2EAA"/>
    <w:rsid w:val="00CF2FE7"/>
    <w:rsid w:val="00CF3594"/>
    <w:rsid w:val="00CF3754"/>
    <w:rsid w:val="00CF3E4B"/>
    <w:rsid w:val="00CF434B"/>
    <w:rsid w:val="00CF439F"/>
    <w:rsid w:val="00CF43FA"/>
    <w:rsid w:val="00CF445A"/>
    <w:rsid w:val="00CF487F"/>
    <w:rsid w:val="00CF51EC"/>
    <w:rsid w:val="00CF52FD"/>
    <w:rsid w:val="00CF5348"/>
    <w:rsid w:val="00CF550A"/>
    <w:rsid w:val="00CF5AB9"/>
    <w:rsid w:val="00CF5DFB"/>
    <w:rsid w:val="00CF5FBB"/>
    <w:rsid w:val="00CF6610"/>
    <w:rsid w:val="00CF752C"/>
    <w:rsid w:val="00CF7662"/>
    <w:rsid w:val="00CF773A"/>
    <w:rsid w:val="00CF79D7"/>
    <w:rsid w:val="00D004BD"/>
    <w:rsid w:val="00D00715"/>
    <w:rsid w:val="00D01288"/>
    <w:rsid w:val="00D02153"/>
    <w:rsid w:val="00D0241C"/>
    <w:rsid w:val="00D02887"/>
    <w:rsid w:val="00D02D9A"/>
    <w:rsid w:val="00D031C7"/>
    <w:rsid w:val="00D03565"/>
    <w:rsid w:val="00D0388C"/>
    <w:rsid w:val="00D040B4"/>
    <w:rsid w:val="00D04727"/>
    <w:rsid w:val="00D04786"/>
    <w:rsid w:val="00D04A6F"/>
    <w:rsid w:val="00D04BD7"/>
    <w:rsid w:val="00D051A5"/>
    <w:rsid w:val="00D058E4"/>
    <w:rsid w:val="00D05D5B"/>
    <w:rsid w:val="00D0609D"/>
    <w:rsid w:val="00D060FB"/>
    <w:rsid w:val="00D064E3"/>
    <w:rsid w:val="00D064F2"/>
    <w:rsid w:val="00D06906"/>
    <w:rsid w:val="00D06B4F"/>
    <w:rsid w:val="00D06EBB"/>
    <w:rsid w:val="00D100E6"/>
    <w:rsid w:val="00D103BF"/>
    <w:rsid w:val="00D105B8"/>
    <w:rsid w:val="00D10CF5"/>
    <w:rsid w:val="00D10D8C"/>
    <w:rsid w:val="00D11397"/>
    <w:rsid w:val="00D1161B"/>
    <w:rsid w:val="00D11B35"/>
    <w:rsid w:val="00D11C96"/>
    <w:rsid w:val="00D121C3"/>
    <w:rsid w:val="00D12365"/>
    <w:rsid w:val="00D125F4"/>
    <w:rsid w:val="00D127A6"/>
    <w:rsid w:val="00D12DF0"/>
    <w:rsid w:val="00D1309E"/>
    <w:rsid w:val="00D13275"/>
    <w:rsid w:val="00D13451"/>
    <w:rsid w:val="00D13CF3"/>
    <w:rsid w:val="00D13F2D"/>
    <w:rsid w:val="00D1473C"/>
    <w:rsid w:val="00D15361"/>
    <w:rsid w:val="00D15539"/>
    <w:rsid w:val="00D15D61"/>
    <w:rsid w:val="00D15DBC"/>
    <w:rsid w:val="00D163C5"/>
    <w:rsid w:val="00D168E2"/>
    <w:rsid w:val="00D16938"/>
    <w:rsid w:val="00D16B76"/>
    <w:rsid w:val="00D16F95"/>
    <w:rsid w:val="00D17219"/>
    <w:rsid w:val="00D175E7"/>
    <w:rsid w:val="00D1795B"/>
    <w:rsid w:val="00D202AD"/>
    <w:rsid w:val="00D206EF"/>
    <w:rsid w:val="00D20D51"/>
    <w:rsid w:val="00D20E33"/>
    <w:rsid w:val="00D21341"/>
    <w:rsid w:val="00D21DB4"/>
    <w:rsid w:val="00D21E92"/>
    <w:rsid w:val="00D22053"/>
    <w:rsid w:val="00D223F4"/>
    <w:rsid w:val="00D22484"/>
    <w:rsid w:val="00D2340B"/>
    <w:rsid w:val="00D23578"/>
    <w:rsid w:val="00D23BFC"/>
    <w:rsid w:val="00D24385"/>
    <w:rsid w:val="00D243EA"/>
    <w:rsid w:val="00D24A11"/>
    <w:rsid w:val="00D24BA9"/>
    <w:rsid w:val="00D24CBA"/>
    <w:rsid w:val="00D25010"/>
    <w:rsid w:val="00D252A4"/>
    <w:rsid w:val="00D252B0"/>
    <w:rsid w:val="00D2547B"/>
    <w:rsid w:val="00D255AC"/>
    <w:rsid w:val="00D255AE"/>
    <w:rsid w:val="00D25678"/>
    <w:rsid w:val="00D25C0D"/>
    <w:rsid w:val="00D25C13"/>
    <w:rsid w:val="00D2622A"/>
    <w:rsid w:val="00D264FC"/>
    <w:rsid w:val="00D26500"/>
    <w:rsid w:val="00D26A7F"/>
    <w:rsid w:val="00D27A65"/>
    <w:rsid w:val="00D27B59"/>
    <w:rsid w:val="00D30543"/>
    <w:rsid w:val="00D30A3A"/>
    <w:rsid w:val="00D30B23"/>
    <w:rsid w:val="00D30E20"/>
    <w:rsid w:val="00D30F47"/>
    <w:rsid w:val="00D315E8"/>
    <w:rsid w:val="00D316A4"/>
    <w:rsid w:val="00D31E14"/>
    <w:rsid w:val="00D321EE"/>
    <w:rsid w:val="00D32CC5"/>
    <w:rsid w:val="00D32D54"/>
    <w:rsid w:val="00D334A7"/>
    <w:rsid w:val="00D3393B"/>
    <w:rsid w:val="00D339A6"/>
    <w:rsid w:val="00D34261"/>
    <w:rsid w:val="00D342E9"/>
    <w:rsid w:val="00D34412"/>
    <w:rsid w:val="00D3468F"/>
    <w:rsid w:val="00D349C0"/>
    <w:rsid w:val="00D34CEA"/>
    <w:rsid w:val="00D35243"/>
    <w:rsid w:val="00D357F1"/>
    <w:rsid w:val="00D36397"/>
    <w:rsid w:val="00D36E16"/>
    <w:rsid w:val="00D36FEA"/>
    <w:rsid w:val="00D37017"/>
    <w:rsid w:val="00D37312"/>
    <w:rsid w:val="00D37468"/>
    <w:rsid w:val="00D3799A"/>
    <w:rsid w:val="00D402B6"/>
    <w:rsid w:val="00D40418"/>
    <w:rsid w:val="00D4043D"/>
    <w:rsid w:val="00D40547"/>
    <w:rsid w:val="00D40D70"/>
    <w:rsid w:val="00D4122E"/>
    <w:rsid w:val="00D41A80"/>
    <w:rsid w:val="00D41C3B"/>
    <w:rsid w:val="00D41E2C"/>
    <w:rsid w:val="00D41FC3"/>
    <w:rsid w:val="00D42DA2"/>
    <w:rsid w:val="00D42EF4"/>
    <w:rsid w:val="00D4332D"/>
    <w:rsid w:val="00D4335B"/>
    <w:rsid w:val="00D4385C"/>
    <w:rsid w:val="00D43B05"/>
    <w:rsid w:val="00D44167"/>
    <w:rsid w:val="00D4420B"/>
    <w:rsid w:val="00D44694"/>
    <w:rsid w:val="00D447B5"/>
    <w:rsid w:val="00D45077"/>
    <w:rsid w:val="00D455F1"/>
    <w:rsid w:val="00D459CA"/>
    <w:rsid w:val="00D4664B"/>
    <w:rsid w:val="00D46914"/>
    <w:rsid w:val="00D47300"/>
    <w:rsid w:val="00D4767E"/>
    <w:rsid w:val="00D479D5"/>
    <w:rsid w:val="00D47B33"/>
    <w:rsid w:val="00D47C77"/>
    <w:rsid w:val="00D47EF3"/>
    <w:rsid w:val="00D47F18"/>
    <w:rsid w:val="00D50591"/>
    <w:rsid w:val="00D505C7"/>
    <w:rsid w:val="00D50648"/>
    <w:rsid w:val="00D50FB3"/>
    <w:rsid w:val="00D5175B"/>
    <w:rsid w:val="00D52325"/>
    <w:rsid w:val="00D52589"/>
    <w:rsid w:val="00D5288B"/>
    <w:rsid w:val="00D53578"/>
    <w:rsid w:val="00D537B0"/>
    <w:rsid w:val="00D538B9"/>
    <w:rsid w:val="00D53BA4"/>
    <w:rsid w:val="00D53FB3"/>
    <w:rsid w:val="00D545FA"/>
    <w:rsid w:val="00D54609"/>
    <w:rsid w:val="00D54706"/>
    <w:rsid w:val="00D54C32"/>
    <w:rsid w:val="00D5510E"/>
    <w:rsid w:val="00D55426"/>
    <w:rsid w:val="00D5566A"/>
    <w:rsid w:val="00D5572B"/>
    <w:rsid w:val="00D55A08"/>
    <w:rsid w:val="00D55EF0"/>
    <w:rsid w:val="00D56055"/>
    <w:rsid w:val="00D562E3"/>
    <w:rsid w:val="00D563A6"/>
    <w:rsid w:val="00D5649A"/>
    <w:rsid w:val="00D57ACE"/>
    <w:rsid w:val="00D57DAC"/>
    <w:rsid w:val="00D6039C"/>
    <w:rsid w:val="00D60601"/>
    <w:rsid w:val="00D6088A"/>
    <w:rsid w:val="00D60A04"/>
    <w:rsid w:val="00D60A9A"/>
    <w:rsid w:val="00D60DB0"/>
    <w:rsid w:val="00D61040"/>
    <w:rsid w:val="00D610AD"/>
    <w:rsid w:val="00D616A8"/>
    <w:rsid w:val="00D6181D"/>
    <w:rsid w:val="00D61AA9"/>
    <w:rsid w:val="00D6275E"/>
    <w:rsid w:val="00D629CB"/>
    <w:rsid w:val="00D62DDF"/>
    <w:rsid w:val="00D63798"/>
    <w:rsid w:val="00D63AFD"/>
    <w:rsid w:val="00D63D7A"/>
    <w:rsid w:val="00D63DE3"/>
    <w:rsid w:val="00D63FE0"/>
    <w:rsid w:val="00D6407E"/>
    <w:rsid w:val="00D645A4"/>
    <w:rsid w:val="00D649FD"/>
    <w:rsid w:val="00D64C9C"/>
    <w:rsid w:val="00D651FB"/>
    <w:rsid w:val="00D653DE"/>
    <w:rsid w:val="00D65672"/>
    <w:rsid w:val="00D65B59"/>
    <w:rsid w:val="00D66775"/>
    <w:rsid w:val="00D670BA"/>
    <w:rsid w:val="00D671B8"/>
    <w:rsid w:val="00D67544"/>
    <w:rsid w:val="00D70169"/>
    <w:rsid w:val="00D701BF"/>
    <w:rsid w:val="00D702E9"/>
    <w:rsid w:val="00D705CB"/>
    <w:rsid w:val="00D70838"/>
    <w:rsid w:val="00D7096B"/>
    <w:rsid w:val="00D70E10"/>
    <w:rsid w:val="00D7101E"/>
    <w:rsid w:val="00D7135E"/>
    <w:rsid w:val="00D72198"/>
    <w:rsid w:val="00D722DC"/>
    <w:rsid w:val="00D722ED"/>
    <w:rsid w:val="00D724D7"/>
    <w:rsid w:val="00D728E8"/>
    <w:rsid w:val="00D7297B"/>
    <w:rsid w:val="00D729E3"/>
    <w:rsid w:val="00D73295"/>
    <w:rsid w:val="00D736B5"/>
    <w:rsid w:val="00D73E92"/>
    <w:rsid w:val="00D74258"/>
    <w:rsid w:val="00D74651"/>
    <w:rsid w:val="00D74717"/>
    <w:rsid w:val="00D749B3"/>
    <w:rsid w:val="00D74E90"/>
    <w:rsid w:val="00D74FB9"/>
    <w:rsid w:val="00D75105"/>
    <w:rsid w:val="00D7559A"/>
    <w:rsid w:val="00D758BC"/>
    <w:rsid w:val="00D75D0E"/>
    <w:rsid w:val="00D76137"/>
    <w:rsid w:val="00D7614F"/>
    <w:rsid w:val="00D76335"/>
    <w:rsid w:val="00D766DA"/>
    <w:rsid w:val="00D767D0"/>
    <w:rsid w:val="00D76B6B"/>
    <w:rsid w:val="00D771F9"/>
    <w:rsid w:val="00D773CC"/>
    <w:rsid w:val="00D776F0"/>
    <w:rsid w:val="00D778AE"/>
    <w:rsid w:val="00D77C90"/>
    <w:rsid w:val="00D802BE"/>
    <w:rsid w:val="00D8048C"/>
    <w:rsid w:val="00D80EE3"/>
    <w:rsid w:val="00D81025"/>
    <w:rsid w:val="00D8127F"/>
    <w:rsid w:val="00D816FA"/>
    <w:rsid w:val="00D82AD0"/>
    <w:rsid w:val="00D82CCE"/>
    <w:rsid w:val="00D82FFC"/>
    <w:rsid w:val="00D8379A"/>
    <w:rsid w:val="00D839ED"/>
    <w:rsid w:val="00D83B86"/>
    <w:rsid w:val="00D84138"/>
    <w:rsid w:val="00D84234"/>
    <w:rsid w:val="00D84357"/>
    <w:rsid w:val="00D84BCC"/>
    <w:rsid w:val="00D84D76"/>
    <w:rsid w:val="00D852F8"/>
    <w:rsid w:val="00D853E7"/>
    <w:rsid w:val="00D85582"/>
    <w:rsid w:val="00D8608A"/>
    <w:rsid w:val="00D86772"/>
    <w:rsid w:val="00D8682C"/>
    <w:rsid w:val="00D86D6F"/>
    <w:rsid w:val="00D86E85"/>
    <w:rsid w:val="00D86F7A"/>
    <w:rsid w:val="00D87173"/>
    <w:rsid w:val="00D871BE"/>
    <w:rsid w:val="00D87309"/>
    <w:rsid w:val="00D875C1"/>
    <w:rsid w:val="00D87C4D"/>
    <w:rsid w:val="00D87FD2"/>
    <w:rsid w:val="00D900F0"/>
    <w:rsid w:val="00D900F7"/>
    <w:rsid w:val="00D90AAA"/>
    <w:rsid w:val="00D90BDF"/>
    <w:rsid w:val="00D90C94"/>
    <w:rsid w:val="00D91314"/>
    <w:rsid w:val="00D91A43"/>
    <w:rsid w:val="00D91A4B"/>
    <w:rsid w:val="00D91BFD"/>
    <w:rsid w:val="00D922A8"/>
    <w:rsid w:val="00D9262D"/>
    <w:rsid w:val="00D93039"/>
    <w:rsid w:val="00D931CA"/>
    <w:rsid w:val="00D933E0"/>
    <w:rsid w:val="00D934C2"/>
    <w:rsid w:val="00D936C9"/>
    <w:rsid w:val="00D93A2C"/>
    <w:rsid w:val="00D9403A"/>
    <w:rsid w:val="00D9425F"/>
    <w:rsid w:val="00D943C1"/>
    <w:rsid w:val="00D948A6"/>
    <w:rsid w:val="00D95069"/>
    <w:rsid w:val="00D959E0"/>
    <w:rsid w:val="00D95A5A"/>
    <w:rsid w:val="00D95ABE"/>
    <w:rsid w:val="00D95C35"/>
    <w:rsid w:val="00D95DFD"/>
    <w:rsid w:val="00D96437"/>
    <w:rsid w:val="00D96DBB"/>
    <w:rsid w:val="00D96FCD"/>
    <w:rsid w:val="00D9739A"/>
    <w:rsid w:val="00DA01D8"/>
    <w:rsid w:val="00DA0405"/>
    <w:rsid w:val="00DA0559"/>
    <w:rsid w:val="00DA08C1"/>
    <w:rsid w:val="00DA1061"/>
    <w:rsid w:val="00DA13D3"/>
    <w:rsid w:val="00DA13E4"/>
    <w:rsid w:val="00DA1C37"/>
    <w:rsid w:val="00DA1F2E"/>
    <w:rsid w:val="00DA1FD0"/>
    <w:rsid w:val="00DA260C"/>
    <w:rsid w:val="00DA2C96"/>
    <w:rsid w:val="00DA32E6"/>
    <w:rsid w:val="00DA38B6"/>
    <w:rsid w:val="00DA3B52"/>
    <w:rsid w:val="00DA40A2"/>
    <w:rsid w:val="00DA4272"/>
    <w:rsid w:val="00DA4965"/>
    <w:rsid w:val="00DA4DDE"/>
    <w:rsid w:val="00DA522E"/>
    <w:rsid w:val="00DA5294"/>
    <w:rsid w:val="00DA538B"/>
    <w:rsid w:val="00DA5455"/>
    <w:rsid w:val="00DA5471"/>
    <w:rsid w:val="00DA5764"/>
    <w:rsid w:val="00DA60F5"/>
    <w:rsid w:val="00DA6A99"/>
    <w:rsid w:val="00DA6A9B"/>
    <w:rsid w:val="00DA6AFF"/>
    <w:rsid w:val="00DA6FBD"/>
    <w:rsid w:val="00DA7004"/>
    <w:rsid w:val="00DA741B"/>
    <w:rsid w:val="00DA7999"/>
    <w:rsid w:val="00DA7B70"/>
    <w:rsid w:val="00DA7F2D"/>
    <w:rsid w:val="00DB0666"/>
    <w:rsid w:val="00DB06EB"/>
    <w:rsid w:val="00DB0A52"/>
    <w:rsid w:val="00DB0C0C"/>
    <w:rsid w:val="00DB0D0C"/>
    <w:rsid w:val="00DB0F38"/>
    <w:rsid w:val="00DB0F42"/>
    <w:rsid w:val="00DB1328"/>
    <w:rsid w:val="00DB16F2"/>
    <w:rsid w:val="00DB182B"/>
    <w:rsid w:val="00DB1BD2"/>
    <w:rsid w:val="00DB1DDB"/>
    <w:rsid w:val="00DB265F"/>
    <w:rsid w:val="00DB2755"/>
    <w:rsid w:val="00DB291E"/>
    <w:rsid w:val="00DB2C96"/>
    <w:rsid w:val="00DB3131"/>
    <w:rsid w:val="00DB3149"/>
    <w:rsid w:val="00DB32C0"/>
    <w:rsid w:val="00DB33A8"/>
    <w:rsid w:val="00DB3479"/>
    <w:rsid w:val="00DB38AC"/>
    <w:rsid w:val="00DB38E6"/>
    <w:rsid w:val="00DB3ADF"/>
    <w:rsid w:val="00DB3DEB"/>
    <w:rsid w:val="00DB4838"/>
    <w:rsid w:val="00DB4F56"/>
    <w:rsid w:val="00DB52B8"/>
    <w:rsid w:val="00DB559B"/>
    <w:rsid w:val="00DB631E"/>
    <w:rsid w:val="00DB6D7C"/>
    <w:rsid w:val="00DB6E13"/>
    <w:rsid w:val="00DB7363"/>
    <w:rsid w:val="00DB7853"/>
    <w:rsid w:val="00DB7862"/>
    <w:rsid w:val="00DB7B09"/>
    <w:rsid w:val="00DB7D47"/>
    <w:rsid w:val="00DC0349"/>
    <w:rsid w:val="00DC081A"/>
    <w:rsid w:val="00DC091E"/>
    <w:rsid w:val="00DC0A46"/>
    <w:rsid w:val="00DC0C97"/>
    <w:rsid w:val="00DC157E"/>
    <w:rsid w:val="00DC174E"/>
    <w:rsid w:val="00DC18C7"/>
    <w:rsid w:val="00DC1976"/>
    <w:rsid w:val="00DC1C9A"/>
    <w:rsid w:val="00DC28D6"/>
    <w:rsid w:val="00DC2E84"/>
    <w:rsid w:val="00DC3333"/>
    <w:rsid w:val="00DC367E"/>
    <w:rsid w:val="00DC39A3"/>
    <w:rsid w:val="00DC41FA"/>
    <w:rsid w:val="00DC44C3"/>
    <w:rsid w:val="00DC4594"/>
    <w:rsid w:val="00DC471F"/>
    <w:rsid w:val="00DC4B64"/>
    <w:rsid w:val="00DC4C5E"/>
    <w:rsid w:val="00DC5367"/>
    <w:rsid w:val="00DC5470"/>
    <w:rsid w:val="00DC5944"/>
    <w:rsid w:val="00DC5B21"/>
    <w:rsid w:val="00DC613C"/>
    <w:rsid w:val="00DC6CE6"/>
    <w:rsid w:val="00DC6E70"/>
    <w:rsid w:val="00DC6FCB"/>
    <w:rsid w:val="00DC706E"/>
    <w:rsid w:val="00DC7A82"/>
    <w:rsid w:val="00DD019D"/>
    <w:rsid w:val="00DD0494"/>
    <w:rsid w:val="00DD0E67"/>
    <w:rsid w:val="00DD1334"/>
    <w:rsid w:val="00DD1BBB"/>
    <w:rsid w:val="00DD1CE5"/>
    <w:rsid w:val="00DD2029"/>
    <w:rsid w:val="00DD21A1"/>
    <w:rsid w:val="00DD2962"/>
    <w:rsid w:val="00DD2B47"/>
    <w:rsid w:val="00DD2DD0"/>
    <w:rsid w:val="00DD2DE1"/>
    <w:rsid w:val="00DD33BB"/>
    <w:rsid w:val="00DD3A5F"/>
    <w:rsid w:val="00DD3F36"/>
    <w:rsid w:val="00DD41E2"/>
    <w:rsid w:val="00DD4529"/>
    <w:rsid w:val="00DD4549"/>
    <w:rsid w:val="00DD4760"/>
    <w:rsid w:val="00DD4AB8"/>
    <w:rsid w:val="00DD531E"/>
    <w:rsid w:val="00DD5491"/>
    <w:rsid w:val="00DD5AA2"/>
    <w:rsid w:val="00DD5B01"/>
    <w:rsid w:val="00DD5C85"/>
    <w:rsid w:val="00DD68EC"/>
    <w:rsid w:val="00DD6915"/>
    <w:rsid w:val="00DD6AB2"/>
    <w:rsid w:val="00DD6EB1"/>
    <w:rsid w:val="00DD7732"/>
    <w:rsid w:val="00DD7891"/>
    <w:rsid w:val="00DD7A19"/>
    <w:rsid w:val="00DD7EAF"/>
    <w:rsid w:val="00DE03B5"/>
    <w:rsid w:val="00DE0798"/>
    <w:rsid w:val="00DE0BE9"/>
    <w:rsid w:val="00DE0D17"/>
    <w:rsid w:val="00DE0EFF"/>
    <w:rsid w:val="00DE13C2"/>
    <w:rsid w:val="00DE163F"/>
    <w:rsid w:val="00DE1745"/>
    <w:rsid w:val="00DE1BAA"/>
    <w:rsid w:val="00DE1C4E"/>
    <w:rsid w:val="00DE1E32"/>
    <w:rsid w:val="00DE203F"/>
    <w:rsid w:val="00DE241B"/>
    <w:rsid w:val="00DE2958"/>
    <w:rsid w:val="00DE3060"/>
    <w:rsid w:val="00DE3F87"/>
    <w:rsid w:val="00DE400C"/>
    <w:rsid w:val="00DE41D8"/>
    <w:rsid w:val="00DE48A2"/>
    <w:rsid w:val="00DE4EE8"/>
    <w:rsid w:val="00DE5369"/>
    <w:rsid w:val="00DE5468"/>
    <w:rsid w:val="00DE57C0"/>
    <w:rsid w:val="00DE5B10"/>
    <w:rsid w:val="00DE5FD0"/>
    <w:rsid w:val="00DE603C"/>
    <w:rsid w:val="00DE6089"/>
    <w:rsid w:val="00DE61B3"/>
    <w:rsid w:val="00DE68D0"/>
    <w:rsid w:val="00DE7822"/>
    <w:rsid w:val="00DE7976"/>
    <w:rsid w:val="00DE7E59"/>
    <w:rsid w:val="00DE7EB2"/>
    <w:rsid w:val="00DF089D"/>
    <w:rsid w:val="00DF0F0A"/>
    <w:rsid w:val="00DF14C1"/>
    <w:rsid w:val="00DF199E"/>
    <w:rsid w:val="00DF23B6"/>
    <w:rsid w:val="00DF25C0"/>
    <w:rsid w:val="00DF269E"/>
    <w:rsid w:val="00DF306C"/>
    <w:rsid w:val="00DF3ABE"/>
    <w:rsid w:val="00DF3B4D"/>
    <w:rsid w:val="00DF3F66"/>
    <w:rsid w:val="00DF46B7"/>
    <w:rsid w:val="00DF4A9F"/>
    <w:rsid w:val="00DF5061"/>
    <w:rsid w:val="00DF5893"/>
    <w:rsid w:val="00DF59D7"/>
    <w:rsid w:val="00DF6D7E"/>
    <w:rsid w:val="00DF701A"/>
    <w:rsid w:val="00DF7134"/>
    <w:rsid w:val="00DF7339"/>
    <w:rsid w:val="00DF763E"/>
    <w:rsid w:val="00DF7C22"/>
    <w:rsid w:val="00E00240"/>
    <w:rsid w:val="00E00637"/>
    <w:rsid w:val="00E009AD"/>
    <w:rsid w:val="00E009B4"/>
    <w:rsid w:val="00E00C89"/>
    <w:rsid w:val="00E01AB6"/>
    <w:rsid w:val="00E01B87"/>
    <w:rsid w:val="00E0238F"/>
    <w:rsid w:val="00E023D6"/>
    <w:rsid w:val="00E02493"/>
    <w:rsid w:val="00E026B0"/>
    <w:rsid w:val="00E02968"/>
    <w:rsid w:val="00E02EC4"/>
    <w:rsid w:val="00E032AE"/>
    <w:rsid w:val="00E03772"/>
    <w:rsid w:val="00E03882"/>
    <w:rsid w:val="00E038F0"/>
    <w:rsid w:val="00E03967"/>
    <w:rsid w:val="00E03C7B"/>
    <w:rsid w:val="00E03E61"/>
    <w:rsid w:val="00E04205"/>
    <w:rsid w:val="00E04700"/>
    <w:rsid w:val="00E05F27"/>
    <w:rsid w:val="00E063FD"/>
    <w:rsid w:val="00E06921"/>
    <w:rsid w:val="00E06BF4"/>
    <w:rsid w:val="00E06C5A"/>
    <w:rsid w:val="00E06CA9"/>
    <w:rsid w:val="00E07340"/>
    <w:rsid w:val="00E076E5"/>
    <w:rsid w:val="00E07C7A"/>
    <w:rsid w:val="00E101C6"/>
    <w:rsid w:val="00E106DA"/>
    <w:rsid w:val="00E10981"/>
    <w:rsid w:val="00E109D9"/>
    <w:rsid w:val="00E1108F"/>
    <w:rsid w:val="00E11617"/>
    <w:rsid w:val="00E1166A"/>
    <w:rsid w:val="00E11797"/>
    <w:rsid w:val="00E118E8"/>
    <w:rsid w:val="00E11E48"/>
    <w:rsid w:val="00E12063"/>
    <w:rsid w:val="00E125D8"/>
    <w:rsid w:val="00E1368F"/>
    <w:rsid w:val="00E1395F"/>
    <w:rsid w:val="00E13DFC"/>
    <w:rsid w:val="00E140CA"/>
    <w:rsid w:val="00E14215"/>
    <w:rsid w:val="00E14464"/>
    <w:rsid w:val="00E14B6E"/>
    <w:rsid w:val="00E14EA9"/>
    <w:rsid w:val="00E1500E"/>
    <w:rsid w:val="00E1527D"/>
    <w:rsid w:val="00E15461"/>
    <w:rsid w:val="00E15988"/>
    <w:rsid w:val="00E15BDE"/>
    <w:rsid w:val="00E15C9F"/>
    <w:rsid w:val="00E15EAD"/>
    <w:rsid w:val="00E16863"/>
    <w:rsid w:val="00E16FE0"/>
    <w:rsid w:val="00E176CF"/>
    <w:rsid w:val="00E1779A"/>
    <w:rsid w:val="00E17B29"/>
    <w:rsid w:val="00E17D26"/>
    <w:rsid w:val="00E17EDC"/>
    <w:rsid w:val="00E20A8E"/>
    <w:rsid w:val="00E218E4"/>
    <w:rsid w:val="00E21AB6"/>
    <w:rsid w:val="00E21CC6"/>
    <w:rsid w:val="00E21E3C"/>
    <w:rsid w:val="00E22218"/>
    <w:rsid w:val="00E222BD"/>
    <w:rsid w:val="00E22A86"/>
    <w:rsid w:val="00E22E12"/>
    <w:rsid w:val="00E23291"/>
    <w:rsid w:val="00E235DF"/>
    <w:rsid w:val="00E23F4B"/>
    <w:rsid w:val="00E243B8"/>
    <w:rsid w:val="00E243FD"/>
    <w:rsid w:val="00E2454C"/>
    <w:rsid w:val="00E2487B"/>
    <w:rsid w:val="00E2494E"/>
    <w:rsid w:val="00E24F41"/>
    <w:rsid w:val="00E24F6F"/>
    <w:rsid w:val="00E25137"/>
    <w:rsid w:val="00E251F9"/>
    <w:rsid w:val="00E252EE"/>
    <w:rsid w:val="00E25854"/>
    <w:rsid w:val="00E2587A"/>
    <w:rsid w:val="00E25936"/>
    <w:rsid w:val="00E25B70"/>
    <w:rsid w:val="00E25D29"/>
    <w:rsid w:val="00E25F2D"/>
    <w:rsid w:val="00E26055"/>
    <w:rsid w:val="00E2617A"/>
    <w:rsid w:val="00E2672B"/>
    <w:rsid w:val="00E26A88"/>
    <w:rsid w:val="00E26E7D"/>
    <w:rsid w:val="00E27A8A"/>
    <w:rsid w:val="00E27B01"/>
    <w:rsid w:val="00E27D17"/>
    <w:rsid w:val="00E30028"/>
    <w:rsid w:val="00E3077A"/>
    <w:rsid w:val="00E31444"/>
    <w:rsid w:val="00E3147D"/>
    <w:rsid w:val="00E31FBC"/>
    <w:rsid w:val="00E323F8"/>
    <w:rsid w:val="00E3259E"/>
    <w:rsid w:val="00E326BF"/>
    <w:rsid w:val="00E326C5"/>
    <w:rsid w:val="00E32993"/>
    <w:rsid w:val="00E32B16"/>
    <w:rsid w:val="00E32E59"/>
    <w:rsid w:val="00E32E80"/>
    <w:rsid w:val="00E330C0"/>
    <w:rsid w:val="00E332D0"/>
    <w:rsid w:val="00E333D9"/>
    <w:rsid w:val="00E33537"/>
    <w:rsid w:val="00E335C6"/>
    <w:rsid w:val="00E349DE"/>
    <w:rsid w:val="00E35102"/>
    <w:rsid w:val="00E3527D"/>
    <w:rsid w:val="00E3570C"/>
    <w:rsid w:val="00E35B43"/>
    <w:rsid w:val="00E36636"/>
    <w:rsid w:val="00E366A7"/>
    <w:rsid w:val="00E36A6A"/>
    <w:rsid w:val="00E36DA9"/>
    <w:rsid w:val="00E370B3"/>
    <w:rsid w:val="00E372DF"/>
    <w:rsid w:val="00E373E6"/>
    <w:rsid w:val="00E37B75"/>
    <w:rsid w:val="00E37C13"/>
    <w:rsid w:val="00E400D4"/>
    <w:rsid w:val="00E4029A"/>
    <w:rsid w:val="00E4042D"/>
    <w:rsid w:val="00E40DF1"/>
    <w:rsid w:val="00E4155E"/>
    <w:rsid w:val="00E41970"/>
    <w:rsid w:val="00E41E5F"/>
    <w:rsid w:val="00E42318"/>
    <w:rsid w:val="00E42382"/>
    <w:rsid w:val="00E42548"/>
    <w:rsid w:val="00E42576"/>
    <w:rsid w:val="00E42701"/>
    <w:rsid w:val="00E4285C"/>
    <w:rsid w:val="00E42B64"/>
    <w:rsid w:val="00E42BCD"/>
    <w:rsid w:val="00E42BF5"/>
    <w:rsid w:val="00E4390E"/>
    <w:rsid w:val="00E441F2"/>
    <w:rsid w:val="00E4462A"/>
    <w:rsid w:val="00E44D9C"/>
    <w:rsid w:val="00E450AC"/>
    <w:rsid w:val="00E4540D"/>
    <w:rsid w:val="00E4559C"/>
    <w:rsid w:val="00E45A39"/>
    <w:rsid w:val="00E46408"/>
    <w:rsid w:val="00E465B7"/>
    <w:rsid w:val="00E466A4"/>
    <w:rsid w:val="00E466DA"/>
    <w:rsid w:val="00E46B32"/>
    <w:rsid w:val="00E46F65"/>
    <w:rsid w:val="00E47759"/>
    <w:rsid w:val="00E47BEC"/>
    <w:rsid w:val="00E50A75"/>
    <w:rsid w:val="00E50C55"/>
    <w:rsid w:val="00E50F6F"/>
    <w:rsid w:val="00E513B4"/>
    <w:rsid w:val="00E5163D"/>
    <w:rsid w:val="00E518B6"/>
    <w:rsid w:val="00E51B17"/>
    <w:rsid w:val="00E51B23"/>
    <w:rsid w:val="00E51E2E"/>
    <w:rsid w:val="00E51FB6"/>
    <w:rsid w:val="00E52129"/>
    <w:rsid w:val="00E5242F"/>
    <w:rsid w:val="00E52BF7"/>
    <w:rsid w:val="00E52E2B"/>
    <w:rsid w:val="00E53132"/>
    <w:rsid w:val="00E5367B"/>
    <w:rsid w:val="00E53A12"/>
    <w:rsid w:val="00E53ACB"/>
    <w:rsid w:val="00E53CC6"/>
    <w:rsid w:val="00E54D1F"/>
    <w:rsid w:val="00E55207"/>
    <w:rsid w:val="00E55221"/>
    <w:rsid w:val="00E55367"/>
    <w:rsid w:val="00E554E0"/>
    <w:rsid w:val="00E561FA"/>
    <w:rsid w:val="00E562BF"/>
    <w:rsid w:val="00E5630A"/>
    <w:rsid w:val="00E563D6"/>
    <w:rsid w:val="00E56D84"/>
    <w:rsid w:val="00E57188"/>
    <w:rsid w:val="00E575B6"/>
    <w:rsid w:val="00E57847"/>
    <w:rsid w:val="00E57B08"/>
    <w:rsid w:val="00E57C58"/>
    <w:rsid w:val="00E57CBF"/>
    <w:rsid w:val="00E57FCD"/>
    <w:rsid w:val="00E60761"/>
    <w:rsid w:val="00E60A0B"/>
    <w:rsid w:val="00E61264"/>
    <w:rsid w:val="00E612D3"/>
    <w:rsid w:val="00E614E9"/>
    <w:rsid w:val="00E616AE"/>
    <w:rsid w:val="00E62769"/>
    <w:rsid w:val="00E62845"/>
    <w:rsid w:val="00E62E2F"/>
    <w:rsid w:val="00E631D3"/>
    <w:rsid w:val="00E638A3"/>
    <w:rsid w:val="00E638A5"/>
    <w:rsid w:val="00E6392E"/>
    <w:rsid w:val="00E639D3"/>
    <w:rsid w:val="00E63D04"/>
    <w:rsid w:val="00E64592"/>
    <w:rsid w:val="00E648FA"/>
    <w:rsid w:val="00E6511A"/>
    <w:rsid w:val="00E65D9B"/>
    <w:rsid w:val="00E6617C"/>
    <w:rsid w:val="00E66182"/>
    <w:rsid w:val="00E661AD"/>
    <w:rsid w:val="00E6640A"/>
    <w:rsid w:val="00E66936"/>
    <w:rsid w:val="00E66C93"/>
    <w:rsid w:val="00E66DFC"/>
    <w:rsid w:val="00E66F39"/>
    <w:rsid w:val="00E670FA"/>
    <w:rsid w:val="00E678A2"/>
    <w:rsid w:val="00E67910"/>
    <w:rsid w:val="00E67BDB"/>
    <w:rsid w:val="00E67E08"/>
    <w:rsid w:val="00E70294"/>
    <w:rsid w:val="00E70945"/>
    <w:rsid w:val="00E709A8"/>
    <w:rsid w:val="00E70CE7"/>
    <w:rsid w:val="00E70E79"/>
    <w:rsid w:val="00E712A7"/>
    <w:rsid w:val="00E71648"/>
    <w:rsid w:val="00E716C1"/>
    <w:rsid w:val="00E717A8"/>
    <w:rsid w:val="00E71F5C"/>
    <w:rsid w:val="00E7208B"/>
    <w:rsid w:val="00E72361"/>
    <w:rsid w:val="00E72687"/>
    <w:rsid w:val="00E72821"/>
    <w:rsid w:val="00E72CD4"/>
    <w:rsid w:val="00E73AF1"/>
    <w:rsid w:val="00E745E6"/>
    <w:rsid w:val="00E747CF"/>
    <w:rsid w:val="00E74B19"/>
    <w:rsid w:val="00E74F30"/>
    <w:rsid w:val="00E758DC"/>
    <w:rsid w:val="00E75E73"/>
    <w:rsid w:val="00E7601B"/>
    <w:rsid w:val="00E7621F"/>
    <w:rsid w:val="00E7630F"/>
    <w:rsid w:val="00E76352"/>
    <w:rsid w:val="00E767B2"/>
    <w:rsid w:val="00E768BC"/>
    <w:rsid w:val="00E76E00"/>
    <w:rsid w:val="00E76E68"/>
    <w:rsid w:val="00E77E1D"/>
    <w:rsid w:val="00E8048E"/>
    <w:rsid w:val="00E809EC"/>
    <w:rsid w:val="00E80A17"/>
    <w:rsid w:val="00E80E05"/>
    <w:rsid w:val="00E812CE"/>
    <w:rsid w:val="00E81790"/>
    <w:rsid w:val="00E820FF"/>
    <w:rsid w:val="00E82133"/>
    <w:rsid w:val="00E82142"/>
    <w:rsid w:val="00E822B6"/>
    <w:rsid w:val="00E82422"/>
    <w:rsid w:val="00E82BEF"/>
    <w:rsid w:val="00E83437"/>
    <w:rsid w:val="00E8344A"/>
    <w:rsid w:val="00E83556"/>
    <w:rsid w:val="00E836C0"/>
    <w:rsid w:val="00E83D52"/>
    <w:rsid w:val="00E85218"/>
    <w:rsid w:val="00E852F8"/>
    <w:rsid w:val="00E86113"/>
    <w:rsid w:val="00E862B4"/>
    <w:rsid w:val="00E869D1"/>
    <w:rsid w:val="00E86C0E"/>
    <w:rsid w:val="00E87412"/>
    <w:rsid w:val="00E87681"/>
    <w:rsid w:val="00E87772"/>
    <w:rsid w:val="00E90616"/>
    <w:rsid w:val="00E90A2D"/>
    <w:rsid w:val="00E91301"/>
    <w:rsid w:val="00E9145D"/>
    <w:rsid w:val="00E91A1E"/>
    <w:rsid w:val="00E91B5A"/>
    <w:rsid w:val="00E91CE9"/>
    <w:rsid w:val="00E91D72"/>
    <w:rsid w:val="00E92857"/>
    <w:rsid w:val="00E92D84"/>
    <w:rsid w:val="00E92E71"/>
    <w:rsid w:val="00E92FF4"/>
    <w:rsid w:val="00E9319F"/>
    <w:rsid w:val="00E93410"/>
    <w:rsid w:val="00E937EE"/>
    <w:rsid w:val="00E93AB9"/>
    <w:rsid w:val="00E93DB6"/>
    <w:rsid w:val="00E94432"/>
    <w:rsid w:val="00E94DF9"/>
    <w:rsid w:val="00E94E40"/>
    <w:rsid w:val="00E9511E"/>
    <w:rsid w:val="00E955B3"/>
    <w:rsid w:val="00E9562B"/>
    <w:rsid w:val="00E95FA4"/>
    <w:rsid w:val="00E9663D"/>
    <w:rsid w:val="00E966FF"/>
    <w:rsid w:val="00E96940"/>
    <w:rsid w:val="00E9735C"/>
    <w:rsid w:val="00E976C0"/>
    <w:rsid w:val="00E97B4B"/>
    <w:rsid w:val="00E97C07"/>
    <w:rsid w:val="00E97E6A"/>
    <w:rsid w:val="00EA0CC9"/>
    <w:rsid w:val="00EA0DF4"/>
    <w:rsid w:val="00EA10DE"/>
    <w:rsid w:val="00EA13C5"/>
    <w:rsid w:val="00EA19D1"/>
    <w:rsid w:val="00EA2168"/>
    <w:rsid w:val="00EA21E4"/>
    <w:rsid w:val="00EA2225"/>
    <w:rsid w:val="00EA22A1"/>
    <w:rsid w:val="00EA238F"/>
    <w:rsid w:val="00EA277D"/>
    <w:rsid w:val="00EA28CB"/>
    <w:rsid w:val="00EA3600"/>
    <w:rsid w:val="00EA3E2C"/>
    <w:rsid w:val="00EA4076"/>
    <w:rsid w:val="00EA4349"/>
    <w:rsid w:val="00EA48F0"/>
    <w:rsid w:val="00EA4A03"/>
    <w:rsid w:val="00EA4A17"/>
    <w:rsid w:val="00EA4B8C"/>
    <w:rsid w:val="00EA4DD9"/>
    <w:rsid w:val="00EA509D"/>
    <w:rsid w:val="00EA51D9"/>
    <w:rsid w:val="00EA54A9"/>
    <w:rsid w:val="00EA58FA"/>
    <w:rsid w:val="00EA5AD4"/>
    <w:rsid w:val="00EA5C99"/>
    <w:rsid w:val="00EA6549"/>
    <w:rsid w:val="00EA7173"/>
    <w:rsid w:val="00EA744F"/>
    <w:rsid w:val="00EA75CD"/>
    <w:rsid w:val="00EB04CA"/>
    <w:rsid w:val="00EB04D4"/>
    <w:rsid w:val="00EB09BD"/>
    <w:rsid w:val="00EB0B54"/>
    <w:rsid w:val="00EB0C6C"/>
    <w:rsid w:val="00EB1060"/>
    <w:rsid w:val="00EB146A"/>
    <w:rsid w:val="00EB14E3"/>
    <w:rsid w:val="00EB18B7"/>
    <w:rsid w:val="00EB199B"/>
    <w:rsid w:val="00EB1E82"/>
    <w:rsid w:val="00EB2BB0"/>
    <w:rsid w:val="00EB3396"/>
    <w:rsid w:val="00EB3658"/>
    <w:rsid w:val="00EB3F0B"/>
    <w:rsid w:val="00EB40D8"/>
    <w:rsid w:val="00EB494D"/>
    <w:rsid w:val="00EB5025"/>
    <w:rsid w:val="00EB5626"/>
    <w:rsid w:val="00EB56A5"/>
    <w:rsid w:val="00EB5C2D"/>
    <w:rsid w:val="00EB5E92"/>
    <w:rsid w:val="00EB68EE"/>
    <w:rsid w:val="00EB6F10"/>
    <w:rsid w:val="00EB6F2F"/>
    <w:rsid w:val="00EB71F6"/>
    <w:rsid w:val="00EB7E91"/>
    <w:rsid w:val="00EC00DE"/>
    <w:rsid w:val="00EC05FE"/>
    <w:rsid w:val="00EC0DFF"/>
    <w:rsid w:val="00EC102D"/>
    <w:rsid w:val="00EC120F"/>
    <w:rsid w:val="00EC1924"/>
    <w:rsid w:val="00EC2101"/>
    <w:rsid w:val="00EC2831"/>
    <w:rsid w:val="00EC298D"/>
    <w:rsid w:val="00EC30D6"/>
    <w:rsid w:val="00EC3134"/>
    <w:rsid w:val="00EC3550"/>
    <w:rsid w:val="00EC35F4"/>
    <w:rsid w:val="00EC3C1A"/>
    <w:rsid w:val="00EC4207"/>
    <w:rsid w:val="00EC47F0"/>
    <w:rsid w:val="00EC4D65"/>
    <w:rsid w:val="00EC50FB"/>
    <w:rsid w:val="00EC5216"/>
    <w:rsid w:val="00EC5661"/>
    <w:rsid w:val="00EC5AD8"/>
    <w:rsid w:val="00EC5B44"/>
    <w:rsid w:val="00EC67E5"/>
    <w:rsid w:val="00EC6845"/>
    <w:rsid w:val="00EC72F9"/>
    <w:rsid w:val="00EC798F"/>
    <w:rsid w:val="00ED014E"/>
    <w:rsid w:val="00ED08E5"/>
    <w:rsid w:val="00ED0FD7"/>
    <w:rsid w:val="00ED1098"/>
    <w:rsid w:val="00ED1312"/>
    <w:rsid w:val="00ED15FA"/>
    <w:rsid w:val="00ED184D"/>
    <w:rsid w:val="00ED1B7B"/>
    <w:rsid w:val="00ED2631"/>
    <w:rsid w:val="00ED2693"/>
    <w:rsid w:val="00ED2E5C"/>
    <w:rsid w:val="00ED2FAE"/>
    <w:rsid w:val="00ED3028"/>
    <w:rsid w:val="00ED311F"/>
    <w:rsid w:val="00ED360B"/>
    <w:rsid w:val="00ED37CE"/>
    <w:rsid w:val="00ED3A53"/>
    <w:rsid w:val="00ED3A67"/>
    <w:rsid w:val="00ED3BE1"/>
    <w:rsid w:val="00ED3D47"/>
    <w:rsid w:val="00ED3D68"/>
    <w:rsid w:val="00ED3DB2"/>
    <w:rsid w:val="00ED4173"/>
    <w:rsid w:val="00ED42E2"/>
    <w:rsid w:val="00ED46D7"/>
    <w:rsid w:val="00ED4736"/>
    <w:rsid w:val="00ED47D0"/>
    <w:rsid w:val="00ED48D4"/>
    <w:rsid w:val="00ED4945"/>
    <w:rsid w:val="00ED4FEE"/>
    <w:rsid w:val="00ED5236"/>
    <w:rsid w:val="00ED574D"/>
    <w:rsid w:val="00ED5D26"/>
    <w:rsid w:val="00ED5DED"/>
    <w:rsid w:val="00ED6235"/>
    <w:rsid w:val="00ED67AD"/>
    <w:rsid w:val="00ED6BC1"/>
    <w:rsid w:val="00ED6C96"/>
    <w:rsid w:val="00ED6DED"/>
    <w:rsid w:val="00ED6E23"/>
    <w:rsid w:val="00ED6EAC"/>
    <w:rsid w:val="00ED6ED7"/>
    <w:rsid w:val="00ED72DC"/>
    <w:rsid w:val="00ED7422"/>
    <w:rsid w:val="00ED79CD"/>
    <w:rsid w:val="00EE0110"/>
    <w:rsid w:val="00EE07BC"/>
    <w:rsid w:val="00EE08C9"/>
    <w:rsid w:val="00EE0FE0"/>
    <w:rsid w:val="00EE147C"/>
    <w:rsid w:val="00EE1DAB"/>
    <w:rsid w:val="00EE1E59"/>
    <w:rsid w:val="00EE1E74"/>
    <w:rsid w:val="00EE255D"/>
    <w:rsid w:val="00EE2866"/>
    <w:rsid w:val="00EE2A7B"/>
    <w:rsid w:val="00EE2BA9"/>
    <w:rsid w:val="00EE2C49"/>
    <w:rsid w:val="00EE2DF8"/>
    <w:rsid w:val="00EE2F92"/>
    <w:rsid w:val="00EE312A"/>
    <w:rsid w:val="00EE3183"/>
    <w:rsid w:val="00EE3329"/>
    <w:rsid w:val="00EE3A11"/>
    <w:rsid w:val="00EE3A67"/>
    <w:rsid w:val="00EE3C6C"/>
    <w:rsid w:val="00EE4073"/>
    <w:rsid w:val="00EE4356"/>
    <w:rsid w:val="00EE443F"/>
    <w:rsid w:val="00EE4594"/>
    <w:rsid w:val="00EE4C59"/>
    <w:rsid w:val="00EE4E25"/>
    <w:rsid w:val="00EE4FAB"/>
    <w:rsid w:val="00EE54D8"/>
    <w:rsid w:val="00EE55F4"/>
    <w:rsid w:val="00EE5B5A"/>
    <w:rsid w:val="00EE5EFF"/>
    <w:rsid w:val="00EE6280"/>
    <w:rsid w:val="00EE637A"/>
    <w:rsid w:val="00EE67A9"/>
    <w:rsid w:val="00EE6A75"/>
    <w:rsid w:val="00EE6B37"/>
    <w:rsid w:val="00EE71A1"/>
    <w:rsid w:val="00EE7438"/>
    <w:rsid w:val="00EE76D9"/>
    <w:rsid w:val="00EF01BF"/>
    <w:rsid w:val="00EF01DA"/>
    <w:rsid w:val="00EF07E2"/>
    <w:rsid w:val="00EF08B6"/>
    <w:rsid w:val="00EF0B8B"/>
    <w:rsid w:val="00EF0CD0"/>
    <w:rsid w:val="00EF0E59"/>
    <w:rsid w:val="00EF138F"/>
    <w:rsid w:val="00EF243D"/>
    <w:rsid w:val="00EF2608"/>
    <w:rsid w:val="00EF37FA"/>
    <w:rsid w:val="00EF3E6B"/>
    <w:rsid w:val="00EF3F8F"/>
    <w:rsid w:val="00EF3FC4"/>
    <w:rsid w:val="00EF4371"/>
    <w:rsid w:val="00EF4635"/>
    <w:rsid w:val="00EF46C7"/>
    <w:rsid w:val="00EF4BD5"/>
    <w:rsid w:val="00EF4F54"/>
    <w:rsid w:val="00EF527C"/>
    <w:rsid w:val="00EF5E9E"/>
    <w:rsid w:val="00EF664A"/>
    <w:rsid w:val="00EF68A0"/>
    <w:rsid w:val="00EF69ED"/>
    <w:rsid w:val="00EF6B6F"/>
    <w:rsid w:val="00EF6E0A"/>
    <w:rsid w:val="00EF7CBC"/>
    <w:rsid w:val="00EF7E5E"/>
    <w:rsid w:val="00F0057A"/>
    <w:rsid w:val="00F00BBC"/>
    <w:rsid w:val="00F00E44"/>
    <w:rsid w:val="00F0108D"/>
    <w:rsid w:val="00F0144A"/>
    <w:rsid w:val="00F01B9A"/>
    <w:rsid w:val="00F02112"/>
    <w:rsid w:val="00F023D3"/>
    <w:rsid w:val="00F026AC"/>
    <w:rsid w:val="00F02762"/>
    <w:rsid w:val="00F02C6C"/>
    <w:rsid w:val="00F031BF"/>
    <w:rsid w:val="00F03C5C"/>
    <w:rsid w:val="00F03D4D"/>
    <w:rsid w:val="00F04054"/>
    <w:rsid w:val="00F041FC"/>
    <w:rsid w:val="00F04C2C"/>
    <w:rsid w:val="00F04F85"/>
    <w:rsid w:val="00F05557"/>
    <w:rsid w:val="00F05646"/>
    <w:rsid w:val="00F0571B"/>
    <w:rsid w:val="00F05C1C"/>
    <w:rsid w:val="00F05E53"/>
    <w:rsid w:val="00F05F43"/>
    <w:rsid w:val="00F05F84"/>
    <w:rsid w:val="00F06CE2"/>
    <w:rsid w:val="00F0745C"/>
    <w:rsid w:val="00F075F8"/>
    <w:rsid w:val="00F07AD9"/>
    <w:rsid w:val="00F07B1B"/>
    <w:rsid w:val="00F07D9B"/>
    <w:rsid w:val="00F07DCA"/>
    <w:rsid w:val="00F07F7C"/>
    <w:rsid w:val="00F10436"/>
    <w:rsid w:val="00F10ADF"/>
    <w:rsid w:val="00F10C9F"/>
    <w:rsid w:val="00F10FBC"/>
    <w:rsid w:val="00F1170C"/>
    <w:rsid w:val="00F119A7"/>
    <w:rsid w:val="00F11D28"/>
    <w:rsid w:val="00F11DC9"/>
    <w:rsid w:val="00F12245"/>
    <w:rsid w:val="00F124FE"/>
    <w:rsid w:val="00F12549"/>
    <w:rsid w:val="00F12586"/>
    <w:rsid w:val="00F12C56"/>
    <w:rsid w:val="00F12D56"/>
    <w:rsid w:val="00F1426E"/>
    <w:rsid w:val="00F1434D"/>
    <w:rsid w:val="00F144BB"/>
    <w:rsid w:val="00F14810"/>
    <w:rsid w:val="00F14A6E"/>
    <w:rsid w:val="00F14BC2"/>
    <w:rsid w:val="00F14F6F"/>
    <w:rsid w:val="00F152EA"/>
    <w:rsid w:val="00F16036"/>
    <w:rsid w:val="00F161BA"/>
    <w:rsid w:val="00F16299"/>
    <w:rsid w:val="00F16458"/>
    <w:rsid w:val="00F164E2"/>
    <w:rsid w:val="00F166EC"/>
    <w:rsid w:val="00F16870"/>
    <w:rsid w:val="00F1722B"/>
    <w:rsid w:val="00F17482"/>
    <w:rsid w:val="00F1763F"/>
    <w:rsid w:val="00F17A3F"/>
    <w:rsid w:val="00F17AD1"/>
    <w:rsid w:val="00F17C1D"/>
    <w:rsid w:val="00F17E9D"/>
    <w:rsid w:val="00F20007"/>
    <w:rsid w:val="00F200C4"/>
    <w:rsid w:val="00F20298"/>
    <w:rsid w:val="00F202A1"/>
    <w:rsid w:val="00F20BCB"/>
    <w:rsid w:val="00F2132D"/>
    <w:rsid w:val="00F218B6"/>
    <w:rsid w:val="00F228C2"/>
    <w:rsid w:val="00F23037"/>
    <w:rsid w:val="00F2325F"/>
    <w:rsid w:val="00F2374A"/>
    <w:rsid w:val="00F23C1D"/>
    <w:rsid w:val="00F24019"/>
    <w:rsid w:val="00F24109"/>
    <w:rsid w:val="00F241EF"/>
    <w:rsid w:val="00F242AA"/>
    <w:rsid w:val="00F244B3"/>
    <w:rsid w:val="00F244B7"/>
    <w:rsid w:val="00F24914"/>
    <w:rsid w:val="00F24E93"/>
    <w:rsid w:val="00F2596B"/>
    <w:rsid w:val="00F260CC"/>
    <w:rsid w:val="00F26104"/>
    <w:rsid w:val="00F26501"/>
    <w:rsid w:val="00F26B79"/>
    <w:rsid w:val="00F26C0F"/>
    <w:rsid w:val="00F27084"/>
    <w:rsid w:val="00F2710A"/>
    <w:rsid w:val="00F274CF"/>
    <w:rsid w:val="00F276A5"/>
    <w:rsid w:val="00F27732"/>
    <w:rsid w:val="00F279F7"/>
    <w:rsid w:val="00F27B66"/>
    <w:rsid w:val="00F30569"/>
    <w:rsid w:val="00F30636"/>
    <w:rsid w:val="00F30843"/>
    <w:rsid w:val="00F30EC0"/>
    <w:rsid w:val="00F31014"/>
    <w:rsid w:val="00F311E8"/>
    <w:rsid w:val="00F31269"/>
    <w:rsid w:val="00F313D5"/>
    <w:rsid w:val="00F31750"/>
    <w:rsid w:val="00F319F1"/>
    <w:rsid w:val="00F31F48"/>
    <w:rsid w:val="00F32385"/>
    <w:rsid w:val="00F32458"/>
    <w:rsid w:val="00F327E0"/>
    <w:rsid w:val="00F33BEE"/>
    <w:rsid w:val="00F33E17"/>
    <w:rsid w:val="00F33FF9"/>
    <w:rsid w:val="00F34026"/>
    <w:rsid w:val="00F34975"/>
    <w:rsid w:val="00F35141"/>
    <w:rsid w:val="00F353FE"/>
    <w:rsid w:val="00F35404"/>
    <w:rsid w:val="00F35CD3"/>
    <w:rsid w:val="00F35F4A"/>
    <w:rsid w:val="00F36416"/>
    <w:rsid w:val="00F36819"/>
    <w:rsid w:val="00F36B39"/>
    <w:rsid w:val="00F36C6A"/>
    <w:rsid w:val="00F36C7A"/>
    <w:rsid w:val="00F36E65"/>
    <w:rsid w:val="00F37E04"/>
    <w:rsid w:val="00F4042C"/>
    <w:rsid w:val="00F40947"/>
    <w:rsid w:val="00F40C9E"/>
    <w:rsid w:val="00F40DA5"/>
    <w:rsid w:val="00F41029"/>
    <w:rsid w:val="00F4105E"/>
    <w:rsid w:val="00F41239"/>
    <w:rsid w:val="00F41E28"/>
    <w:rsid w:val="00F42128"/>
    <w:rsid w:val="00F42859"/>
    <w:rsid w:val="00F42CD5"/>
    <w:rsid w:val="00F42D5E"/>
    <w:rsid w:val="00F43408"/>
    <w:rsid w:val="00F43677"/>
    <w:rsid w:val="00F43894"/>
    <w:rsid w:val="00F43900"/>
    <w:rsid w:val="00F43A30"/>
    <w:rsid w:val="00F43BF5"/>
    <w:rsid w:val="00F44318"/>
    <w:rsid w:val="00F44592"/>
    <w:rsid w:val="00F445D5"/>
    <w:rsid w:val="00F449FE"/>
    <w:rsid w:val="00F44D46"/>
    <w:rsid w:val="00F45296"/>
    <w:rsid w:val="00F453D1"/>
    <w:rsid w:val="00F4542B"/>
    <w:rsid w:val="00F45457"/>
    <w:rsid w:val="00F4685C"/>
    <w:rsid w:val="00F46992"/>
    <w:rsid w:val="00F46F82"/>
    <w:rsid w:val="00F472D2"/>
    <w:rsid w:val="00F47641"/>
    <w:rsid w:val="00F4771F"/>
    <w:rsid w:val="00F47834"/>
    <w:rsid w:val="00F479D3"/>
    <w:rsid w:val="00F47A26"/>
    <w:rsid w:val="00F47FA2"/>
    <w:rsid w:val="00F500E2"/>
    <w:rsid w:val="00F50362"/>
    <w:rsid w:val="00F5065F"/>
    <w:rsid w:val="00F508AE"/>
    <w:rsid w:val="00F50D0B"/>
    <w:rsid w:val="00F50EB1"/>
    <w:rsid w:val="00F50F93"/>
    <w:rsid w:val="00F51261"/>
    <w:rsid w:val="00F51357"/>
    <w:rsid w:val="00F515D4"/>
    <w:rsid w:val="00F516C7"/>
    <w:rsid w:val="00F5185D"/>
    <w:rsid w:val="00F51D84"/>
    <w:rsid w:val="00F51FCE"/>
    <w:rsid w:val="00F523D2"/>
    <w:rsid w:val="00F526A3"/>
    <w:rsid w:val="00F52AC7"/>
    <w:rsid w:val="00F52E70"/>
    <w:rsid w:val="00F53092"/>
    <w:rsid w:val="00F533FB"/>
    <w:rsid w:val="00F54172"/>
    <w:rsid w:val="00F541D0"/>
    <w:rsid w:val="00F54400"/>
    <w:rsid w:val="00F54523"/>
    <w:rsid w:val="00F546C2"/>
    <w:rsid w:val="00F54AEA"/>
    <w:rsid w:val="00F5506A"/>
    <w:rsid w:val="00F5544A"/>
    <w:rsid w:val="00F5585D"/>
    <w:rsid w:val="00F55DCB"/>
    <w:rsid w:val="00F56BE6"/>
    <w:rsid w:val="00F56BF3"/>
    <w:rsid w:val="00F5742C"/>
    <w:rsid w:val="00F57443"/>
    <w:rsid w:val="00F57851"/>
    <w:rsid w:val="00F578F5"/>
    <w:rsid w:val="00F57957"/>
    <w:rsid w:val="00F57B41"/>
    <w:rsid w:val="00F57E94"/>
    <w:rsid w:val="00F57FB2"/>
    <w:rsid w:val="00F60217"/>
    <w:rsid w:val="00F602D2"/>
    <w:rsid w:val="00F6057D"/>
    <w:rsid w:val="00F605E8"/>
    <w:rsid w:val="00F61A2F"/>
    <w:rsid w:val="00F61DC5"/>
    <w:rsid w:val="00F61F8F"/>
    <w:rsid w:val="00F62482"/>
    <w:rsid w:val="00F626C5"/>
    <w:rsid w:val="00F62828"/>
    <w:rsid w:val="00F62B31"/>
    <w:rsid w:val="00F62C1F"/>
    <w:rsid w:val="00F62CAE"/>
    <w:rsid w:val="00F630A5"/>
    <w:rsid w:val="00F63841"/>
    <w:rsid w:val="00F63BA6"/>
    <w:rsid w:val="00F63D2E"/>
    <w:rsid w:val="00F63E39"/>
    <w:rsid w:val="00F64122"/>
    <w:rsid w:val="00F642A0"/>
    <w:rsid w:val="00F642FA"/>
    <w:rsid w:val="00F64705"/>
    <w:rsid w:val="00F647F7"/>
    <w:rsid w:val="00F6484F"/>
    <w:rsid w:val="00F64A73"/>
    <w:rsid w:val="00F64EC4"/>
    <w:rsid w:val="00F65099"/>
    <w:rsid w:val="00F650D5"/>
    <w:rsid w:val="00F6511F"/>
    <w:rsid w:val="00F65146"/>
    <w:rsid w:val="00F651D7"/>
    <w:rsid w:val="00F654FC"/>
    <w:rsid w:val="00F65C33"/>
    <w:rsid w:val="00F65D67"/>
    <w:rsid w:val="00F65FB7"/>
    <w:rsid w:val="00F660FD"/>
    <w:rsid w:val="00F66200"/>
    <w:rsid w:val="00F666FA"/>
    <w:rsid w:val="00F6686D"/>
    <w:rsid w:val="00F66A52"/>
    <w:rsid w:val="00F66F19"/>
    <w:rsid w:val="00F67552"/>
    <w:rsid w:val="00F67812"/>
    <w:rsid w:val="00F67863"/>
    <w:rsid w:val="00F67E2C"/>
    <w:rsid w:val="00F7000C"/>
    <w:rsid w:val="00F700E9"/>
    <w:rsid w:val="00F701E5"/>
    <w:rsid w:val="00F70739"/>
    <w:rsid w:val="00F708BC"/>
    <w:rsid w:val="00F70E1D"/>
    <w:rsid w:val="00F70FB9"/>
    <w:rsid w:val="00F710EF"/>
    <w:rsid w:val="00F719B9"/>
    <w:rsid w:val="00F72490"/>
    <w:rsid w:val="00F72554"/>
    <w:rsid w:val="00F7289C"/>
    <w:rsid w:val="00F72AF6"/>
    <w:rsid w:val="00F72C03"/>
    <w:rsid w:val="00F72D50"/>
    <w:rsid w:val="00F73404"/>
    <w:rsid w:val="00F7451D"/>
    <w:rsid w:val="00F74880"/>
    <w:rsid w:val="00F74BB3"/>
    <w:rsid w:val="00F74D4A"/>
    <w:rsid w:val="00F7504D"/>
    <w:rsid w:val="00F75170"/>
    <w:rsid w:val="00F75191"/>
    <w:rsid w:val="00F75311"/>
    <w:rsid w:val="00F7553A"/>
    <w:rsid w:val="00F75A41"/>
    <w:rsid w:val="00F75D8B"/>
    <w:rsid w:val="00F76049"/>
    <w:rsid w:val="00F76549"/>
    <w:rsid w:val="00F7722C"/>
    <w:rsid w:val="00F77237"/>
    <w:rsid w:val="00F7789B"/>
    <w:rsid w:val="00F77ADB"/>
    <w:rsid w:val="00F803A0"/>
    <w:rsid w:val="00F80FC1"/>
    <w:rsid w:val="00F816AB"/>
    <w:rsid w:val="00F818F1"/>
    <w:rsid w:val="00F81A42"/>
    <w:rsid w:val="00F81B19"/>
    <w:rsid w:val="00F81D54"/>
    <w:rsid w:val="00F822F1"/>
    <w:rsid w:val="00F82370"/>
    <w:rsid w:val="00F8289B"/>
    <w:rsid w:val="00F82960"/>
    <w:rsid w:val="00F82CCB"/>
    <w:rsid w:val="00F837DF"/>
    <w:rsid w:val="00F837E4"/>
    <w:rsid w:val="00F839E7"/>
    <w:rsid w:val="00F83AFC"/>
    <w:rsid w:val="00F8432F"/>
    <w:rsid w:val="00F84E4A"/>
    <w:rsid w:val="00F84FB8"/>
    <w:rsid w:val="00F8538C"/>
    <w:rsid w:val="00F857A6"/>
    <w:rsid w:val="00F8598C"/>
    <w:rsid w:val="00F85FC9"/>
    <w:rsid w:val="00F86186"/>
    <w:rsid w:val="00F8631C"/>
    <w:rsid w:val="00F86A25"/>
    <w:rsid w:val="00F86A33"/>
    <w:rsid w:val="00F86B3D"/>
    <w:rsid w:val="00F87197"/>
    <w:rsid w:val="00F871A5"/>
    <w:rsid w:val="00F8727E"/>
    <w:rsid w:val="00F8734B"/>
    <w:rsid w:val="00F87599"/>
    <w:rsid w:val="00F876F2"/>
    <w:rsid w:val="00F8785C"/>
    <w:rsid w:val="00F87B8B"/>
    <w:rsid w:val="00F9066F"/>
    <w:rsid w:val="00F906D6"/>
    <w:rsid w:val="00F907F3"/>
    <w:rsid w:val="00F91721"/>
    <w:rsid w:val="00F91754"/>
    <w:rsid w:val="00F919F8"/>
    <w:rsid w:val="00F91CC9"/>
    <w:rsid w:val="00F91E1E"/>
    <w:rsid w:val="00F92662"/>
    <w:rsid w:val="00F92C54"/>
    <w:rsid w:val="00F93399"/>
    <w:rsid w:val="00F93AB0"/>
    <w:rsid w:val="00F93AE0"/>
    <w:rsid w:val="00F942C3"/>
    <w:rsid w:val="00F94C63"/>
    <w:rsid w:val="00F95A01"/>
    <w:rsid w:val="00F95A04"/>
    <w:rsid w:val="00F95E61"/>
    <w:rsid w:val="00F9655F"/>
    <w:rsid w:val="00F96AA4"/>
    <w:rsid w:val="00F96B72"/>
    <w:rsid w:val="00F97010"/>
    <w:rsid w:val="00F9709A"/>
    <w:rsid w:val="00F9718F"/>
    <w:rsid w:val="00F97985"/>
    <w:rsid w:val="00FA0141"/>
    <w:rsid w:val="00FA03D5"/>
    <w:rsid w:val="00FA0770"/>
    <w:rsid w:val="00FA09D7"/>
    <w:rsid w:val="00FA161B"/>
    <w:rsid w:val="00FA1674"/>
    <w:rsid w:val="00FA17E7"/>
    <w:rsid w:val="00FA1C1E"/>
    <w:rsid w:val="00FA23BC"/>
    <w:rsid w:val="00FA23BE"/>
    <w:rsid w:val="00FA3086"/>
    <w:rsid w:val="00FA3699"/>
    <w:rsid w:val="00FA3CEC"/>
    <w:rsid w:val="00FA3EC5"/>
    <w:rsid w:val="00FA3F54"/>
    <w:rsid w:val="00FA420E"/>
    <w:rsid w:val="00FA4A04"/>
    <w:rsid w:val="00FA5043"/>
    <w:rsid w:val="00FA5C74"/>
    <w:rsid w:val="00FA5D64"/>
    <w:rsid w:val="00FA6BAC"/>
    <w:rsid w:val="00FA6E21"/>
    <w:rsid w:val="00FA703A"/>
    <w:rsid w:val="00FB052E"/>
    <w:rsid w:val="00FB0731"/>
    <w:rsid w:val="00FB0817"/>
    <w:rsid w:val="00FB0D5C"/>
    <w:rsid w:val="00FB0EF5"/>
    <w:rsid w:val="00FB0F7E"/>
    <w:rsid w:val="00FB144E"/>
    <w:rsid w:val="00FB1B93"/>
    <w:rsid w:val="00FB1EA3"/>
    <w:rsid w:val="00FB206F"/>
    <w:rsid w:val="00FB24FA"/>
    <w:rsid w:val="00FB25C7"/>
    <w:rsid w:val="00FB29D7"/>
    <w:rsid w:val="00FB38D7"/>
    <w:rsid w:val="00FB39F9"/>
    <w:rsid w:val="00FB3CA6"/>
    <w:rsid w:val="00FB3F86"/>
    <w:rsid w:val="00FB46F5"/>
    <w:rsid w:val="00FB48AB"/>
    <w:rsid w:val="00FB4EFA"/>
    <w:rsid w:val="00FB5462"/>
    <w:rsid w:val="00FB55D1"/>
    <w:rsid w:val="00FB55E9"/>
    <w:rsid w:val="00FB5749"/>
    <w:rsid w:val="00FB5E83"/>
    <w:rsid w:val="00FB6734"/>
    <w:rsid w:val="00FB6D44"/>
    <w:rsid w:val="00FB6DD1"/>
    <w:rsid w:val="00FB6E10"/>
    <w:rsid w:val="00FB7105"/>
    <w:rsid w:val="00FB7202"/>
    <w:rsid w:val="00FB73C2"/>
    <w:rsid w:val="00FB7C5B"/>
    <w:rsid w:val="00FB7C61"/>
    <w:rsid w:val="00FC003A"/>
    <w:rsid w:val="00FC09A1"/>
    <w:rsid w:val="00FC09E5"/>
    <w:rsid w:val="00FC0EFD"/>
    <w:rsid w:val="00FC1D55"/>
    <w:rsid w:val="00FC2214"/>
    <w:rsid w:val="00FC268D"/>
    <w:rsid w:val="00FC2812"/>
    <w:rsid w:val="00FC2A8B"/>
    <w:rsid w:val="00FC2CAD"/>
    <w:rsid w:val="00FC2F14"/>
    <w:rsid w:val="00FC31ED"/>
    <w:rsid w:val="00FC32D4"/>
    <w:rsid w:val="00FC34D5"/>
    <w:rsid w:val="00FC3537"/>
    <w:rsid w:val="00FC3AE2"/>
    <w:rsid w:val="00FC3F59"/>
    <w:rsid w:val="00FC4051"/>
    <w:rsid w:val="00FC429D"/>
    <w:rsid w:val="00FC43A9"/>
    <w:rsid w:val="00FC4502"/>
    <w:rsid w:val="00FC4D3E"/>
    <w:rsid w:val="00FC58B3"/>
    <w:rsid w:val="00FC5A1B"/>
    <w:rsid w:val="00FC5B07"/>
    <w:rsid w:val="00FC611A"/>
    <w:rsid w:val="00FC6561"/>
    <w:rsid w:val="00FC6570"/>
    <w:rsid w:val="00FC67D6"/>
    <w:rsid w:val="00FC6B4C"/>
    <w:rsid w:val="00FC6E0A"/>
    <w:rsid w:val="00FC7643"/>
    <w:rsid w:val="00FC76FA"/>
    <w:rsid w:val="00FC7A91"/>
    <w:rsid w:val="00FC7BB7"/>
    <w:rsid w:val="00FC7F3D"/>
    <w:rsid w:val="00FC7F40"/>
    <w:rsid w:val="00FD04F1"/>
    <w:rsid w:val="00FD131C"/>
    <w:rsid w:val="00FD182C"/>
    <w:rsid w:val="00FD1D2A"/>
    <w:rsid w:val="00FD2436"/>
    <w:rsid w:val="00FD2BC7"/>
    <w:rsid w:val="00FD2D69"/>
    <w:rsid w:val="00FD2E0F"/>
    <w:rsid w:val="00FD2E52"/>
    <w:rsid w:val="00FD2F13"/>
    <w:rsid w:val="00FD2FCC"/>
    <w:rsid w:val="00FD3026"/>
    <w:rsid w:val="00FD365A"/>
    <w:rsid w:val="00FD3B38"/>
    <w:rsid w:val="00FD476E"/>
    <w:rsid w:val="00FD48F0"/>
    <w:rsid w:val="00FD4966"/>
    <w:rsid w:val="00FD4FA6"/>
    <w:rsid w:val="00FD4FFA"/>
    <w:rsid w:val="00FD52E1"/>
    <w:rsid w:val="00FD5D26"/>
    <w:rsid w:val="00FD639B"/>
    <w:rsid w:val="00FD64E3"/>
    <w:rsid w:val="00FD6824"/>
    <w:rsid w:val="00FD70FC"/>
    <w:rsid w:val="00FD7170"/>
    <w:rsid w:val="00FD7277"/>
    <w:rsid w:val="00FD72E7"/>
    <w:rsid w:val="00FD7AF5"/>
    <w:rsid w:val="00FD7B12"/>
    <w:rsid w:val="00FD7B72"/>
    <w:rsid w:val="00FE0864"/>
    <w:rsid w:val="00FE1436"/>
    <w:rsid w:val="00FE1A7B"/>
    <w:rsid w:val="00FE1C68"/>
    <w:rsid w:val="00FE1D13"/>
    <w:rsid w:val="00FE23B9"/>
    <w:rsid w:val="00FE2720"/>
    <w:rsid w:val="00FE27EE"/>
    <w:rsid w:val="00FE2A26"/>
    <w:rsid w:val="00FE302E"/>
    <w:rsid w:val="00FE333A"/>
    <w:rsid w:val="00FE33CD"/>
    <w:rsid w:val="00FE37FD"/>
    <w:rsid w:val="00FE4447"/>
    <w:rsid w:val="00FE45FB"/>
    <w:rsid w:val="00FE4654"/>
    <w:rsid w:val="00FE4AAA"/>
    <w:rsid w:val="00FE4B6F"/>
    <w:rsid w:val="00FE4BDF"/>
    <w:rsid w:val="00FE4D0F"/>
    <w:rsid w:val="00FE4EBD"/>
    <w:rsid w:val="00FE5244"/>
    <w:rsid w:val="00FE5408"/>
    <w:rsid w:val="00FE57A1"/>
    <w:rsid w:val="00FE5C24"/>
    <w:rsid w:val="00FE5F59"/>
    <w:rsid w:val="00FE62B5"/>
    <w:rsid w:val="00FE6488"/>
    <w:rsid w:val="00FE6601"/>
    <w:rsid w:val="00FE730C"/>
    <w:rsid w:val="00FE74B3"/>
    <w:rsid w:val="00FE75E5"/>
    <w:rsid w:val="00FE7BC6"/>
    <w:rsid w:val="00FE7EA3"/>
    <w:rsid w:val="00FE7EC0"/>
    <w:rsid w:val="00FF00D1"/>
    <w:rsid w:val="00FF016C"/>
    <w:rsid w:val="00FF08FB"/>
    <w:rsid w:val="00FF13D5"/>
    <w:rsid w:val="00FF1558"/>
    <w:rsid w:val="00FF16BC"/>
    <w:rsid w:val="00FF1976"/>
    <w:rsid w:val="00FF1C9A"/>
    <w:rsid w:val="00FF214C"/>
    <w:rsid w:val="00FF2400"/>
    <w:rsid w:val="00FF26AC"/>
    <w:rsid w:val="00FF26BF"/>
    <w:rsid w:val="00FF26CF"/>
    <w:rsid w:val="00FF2B5F"/>
    <w:rsid w:val="00FF3050"/>
    <w:rsid w:val="00FF31C9"/>
    <w:rsid w:val="00FF34E7"/>
    <w:rsid w:val="00FF35A7"/>
    <w:rsid w:val="00FF36ED"/>
    <w:rsid w:val="00FF3BAE"/>
    <w:rsid w:val="00FF3CD7"/>
    <w:rsid w:val="00FF4642"/>
    <w:rsid w:val="00FF4B6D"/>
    <w:rsid w:val="00FF5237"/>
    <w:rsid w:val="00FF530D"/>
    <w:rsid w:val="00FF5596"/>
    <w:rsid w:val="00FF5973"/>
    <w:rsid w:val="00FF5B5D"/>
    <w:rsid w:val="00FF5D94"/>
    <w:rsid w:val="00FF5F32"/>
    <w:rsid w:val="00FF63BB"/>
    <w:rsid w:val="00FF6910"/>
    <w:rsid w:val="00FF6D8A"/>
    <w:rsid w:val="00FF754D"/>
    <w:rsid w:val="00FF7F81"/>
    <w:rsid w:val="01816DF4"/>
    <w:rsid w:val="026B1E33"/>
    <w:rsid w:val="02994AA5"/>
    <w:rsid w:val="031FDE84"/>
    <w:rsid w:val="03E89C33"/>
    <w:rsid w:val="04F3969D"/>
    <w:rsid w:val="0541479B"/>
    <w:rsid w:val="055541E5"/>
    <w:rsid w:val="074D86AE"/>
    <w:rsid w:val="07E77C19"/>
    <w:rsid w:val="0876AE80"/>
    <w:rsid w:val="08B4E6D9"/>
    <w:rsid w:val="091E598C"/>
    <w:rsid w:val="0A04E36B"/>
    <w:rsid w:val="0A78EF5F"/>
    <w:rsid w:val="0AC6AAFA"/>
    <w:rsid w:val="0AEF9ACC"/>
    <w:rsid w:val="0B8F48D9"/>
    <w:rsid w:val="0BAAC5B2"/>
    <w:rsid w:val="0C041C61"/>
    <w:rsid w:val="0C28337E"/>
    <w:rsid w:val="0CC0CC7D"/>
    <w:rsid w:val="0D12B44F"/>
    <w:rsid w:val="0DF55A07"/>
    <w:rsid w:val="0E2D3BC3"/>
    <w:rsid w:val="0E5CF4CF"/>
    <w:rsid w:val="0F6434F6"/>
    <w:rsid w:val="0F9AB29A"/>
    <w:rsid w:val="102CE970"/>
    <w:rsid w:val="104325AA"/>
    <w:rsid w:val="10F66B57"/>
    <w:rsid w:val="1123DC6A"/>
    <w:rsid w:val="112DBA8B"/>
    <w:rsid w:val="116EE284"/>
    <w:rsid w:val="1247CF01"/>
    <w:rsid w:val="12E68576"/>
    <w:rsid w:val="1303FE57"/>
    <w:rsid w:val="13C30245"/>
    <w:rsid w:val="13F74C3A"/>
    <w:rsid w:val="144FD82D"/>
    <w:rsid w:val="148E3A68"/>
    <w:rsid w:val="14BC5088"/>
    <w:rsid w:val="1583CC86"/>
    <w:rsid w:val="15966CE6"/>
    <w:rsid w:val="16ECA417"/>
    <w:rsid w:val="175B9A69"/>
    <w:rsid w:val="18F79230"/>
    <w:rsid w:val="19137E03"/>
    <w:rsid w:val="1AD94EC0"/>
    <w:rsid w:val="1B0CB504"/>
    <w:rsid w:val="1B7F7C36"/>
    <w:rsid w:val="1C0B57A1"/>
    <w:rsid w:val="1DA8A138"/>
    <w:rsid w:val="1E5D22FD"/>
    <w:rsid w:val="1E8C2573"/>
    <w:rsid w:val="1E9961F6"/>
    <w:rsid w:val="1F36F568"/>
    <w:rsid w:val="20C4E4F1"/>
    <w:rsid w:val="20C945A7"/>
    <w:rsid w:val="222369AA"/>
    <w:rsid w:val="225174D8"/>
    <w:rsid w:val="22C7C7E0"/>
    <w:rsid w:val="2343C9E2"/>
    <w:rsid w:val="2371FE18"/>
    <w:rsid w:val="23F80C18"/>
    <w:rsid w:val="255294DC"/>
    <w:rsid w:val="25908003"/>
    <w:rsid w:val="2590B27E"/>
    <w:rsid w:val="26BE559C"/>
    <w:rsid w:val="2733BE8E"/>
    <w:rsid w:val="27D33D88"/>
    <w:rsid w:val="2944EFCA"/>
    <w:rsid w:val="29993171"/>
    <w:rsid w:val="29CDB5F6"/>
    <w:rsid w:val="2AB6FEAA"/>
    <w:rsid w:val="2AC61187"/>
    <w:rsid w:val="2B588AEB"/>
    <w:rsid w:val="2B7C1623"/>
    <w:rsid w:val="2C1A85BA"/>
    <w:rsid w:val="2C58DBC8"/>
    <w:rsid w:val="2CF7981C"/>
    <w:rsid w:val="2D39BB9E"/>
    <w:rsid w:val="2D7060F2"/>
    <w:rsid w:val="2DF8951B"/>
    <w:rsid w:val="2EE967FB"/>
    <w:rsid w:val="2EFE3C77"/>
    <w:rsid w:val="30487E51"/>
    <w:rsid w:val="30CE0852"/>
    <w:rsid w:val="30E5C4C3"/>
    <w:rsid w:val="30FC8F40"/>
    <w:rsid w:val="3246E374"/>
    <w:rsid w:val="3303931E"/>
    <w:rsid w:val="34C2BADA"/>
    <w:rsid w:val="34D08462"/>
    <w:rsid w:val="35D16BF0"/>
    <w:rsid w:val="36E06752"/>
    <w:rsid w:val="37F5FE69"/>
    <w:rsid w:val="38517DB0"/>
    <w:rsid w:val="3852B738"/>
    <w:rsid w:val="38904A41"/>
    <w:rsid w:val="3954506B"/>
    <w:rsid w:val="3B2B12C4"/>
    <w:rsid w:val="3BED6E5D"/>
    <w:rsid w:val="3DA71EBC"/>
    <w:rsid w:val="3DFDABE0"/>
    <w:rsid w:val="3E20AF0A"/>
    <w:rsid w:val="3E7DF014"/>
    <w:rsid w:val="3F2FCB19"/>
    <w:rsid w:val="3F56FE8A"/>
    <w:rsid w:val="3FAAA65C"/>
    <w:rsid w:val="3FAAF616"/>
    <w:rsid w:val="3FC9F819"/>
    <w:rsid w:val="407C10E6"/>
    <w:rsid w:val="40A98D57"/>
    <w:rsid w:val="40F75063"/>
    <w:rsid w:val="41910E0E"/>
    <w:rsid w:val="419B6F9A"/>
    <w:rsid w:val="42460494"/>
    <w:rsid w:val="42D61C8E"/>
    <w:rsid w:val="43095FC0"/>
    <w:rsid w:val="4347CAEA"/>
    <w:rsid w:val="43519408"/>
    <w:rsid w:val="437DFD52"/>
    <w:rsid w:val="452C73E8"/>
    <w:rsid w:val="45AA1485"/>
    <w:rsid w:val="45C564B1"/>
    <w:rsid w:val="4602AEC3"/>
    <w:rsid w:val="46113C2F"/>
    <w:rsid w:val="4621CA72"/>
    <w:rsid w:val="46C505CD"/>
    <w:rsid w:val="483FCDFC"/>
    <w:rsid w:val="4901EB4F"/>
    <w:rsid w:val="4952A2A5"/>
    <w:rsid w:val="4A093089"/>
    <w:rsid w:val="4AA04BC0"/>
    <w:rsid w:val="4AF71D33"/>
    <w:rsid w:val="4BB8049B"/>
    <w:rsid w:val="4BEF6097"/>
    <w:rsid w:val="4CD070FA"/>
    <w:rsid w:val="4CD47F21"/>
    <w:rsid w:val="4DB23112"/>
    <w:rsid w:val="4E8055B7"/>
    <w:rsid w:val="4F6B7DD0"/>
    <w:rsid w:val="50984E1D"/>
    <w:rsid w:val="50E2181A"/>
    <w:rsid w:val="5147954F"/>
    <w:rsid w:val="519E9416"/>
    <w:rsid w:val="51B2CAA7"/>
    <w:rsid w:val="52BBB864"/>
    <w:rsid w:val="53278980"/>
    <w:rsid w:val="534E5C8D"/>
    <w:rsid w:val="547D66D3"/>
    <w:rsid w:val="55111332"/>
    <w:rsid w:val="55982DF8"/>
    <w:rsid w:val="55F5A357"/>
    <w:rsid w:val="56405585"/>
    <w:rsid w:val="5661203B"/>
    <w:rsid w:val="56715F1A"/>
    <w:rsid w:val="567E114D"/>
    <w:rsid w:val="56961916"/>
    <w:rsid w:val="580B1BA6"/>
    <w:rsid w:val="5870924D"/>
    <w:rsid w:val="58F1F6A2"/>
    <w:rsid w:val="593B0998"/>
    <w:rsid w:val="595F0822"/>
    <w:rsid w:val="5995CEE5"/>
    <w:rsid w:val="59D81EBA"/>
    <w:rsid w:val="59E2AF91"/>
    <w:rsid w:val="5A00477A"/>
    <w:rsid w:val="5A495552"/>
    <w:rsid w:val="5A6C5255"/>
    <w:rsid w:val="5A8E2464"/>
    <w:rsid w:val="5ADC04F8"/>
    <w:rsid w:val="5AE26E36"/>
    <w:rsid w:val="5B3C1942"/>
    <w:rsid w:val="5BC24F7B"/>
    <w:rsid w:val="5BE03879"/>
    <w:rsid w:val="5C43B8BC"/>
    <w:rsid w:val="5CC5DA12"/>
    <w:rsid w:val="5CC91860"/>
    <w:rsid w:val="5CF478DC"/>
    <w:rsid w:val="5CF9D80F"/>
    <w:rsid w:val="5D0C5774"/>
    <w:rsid w:val="5D0FD5E5"/>
    <w:rsid w:val="5D9BCA1F"/>
    <w:rsid w:val="5DB38398"/>
    <w:rsid w:val="5DCA3BE7"/>
    <w:rsid w:val="5EA96E5A"/>
    <w:rsid w:val="5F096B83"/>
    <w:rsid w:val="5F2D1021"/>
    <w:rsid w:val="5FE5F3BF"/>
    <w:rsid w:val="6079CE53"/>
    <w:rsid w:val="60DA049E"/>
    <w:rsid w:val="62722ED4"/>
    <w:rsid w:val="659401D6"/>
    <w:rsid w:val="668232C5"/>
    <w:rsid w:val="671BD267"/>
    <w:rsid w:val="690F00C4"/>
    <w:rsid w:val="69178FE8"/>
    <w:rsid w:val="697BCDFF"/>
    <w:rsid w:val="6A0AD92B"/>
    <w:rsid w:val="6A1AA224"/>
    <w:rsid w:val="6A44ED15"/>
    <w:rsid w:val="6A983747"/>
    <w:rsid w:val="6BA0F6DA"/>
    <w:rsid w:val="6BC5C7F8"/>
    <w:rsid w:val="6C3DADD2"/>
    <w:rsid w:val="6CFF0CEF"/>
    <w:rsid w:val="6D2A64E9"/>
    <w:rsid w:val="6E50EC1F"/>
    <w:rsid w:val="6ED36749"/>
    <w:rsid w:val="6F424BA2"/>
    <w:rsid w:val="6F5B91A3"/>
    <w:rsid w:val="703CBA4B"/>
    <w:rsid w:val="705E944B"/>
    <w:rsid w:val="7068473E"/>
    <w:rsid w:val="70B7C846"/>
    <w:rsid w:val="726CC7A9"/>
    <w:rsid w:val="7325BE53"/>
    <w:rsid w:val="73305453"/>
    <w:rsid w:val="7397FB75"/>
    <w:rsid w:val="73F330E8"/>
    <w:rsid w:val="744A2936"/>
    <w:rsid w:val="7490A6B9"/>
    <w:rsid w:val="74A8FE7F"/>
    <w:rsid w:val="74BBCB06"/>
    <w:rsid w:val="7505C9E2"/>
    <w:rsid w:val="7520CCDC"/>
    <w:rsid w:val="7554BBC5"/>
    <w:rsid w:val="760C4826"/>
    <w:rsid w:val="7611C092"/>
    <w:rsid w:val="761994C9"/>
    <w:rsid w:val="76305BFE"/>
    <w:rsid w:val="776561C3"/>
    <w:rsid w:val="7783655D"/>
    <w:rsid w:val="7790BB61"/>
    <w:rsid w:val="77A5D739"/>
    <w:rsid w:val="77ECD6F2"/>
    <w:rsid w:val="78256F19"/>
    <w:rsid w:val="7826DD34"/>
    <w:rsid w:val="78286B9E"/>
    <w:rsid w:val="78965BB1"/>
    <w:rsid w:val="795257AF"/>
    <w:rsid w:val="7A116BF4"/>
    <w:rsid w:val="7A32738A"/>
    <w:rsid w:val="7A78CEAC"/>
    <w:rsid w:val="7ADA5F15"/>
    <w:rsid w:val="7B366621"/>
    <w:rsid w:val="7B96684F"/>
    <w:rsid w:val="7BD6FE88"/>
    <w:rsid w:val="7C69C738"/>
    <w:rsid w:val="7CCE346B"/>
    <w:rsid w:val="7D2DE183"/>
    <w:rsid w:val="7DDFA2F3"/>
    <w:rsid w:val="7E915C7F"/>
    <w:rsid w:val="7ED25BEF"/>
    <w:rsid w:val="7F7E65AC"/>
    <w:rsid w:val="7FD7F928"/>
    <w:rsid w:val="7FF2F93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8F8D40"/>
  <w15:chartTrackingRefBased/>
  <w15:docId w15:val="{FC00A933-3421-445C-A045-87DDD71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bg"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tre Chapitre,Chapitre"/>
    <w:basedOn w:val="Normal"/>
    <w:next w:val="Text1"/>
    <w:link w:val="Heading1Char"/>
    <w:uiPriority w:val="9"/>
    <w:qFormat/>
    <w:rsid w:val="006A41D9"/>
    <w:pPr>
      <w:keepNext/>
      <w:tabs>
        <w:tab w:val="num" w:pos="850"/>
      </w:tabs>
      <w:spacing w:before="360" w:after="120" w:line="240" w:lineRule="auto"/>
      <w:ind w:left="850" w:hanging="850"/>
      <w:jc w:val="both"/>
      <w:outlineLvl w:val="0"/>
    </w:pPr>
    <w:rPr>
      <w:rFonts w:ascii="Times New Roman" w:eastAsiaTheme="majorEastAsia" w:hAnsi="Times New Roman" w:cs="Times New Roman"/>
      <w:b/>
      <w:smallCaps/>
      <w:sz w:val="24"/>
    </w:rPr>
  </w:style>
  <w:style w:type="paragraph" w:styleId="Heading2">
    <w:name w:val="heading 2"/>
    <w:aliases w:val="Justification"/>
    <w:basedOn w:val="Normal"/>
    <w:next w:val="Text1"/>
    <w:link w:val="Heading2Char"/>
    <w:uiPriority w:val="9"/>
    <w:unhideWhenUsed/>
    <w:qFormat/>
    <w:rsid w:val="006A41D9"/>
    <w:pPr>
      <w:keepNext/>
      <w:tabs>
        <w:tab w:val="num" w:pos="850"/>
      </w:tabs>
      <w:spacing w:before="120" w:after="120" w:line="240" w:lineRule="auto"/>
      <w:ind w:left="850" w:hanging="850"/>
      <w:jc w:val="both"/>
      <w:outlineLvl w:val="1"/>
    </w:pPr>
    <w:rPr>
      <w:rFonts w:ascii="Times New Roman" w:eastAsiaTheme="majorEastAsia" w:hAnsi="Times New Roman" w:cs="Times New Roman"/>
      <w:b/>
      <w:sz w:val="24"/>
    </w:rPr>
  </w:style>
  <w:style w:type="paragraph" w:styleId="Heading3">
    <w:name w:val="heading 3"/>
    <w:basedOn w:val="Normal"/>
    <w:next w:val="Text1"/>
    <w:link w:val="Heading3Char"/>
    <w:uiPriority w:val="9"/>
    <w:unhideWhenUsed/>
    <w:qFormat/>
    <w:rsid w:val="006A41D9"/>
    <w:pPr>
      <w:keepNext/>
      <w:tabs>
        <w:tab w:val="num" w:pos="850"/>
      </w:tabs>
      <w:spacing w:before="120" w:after="120" w:line="240" w:lineRule="auto"/>
      <w:ind w:left="850" w:hanging="850"/>
      <w:jc w:val="both"/>
      <w:outlineLvl w:val="2"/>
    </w:pPr>
    <w:rPr>
      <w:rFonts w:ascii="Times New Roman" w:eastAsiaTheme="majorEastAsia" w:hAnsi="Times New Roman" w:cs="Times New Roman"/>
      <w:i/>
      <w:sz w:val="24"/>
    </w:rPr>
  </w:style>
  <w:style w:type="paragraph" w:styleId="Heading4">
    <w:name w:val="heading 4"/>
    <w:basedOn w:val="Normal"/>
    <w:next w:val="Text1"/>
    <w:link w:val="Heading4Char"/>
    <w:uiPriority w:val="9"/>
    <w:unhideWhenUsed/>
    <w:qFormat/>
    <w:rsid w:val="006A41D9"/>
    <w:pPr>
      <w:keepNext/>
      <w:tabs>
        <w:tab w:val="num" w:pos="850"/>
      </w:tabs>
      <w:spacing w:before="120" w:after="120" w:line="240" w:lineRule="auto"/>
      <w:ind w:left="850" w:hanging="850"/>
      <w:jc w:val="both"/>
      <w:outlineLvl w:val="3"/>
    </w:pPr>
    <w:rPr>
      <w:rFonts w:ascii="Times New Roman" w:eastAsiaTheme="majorEastAsia" w:hAnsi="Times New Roman" w:cs="Times New Roman"/>
      <w:sz w:val="24"/>
    </w:rPr>
  </w:style>
  <w:style w:type="paragraph" w:styleId="Heading5">
    <w:name w:val="heading 5"/>
    <w:basedOn w:val="Normal"/>
    <w:next w:val="Normal"/>
    <w:link w:val="Heading5Char"/>
    <w:uiPriority w:val="9"/>
    <w:unhideWhenUsed/>
    <w:qFormat/>
    <w:rsid w:val="006A41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6A41D9"/>
    <w:pPr>
      <w:keepNext/>
      <w:keepLines/>
      <w:spacing w:before="40" w:after="0"/>
      <w:outlineLvl w:val="7"/>
    </w:pPr>
    <w:rPr>
      <w:rFonts w:asciiTheme="majorHAnsi" w:eastAsiaTheme="majorEastAsia" w:hAnsiTheme="majorHAnsi" w:cstheme="majorBidi"/>
      <w:color w:val="272727" w:themeColor="text1" w:themeTint="D8"/>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Chapitre Char,Chapitre Char"/>
    <w:basedOn w:val="DefaultParagraphFont"/>
    <w:link w:val="Heading1"/>
    <w:uiPriority w:val="9"/>
    <w:rsid w:val="006A41D9"/>
    <w:rPr>
      <w:rFonts w:ascii="Times New Roman" w:eastAsiaTheme="majorEastAsia" w:hAnsi="Times New Roman" w:cs="Times New Roman"/>
      <w:b/>
      <w:smallCaps/>
      <w:sz w:val="24"/>
    </w:rPr>
  </w:style>
  <w:style w:type="character" w:customStyle="1" w:styleId="Heading2Char">
    <w:name w:val="Heading 2 Char"/>
    <w:aliases w:val="Justification Char"/>
    <w:basedOn w:val="DefaultParagraphFont"/>
    <w:link w:val="Heading2"/>
    <w:uiPriority w:val="9"/>
    <w:rsid w:val="006A41D9"/>
    <w:rPr>
      <w:rFonts w:ascii="Times New Roman" w:eastAsiaTheme="majorEastAsia" w:hAnsi="Times New Roman" w:cs="Times New Roman"/>
      <w:b/>
      <w:sz w:val="24"/>
    </w:rPr>
  </w:style>
  <w:style w:type="character" w:customStyle="1" w:styleId="Heading3Char">
    <w:name w:val="Heading 3 Char"/>
    <w:basedOn w:val="DefaultParagraphFont"/>
    <w:link w:val="Heading3"/>
    <w:uiPriority w:val="9"/>
    <w:rsid w:val="006A41D9"/>
    <w:rPr>
      <w:rFonts w:ascii="Times New Roman" w:eastAsiaTheme="majorEastAsia" w:hAnsi="Times New Roman" w:cs="Times New Roman"/>
      <w:i/>
      <w:sz w:val="24"/>
    </w:rPr>
  </w:style>
  <w:style w:type="character" w:customStyle="1" w:styleId="Heading4Char">
    <w:name w:val="Heading 4 Char"/>
    <w:basedOn w:val="DefaultParagraphFont"/>
    <w:link w:val="Heading4"/>
    <w:uiPriority w:val="9"/>
    <w:rsid w:val="006A41D9"/>
    <w:rPr>
      <w:rFonts w:ascii="Times New Roman" w:eastAsiaTheme="majorEastAsia" w:hAnsi="Times New Roman" w:cs="Times New Roman"/>
      <w:sz w:val="24"/>
    </w:rPr>
  </w:style>
  <w:style w:type="numbering" w:customStyle="1" w:styleId="NoList1">
    <w:name w:val="No List1"/>
    <w:next w:val="NoList"/>
    <w:uiPriority w:val="99"/>
    <w:semiHidden/>
    <w:unhideWhenUsed/>
    <w:rsid w:val="006A41D9"/>
  </w:style>
  <w:style w:type="character" w:styleId="CommentReference">
    <w:name w:val="annotation reference"/>
    <w:basedOn w:val="DefaultParagraphFont"/>
    <w:uiPriority w:val="99"/>
    <w:unhideWhenUsed/>
    <w:rsid w:val="006A41D9"/>
    <w:rPr>
      <w:sz w:val="16"/>
    </w:rPr>
  </w:style>
  <w:style w:type="paragraph" w:styleId="CommentText">
    <w:name w:val="annotation text"/>
    <w:basedOn w:val="Normal"/>
    <w:link w:val="CommentTextChar"/>
    <w:uiPriority w:val="99"/>
    <w:unhideWhenUsed/>
    <w:rsid w:val="006A41D9"/>
    <w:pPr>
      <w:spacing w:before="120" w:after="120" w:line="240" w:lineRule="auto"/>
      <w:jc w:val="both"/>
    </w:pPr>
    <w:rPr>
      <w:rFonts w:ascii="Times New Roman" w:hAnsi="Times New Roman" w:cs="Times New Roman"/>
      <w:sz w:val="20"/>
    </w:rPr>
  </w:style>
  <w:style w:type="character" w:customStyle="1" w:styleId="CommentTextChar">
    <w:name w:val="Comment Text Char"/>
    <w:basedOn w:val="DefaultParagraphFont"/>
    <w:link w:val="CommentText"/>
    <w:uiPriority w:val="99"/>
    <w:rsid w:val="006A41D9"/>
    <w:rPr>
      <w:rFonts w:ascii="Times New Roman" w:hAnsi="Times New Roman" w:cs="Times New Roman"/>
      <w:sz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6A41D9"/>
    <w:pPr>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sid w:val="006A41D9"/>
  </w:style>
  <w:style w:type="character" w:styleId="IntenseEmphasis">
    <w:name w:val="Intense Emphasis"/>
    <w:basedOn w:val="DefaultParagraphFont"/>
    <w:uiPriority w:val="21"/>
    <w:qFormat/>
    <w:rsid w:val="006A41D9"/>
    <w:rPr>
      <w:i/>
      <w:color w:val="4472C4" w:themeColor="accent1"/>
    </w:rPr>
  </w:style>
  <w:style w:type="paragraph" w:styleId="BalloonText">
    <w:name w:val="Balloon Text"/>
    <w:basedOn w:val="Normal"/>
    <w:link w:val="BalloonTextChar"/>
    <w:uiPriority w:val="99"/>
    <w:semiHidden/>
    <w:unhideWhenUsed/>
    <w:rsid w:val="006A41D9"/>
    <w:pPr>
      <w:spacing w:after="0" w:line="240" w:lineRule="auto"/>
      <w:jc w:val="both"/>
    </w:pPr>
    <w:rPr>
      <w:rFonts w:ascii="Segoe UI" w:hAnsi="Segoe UI" w:cs="Segoe UI"/>
      <w:sz w:val="18"/>
    </w:rPr>
  </w:style>
  <w:style w:type="character" w:customStyle="1" w:styleId="BalloonTextChar">
    <w:name w:val="Balloon Text Char"/>
    <w:basedOn w:val="DefaultParagraphFont"/>
    <w:link w:val="BalloonText"/>
    <w:uiPriority w:val="99"/>
    <w:semiHidden/>
    <w:rsid w:val="006A41D9"/>
    <w:rPr>
      <w:rFonts w:ascii="Segoe UI" w:hAnsi="Segoe UI" w:cs="Segoe UI"/>
      <w:sz w:val="18"/>
    </w:rPr>
  </w:style>
  <w:style w:type="paragraph" w:styleId="ListBullet">
    <w:name w:val="List Bullet"/>
    <w:basedOn w:val="Normal"/>
    <w:uiPriority w:val="99"/>
    <w:unhideWhenUsed/>
    <w:rsid w:val="006A41D9"/>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6A41D9"/>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6A41D9"/>
    <w:pPr>
      <w:numPr>
        <w:numId w:val="17"/>
      </w:numPr>
      <w:tabs>
        <w:tab w:val="clear" w:pos="926"/>
        <w:tab w:val="num" w:pos="360"/>
      </w:tabs>
      <w:spacing w:before="120" w:after="120" w:line="240" w:lineRule="auto"/>
      <w:ind w:left="0" w:firstLine="0"/>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6A41D9"/>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6A41D9"/>
    <w:rPr>
      <w:b/>
    </w:rPr>
  </w:style>
  <w:style w:type="character" w:customStyle="1" w:styleId="CommentSubjectChar">
    <w:name w:val="Comment Subject Char"/>
    <w:basedOn w:val="CommentTextChar"/>
    <w:link w:val="CommentSubject"/>
    <w:uiPriority w:val="99"/>
    <w:semiHidden/>
    <w:rsid w:val="006A41D9"/>
    <w:rPr>
      <w:rFonts w:ascii="Times New Roman" w:hAnsi="Times New Roman" w:cs="Times New Roman"/>
      <w:b/>
      <w:sz w:val="20"/>
    </w:rPr>
  </w:style>
  <w:style w:type="paragraph" w:styleId="Revision">
    <w:name w:val="Revision"/>
    <w:hidden/>
    <w:uiPriority w:val="99"/>
    <w:semiHidden/>
    <w:rsid w:val="006A41D9"/>
    <w:pPr>
      <w:spacing w:after="0" w:line="240" w:lineRule="auto"/>
    </w:pPr>
    <w:rPr>
      <w:rFonts w:ascii="Times New Roman" w:hAnsi="Times New Roman" w:cs="Times New Roman"/>
      <w:sz w:val="24"/>
    </w:rPr>
  </w:style>
  <w:style w:type="table" w:styleId="TableGrid">
    <w:name w:val="Table Grid"/>
    <w:basedOn w:val="TableNormal"/>
    <w:uiPriority w:val="39"/>
    <w:rsid w:val="006A41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A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6A41D9"/>
    <w:rPr>
      <w:rFonts w:ascii="Courier New" w:eastAsia="Times New Roman" w:hAnsi="Courier New" w:cs="Courier New"/>
      <w:sz w:val="20"/>
    </w:rPr>
  </w:style>
  <w:style w:type="character" w:styleId="Hyperlink">
    <w:name w:val="Hyperlink"/>
    <w:basedOn w:val="DefaultParagraphFont"/>
    <w:uiPriority w:val="99"/>
    <w:unhideWhenUsed/>
    <w:rsid w:val="006A41D9"/>
    <w:rPr>
      <w:color w:val="0000FF"/>
      <w:u w:val="single"/>
    </w:rPr>
  </w:style>
  <w:style w:type="character" w:styleId="HTMLCite">
    <w:name w:val="HTML Cite"/>
    <w:basedOn w:val="DefaultParagraphFont"/>
    <w:uiPriority w:val="99"/>
    <w:semiHidden/>
    <w:unhideWhenUsed/>
    <w:rsid w:val="006A41D9"/>
    <w:rPr>
      <w:i/>
    </w:rPr>
  </w:style>
  <w:style w:type="character" w:customStyle="1" w:styleId="acopre">
    <w:name w:val="acopre"/>
    <w:basedOn w:val="DefaultParagraphFont"/>
    <w:rsid w:val="006A41D9"/>
  </w:style>
  <w:style w:type="character" w:styleId="Emphasis">
    <w:name w:val="Emphasis"/>
    <w:basedOn w:val="DefaultParagraphFont"/>
    <w:uiPriority w:val="20"/>
    <w:qFormat/>
    <w:rsid w:val="006A41D9"/>
    <w:rPr>
      <w:i/>
    </w:rPr>
  </w:style>
  <w:style w:type="character" w:customStyle="1" w:styleId="lo8sbd">
    <w:name w:val="lo8sbd"/>
    <w:basedOn w:val="DefaultParagraphFont"/>
    <w:rsid w:val="006A41D9"/>
  </w:style>
  <w:style w:type="paragraph" w:customStyle="1" w:styleId="s1fapd">
    <w:name w:val="s1fapd"/>
    <w:basedOn w:val="Normal"/>
    <w:rsid w:val="006A41D9"/>
    <w:pPr>
      <w:spacing w:before="100" w:beforeAutospacing="1" w:after="100" w:afterAutospacing="1" w:line="240" w:lineRule="auto"/>
    </w:pPr>
    <w:rPr>
      <w:rFonts w:ascii="Times New Roman" w:eastAsia="Times New Roman" w:hAnsi="Times New Roman" w:cs="Times New Roman"/>
      <w:sz w:val="24"/>
    </w:rPr>
  </w:style>
  <w:style w:type="character" w:customStyle="1" w:styleId="wurvib">
    <w:name w:val="wurvib"/>
    <w:basedOn w:val="DefaultParagraphFont"/>
    <w:rsid w:val="006A41D9"/>
  </w:style>
  <w:style w:type="character" w:customStyle="1" w:styleId="dyjrff">
    <w:name w:val="dyjrff"/>
    <w:basedOn w:val="DefaultParagraphFont"/>
    <w:rsid w:val="006A41D9"/>
  </w:style>
  <w:style w:type="character" w:customStyle="1" w:styleId="glpvmc">
    <w:name w:val="glpvmc"/>
    <w:basedOn w:val="DefaultParagraphFont"/>
    <w:rsid w:val="006A41D9"/>
  </w:style>
  <w:style w:type="character" w:customStyle="1" w:styleId="f">
    <w:name w:val="f"/>
    <w:basedOn w:val="DefaultParagraphFont"/>
    <w:rsid w:val="006A41D9"/>
  </w:style>
  <w:style w:type="character" w:customStyle="1" w:styleId="mfmhoc">
    <w:name w:val="mfmhoc"/>
    <w:basedOn w:val="DefaultParagraphFont"/>
    <w:rsid w:val="006A41D9"/>
  </w:style>
  <w:style w:type="character" w:customStyle="1" w:styleId="q8lrlc">
    <w:name w:val="q8lrlc"/>
    <w:basedOn w:val="DefaultParagraphFont"/>
    <w:rsid w:val="006A41D9"/>
  </w:style>
  <w:style w:type="character" w:customStyle="1" w:styleId="b4gxfc">
    <w:name w:val="b4gxfc"/>
    <w:basedOn w:val="DefaultParagraphFont"/>
    <w:rsid w:val="006A41D9"/>
  </w:style>
  <w:style w:type="character" w:customStyle="1" w:styleId="jlqj4b">
    <w:name w:val="jlqj4b"/>
    <w:basedOn w:val="DefaultParagraphFont"/>
    <w:rsid w:val="006A41D9"/>
  </w:style>
  <w:style w:type="paragraph" w:customStyle="1" w:styleId="paragraph">
    <w:name w:val="paragraph"/>
    <w:basedOn w:val="Normal"/>
    <w:rsid w:val="006A41D9"/>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6A41D9"/>
  </w:style>
  <w:style w:type="character" w:customStyle="1" w:styleId="eop">
    <w:name w:val="eop"/>
    <w:basedOn w:val="DefaultParagraphFont"/>
    <w:rsid w:val="006A41D9"/>
  </w:style>
  <w:style w:type="character" w:customStyle="1" w:styleId="hgkelc">
    <w:name w:val="hgkelc"/>
    <w:basedOn w:val="DefaultParagraphFont"/>
    <w:rsid w:val="006A41D9"/>
  </w:style>
  <w:style w:type="character" w:customStyle="1" w:styleId="y2iqfc">
    <w:name w:val="y2iqfc"/>
    <w:basedOn w:val="DefaultParagraphFont"/>
    <w:rsid w:val="006A41D9"/>
  </w:style>
  <w:style w:type="paragraph" w:customStyle="1" w:styleId="Bodytext211">
    <w:name w:val="Body text|211"/>
    <w:basedOn w:val="Normal"/>
    <w:link w:val="Bodytext2"/>
    <w:qFormat/>
    <w:rsid w:val="006A41D9"/>
    <w:pPr>
      <w:widowControl w:val="0"/>
      <w:shd w:val="clear" w:color="auto" w:fill="FFFFFF"/>
      <w:spacing w:before="400" w:after="100" w:line="244" w:lineRule="exact"/>
      <w:ind w:hanging="380"/>
    </w:pPr>
    <w:rPr>
      <w:rFonts w:ascii="Calibri" w:eastAsia="Calibri" w:hAnsi="Calibri" w:cs="Calibri"/>
      <w:color w:val="000000"/>
      <w:sz w:val="20"/>
    </w:rPr>
  </w:style>
  <w:style w:type="character" w:customStyle="1" w:styleId="Bodytext2">
    <w:name w:val="Body text|2_"/>
    <w:basedOn w:val="DefaultParagraphFont"/>
    <w:link w:val="Bodytext211"/>
    <w:rsid w:val="006A41D9"/>
    <w:rPr>
      <w:rFonts w:ascii="Calibri" w:eastAsia="Calibri" w:hAnsi="Calibri" w:cs="Calibri"/>
      <w:color w:val="000000"/>
      <w:sz w:val="20"/>
      <w:shd w:val="clear" w:color="auto" w:fill="FFFFFF"/>
    </w:rPr>
  </w:style>
  <w:style w:type="character" w:customStyle="1" w:styleId="Bodytext2Italic">
    <w:name w:val="Body text|2 + Italic"/>
    <w:basedOn w:val="Bodytext2"/>
    <w:semiHidden/>
    <w:unhideWhenUsed/>
    <w:rsid w:val="006A41D9"/>
    <w:rPr>
      <w:rFonts w:ascii="Calibri" w:eastAsia="Calibri" w:hAnsi="Calibri" w:cs="Calibri"/>
      <w:i/>
      <w:color w:val="000000"/>
      <w:position w:val="0"/>
      <w:sz w:val="20"/>
      <w:shd w:val="clear" w:color="auto" w:fill="FFFFFF"/>
    </w:rPr>
  </w:style>
  <w:style w:type="character" w:customStyle="1" w:styleId="Bodytext20">
    <w:name w:val="Body text|20"/>
    <w:basedOn w:val="Bodytext2"/>
    <w:semiHidden/>
    <w:unhideWhenUsed/>
    <w:rsid w:val="006A41D9"/>
    <w:rPr>
      <w:rFonts w:ascii="Calibri" w:eastAsia="Calibri" w:hAnsi="Calibri" w:cs="Calibri"/>
      <w:color w:val="000000"/>
      <w:position w:val="0"/>
      <w:sz w:val="20"/>
      <w:u w:val="single"/>
      <w:shd w:val="clear" w:color="auto" w:fill="FFFFFF"/>
    </w:rPr>
  </w:style>
  <w:style w:type="character" w:customStyle="1" w:styleId="Footnote1">
    <w:name w:val="Footnote|1_"/>
    <w:basedOn w:val="DefaultParagraphFont"/>
    <w:link w:val="Footnote11"/>
    <w:rsid w:val="006A41D9"/>
    <w:rPr>
      <w:rFonts w:ascii="Calibri" w:eastAsia="Calibri" w:hAnsi="Calibri" w:cs="Calibri"/>
      <w:sz w:val="15"/>
      <w:shd w:val="clear" w:color="auto" w:fill="FFFFFF"/>
    </w:rPr>
  </w:style>
  <w:style w:type="character" w:customStyle="1" w:styleId="Footnote10">
    <w:name w:val="Footnote|1"/>
    <w:basedOn w:val="Footnote1"/>
    <w:semiHidden/>
    <w:unhideWhenUsed/>
    <w:rsid w:val="006A41D9"/>
    <w:rPr>
      <w:rFonts w:ascii="Calibri" w:eastAsia="Calibri" w:hAnsi="Calibri" w:cs="Calibri"/>
      <w:color w:val="0563C1"/>
      <w:position w:val="0"/>
      <w:sz w:val="15"/>
      <w:u w:val="single"/>
      <w:shd w:val="clear" w:color="auto" w:fill="FFFFFF"/>
    </w:rPr>
  </w:style>
  <w:style w:type="paragraph" w:customStyle="1" w:styleId="Footnote11">
    <w:name w:val="Footnote|11"/>
    <w:basedOn w:val="Normal"/>
    <w:link w:val="Footnote1"/>
    <w:qFormat/>
    <w:rsid w:val="006A41D9"/>
    <w:pPr>
      <w:widowControl w:val="0"/>
      <w:shd w:val="clear" w:color="auto" w:fill="FFFFFF"/>
      <w:spacing w:after="0" w:line="197" w:lineRule="exact"/>
      <w:jc w:val="both"/>
    </w:pPr>
    <w:rPr>
      <w:rFonts w:ascii="Calibri" w:eastAsia="Calibri" w:hAnsi="Calibri" w:cs="Calibri"/>
      <w:sz w:val="15"/>
    </w:rPr>
  </w:style>
  <w:style w:type="character" w:customStyle="1" w:styleId="Footnote3">
    <w:name w:val="Footnote|3_"/>
    <w:basedOn w:val="DefaultParagraphFont"/>
    <w:link w:val="Footnote30"/>
    <w:rsid w:val="006A41D9"/>
    <w:rPr>
      <w:rFonts w:ascii="Calibri" w:eastAsia="Calibri" w:hAnsi="Calibri" w:cs="Calibri"/>
      <w:i/>
      <w:sz w:val="15"/>
      <w:shd w:val="clear" w:color="auto" w:fill="FFFFFF"/>
    </w:rPr>
  </w:style>
  <w:style w:type="character" w:customStyle="1" w:styleId="Footnote3NotItalic">
    <w:name w:val="Footnote|3 + Not Italic"/>
    <w:basedOn w:val="Footnote3"/>
    <w:semiHidden/>
    <w:unhideWhenUsed/>
    <w:rsid w:val="006A41D9"/>
    <w:rPr>
      <w:rFonts w:ascii="Calibri" w:eastAsia="Calibri" w:hAnsi="Calibri" w:cs="Calibri"/>
      <w:i/>
      <w:color w:val="000000"/>
      <w:position w:val="0"/>
      <w:sz w:val="15"/>
      <w:shd w:val="clear" w:color="auto" w:fill="FFFFFF"/>
    </w:rPr>
  </w:style>
  <w:style w:type="paragraph" w:customStyle="1" w:styleId="Footnote30">
    <w:name w:val="Footnote|3"/>
    <w:basedOn w:val="Normal"/>
    <w:link w:val="Footnote3"/>
    <w:rsid w:val="006A41D9"/>
    <w:pPr>
      <w:widowControl w:val="0"/>
      <w:shd w:val="clear" w:color="auto" w:fill="FFFFFF"/>
      <w:spacing w:after="0" w:line="192" w:lineRule="exact"/>
      <w:jc w:val="both"/>
    </w:pPr>
    <w:rPr>
      <w:rFonts w:ascii="Calibri" w:eastAsia="Calibri" w:hAnsi="Calibri" w:cs="Calibri"/>
      <w:i/>
      <w:sz w:val="15"/>
    </w:rPr>
  </w:style>
  <w:style w:type="paragraph" w:styleId="NormalWeb">
    <w:name w:val="Normal (Web)"/>
    <w:basedOn w:val="Normal"/>
    <w:uiPriority w:val="99"/>
    <w:unhideWhenUsed/>
    <w:rsid w:val="006A41D9"/>
    <w:pPr>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nhideWhenUsed/>
    <w:rsid w:val="006A41D9"/>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rsid w:val="006A41D9"/>
    <w:rPr>
      <w:rFonts w:ascii="Times New Roman" w:hAnsi="Times New Roman" w:cs="Times New Roman"/>
      <w:sz w:val="24"/>
    </w:rPr>
  </w:style>
  <w:style w:type="paragraph" w:styleId="Footer">
    <w:name w:val="footer"/>
    <w:basedOn w:val="Normal"/>
    <w:link w:val="FooterChar"/>
    <w:uiPriority w:val="99"/>
    <w:unhideWhenUsed/>
    <w:rsid w:val="006A41D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6A41D9"/>
    <w:rPr>
      <w:rFonts w:ascii="Times New Roman" w:hAnsi="Times New Roman" w:cs="Times New Roman"/>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Char,Voetnoottekst Char"/>
    <w:basedOn w:val="Normal"/>
    <w:link w:val="FootnoteTextChar"/>
    <w:uiPriority w:val="99"/>
    <w:unhideWhenUsed/>
    <w:rsid w:val="006A41D9"/>
    <w:pPr>
      <w:spacing w:after="0" w:line="240" w:lineRule="auto"/>
      <w:ind w:left="720" w:hanging="720"/>
      <w:jc w:val="both"/>
    </w:pPr>
    <w:rPr>
      <w:rFonts w:ascii="Times New Roman" w:hAnsi="Times New Roman" w:cs="Times New Roman"/>
      <w:sz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6A41D9"/>
    <w:rPr>
      <w:rFonts w:ascii="Times New Roman" w:hAnsi="Times New Roman" w:cs="Times New Roman"/>
      <w:sz w:val="20"/>
    </w:rPr>
  </w:style>
  <w:style w:type="paragraph" w:styleId="TOCHeading">
    <w:name w:val="TOC Heading"/>
    <w:basedOn w:val="Normal"/>
    <w:next w:val="Normal"/>
    <w:uiPriority w:val="39"/>
    <w:unhideWhenUsed/>
    <w:qFormat/>
    <w:rsid w:val="006A41D9"/>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unhideWhenUsed/>
    <w:rsid w:val="006A41D9"/>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unhideWhenUsed/>
    <w:rsid w:val="006A41D9"/>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unhideWhenUsed/>
    <w:rsid w:val="006A41D9"/>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unhideWhenUsed/>
    <w:rsid w:val="006A41D9"/>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unhideWhenUsed/>
    <w:rsid w:val="006A41D9"/>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unhideWhenUsed/>
    <w:rsid w:val="006A41D9"/>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unhideWhenUsed/>
    <w:rsid w:val="006A41D9"/>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unhideWhenUsed/>
    <w:rsid w:val="006A41D9"/>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unhideWhenUsed/>
    <w:rsid w:val="006A41D9"/>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6A41D9"/>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6A41D9"/>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ûnotenzeichen,stylish,(Footnote Referen"/>
    <w:basedOn w:val="DefaultParagraphFont"/>
    <w:link w:val="SUPERSChar"/>
    <w:uiPriority w:val="99"/>
    <w:unhideWhenUsed/>
    <w:qFormat/>
    <w:rsid w:val="006A41D9"/>
    <w:rPr>
      <w:vertAlign w:val="superscript"/>
    </w:rPr>
  </w:style>
  <w:style w:type="paragraph" w:customStyle="1" w:styleId="HeaderSensitivity">
    <w:name w:val="Header Sensitivity"/>
    <w:basedOn w:val="Normal"/>
    <w:rsid w:val="006A41D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6A41D9"/>
    <w:pPr>
      <w:spacing w:after="120" w:line="240" w:lineRule="auto"/>
      <w:jc w:val="right"/>
    </w:pPr>
    <w:rPr>
      <w:rFonts w:ascii="Times New Roman" w:hAnsi="Times New Roman" w:cs="Times New Roman"/>
      <w:sz w:val="28"/>
    </w:rPr>
  </w:style>
  <w:style w:type="paragraph" w:customStyle="1" w:styleId="FooterSensitivity">
    <w:name w:val="Footer Sensitivity"/>
    <w:basedOn w:val="Normal"/>
    <w:rsid w:val="006A41D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link w:val="Text1Char"/>
    <w:rsid w:val="006A41D9"/>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6A41D9"/>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6A41D9"/>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6A41D9"/>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6A41D9"/>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6A41D9"/>
    <w:pPr>
      <w:spacing w:before="120" w:after="120" w:line="240" w:lineRule="auto"/>
    </w:pPr>
    <w:rPr>
      <w:rFonts w:ascii="Times New Roman" w:hAnsi="Times New Roman" w:cs="Times New Roman"/>
      <w:sz w:val="24"/>
    </w:rPr>
  </w:style>
  <w:style w:type="paragraph" w:customStyle="1" w:styleId="NormalRight">
    <w:name w:val="Normal Right"/>
    <w:basedOn w:val="Normal"/>
    <w:rsid w:val="006A41D9"/>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6A41D9"/>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6A41D9"/>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6A41D9"/>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6A41D9"/>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6A41D9"/>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6A41D9"/>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6A41D9"/>
    <w:pPr>
      <w:numPr>
        <w:numId w:val="2"/>
      </w:numPr>
    </w:pPr>
  </w:style>
  <w:style w:type="paragraph" w:customStyle="1" w:styleId="Tiret1">
    <w:name w:val="Tiret 1"/>
    <w:basedOn w:val="Point1"/>
    <w:rsid w:val="006A41D9"/>
    <w:pPr>
      <w:numPr>
        <w:numId w:val="3"/>
      </w:numPr>
    </w:pPr>
  </w:style>
  <w:style w:type="paragraph" w:customStyle="1" w:styleId="Tiret2">
    <w:name w:val="Tiret 2"/>
    <w:basedOn w:val="Point2"/>
    <w:rsid w:val="006A41D9"/>
    <w:pPr>
      <w:numPr>
        <w:numId w:val="4"/>
      </w:numPr>
    </w:pPr>
  </w:style>
  <w:style w:type="paragraph" w:customStyle="1" w:styleId="Tiret3">
    <w:name w:val="Tiret 3"/>
    <w:basedOn w:val="Point3"/>
    <w:rsid w:val="006A41D9"/>
    <w:pPr>
      <w:numPr>
        <w:numId w:val="5"/>
      </w:numPr>
    </w:pPr>
  </w:style>
  <w:style w:type="paragraph" w:customStyle="1" w:styleId="Tiret4">
    <w:name w:val="Tiret 4"/>
    <w:basedOn w:val="Point4"/>
    <w:rsid w:val="006A41D9"/>
    <w:pPr>
      <w:numPr>
        <w:numId w:val="6"/>
      </w:numPr>
    </w:pPr>
  </w:style>
  <w:style w:type="paragraph" w:customStyle="1" w:styleId="PointDouble0">
    <w:name w:val="PointDouble 0"/>
    <w:basedOn w:val="Normal"/>
    <w:rsid w:val="006A41D9"/>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6A41D9"/>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6A41D9"/>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6A41D9"/>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6A41D9"/>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6A41D9"/>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6A41D9"/>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6A41D9"/>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6A41D9"/>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6A41D9"/>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6A41D9"/>
    <w:pPr>
      <w:numPr>
        <w:numId w:val="7"/>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6A41D9"/>
    <w:pPr>
      <w:numPr>
        <w:ilvl w:val="1"/>
        <w:numId w:val="7"/>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6A41D9"/>
    <w:pPr>
      <w:numPr>
        <w:ilvl w:val="2"/>
        <w:numId w:val="7"/>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6A41D9"/>
    <w:pPr>
      <w:numPr>
        <w:ilvl w:val="3"/>
        <w:numId w:val="7"/>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6A41D9"/>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6A41D9"/>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6A41D9"/>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6A41D9"/>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6A41D9"/>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6A41D9"/>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6A41D9"/>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6A41D9"/>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6A41D9"/>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6A41D9"/>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6A41D9"/>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6A41D9"/>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6A41D9"/>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sid w:val="006A41D9"/>
    <w:rPr>
      <w:color w:val="0000FF"/>
      <w:shd w:val="clear" w:color="auto" w:fill="auto"/>
    </w:rPr>
  </w:style>
  <w:style w:type="character" w:customStyle="1" w:styleId="Marker1">
    <w:name w:val="Marker1"/>
    <w:basedOn w:val="DefaultParagraphFont"/>
    <w:rsid w:val="006A41D9"/>
    <w:rPr>
      <w:color w:val="008000"/>
      <w:shd w:val="clear" w:color="auto" w:fill="auto"/>
    </w:rPr>
  </w:style>
  <w:style w:type="character" w:customStyle="1" w:styleId="Marker2">
    <w:name w:val="Marker2"/>
    <w:basedOn w:val="DefaultParagraphFont"/>
    <w:rsid w:val="006A41D9"/>
    <w:rPr>
      <w:color w:val="FF0000"/>
      <w:shd w:val="clear" w:color="auto" w:fill="auto"/>
    </w:rPr>
  </w:style>
  <w:style w:type="paragraph" w:customStyle="1" w:styleId="Point0number">
    <w:name w:val="Point 0 (number)"/>
    <w:basedOn w:val="Normal"/>
    <w:rsid w:val="006A41D9"/>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6A41D9"/>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6A41D9"/>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6A41D9"/>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6A41D9"/>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6A41D9"/>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6A41D9"/>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6A41D9"/>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6A41D9"/>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6A41D9"/>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6A41D9"/>
    <w:pPr>
      <w:numPr>
        <w:numId w:val="10"/>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6A41D9"/>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6A41D9"/>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6A41D9"/>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6A41D9"/>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6A41D9"/>
    <w:pPr>
      <w:spacing w:after="0" w:line="240" w:lineRule="auto"/>
    </w:pPr>
    <w:rPr>
      <w:rFonts w:ascii="Arial" w:hAnsi="Arial" w:cs="Arial"/>
      <w:sz w:val="24"/>
    </w:rPr>
  </w:style>
  <w:style w:type="paragraph" w:customStyle="1" w:styleId="Emission">
    <w:name w:val="Emission"/>
    <w:basedOn w:val="Normal"/>
    <w:next w:val="Rfrenceinstitutionnelle"/>
    <w:rsid w:val="006A41D9"/>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6A41D9"/>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rsid w:val="006A41D9"/>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rsid w:val="006A41D9"/>
    <w:pPr>
      <w:spacing w:after="0" w:line="240" w:lineRule="auto"/>
      <w:jc w:val="both"/>
    </w:pPr>
    <w:rPr>
      <w:rFonts w:ascii="Times New Roman" w:hAnsi="Times New Roman" w:cs="Times New Roman"/>
      <w:sz w:val="24"/>
    </w:rPr>
  </w:style>
  <w:style w:type="paragraph" w:customStyle="1" w:styleId="Disclaimer">
    <w:name w:val="Disclaimer"/>
    <w:basedOn w:val="Normal"/>
    <w:rsid w:val="006A41D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6A41D9"/>
    <w:pPr>
      <w:spacing w:after="0" w:line="276" w:lineRule="auto"/>
      <w:ind w:left="5103"/>
    </w:pPr>
    <w:rPr>
      <w:rFonts w:ascii="Times New Roman" w:hAnsi="Times New Roman" w:cs="Times New Roman"/>
      <w:sz w:val="28"/>
    </w:rPr>
  </w:style>
  <w:style w:type="paragraph" w:customStyle="1" w:styleId="DateMarking">
    <w:name w:val="DateMarking"/>
    <w:basedOn w:val="Normal"/>
    <w:rsid w:val="006A41D9"/>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6A41D9"/>
    <w:pPr>
      <w:spacing w:after="0" w:line="276" w:lineRule="auto"/>
      <w:ind w:left="5103"/>
    </w:pPr>
    <w:rPr>
      <w:rFonts w:ascii="Times New Roman" w:hAnsi="Times New Roman" w:cs="Times New Roman"/>
      <w:i/>
      <w:sz w:val="28"/>
    </w:rPr>
  </w:style>
  <w:style w:type="paragraph" w:customStyle="1" w:styleId="Annexetitreexpos">
    <w:name w:val="Annexe titre (exposé)"/>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6A41D9"/>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6A41D9"/>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6A41D9"/>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6A41D9"/>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6A41D9"/>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6A41D9"/>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6A41D9"/>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6A41D9"/>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6A41D9"/>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6A41D9"/>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6A41D9"/>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6A41D9"/>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6A41D9"/>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6A41D9"/>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6A41D9"/>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6A41D9"/>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6A41D9"/>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6A41D9"/>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6A41D9"/>
    <w:rPr>
      <w:b/>
      <w:u w:val="single"/>
      <w:shd w:val="clear" w:color="auto" w:fill="auto"/>
    </w:rPr>
  </w:style>
  <w:style w:type="character" w:customStyle="1" w:styleId="Deleted">
    <w:name w:val="Deleted"/>
    <w:basedOn w:val="DefaultParagraphFont"/>
    <w:rsid w:val="006A41D9"/>
    <w:rPr>
      <w:strike/>
      <w:dstrike w:val="0"/>
      <w:shd w:val="clear" w:color="auto" w:fill="auto"/>
    </w:rPr>
  </w:style>
  <w:style w:type="paragraph" w:customStyle="1" w:styleId="Address">
    <w:name w:val="Address"/>
    <w:basedOn w:val="Normal"/>
    <w:next w:val="Normal"/>
    <w:rsid w:val="006A41D9"/>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6A41D9"/>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6A41D9"/>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6A41D9"/>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6A41D9"/>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6A41D9"/>
  </w:style>
  <w:style w:type="paragraph" w:customStyle="1" w:styleId="RfrenceinterinstitutionnellePagedecouverture">
    <w:name w:val="Référence interinstitutionnelle (Page de couverture)"/>
    <w:basedOn w:val="Rfrenceinterinstitutionnelle"/>
    <w:next w:val="Confidentialit"/>
    <w:rsid w:val="006A41D9"/>
  </w:style>
  <w:style w:type="paragraph" w:customStyle="1" w:styleId="StatutPagedecouverture">
    <w:name w:val="Statut (Page de couverture)"/>
    <w:basedOn w:val="Statut"/>
    <w:next w:val="TypedudocumentPagedecouverture"/>
    <w:rsid w:val="006A41D9"/>
  </w:style>
  <w:style w:type="paragraph" w:customStyle="1" w:styleId="TypedudocumentPagedecouverture">
    <w:name w:val="Type du document (Page de couverture)"/>
    <w:basedOn w:val="Typedudocument"/>
    <w:next w:val="AccompagnantPagedecouverture"/>
    <w:rsid w:val="006A41D9"/>
  </w:style>
  <w:style w:type="paragraph" w:customStyle="1" w:styleId="Volume">
    <w:name w:val="Volume"/>
    <w:basedOn w:val="Normal"/>
    <w:next w:val="Confidentialit"/>
    <w:rsid w:val="006A41D9"/>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6A41D9"/>
    <w:pPr>
      <w:spacing w:after="240"/>
    </w:pPr>
  </w:style>
  <w:style w:type="paragraph" w:customStyle="1" w:styleId="Accompagnant">
    <w:name w:val="Accompagnant"/>
    <w:basedOn w:val="Normal"/>
    <w:next w:val="Typeacteprincipal"/>
    <w:rsid w:val="006A41D9"/>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6A41D9"/>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6A41D9"/>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6A41D9"/>
  </w:style>
  <w:style w:type="paragraph" w:customStyle="1" w:styleId="AccompagnantPagedecouverture">
    <w:name w:val="Accompagnant (Page de couverture)"/>
    <w:basedOn w:val="Accompagnant"/>
    <w:next w:val="TypeacteprincipalPagedecouverture"/>
    <w:rsid w:val="006A41D9"/>
  </w:style>
  <w:style w:type="paragraph" w:customStyle="1" w:styleId="TypeacteprincipalPagedecouverture">
    <w:name w:val="Type acte principal (Page de couverture)"/>
    <w:basedOn w:val="Typeacteprincipal"/>
    <w:next w:val="ObjetacteprincipalPagedecouverture"/>
    <w:rsid w:val="006A41D9"/>
  </w:style>
  <w:style w:type="paragraph" w:customStyle="1" w:styleId="ObjetacteprincipalPagedecouverture">
    <w:name w:val="Objet acte principal (Page de couverture)"/>
    <w:basedOn w:val="Objetacteprincipal"/>
    <w:next w:val="Rfrencecroise"/>
    <w:rsid w:val="006A41D9"/>
  </w:style>
  <w:style w:type="paragraph" w:customStyle="1" w:styleId="LanguesfaisantfoiPagedecouverture">
    <w:name w:val="Langues faisant foi (Page de couverture)"/>
    <w:basedOn w:val="Normal"/>
    <w:next w:val="Normal"/>
    <w:rsid w:val="006A41D9"/>
    <w:pPr>
      <w:spacing w:before="360" w:after="0" w:line="240" w:lineRule="auto"/>
      <w:jc w:val="center"/>
    </w:pPr>
    <w:rPr>
      <w:rFonts w:ascii="Times New Roman" w:hAnsi="Times New Roman" w:cs="Times New Roman"/>
      <w:sz w:val="24"/>
    </w:rPr>
  </w:style>
  <w:style w:type="paragraph" w:styleId="Caption">
    <w:name w:val="caption"/>
    <w:basedOn w:val="Normal"/>
    <w:next w:val="Normal"/>
    <w:uiPriority w:val="35"/>
    <w:unhideWhenUsed/>
    <w:qFormat/>
    <w:rsid w:val="006A41D9"/>
    <w:pPr>
      <w:spacing w:after="200" w:line="240" w:lineRule="auto"/>
      <w:jc w:val="both"/>
    </w:pPr>
    <w:rPr>
      <w:rFonts w:ascii="Times New Roman" w:hAnsi="Times New Roman" w:cs="Times New Roman"/>
      <w:i/>
      <w:color w:val="44546A" w:themeColor="text2"/>
      <w:sz w:val="18"/>
    </w:rPr>
  </w:style>
  <w:style w:type="paragraph" w:styleId="TableofFigures">
    <w:name w:val="table of figures"/>
    <w:basedOn w:val="Normal"/>
    <w:next w:val="Normal"/>
    <w:uiPriority w:val="99"/>
    <w:semiHidden/>
    <w:unhideWhenUsed/>
    <w:rsid w:val="006A41D9"/>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6A41D9"/>
    <w:pPr>
      <w:numPr>
        <w:numId w:val="19"/>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6A41D9"/>
    <w:pPr>
      <w:numPr>
        <w:numId w:val="20"/>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6A41D9"/>
    <w:pPr>
      <w:numPr>
        <w:numId w:val="21"/>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6A41D9"/>
    <w:pPr>
      <w:numPr>
        <w:numId w:val="22"/>
      </w:numPr>
      <w:spacing w:before="120" w:after="120" w:line="240" w:lineRule="auto"/>
      <w:contextualSpacing/>
      <w:jc w:val="both"/>
    </w:pPr>
    <w:rPr>
      <w:rFonts w:ascii="Times New Roman" w:hAnsi="Times New Roman" w:cs="Times New Roman"/>
      <w:sz w:val="24"/>
    </w:rPr>
  </w:style>
  <w:style w:type="paragraph" w:customStyle="1" w:styleId="FooterCoverPage">
    <w:name w:val="Footer Cover Page"/>
    <w:basedOn w:val="Normal"/>
    <w:link w:val="FooterCoverPageChar"/>
    <w:rsid w:val="006A41D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A41D9"/>
    <w:rPr>
      <w:rFonts w:ascii="Times New Roman" w:hAnsi="Times New Roman" w:cs="Times New Roman"/>
      <w:sz w:val="24"/>
    </w:rPr>
  </w:style>
  <w:style w:type="paragraph" w:customStyle="1" w:styleId="HeaderCoverPage">
    <w:name w:val="Header Cover Page"/>
    <w:basedOn w:val="Normal"/>
    <w:link w:val="HeaderCoverPageChar"/>
    <w:rsid w:val="006A41D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A41D9"/>
    <w:rPr>
      <w:rFonts w:ascii="Times New Roman" w:hAnsi="Times New Roman" w:cs="Times New Roman"/>
      <w:sz w:val="24"/>
    </w:rPr>
  </w:style>
  <w:style w:type="character" w:customStyle="1" w:styleId="Bodytext5">
    <w:name w:val="Body text|5_"/>
    <w:basedOn w:val="DefaultParagraphFont"/>
    <w:link w:val="Bodytext50"/>
    <w:rsid w:val="006A41D9"/>
    <w:rPr>
      <w:rFonts w:ascii="Arial" w:eastAsia="Arial" w:hAnsi="Arial" w:cs="Arial"/>
      <w:sz w:val="17"/>
      <w:shd w:val="clear" w:color="auto" w:fill="FFFFFF"/>
    </w:rPr>
  </w:style>
  <w:style w:type="paragraph" w:customStyle="1" w:styleId="Bodytext21">
    <w:name w:val="Body text|2"/>
    <w:basedOn w:val="Normal"/>
    <w:qFormat/>
    <w:rsid w:val="006A41D9"/>
    <w:pPr>
      <w:widowControl w:val="0"/>
      <w:shd w:val="clear" w:color="auto" w:fill="FFFFFF"/>
      <w:spacing w:after="0" w:line="446" w:lineRule="exact"/>
      <w:ind w:hanging="660"/>
      <w:jc w:val="both"/>
    </w:pPr>
    <w:rPr>
      <w:rFonts w:ascii="Arial" w:eastAsia="Arial" w:hAnsi="Arial" w:cs="Arial"/>
      <w:sz w:val="21"/>
    </w:rPr>
  </w:style>
  <w:style w:type="paragraph" w:customStyle="1" w:styleId="Bodytext50">
    <w:name w:val="Body text|5"/>
    <w:basedOn w:val="Normal"/>
    <w:link w:val="Bodytext5"/>
    <w:rsid w:val="006A41D9"/>
    <w:pPr>
      <w:widowControl w:val="0"/>
      <w:shd w:val="clear" w:color="auto" w:fill="FFFFFF"/>
      <w:spacing w:before="1000" w:after="1000" w:line="190" w:lineRule="exact"/>
    </w:pPr>
    <w:rPr>
      <w:rFonts w:ascii="Arial" w:eastAsia="Arial" w:hAnsi="Arial" w:cs="Arial"/>
      <w:sz w:val="17"/>
    </w:rPr>
  </w:style>
  <w:style w:type="table" w:customStyle="1" w:styleId="GridTable1Light-Accent11">
    <w:name w:val="Grid Table 1 Light - Accent 11"/>
    <w:basedOn w:val="TableNormal"/>
    <w:uiPriority w:val="46"/>
    <w:rsid w:val="006A41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UPERSChar">
    <w:name w:val="SUPERS Char"/>
    <w:aliases w:val="EN Footnote Reference Char"/>
    <w:basedOn w:val="Normal"/>
    <w:link w:val="FootnoteReference"/>
    <w:uiPriority w:val="99"/>
    <w:rsid w:val="006A41D9"/>
    <w:pPr>
      <w:widowControl w:val="0"/>
      <w:adjustRightInd w:val="0"/>
      <w:spacing w:line="240" w:lineRule="exact"/>
      <w:jc w:val="both"/>
    </w:pPr>
    <w:rPr>
      <w:vertAlign w:val="superscript"/>
    </w:rPr>
  </w:style>
  <w:style w:type="paragraph" w:customStyle="1" w:styleId="TechnicalBlock">
    <w:name w:val="Technical Block"/>
    <w:basedOn w:val="Text1"/>
    <w:link w:val="TechnicalBlockChar"/>
    <w:rsid w:val="006A41D9"/>
    <w:pPr>
      <w:spacing w:before="0" w:after="240"/>
      <w:ind w:left="0"/>
      <w:jc w:val="center"/>
    </w:pPr>
  </w:style>
  <w:style w:type="character" w:customStyle="1" w:styleId="Text1Char">
    <w:name w:val="Text 1 Char"/>
    <w:basedOn w:val="DefaultParagraphFont"/>
    <w:link w:val="Text1"/>
    <w:rsid w:val="006A41D9"/>
    <w:rPr>
      <w:rFonts w:ascii="Times New Roman" w:hAnsi="Times New Roman" w:cs="Times New Roman"/>
      <w:sz w:val="24"/>
    </w:rPr>
  </w:style>
  <w:style w:type="character" w:customStyle="1" w:styleId="TechnicalBlockChar">
    <w:name w:val="Technical Block Char"/>
    <w:basedOn w:val="Text1Char"/>
    <w:link w:val="TechnicalBlock"/>
    <w:rsid w:val="006A41D9"/>
    <w:rPr>
      <w:rFonts w:ascii="Times New Roman" w:hAnsi="Times New Roman" w:cs="Times New Roman"/>
      <w:sz w:val="24"/>
    </w:rPr>
  </w:style>
  <w:style w:type="paragraph" w:customStyle="1" w:styleId="EntText">
    <w:name w:val="EntText"/>
    <w:basedOn w:val="Normal"/>
    <w:rsid w:val="006A41D9"/>
    <w:pPr>
      <w:spacing w:before="120" w:after="120" w:line="360" w:lineRule="auto"/>
    </w:pPr>
    <w:rPr>
      <w:rFonts w:ascii="Times New Roman" w:hAnsi="Times New Roman" w:cs="Times New Roman"/>
      <w:sz w:val="24"/>
    </w:rPr>
  </w:style>
  <w:style w:type="paragraph" w:customStyle="1" w:styleId="Lignefinal">
    <w:name w:val="Ligne final"/>
    <w:basedOn w:val="Normal"/>
    <w:next w:val="Normal"/>
    <w:rsid w:val="006A41D9"/>
    <w:pPr>
      <w:pBdr>
        <w:bottom w:val="single" w:sz="4" w:space="0" w:color="000000"/>
      </w:pBdr>
      <w:spacing w:before="360" w:after="120" w:line="360" w:lineRule="auto"/>
      <w:ind w:left="3400" w:right="3400"/>
      <w:jc w:val="center"/>
    </w:pPr>
    <w:rPr>
      <w:rFonts w:ascii="Times New Roman" w:hAnsi="Times New Roman" w:cs="Times New Roman"/>
      <w:b/>
      <w:sz w:val="24"/>
    </w:rPr>
  </w:style>
  <w:style w:type="paragraph" w:customStyle="1" w:styleId="pj">
    <w:name w:val="p.j."/>
    <w:basedOn w:val="Normal"/>
    <w:link w:val="pjChar"/>
    <w:rsid w:val="006A41D9"/>
    <w:pPr>
      <w:spacing w:before="1200" w:after="120" w:line="240" w:lineRule="auto"/>
      <w:ind w:left="1440" w:hanging="1440"/>
    </w:pPr>
    <w:rPr>
      <w:rFonts w:ascii="Times New Roman" w:hAnsi="Times New Roman" w:cs="Times New Roman"/>
      <w:sz w:val="24"/>
    </w:rPr>
  </w:style>
  <w:style w:type="character" w:customStyle="1" w:styleId="pjChar">
    <w:name w:val="p.j. Char"/>
    <w:basedOn w:val="Text1Char"/>
    <w:link w:val="pj"/>
    <w:rsid w:val="006A41D9"/>
    <w:rPr>
      <w:rFonts w:ascii="Times New Roman" w:hAnsi="Times New Roman" w:cs="Times New Roman"/>
      <w:sz w:val="24"/>
    </w:rPr>
  </w:style>
  <w:style w:type="paragraph" w:customStyle="1" w:styleId="nbbordered">
    <w:name w:val="nb bordered"/>
    <w:basedOn w:val="Normal"/>
    <w:link w:val="nbborderedChar"/>
    <w:rsid w:val="006A41D9"/>
    <w:pPr>
      <w:pBdr>
        <w:top w:val="single" w:sz="4" w:space="1" w:color="auto"/>
        <w:left w:val="single" w:sz="4" w:space="4" w:color="auto"/>
        <w:bottom w:val="single" w:sz="4" w:space="1" w:color="auto"/>
        <w:right w:val="single" w:sz="4" w:space="4" w:color="auto"/>
        <w:between w:val="single" w:sz="4" w:space="0" w:color="auto"/>
      </w:pBdr>
      <w:spacing w:line="240" w:lineRule="auto"/>
      <w:ind w:left="480" w:hanging="480"/>
    </w:pPr>
    <w:rPr>
      <w:rFonts w:ascii="Times New Roman" w:hAnsi="Times New Roman" w:cs="Times New Roman"/>
      <w:b/>
      <w:sz w:val="24"/>
    </w:rPr>
  </w:style>
  <w:style w:type="character" w:customStyle="1" w:styleId="nbborderedChar">
    <w:name w:val="nb bordered Char"/>
    <w:basedOn w:val="Text1Char"/>
    <w:link w:val="nbbordered"/>
    <w:rsid w:val="006A41D9"/>
    <w:rPr>
      <w:rFonts w:ascii="Times New Roman" w:hAnsi="Times New Roman" w:cs="Times New Roman"/>
      <w:b/>
      <w:sz w:val="24"/>
    </w:rPr>
  </w:style>
  <w:style w:type="paragraph" w:customStyle="1" w:styleId="HeaderCouncil">
    <w:name w:val="Header Council"/>
    <w:basedOn w:val="Normal"/>
    <w:link w:val="HeaderCouncilChar"/>
    <w:rsid w:val="006A41D9"/>
    <w:pPr>
      <w:spacing w:after="0" w:line="276" w:lineRule="auto"/>
    </w:pPr>
    <w:rPr>
      <w:sz w:val="2"/>
    </w:rPr>
  </w:style>
  <w:style w:type="character" w:customStyle="1" w:styleId="HeaderCouncilChar">
    <w:name w:val="Header Council Char"/>
    <w:basedOn w:val="DefaultParagraphFont"/>
    <w:link w:val="HeaderCouncil"/>
    <w:rsid w:val="006A41D9"/>
    <w:rPr>
      <w:sz w:val="2"/>
    </w:rPr>
  </w:style>
  <w:style w:type="paragraph" w:customStyle="1" w:styleId="HeaderCouncilLarge">
    <w:name w:val="Header Council Large"/>
    <w:basedOn w:val="Normal"/>
    <w:link w:val="HeaderCouncilLargeChar"/>
    <w:rsid w:val="006A41D9"/>
    <w:pPr>
      <w:spacing w:after="440" w:line="276" w:lineRule="auto"/>
    </w:pPr>
    <w:rPr>
      <w:sz w:val="2"/>
    </w:rPr>
  </w:style>
  <w:style w:type="character" w:customStyle="1" w:styleId="HeaderCouncilLargeChar">
    <w:name w:val="Header Council Large Char"/>
    <w:basedOn w:val="DefaultParagraphFont"/>
    <w:link w:val="HeaderCouncilLarge"/>
    <w:rsid w:val="006A41D9"/>
    <w:rPr>
      <w:sz w:val="2"/>
    </w:rPr>
  </w:style>
  <w:style w:type="paragraph" w:customStyle="1" w:styleId="FooterCouncil">
    <w:name w:val="Footer Council"/>
    <w:basedOn w:val="Normal"/>
    <w:link w:val="FooterCouncilChar"/>
    <w:rsid w:val="006A41D9"/>
    <w:pPr>
      <w:spacing w:after="0" w:line="276" w:lineRule="auto"/>
    </w:pPr>
    <w:rPr>
      <w:sz w:val="2"/>
    </w:rPr>
  </w:style>
  <w:style w:type="character" w:customStyle="1" w:styleId="FooterCouncilChar">
    <w:name w:val="Footer Council Char"/>
    <w:basedOn w:val="DefaultParagraphFont"/>
    <w:link w:val="FooterCouncil"/>
    <w:rsid w:val="006A41D9"/>
    <w:rPr>
      <w:sz w:val="2"/>
    </w:rPr>
  </w:style>
  <w:style w:type="paragraph" w:customStyle="1" w:styleId="FooterText">
    <w:name w:val="Footer Text"/>
    <w:basedOn w:val="Normal"/>
    <w:rsid w:val="006A41D9"/>
    <w:pPr>
      <w:spacing w:after="0" w:line="240" w:lineRule="auto"/>
    </w:pPr>
    <w:rPr>
      <w:rFonts w:ascii="Times New Roman" w:eastAsia="Times New Roman" w:hAnsi="Times New Roman" w:cs="Times New Roman"/>
      <w:sz w:val="24"/>
    </w:rPr>
  </w:style>
  <w:style w:type="character" w:styleId="PlaceholderText">
    <w:name w:val="Placeholder Text"/>
    <w:basedOn w:val="DefaultParagraphFont"/>
    <w:uiPriority w:val="99"/>
    <w:semiHidden/>
    <w:rsid w:val="006A41D9"/>
    <w:rPr>
      <w:color w:val="808080"/>
    </w:rPr>
  </w:style>
  <w:style w:type="character" w:styleId="FollowedHyperlink">
    <w:name w:val="FollowedHyperlink"/>
    <w:basedOn w:val="DefaultParagraphFont"/>
    <w:uiPriority w:val="99"/>
    <w:semiHidden/>
    <w:unhideWhenUsed/>
    <w:rsid w:val="006A41D9"/>
    <w:rPr>
      <w:color w:val="954F72" w:themeColor="followedHyperlink"/>
      <w:u w:val="single"/>
    </w:rPr>
  </w:style>
  <w:style w:type="character" w:customStyle="1" w:styleId="Mention1">
    <w:name w:val="Mention1"/>
    <w:basedOn w:val="DefaultParagraphFont"/>
    <w:uiPriority w:val="99"/>
    <w:unhideWhenUsed/>
    <w:rsid w:val="006A41D9"/>
    <w:rPr>
      <w:color w:val="2B579A"/>
      <w:shd w:val="clear" w:color="auto" w:fill="E6E6E6"/>
    </w:rPr>
  </w:style>
  <w:style w:type="character" w:customStyle="1" w:styleId="Mention2">
    <w:name w:val="Mention2"/>
    <w:basedOn w:val="DefaultParagraphFont"/>
    <w:uiPriority w:val="99"/>
    <w:unhideWhenUsed/>
    <w:rsid w:val="006A41D9"/>
    <w:rPr>
      <w:color w:val="2B579A"/>
      <w:shd w:val="clear" w:color="auto" w:fill="E1DFDD"/>
    </w:rPr>
  </w:style>
  <w:style w:type="character" w:customStyle="1" w:styleId="cf01">
    <w:name w:val="cf01"/>
    <w:basedOn w:val="DefaultParagraphFont"/>
    <w:rsid w:val="006A41D9"/>
    <w:rPr>
      <w:rFonts w:ascii="Segoe UI" w:hAnsi="Segoe UI" w:cs="Segoe UI" w:hint="default"/>
      <w:sz w:val="18"/>
    </w:rPr>
  </w:style>
  <w:style w:type="character" w:customStyle="1" w:styleId="Mention3">
    <w:name w:val="Mention3"/>
    <w:basedOn w:val="DefaultParagraphFont"/>
    <w:uiPriority w:val="99"/>
    <w:unhideWhenUsed/>
    <w:rsid w:val="006A41D9"/>
    <w:rPr>
      <w:color w:val="2B579A"/>
      <w:shd w:val="clear" w:color="auto" w:fill="E6E6E6"/>
    </w:rPr>
  </w:style>
  <w:style w:type="character" w:customStyle="1" w:styleId="Mention20">
    <w:name w:val="Mention20"/>
    <w:basedOn w:val="DefaultParagraphFont"/>
    <w:uiPriority w:val="99"/>
    <w:unhideWhenUsed/>
    <w:rsid w:val="006A41D9"/>
    <w:rPr>
      <w:color w:val="2B579A"/>
      <w:shd w:val="clear" w:color="auto" w:fill="E1DFDD"/>
    </w:rPr>
  </w:style>
  <w:style w:type="character" w:customStyle="1" w:styleId="UnresolvedMention1">
    <w:name w:val="Unresolved Mention1"/>
    <w:basedOn w:val="DefaultParagraphFont"/>
    <w:uiPriority w:val="99"/>
    <w:unhideWhenUsed/>
    <w:rsid w:val="006A41D9"/>
    <w:rPr>
      <w:color w:val="605E5C"/>
      <w:shd w:val="clear" w:color="auto" w:fill="E1DFDD"/>
    </w:rPr>
  </w:style>
  <w:style w:type="character" w:customStyle="1" w:styleId="Mention4">
    <w:name w:val="Mention4"/>
    <w:basedOn w:val="DefaultParagraphFont"/>
    <w:uiPriority w:val="99"/>
    <w:unhideWhenUsed/>
    <w:rsid w:val="006A41D9"/>
    <w:rPr>
      <w:color w:val="2B579A"/>
      <w:shd w:val="clear" w:color="auto" w:fill="E6E6E6"/>
    </w:rPr>
  </w:style>
  <w:style w:type="character" w:customStyle="1" w:styleId="Other1">
    <w:name w:val="Other|1_"/>
    <w:basedOn w:val="DefaultParagraphFont"/>
    <w:link w:val="Other10"/>
    <w:rsid w:val="006A41D9"/>
  </w:style>
  <w:style w:type="paragraph" w:customStyle="1" w:styleId="Other10">
    <w:name w:val="Other|1"/>
    <w:basedOn w:val="Normal"/>
    <w:link w:val="Other1"/>
    <w:rsid w:val="006A41D9"/>
    <w:pPr>
      <w:widowControl w:val="0"/>
      <w:spacing w:after="140"/>
    </w:pPr>
  </w:style>
  <w:style w:type="character" w:customStyle="1" w:styleId="Heading5Char">
    <w:name w:val="Heading 5 Char"/>
    <w:basedOn w:val="DefaultParagraphFont"/>
    <w:link w:val="Heading5"/>
    <w:uiPriority w:val="9"/>
    <w:rsid w:val="006A41D9"/>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9"/>
    <w:rsid w:val="006A41D9"/>
    <w:rPr>
      <w:rFonts w:asciiTheme="majorHAnsi" w:eastAsiaTheme="majorEastAsia" w:hAnsiTheme="majorHAnsi" w:cstheme="majorBidi"/>
      <w:color w:val="272727" w:themeColor="text1" w:themeTint="D8"/>
      <w:sz w:val="21"/>
    </w:rPr>
  </w:style>
  <w:style w:type="paragraph" w:customStyle="1" w:styleId="Default">
    <w:name w:val="Default"/>
    <w:rsid w:val="006A41D9"/>
    <w:pPr>
      <w:autoSpaceDE w:val="0"/>
      <w:autoSpaceDN w:val="0"/>
      <w:adjustRightInd w:val="0"/>
      <w:spacing w:after="0" w:line="240" w:lineRule="auto"/>
    </w:pPr>
    <w:rPr>
      <w:rFonts w:ascii="Times New Roman" w:hAnsi="Times New Roman" w:cs="Times New Roman"/>
      <w:color w:val="000000"/>
      <w:sz w:val="24"/>
    </w:rPr>
  </w:style>
  <w:style w:type="paragraph" w:styleId="NoSpacing">
    <w:name w:val="No Spacing"/>
    <w:uiPriority w:val="1"/>
    <w:qFormat/>
    <w:rsid w:val="006A41D9"/>
    <w:pPr>
      <w:spacing w:after="0" w:line="240" w:lineRule="auto"/>
    </w:pPr>
  </w:style>
  <w:style w:type="paragraph" w:customStyle="1" w:styleId="xmsolistparagraph">
    <w:name w:val="x_msolistparagraph"/>
    <w:basedOn w:val="Normal"/>
    <w:rsid w:val="006A41D9"/>
    <w:pPr>
      <w:spacing w:after="0" w:line="240" w:lineRule="auto"/>
      <w:ind w:left="720"/>
    </w:pPr>
    <w:rPr>
      <w:rFonts w:ascii="Calibri" w:hAnsi="Calibri" w:cs="Times New Roman"/>
      <w:sz w:val="20"/>
    </w:rPr>
  </w:style>
  <w:style w:type="paragraph" w:customStyle="1" w:styleId="Titreaxe">
    <w:name w:val="Titre axe"/>
    <w:basedOn w:val="Heading3"/>
    <w:link w:val="TitreaxeCar"/>
    <w:qFormat/>
    <w:rsid w:val="006A41D9"/>
    <w:pPr>
      <w:keepLines/>
      <w:tabs>
        <w:tab w:val="clear" w:pos="850"/>
      </w:tabs>
      <w:spacing w:before="40" w:after="0" w:line="259" w:lineRule="auto"/>
      <w:ind w:left="0" w:firstLine="0"/>
      <w:jc w:val="left"/>
    </w:pPr>
    <w:rPr>
      <w:rFonts w:asciiTheme="majorHAnsi" w:hAnsiTheme="majorHAnsi" w:cstheme="majorBidi"/>
      <w:i w:val="0"/>
      <w:color w:val="1F3763" w:themeColor="accent1" w:themeShade="7F"/>
    </w:rPr>
  </w:style>
  <w:style w:type="paragraph" w:customStyle="1" w:styleId="Gdtitrechapitre">
    <w:name w:val="Gd titre chapitre"/>
    <w:basedOn w:val="ListParagraph"/>
    <w:link w:val="GdtitrechapitreCar"/>
    <w:qFormat/>
    <w:rsid w:val="006A41D9"/>
    <w:pPr>
      <w:numPr>
        <w:numId w:val="44"/>
      </w:numPr>
      <w:spacing w:after="80" w:line="240" w:lineRule="auto"/>
      <w:outlineLvl w:val="0"/>
    </w:pPr>
    <w:rPr>
      <w:rFonts w:ascii="Times New Roman" w:eastAsia="Times New Roman" w:hAnsi="Times New Roman" w:cs="Times New Roman"/>
      <w:b/>
      <w:color w:val="44546A" w:themeColor="text2"/>
      <w:sz w:val="50"/>
    </w:rPr>
  </w:style>
  <w:style w:type="character" w:customStyle="1" w:styleId="TitreaxeCar">
    <w:name w:val="Titre axe Car"/>
    <w:basedOn w:val="Heading3Char"/>
    <w:link w:val="Titreaxe"/>
    <w:rsid w:val="006A41D9"/>
    <w:rPr>
      <w:rFonts w:asciiTheme="majorHAnsi" w:eastAsiaTheme="majorEastAsia" w:hAnsiTheme="majorHAnsi" w:cstheme="majorBidi"/>
      <w:i w:val="0"/>
      <w:color w:val="1F3763" w:themeColor="accent1" w:themeShade="7F"/>
      <w:sz w:val="24"/>
    </w:rPr>
  </w:style>
  <w:style w:type="paragraph" w:customStyle="1" w:styleId="Titresection">
    <w:name w:val="Titre section"/>
    <w:link w:val="TitresectionCar"/>
    <w:qFormat/>
    <w:rsid w:val="006A41D9"/>
    <w:pPr>
      <w:numPr>
        <w:numId w:val="45"/>
      </w:numPr>
      <w:spacing w:after="80" w:line="240" w:lineRule="auto"/>
    </w:pPr>
    <w:rPr>
      <w:rFonts w:ascii="Times New Roman" w:eastAsia="Times New Roman" w:hAnsi="Times New Roman" w:cs="Times New Roman"/>
      <w:b/>
      <w:color w:val="44546A" w:themeColor="text2"/>
      <w:sz w:val="32"/>
      <w:u w:val="single"/>
    </w:rPr>
  </w:style>
  <w:style w:type="character" w:customStyle="1" w:styleId="GdtitrechapitreCar">
    <w:name w:val="Gd titre chapitre Car"/>
    <w:basedOn w:val="ListParagraphChar"/>
    <w:link w:val="Gdtitrechapitre"/>
    <w:rsid w:val="006A41D9"/>
    <w:rPr>
      <w:rFonts w:ascii="Times New Roman" w:eastAsia="Times New Roman" w:hAnsi="Times New Roman" w:cs="Times New Roman"/>
      <w:b/>
      <w:color w:val="44546A" w:themeColor="text2"/>
      <w:sz w:val="50"/>
    </w:rPr>
  </w:style>
  <w:style w:type="character" w:customStyle="1" w:styleId="TitresectionCar">
    <w:name w:val="Titre section Car"/>
    <w:basedOn w:val="DefaultParagraphFont"/>
    <w:link w:val="Titresection"/>
    <w:rsid w:val="006A41D9"/>
    <w:rPr>
      <w:rFonts w:ascii="Times New Roman" w:eastAsia="Times New Roman" w:hAnsi="Times New Roman" w:cs="Times New Roman"/>
      <w:b/>
      <w:color w:val="44546A" w:themeColor="text2"/>
      <w:sz w:val="32"/>
      <w:u w:val="single"/>
    </w:rPr>
  </w:style>
  <w:style w:type="paragraph" w:customStyle="1" w:styleId="Sous-sous-section">
    <w:name w:val="Sous- sous-section"/>
    <w:basedOn w:val="Default"/>
    <w:qFormat/>
    <w:rsid w:val="006A41D9"/>
    <w:pPr>
      <w:ind w:left="1440" w:hanging="360"/>
      <w:jc w:val="both"/>
    </w:pPr>
    <w:rPr>
      <w:rFonts w:ascii="Avenir Next LT Pro" w:hAnsi="Avenir Next LT Pro" w:cs="Arial"/>
      <w:b/>
      <w:color w:val="auto"/>
      <w:sz w:val="28"/>
    </w:rPr>
  </w:style>
  <w:style w:type="paragraph" w:customStyle="1" w:styleId="Titresous-section">
    <w:name w:val="Titre sous-section"/>
    <w:basedOn w:val="Titresection"/>
    <w:qFormat/>
    <w:rsid w:val="006A41D9"/>
    <w:pPr>
      <w:numPr>
        <w:numId w:val="46"/>
      </w:numPr>
    </w:pPr>
    <w:rPr>
      <w:sz w:val="24"/>
      <w:u w:val="none"/>
    </w:rPr>
  </w:style>
  <w:style w:type="paragraph" w:customStyle="1" w:styleId="TitreAxe0">
    <w:name w:val="Titre Axe"/>
    <w:basedOn w:val="Normal"/>
    <w:link w:val="TitreAxeCar0"/>
    <w:qFormat/>
    <w:rsid w:val="006A41D9"/>
    <w:pPr>
      <w:spacing w:after="0" w:line="240" w:lineRule="auto"/>
    </w:pPr>
    <w:rPr>
      <w:rFonts w:ascii="Times New Roman" w:hAnsi="Times New Roman" w:cs="Times New Roman"/>
      <w:b/>
      <w:color w:val="44546A" w:themeColor="text2"/>
      <w:sz w:val="72"/>
    </w:rPr>
  </w:style>
  <w:style w:type="character" w:customStyle="1" w:styleId="TitreAxeCar0">
    <w:name w:val="Titre Axe Car"/>
    <w:basedOn w:val="DefaultParagraphFont"/>
    <w:link w:val="TitreAxe0"/>
    <w:rsid w:val="006A41D9"/>
    <w:rPr>
      <w:rFonts w:ascii="Times New Roman" w:hAnsi="Times New Roman" w:cs="Times New Roman"/>
      <w:b/>
      <w:color w:val="44546A" w:themeColor="text2"/>
      <w:sz w:val="72"/>
    </w:rPr>
  </w:style>
  <w:style w:type="paragraph" w:customStyle="1" w:styleId="TitreComposante">
    <w:name w:val="Titre Composante"/>
    <w:basedOn w:val="Normal"/>
    <w:link w:val="TitreComposanteCar"/>
    <w:qFormat/>
    <w:rsid w:val="006A41D9"/>
    <w:pPr>
      <w:spacing w:line="276" w:lineRule="auto"/>
    </w:pPr>
    <w:rPr>
      <w:rFonts w:ascii="Times New Roman" w:eastAsia="Times New Roman" w:hAnsi="Times New Roman" w:cs="Times New Roman"/>
      <w:b/>
      <w:color w:val="44546A" w:themeColor="text2"/>
      <w:sz w:val="32"/>
    </w:rPr>
  </w:style>
  <w:style w:type="character" w:customStyle="1" w:styleId="TitreComposanteCar">
    <w:name w:val="Titre Composante Car"/>
    <w:basedOn w:val="DefaultParagraphFont"/>
    <w:link w:val="TitreComposante"/>
    <w:rsid w:val="006A41D9"/>
    <w:rPr>
      <w:rFonts w:ascii="Times New Roman" w:eastAsia="Times New Roman" w:hAnsi="Times New Roman" w:cs="Times New Roman"/>
      <w:b/>
      <w:color w:val="44546A" w:themeColor="text2"/>
      <w:sz w:val="32"/>
    </w:rPr>
  </w:style>
  <w:style w:type="paragraph" w:customStyle="1" w:styleId="Projet">
    <w:name w:val="Projet"/>
    <w:basedOn w:val="Normal"/>
    <w:link w:val="ProjetCar"/>
    <w:qFormat/>
    <w:rsid w:val="006A41D9"/>
    <w:rPr>
      <w:rFonts w:ascii="Avenir Next LT Pro" w:hAnsi="Avenir Next LT Pro"/>
      <w:b/>
      <w:color w:val="0070C0"/>
      <w:sz w:val="26"/>
    </w:rPr>
  </w:style>
  <w:style w:type="paragraph" w:customStyle="1" w:styleId="Sous-sectionprojet">
    <w:name w:val="Sous-section projet"/>
    <w:basedOn w:val="Normal"/>
    <w:link w:val="Sous-sectionprojetCar"/>
    <w:qFormat/>
    <w:rsid w:val="006A41D9"/>
    <w:pPr>
      <w:jc w:val="both"/>
    </w:pPr>
    <w:rPr>
      <w:rFonts w:ascii="Avenir Next LT Pro" w:hAnsi="Avenir Next LT Pro"/>
      <w:b/>
      <w:color w:val="00B0F0"/>
      <w:sz w:val="24"/>
    </w:rPr>
  </w:style>
  <w:style w:type="character" w:customStyle="1" w:styleId="ProjetCar">
    <w:name w:val="Projet Car"/>
    <w:basedOn w:val="DefaultParagraphFont"/>
    <w:link w:val="Projet"/>
    <w:rsid w:val="006A41D9"/>
    <w:rPr>
      <w:rFonts w:ascii="Avenir Next LT Pro" w:hAnsi="Avenir Next LT Pro"/>
      <w:b/>
      <w:color w:val="0070C0"/>
      <w:sz w:val="26"/>
    </w:rPr>
  </w:style>
  <w:style w:type="character" w:customStyle="1" w:styleId="Sous-sectionprojetCar">
    <w:name w:val="Sous-section projet Car"/>
    <w:basedOn w:val="DefaultParagraphFont"/>
    <w:link w:val="Sous-sectionprojet"/>
    <w:rsid w:val="006A41D9"/>
    <w:rPr>
      <w:rFonts w:ascii="Avenir Next LT Pro" w:hAnsi="Avenir Next LT Pro"/>
      <w:b/>
      <w:color w:val="00B0F0"/>
      <w:sz w:val="24"/>
    </w:rPr>
  </w:style>
  <w:style w:type="paragraph" w:customStyle="1" w:styleId="Jalonsetcibles">
    <w:name w:val="Jalons et cibles"/>
    <w:basedOn w:val="TitreComposante"/>
    <w:link w:val="JalonsetciblesCar"/>
    <w:qFormat/>
    <w:rsid w:val="006A41D9"/>
    <w:rPr>
      <w:rFonts w:eastAsia="Yu Gothic"/>
    </w:rPr>
  </w:style>
  <w:style w:type="character" w:customStyle="1" w:styleId="JalonsetciblesCar">
    <w:name w:val="Jalons et cibles Car"/>
    <w:basedOn w:val="TitreComposanteCar"/>
    <w:link w:val="Jalonsetcibles"/>
    <w:rsid w:val="006A41D9"/>
    <w:rPr>
      <w:rFonts w:ascii="Times New Roman" w:eastAsia="Yu Gothic" w:hAnsi="Times New Roman" w:cs="Times New Roman"/>
      <w:b/>
      <w:color w:val="44546A" w:themeColor="text2"/>
      <w:sz w:val="32"/>
    </w:rPr>
  </w:style>
  <w:style w:type="table" w:styleId="TableGridLight">
    <w:name w:val="Grid Table Light"/>
    <w:basedOn w:val="TableNormal"/>
    <w:uiPriority w:val="40"/>
    <w:rsid w:val="006A41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Titresous-section"/>
    <w:link w:val="BodyTextChar"/>
    <w:uiPriority w:val="1"/>
    <w:qFormat/>
    <w:rsid w:val="006A41D9"/>
    <w:pPr>
      <w:widowControl w:val="0"/>
      <w:numPr>
        <w:numId w:val="0"/>
      </w:numPr>
      <w:autoSpaceDE w:val="0"/>
      <w:autoSpaceDN w:val="0"/>
      <w:spacing w:after="0"/>
      <w:ind w:left="720" w:hanging="360"/>
    </w:pPr>
    <w:rPr>
      <w:rFonts w:ascii="Tahoma" w:eastAsia="Tahoma" w:hAnsi="Tahoma" w:cs="Tahoma"/>
    </w:rPr>
  </w:style>
  <w:style w:type="character" w:customStyle="1" w:styleId="BodyTextChar">
    <w:name w:val="Body Text Char"/>
    <w:basedOn w:val="DefaultParagraphFont"/>
    <w:link w:val="BodyText"/>
    <w:uiPriority w:val="1"/>
    <w:rsid w:val="006A41D9"/>
    <w:rPr>
      <w:rFonts w:ascii="Tahoma" w:eastAsia="Tahoma" w:hAnsi="Tahoma" w:cs="Tahoma"/>
      <w:b/>
      <w:color w:val="44546A" w:themeColor="text2"/>
      <w:sz w:val="24"/>
    </w:rPr>
  </w:style>
  <w:style w:type="character" w:customStyle="1" w:styleId="findhit">
    <w:name w:val="findhit"/>
    <w:basedOn w:val="DefaultParagraphFont"/>
    <w:rsid w:val="006A41D9"/>
  </w:style>
  <w:style w:type="character" w:customStyle="1" w:styleId="Sous-projetCar">
    <w:name w:val="Sous-projet Car"/>
    <w:basedOn w:val="DefaultParagraphFont"/>
    <w:link w:val="Sous-projet"/>
    <w:locked/>
    <w:rsid w:val="006A41D9"/>
    <w:rPr>
      <w:rFonts w:ascii="Avenir Next LT Pro" w:hAnsi="Avenir Next LT Pro" w:cs="Arial"/>
      <w:b/>
      <w:color w:val="4472C4" w:themeColor="accent1"/>
    </w:rPr>
  </w:style>
  <w:style w:type="paragraph" w:customStyle="1" w:styleId="Sous-projet">
    <w:name w:val="Sous-projet"/>
    <w:basedOn w:val="Normal"/>
    <w:link w:val="Sous-projetCar"/>
    <w:qFormat/>
    <w:rsid w:val="006A41D9"/>
    <w:pPr>
      <w:spacing w:after="80" w:line="240" w:lineRule="auto"/>
    </w:pPr>
    <w:rPr>
      <w:rFonts w:ascii="Avenir Next LT Pro" w:hAnsi="Avenir Next LT Pro" w:cs="Arial"/>
      <w:b/>
      <w:color w:val="4472C4" w:themeColor="accent1"/>
    </w:rPr>
  </w:style>
  <w:style w:type="character" w:customStyle="1" w:styleId="Mention10">
    <w:name w:val="Mention10"/>
    <w:basedOn w:val="DefaultParagraphFont"/>
    <w:uiPriority w:val="99"/>
    <w:unhideWhenUsed/>
    <w:rsid w:val="006A41D9"/>
    <w:rPr>
      <w:color w:val="2B579A"/>
      <w:shd w:val="clear" w:color="auto" w:fill="E1DFDD"/>
    </w:rPr>
  </w:style>
  <w:style w:type="character" w:customStyle="1" w:styleId="scxw241096750">
    <w:name w:val="scxw241096750"/>
    <w:basedOn w:val="DefaultParagraphFont"/>
    <w:rsid w:val="00122B06"/>
  </w:style>
  <w:style w:type="character" w:customStyle="1" w:styleId="scxw251687969">
    <w:name w:val="scxw251687969"/>
    <w:basedOn w:val="DefaultParagraphFont"/>
    <w:rsid w:val="004F4607"/>
  </w:style>
  <w:style w:type="character" w:customStyle="1" w:styleId="UnresolvedMention2">
    <w:name w:val="Unresolved Mention2"/>
    <w:basedOn w:val="DefaultParagraphFont"/>
    <w:uiPriority w:val="99"/>
    <w:semiHidden/>
    <w:unhideWhenUsed/>
    <w:rsid w:val="00AA48E3"/>
    <w:rPr>
      <w:color w:val="605E5C"/>
      <w:shd w:val="clear" w:color="auto" w:fill="E1DFDD"/>
    </w:rPr>
  </w:style>
  <w:style w:type="paragraph" w:customStyle="1" w:styleId="pf1">
    <w:name w:val="pf1"/>
    <w:basedOn w:val="Normal"/>
    <w:rsid w:val="00ED1312"/>
    <w:pPr>
      <w:spacing w:before="100" w:beforeAutospacing="1" w:after="100" w:afterAutospacing="1" w:line="240" w:lineRule="auto"/>
    </w:pPr>
    <w:rPr>
      <w:rFonts w:ascii="Times New Roman" w:eastAsia="Times New Roman" w:hAnsi="Times New Roman" w:cs="Times New Roman"/>
      <w:sz w:val="24"/>
    </w:rPr>
  </w:style>
  <w:style w:type="character" w:customStyle="1" w:styleId="Mention200">
    <w:name w:val="Mention200"/>
    <w:basedOn w:val="DefaultParagraphFont"/>
    <w:uiPriority w:val="99"/>
    <w:unhideWhenUsed/>
    <w:rsid w:val="00A4101C"/>
    <w:rPr>
      <w:color w:val="2B579A"/>
      <w:shd w:val="clear" w:color="auto" w:fill="E1DFDD"/>
    </w:rPr>
  </w:style>
  <w:style w:type="character" w:customStyle="1" w:styleId="Mention2000">
    <w:name w:val="Mention2000"/>
    <w:basedOn w:val="DefaultParagraphFont"/>
    <w:uiPriority w:val="99"/>
    <w:unhideWhenUsed/>
    <w:rsid w:val="00A343C3"/>
    <w:rPr>
      <w:color w:val="2B579A"/>
      <w:shd w:val="clear" w:color="auto" w:fill="E1DFDD"/>
    </w:rPr>
  </w:style>
  <w:style w:type="paragraph" w:customStyle="1" w:styleId="P68B1DB1-Normal1">
    <w:name w:val="P68B1DB1-Normal1"/>
    <w:basedOn w:val="Normal"/>
    <w:rPr>
      <w:rFonts w:ascii="Times New Roman" w:hAnsi="Times New Roman" w:cs="Times New Roman"/>
      <w:b/>
      <w:sz w:val="24"/>
      <w:u w:val="single"/>
    </w:rPr>
  </w:style>
  <w:style w:type="paragraph" w:customStyle="1" w:styleId="P68B1DB1-Text12">
    <w:name w:val="P68B1DB1-Text12"/>
    <w:basedOn w:val="Text1"/>
    <w:rPr>
      <w:color w:val="000000" w:themeColor="text1"/>
      <w:u w:val="single"/>
    </w:rPr>
  </w:style>
  <w:style w:type="paragraph" w:customStyle="1" w:styleId="P68B1DB1-Text13">
    <w:name w:val="P68B1DB1-Text13"/>
    <w:basedOn w:val="Text1"/>
    <w:rPr>
      <w:color w:val="000000" w:themeColor="text1"/>
    </w:rPr>
  </w:style>
  <w:style w:type="paragraph" w:customStyle="1" w:styleId="P68B1DB1-Bodytext214">
    <w:name w:val="P68B1DB1-Bodytext214"/>
    <w:basedOn w:val="Bodytext21"/>
    <w:rPr>
      <w:rFonts w:ascii="Times New Roman" w:hAnsi="Times New Roman" w:cs="Times New Roman"/>
      <w:color w:val="000000" w:themeColor="text1"/>
      <w:sz w:val="24"/>
    </w:rPr>
  </w:style>
  <w:style w:type="paragraph" w:customStyle="1" w:styleId="P68B1DB1-Text15">
    <w:name w:val="P68B1DB1-Text15"/>
    <w:basedOn w:val="Text1"/>
    <w:rPr>
      <w:rFonts w:eastAsia="Calibri"/>
      <w:color w:val="000000" w:themeColor="text1"/>
    </w:rPr>
  </w:style>
  <w:style w:type="paragraph" w:customStyle="1" w:styleId="P68B1DB1-Text16">
    <w:name w:val="P68B1DB1-Text16"/>
    <w:basedOn w:val="Text1"/>
    <w:rPr>
      <w:b/>
      <w:u w:val="single"/>
    </w:rPr>
  </w:style>
  <w:style w:type="paragraph" w:customStyle="1" w:styleId="P68B1DB1-Normal7">
    <w:name w:val="P68B1DB1-Normal7"/>
    <w:basedOn w:val="Normal"/>
    <w:rPr>
      <w:rFonts w:ascii="Times New Roman" w:eastAsia="Times New Roman" w:hAnsi="Times New Roman" w:cs="Times New Roman"/>
      <w:b/>
      <w:sz w:val="20"/>
    </w:rPr>
  </w:style>
  <w:style w:type="paragraph" w:customStyle="1" w:styleId="P68B1DB1-Normal8">
    <w:name w:val="P68B1DB1-Normal8"/>
    <w:basedOn w:val="Normal"/>
    <w:rPr>
      <w:sz w:val="20"/>
    </w:rPr>
  </w:style>
  <w:style w:type="paragraph" w:customStyle="1" w:styleId="P68B1DB1-Normal9">
    <w:name w:val="P68B1DB1-Normal9"/>
    <w:basedOn w:val="Normal"/>
    <w:rPr>
      <w:rFonts w:ascii="Times New Roman" w:hAnsi="Times New Roman" w:cs="Times New Roman"/>
      <w:color w:val="006100"/>
    </w:rPr>
  </w:style>
  <w:style w:type="paragraph" w:customStyle="1" w:styleId="P68B1DB1-Normal10">
    <w:name w:val="P68B1DB1-Normal10"/>
    <w:basedOn w:val="Normal"/>
    <w:rPr>
      <w:rFonts w:ascii="Times New Roman" w:eastAsia="Times New Roman" w:hAnsi="Times New Roman" w:cs="Times New Roman"/>
      <w:color w:val="006100"/>
    </w:rPr>
  </w:style>
  <w:style w:type="paragraph" w:customStyle="1" w:styleId="P68B1DB1-Text111">
    <w:name w:val="P68B1DB1-Text111"/>
    <w:basedOn w:val="Text1"/>
    <w:rPr>
      <w:u w:val="single"/>
    </w:rPr>
  </w:style>
  <w:style w:type="paragraph" w:customStyle="1" w:styleId="P68B1DB1-ListParagraph12">
    <w:name w:val="P68B1DB1-ListParagraph12"/>
    <w:basedOn w:val="ListParagraph"/>
    <w:rPr>
      <w:rFonts w:ascii="Times New Roman" w:eastAsia="Times New Roman" w:hAnsi="Times New Roman" w:cs="Times New Roman"/>
      <w:color w:val="006100"/>
    </w:rPr>
  </w:style>
  <w:style w:type="paragraph" w:customStyle="1" w:styleId="P68B1DB1-Normal13">
    <w:name w:val="P68B1DB1-Normal13"/>
    <w:basedOn w:val="Normal"/>
    <w:rPr>
      <w:rFonts w:ascii="Times New Roman" w:hAnsi="Times New Roman" w:cs="Times New Roman"/>
      <w:sz w:val="24"/>
      <w:u w:val="single"/>
    </w:rPr>
  </w:style>
  <w:style w:type="paragraph" w:customStyle="1" w:styleId="P68B1DB1-Normal14">
    <w:name w:val="P68B1DB1-Normal14"/>
    <w:basedOn w:val="Normal"/>
    <w:rPr>
      <w:rFonts w:ascii="Times New Roman" w:eastAsia="Times New Roman" w:hAnsi="Times New Roman" w:cs="Times New Roman"/>
    </w:rPr>
  </w:style>
  <w:style w:type="paragraph" w:customStyle="1" w:styleId="P68B1DB1-Normal15">
    <w:name w:val="P68B1DB1-Normal15"/>
    <w:basedOn w:val="Normal"/>
    <w:rPr>
      <w:rFonts w:ascii="Times New Roman" w:eastAsia="Times New Roman" w:hAnsi="Times New Roman" w:cs="Times New Roman"/>
      <w:b/>
    </w:rPr>
  </w:style>
  <w:style w:type="paragraph" w:customStyle="1" w:styleId="P68B1DB1-Normal16">
    <w:name w:val="P68B1DB1-Normal16"/>
    <w:basedOn w:val="Normal"/>
    <w:rPr>
      <w:rFonts w:ascii="Times New Roman" w:eastAsia="Times New Roman" w:hAnsi="Times New Roman" w:cs="Times New Roman"/>
      <w:sz w:val="24"/>
    </w:rPr>
  </w:style>
  <w:style w:type="paragraph" w:customStyle="1" w:styleId="P68B1DB1-Normal17">
    <w:name w:val="P68B1DB1-Normal17"/>
    <w:basedOn w:val="Normal"/>
    <w:rPr>
      <w:rFonts w:ascii="Times New Roman" w:hAnsi="Times New Roman" w:cs="Times New Roman"/>
    </w:rPr>
  </w:style>
  <w:style w:type="paragraph" w:customStyle="1" w:styleId="P68B1DB1-ListParagraph18">
    <w:name w:val="P68B1DB1-ListParagraph18"/>
    <w:basedOn w:val="ListParagraph"/>
    <w:rPr>
      <w:rFonts w:ascii="Times New Roman" w:hAnsi="Times New Roman" w:cs="Times New Roman"/>
      <w:sz w:val="24"/>
    </w:rPr>
  </w:style>
  <w:style w:type="paragraph" w:customStyle="1" w:styleId="P68B1DB1-Normal19">
    <w:name w:val="P68B1DB1-Normal19"/>
    <w:basedOn w:val="Normal"/>
    <w:rPr>
      <w:rFonts w:ascii="Times New Roman" w:hAnsi="Times New Roman" w:cs="Times New Roman"/>
      <w:sz w:val="24"/>
    </w:rPr>
  </w:style>
  <w:style w:type="paragraph" w:customStyle="1" w:styleId="P68B1DB1-Normal20">
    <w:name w:val="P68B1DB1-Normal20"/>
    <w:basedOn w:val="Normal"/>
    <w:rPr>
      <w:rFonts w:ascii="Times New Roman" w:hAnsi="Times New Roman" w:cs="Times New Roman"/>
      <w:color w:val="006100"/>
      <w:u w:val="single"/>
    </w:rPr>
  </w:style>
  <w:style w:type="paragraph" w:customStyle="1" w:styleId="P68B1DB1-Normal21">
    <w:name w:val="P68B1DB1-Normal21"/>
    <w:basedOn w:val="Normal"/>
    <w:rPr>
      <w:rFonts w:ascii="Times New Roman" w:hAnsi="Times New Roman" w:cs="Times New Roman"/>
      <w:b/>
      <w:u w:val="single"/>
    </w:rPr>
  </w:style>
  <w:style w:type="paragraph" w:customStyle="1" w:styleId="P68B1DB1-Normal22">
    <w:name w:val="P68B1DB1-Normal22"/>
    <w:basedOn w:val="Normal"/>
    <w:rPr>
      <w:rFonts w:ascii="Times New Roman" w:eastAsia="Calibri" w:hAnsi="Times New Roman" w:cs="Times New Roman"/>
      <w:sz w:val="24"/>
    </w:rPr>
  </w:style>
  <w:style w:type="paragraph" w:customStyle="1" w:styleId="P68B1DB1-ListParagraph23">
    <w:name w:val="P68B1DB1-ListParagraph23"/>
    <w:basedOn w:val="ListParagraph"/>
    <w:rPr>
      <w:rFonts w:ascii="Times New Roman" w:hAnsi="Times New Roman" w:cs="Times New Roman"/>
      <w:color w:val="006100"/>
    </w:rPr>
  </w:style>
  <w:style w:type="paragraph" w:customStyle="1" w:styleId="P68B1DB1-ListParagraph24">
    <w:name w:val="P68B1DB1-ListParagraph24"/>
    <w:basedOn w:val="ListParagraph"/>
    <w:rPr>
      <w:rFonts w:ascii="Times New Roman" w:hAnsi="Times New Roman"/>
      <w:color w:val="006100"/>
    </w:rPr>
  </w:style>
  <w:style w:type="paragraph" w:customStyle="1" w:styleId="P68B1DB1-Normal25">
    <w:name w:val="P68B1DB1-Normal25"/>
    <w:basedOn w:val="Normal"/>
    <w:rPr>
      <w:rFonts w:ascii="Times New Roman" w:hAnsi="Times New Roman"/>
      <w:color w:val="006100"/>
    </w:rPr>
  </w:style>
  <w:style w:type="paragraph" w:customStyle="1" w:styleId="P68B1DB1-Normal26">
    <w:name w:val="P68B1DB1-Normal26"/>
    <w:basedOn w:val="Normal"/>
    <w:rPr>
      <w:rFonts w:ascii="Times New Roman" w:hAnsi="Times New Roman" w:cs="Times New Roman"/>
      <w:color w:val="375623"/>
    </w:rPr>
  </w:style>
  <w:style w:type="paragraph" w:customStyle="1" w:styleId="P68B1DB1-Jalonsetcibles27">
    <w:name w:val="P68B1DB1-Jalonsetcibles27"/>
    <w:basedOn w:val="Jalonsetcibles"/>
    <w:rPr>
      <w:caps/>
      <w:color w:val="auto"/>
      <w:sz w:val="24"/>
    </w:rPr>
  </w:style>
  <w:style w:type="paragraph" w:customStyle="1" w:styleId="P68B1DB1-Jalonsetcibles28">
    <w:name w:val="P68B1DB1-Jalonsetcibles28"/>
    <w:basedOn w:val="Jalonsetcibles"/>
    <w:rPr>
      <w:b w:val="0"/>
      <w:color w:val="auto"/>
      <w:sz w:val="24"/>
      <w:u w:val="single"/>
    </w:rPr>
  </w:style>
  <w:style w:type="paragraph" w:customStyle="1" w:styleId="P68B1DB1-Jalonsetcibles29">
    <w:name w:val="P68B1DB1-Jalonsetcibles29"/>
    <w:basedOn w:val="Jalonsetcibles"/>
    <w:rPr>
      <w:b w:val="0"/>
      <w:color w:val="auto"/>
      <w:sz w:val="24"/>
    </w:rPr>
  </w:style>
  <w:style w:type="paragraph" w:customStyle="1" w:styleId="P68B1DB1-Normal30">
    <w:name w:val="P68B1DB1-Normal30"/>
    <w:basedOn w:val="Normal"/>
    <w:rPr>
      <w:sz w:val="24"/>
    </w:rPr>
  </w:style>
  <w:style w:type="paragraph" w:customStyle="1" w:styleId="P68B1DB1-Jalonsetcibles31">
    <w:name w:val="P68B1DB1-Jalonsetcibles31"/>
    <w:basedOn w:val="Jalonsetcibles"/>
    <w:rPr>
      <w:rFonts w:eastAsia="Times New Roman"/>
      <w:b w:val="0"/>
      <w:color w:val="auto"/>
      <w:sz w:val="24"/>
      <w:u w:val="single"/>
    </w:rPr>
  </w:style>
  <w:style w:type="paragraph" w:customStyle="1" w:styleId="P68B1DB1-Jalonsetcibles32">
    <w:name w:val="P68B1DB1-Jalonsetcibles32"/>
    <w:basedOn w:val="Jalonsetcibles"/>
    <w:rPr>
      <w:rFonts w:eastAsia="Times New Roman"/>
      <w:b w:val="0"/>
      <w:color w:val="auto"/>
      <w:sz w:val="24"/>
    </w:rPr>
  </w:style>
  <w:style w:type="paragraph" w:customStyle="1" w:styleId="P68B1DB1-Jalonsetcibles33">
    <w:name w:val="P68B1DB1-Jalonsetcibles33"/>
    <w:basedOn w:val="Jalonsetcibles"/>
    <w:rPr>
      <w:b w:val="0"/>
      <w:color w:val="auto"/>
      <w:sz w:val="24"/>
    </w:rPr>
  </w:style>
  <w:style w:type="paragraph" w:customStyle="1" w:styleId="P68B1DB1-Normal34">
    <w:name w:val="P68B1DB1-Normal34"/>
    <w:basedOn w:val="Normal"/>
    <w:rPr>
      <w:rFonts w:ascii="Times New Roman" w:hAnsi="Times New Roman" w:cs="Times New Roman"/>
      <w:b/>
      <w:sz w:val="20"/>
    </w:rPr>
  </w:style>
  <w:style w:type="paragraph" w:customStyle="1" w:styleId="P68B1DB1-Jalonsetcibles35">
    <w:name w:val="P68B1DB1-Jalonsetcibles35"/>
    <w:basedOn w:val="Jalonsetcibles"/>
    <w:rPr>
      <w:rFonts w:eastAsia="Times New Roman"/>
      <w:color w:val="auto"/>
      <w:sz w:val="24"/>
      <w:u w:val="single"/>
    </w:rPr>
  </w:style>
  <w:style w:type="paragraph" w:customStyle="1" w:styleId="P68B1DB1-Jalonsetcibles36">
    <w:name w:val="P68B1DB1-Jalonsetcibles36"/>
    <w:basedOn w:val="Jalonsetcibles"/>
    <w:rPr>
      <w:rFonts w:eastAsia="Times New Roman"/>
      <w:b w:val="0"/>
      <w:sz w:val="24"/>
    </w:rPr>
  </w:style>
  <w:style w:type="paragraph" w:customStyle="1" w:styleId="P68B1DB1-Jalonsetcibles37">
    <w:name w:val="P68B1DB1-Jalonsetcibles37"/>
    <w:basedOn w:val="Jalonsetcibles"/>
    <w:rPr>
      <w:rFonts w:eastAsia="Times New Roman"/>
      <w:color w:val="000000" w:themeColor="text1"/>
      <w:sz w:val="24"/>
      <w:u w:val="single"/>
    </w:rPr>
  </w:style>
  <w:style w:type="paragraph" w:customStyle="1" w:styleId="P68B1DB1-Jalonsetcibles38">
    <w:name w:val="P68B1DB1-Jalonsetcibles38"/>
    <w:basedOn w:val="Jalonsetcibles"/>
    <w:rPr>
      <w:rFonts w:eastAsia="Times New Roman"/>
      <w:b w:val="0"/>
      <w:color w:val="000000" w:themeColor="text1"/>
      <w:sz w:val="24"/>
      <w:u w:val="single"/>
    </w:rPr>
  </w:style>
  <w:style w:type="paragraph" w:customStyle="1" w:styleId="P68B1DB1-Jalonsetcibles39">
    <w:name w:val="P68B1DB1-Jalonsetcibles39"/>
    <w:basedOn w:val="Jalonsetcibles"/>
    <w:rPr>
      <w:rFonts w:eastAsia="Times New Roman"/>
      <w:b w:val="0"/>
      <w:color w:val="000000" w:themeColor="text1"/>
      <w:sz w:val="24"/>
    </w:rPr>
  </w:style>
  <w:style w:type="paragraph" w:customStyle="1" w:styleId="P68B1DB1-Default40">
    <w:name w:val="P68B1DB1-Default40"/>
    <w:basedOn w:val="Default"/>
    <w:rPr>
      <w:rFonts w:eastAsia="Times New Roman"/>
      <w:color w:val="006100"/>
      <w:sz w:val="22"/>
    </w:rPr>
  </w:style>
  <w:style w:type="paragraph" w:customStyle="1" w:styleId="P68B1DB1-Text141">
    <w:name w:val="P68B1DB1-Text141"/>
    <w:basedOn w:val="Text1"/>
    <w:rPr>
      <w:rFonts w:eastAsia="Times New Roman"/>
      <w:b/>
      <w:u w:val="single"/>
    </w:rPr>
  </w:style>
  <w:style w:type="paragraph" w:customStyle="1" w:styleId="P68B1DB1-Text142">
    <w:name w:val="P68B1DB1-Text142"/>
    <w:basedOn w:val="Text1"/>
    <w:rPr>
      <w:rFonts w:eastAsia="Times New Roman"/>
      <w:color w:val="000000" w:themeColor="text1"/>
      <w:u w:val="single"/>
    </w:rPr>
  </w:style>
  <w:style w:type="paragraph" w:customStyle="1" w:styleId="P68B1DB1-Text143">
    <w:name w:val="P68B1DB1-Text143"/>
    <w:basedOn w:val="Text1"/>
    <w:rPr>
      <w:rFonts w:eastAsia="Times New Roman"/>
      <w:u w:val="single"/>
    </w:rPr>
  </w:style>
  <w:style w:type="paragraph" w:customStyle="1" w:styleId="P68B1DB1-Normal44">
    <w:name w:val="P68B1DB1-Normal44"/>
    <w:basedOn w:val="Normal"/>
    <w:rPr>
      <w:rFonts w:ascii="Times New Roman" w:eastAsia="Times New Roman" w:hAnsi="Times New Roman"/>
      <w:b/>
      <w:sz w:val="20"/>
    </w:rPr>
  </w:style>
  <w:style w:type="paragraph" w:customStyle="1" w:styleId="P68B1DB1-Normal45">
    <w:name w:val="P68B1DB1-Normal45"/>
    <w:basedOn w:val="Normal"/>
    <w:rPr>
      <w:rFonts w:ascii="Times New Roman" w:eastAsia="Times New Roman" w:hAnsi="Times New Roman"/>
      <w:color w:val="006100"/>
    </w:rPr>
  </w:style>
  <w:style w:type="paragraph" w:customStyle="1" w:styleId="P68B1DB1-ListParagraph46">
    <w:name w:val="P68B1DB1-ListParagraph46"/>
    <w:basedOn w:val="ListParagraph"/>
    <w:rPr>
      <w:rFonts w:ascii="Times New Roman" w:eastAsia="Times New Roman" w:hAnsi="Times New Roman"/>
      <w:color w:val="006100"/>
    </w:rPr>
  </w:style>
  <w:style w:type="paragraph" w:customStyle="1" w:styleId="P68B1DB1-paragraph47">
    <w:name w:val="P68B1DB1-paragraph47"/>
    <w:basedOn w:val="paragraph"/>
    <w:rPr>
      <w:color w:val="006100"/>
    </w:rPr>
  </w:style>
  <w:style w:type="paragraph" w:customStyle="1" w:styleId="P68B1DB1-Text148">
    <w:name w:val="P68B1DB1-Text148"/>
    <w:basedOn w:val="Text1"/>
    <w:rPr>
      <w:color w:val="006100"/>
    </w:rPr>
  </w:style>
  <w:style w:type="paragraph" w:customStyle="1" w:styleId="P68B1DB1-Normal49">
    <w:name w:val="P68B1DB1-Normal49"/>
    <w:basedOn w:val="Normal"/>
    <w:rPr>
      <w:color w:val="006100"/>
    </w:rPr>
  </w:style>
  <w:style w:type="paragraph" w:customStyle="1" w:styleId="P68B1DB1-Normal50">
    <w:name w:val="P68B1DB1-Normal50"/>
    <w:basedOn w:val="Normal"/>
    <w:rPr>
      <w:rFonts w:ascii="Times New Roman" w:eastAsia="Times New Roman" w:hAnsi="Times New Roman" w:cs="Times New Roman"/>
      <w:b/>
      <w:color w:val="000000" w:themeColor="text1"/>
    </w:rPr>
  </w:style>
  <w:style w:type="paragraph" w:customStyle="1" w:styleId="P68B1DB1-Jalonsetcibles51">
    <w:name w:val="P68B1DB1-Jalonsetcibles51"/>
    <w:basedOn w:val="Jalonsetcibles"/>
    <w:rPr>
      <w:sz w:val="24"/>
    </w:rPr>
  </w:style>
  <w:style w:type="paragraph" w:customStyle="1" w:styleId="P68B1DB1-Normal52">
    <w:name w:val="P68B1DB1-Normal52"/>
    <w:basedOn w:val="Normal"/>
    <w:rPr>
      <w:rFonts w:ascii="Times New Roman" w:eastAsia="Yu Gothic" w:hAnsi="Times New Roman" w:cs="Times New Roman"/>
      <w:sz w:val="24"/>
      <w:u w:val="single"/>
    </w:rPr>
  </w:style>
  <w:style w:type="paragraph" w:customStyle="1" w:styleId="P68B1DB1-TitreComposante53">
    <w:name w:val="P68B1DB1-TitreComposante53"/>
    <w:basedOn w:val="TitreComposante"/>
    <w:rPr>
      <w:b w:val="0"/>
      <w:color w:val="auto"/>
      <w:sz w:val="24"/>
    </w:rPr>
  </w:style>
  <w:style w:type="paragraph" w:customStyle="1" w:styleId="P68B1DB1-Normal54">
    <w:name w:val="P68B1DB1-Normal54"/>
    <w:basedOn w:val="Normal"/>
    <w:rPr>
      <w:rFonts w:ascii="Times New Roman" w:eastAsia="Yu Gothic Light" w:hAnsi="Times New Roman" w:cs="Times New Roman"/>
      <w:sz w:val="24"/>
      <w:u w:val="single"/>
    </w:rPr>
  </w:style>
  <w:style w:type="paragraph" w:customStyle="1" w:styleId="P68B1DB1-Normal55">
    <w:name w:val="P68B1DB1-Normal55"/>
    <w:basedOn w:val="Normal"/>
    <w:rPr>
      <w:rFonts w:ascii="Times New Roman" w:eastAsia="Yu Gothic Light" w:hAnsi="Times New Roman" w:cs="Times New Roman"/>
      <w:sz w:val="24"/>
    </w:rPr>
  </w:style>
  <w:style w:type="paragraph" w:customStyle="1" w:styleId="P68B1DB1-Text156">
    <w:name w:val="P68B1DB1-Text156"/>
    <w:basedOn w:val="Text1"/>
    <w:rPr>
      <w:rFonts w:eastAsia="Calibri"/>
    </w:rPr>
  </w:style>
  <w:style w:type="paragraph" w:customStyle="1" w:styleId="P68B1DB1-Text157">
    <w:name w:val="P68B1DB1-Text157"/>
    <w:basedOn w:val="Text1"/>
    <w:rPr>
      <w:b/>
    </w:rPr>
  </w:style>
  <w:style w:type="paragraph" w:customStyle="1" w:styleId="P68B1DB1-Normal58">
    <w:name w:val="P68B1DB1-Normal58"/>
    <w:basedOn w:val="Normal"/>
    <w:rPr>
      <w:rFonts w:ascii="Times New Roman" w:eastAsia="Times New Roman" w:hAnsi="Times New Roman" w:cs="Times New Roman"/>
      <w:b/>
      <w:color w:val="000000"/>
      <w:sz w:val="20"/>
    </w:rPr>
  </w:style>
  <w:style w:type="paragraph" w:customStyle="1" w:styleId="P68B1DB1-Normal59">
    <w:name w:val="P68B1DB1-Normal59"/>
    <w:basedOn w:val="Normal"/>
    <w:rPr>
      <w:rFonts w:ascii="Times New Roman" w:eastAsia="Times New Roman" w:hAnsi="Times New Roman" w:cs="Times New Roman"/>
      <w:color w:val="006100"/>
      <w:sz w:val="20"/>
    </w:rPr>
  </w:style>
  <w:style w:type="paragraph" w:customStyle="1" w:styleId="P68B1DB1-Normal60">
    <w:name w:val="P68B1DB1-Normal60"/>
    <w:basedOn w:val="Normal"/>
    <w:rPr>
      <w:rFonts w:ascii="Times New Roman" w:eastAsia="Times New Roman" w:hAnsi="Times New Roman" w:cs="Times New Roman"/>
      <w:color w:val="000000"/>
      <w:sz w:val="20"/>
    </w:rPr>
  </w:style>
  <w:style w:type="paragraph" w:customStyle="1" w:styleId="P68B1DB1-FootnoteText61">
    <w:name w:val="P68B1DB1-FootnoteText61"/>
    <w:basedOn w:val="FootnoteText"/>
    <w:rPr>
      <w:rFonts w:eastAsia="Calibr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72727">
      <w:bodyDiv w:val="1"/>
      <w:marLeft w:val="0"/>
      <w:marRight w:val="0"/>
      <w:marTop w:val="0"/>
      <w:marBottom w:val="0"/>
      <w:divBdr>
        <w:top w:val="none" w:sz="0" w:space="0" w:color="auto"/>
        <w:left w:val="none" w:sz="0" w:space="0" w:color="auto"/>
        <w:bottom w:val="none" w:sz="0" w:space="0" w:color="auto"/>
        <w:right w:val="none" w:sz="0" w:space="0" w:color="auto"/>
      </w:divBdr>
    </w:div>
    <w:div w:id="1259370866">
      <w:bodyDiv w:val="1"/>
      <w:marLeft w:val="0"/>
      <w:marRight w:val="0"/>
      <w:marTop w:val="0"/>
      <w:marBottom w:val="0"/>
      <w:divBdr>
        <w:top w:val="none" w:sz="0" w:space="0" w:color="auto"/>
        <w:left w:val="none" w:sz="0" w:space="0" w:color="auto"/>
        <w:bottom w:val="none" w:sz="0" w:space="0" w:color="auto"/>
        <w:right w:val="none" w:sz="0" w:space="0" w:color="auto"/>
      </w:divBdr>
    </w:div>
    <w:div w:id="21067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footer" Target="footer144.xml"/><Relationship Id="rId303" Type="http://schemas.openxmlformats.org/officeDocument/2006/relationships/footer" Target="footer146.xml"/><Relationship Id="rId21" Type="http://schemas.openxmlformats.org/officeDocument/2006/relationships/footer" Target="footer5.xml"/><Relationship Id="rId42" Type="http://schemas.openxmlformats.org/officeDocument/2006/relationships/header" Target="header16.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4.xml"/><Relationship Id="rId324" Type="http://schemas.openxmlformats.org/officeDocument/2006/relationships/header" Target="header157.xml"/><Relationship Id="rId345" Type="http://schemas.openxmlformats.org/officeDocument/2006/relationships/footer" Target="footer167.xml"/><Relationship Id="rId170" Type="http://schemas.openxmlformats.org/officeDocument/2006/relationships/footer" Target="footer79.xml"/><Relationship Id="rId191" Type="http://schemas.openxmlformats.org/officeDocument/2006/relationships/footer" Target="footer90.xml"/><Relationship Id="rId205" Type="http://schemas.openxmlformats.org/officeDocument/2006/relationships/header" Target="header98.xml"/><Relationship Id="rId226" Type="http://schemas.openxmlformats.org/officeDocument/2006/relationships/header" Target="header108.xml"/><Relationship Id="rId247" Type="http://schemas.openxmlformats.org/officeDocument/2006/relationships/header" Target="header119.xml"/><Relationship Id="rId107" Type="http://schemas.openxmlformats.org/officeDocument/2006/relationships/footer" Target="footer48.xml"/><Relationship Id="rId268" Type="http://schemas.openxmlformats.org/officeDocument/2006/relationships/header" Target="header129.xml"/><Relationship Id="rId289" Type="http://schemas.openxmlformats.org/officeDocument/2006/relationships/header" Target="header140.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footer" Target="footer69.xml"/><Relationship Id="rId314" Type="http://schemas.openxmlformats.org/officeDocument/2006/relationships/footer" Target="footer151.xml"/><Relationship Id="rId335" Type="http://schemas.openxmlformats.org/officeDocument/2006/relationships/footer" Target="footer162.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6.xml"/><Relationship Id="rId216" Type="http://schemas.openxmlformats.org/officeDocument/2006/relationships/header" Target="header103.xml"/><Relationship Id="rId237" Type="http://schemas.openxmlformats.org/officeDocument/2006/relationships/footer" Target="footer113.xml"/><Relationship Id="rId258" Type="http://schemas.openxmlformats.org/officeDocument/2006/relationships/header" Target="header124.xml"/><Relationship Id="rId279" Type="http://schemas.openxmlformats.org/officeDocument/2006/relationships/footer" Target="footer134.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header" Target="header65.xml"/><Relationship Id="rId290" Type="http://schemas.openxmlformats.org/officeDocument/2006/relationships/footer" Target="footer139.xml"/><Relationship Id="rId304" Type="http://schemas.openxmlformats.org/officeDocument/2006/relationships/header" Target="header147.xml"/><Relationship Id="rId325" Type="http://schemas.openxmlformats.org/officeDocument/2006/relationships/header" Target="header158.xml"/><Relationship Id="rId346" Type="http://schemas.openxmlformats.org/officeDocument/2006/relationships/header" Target="header168.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footer" Target="footer97.xml"/><Relationship Id="rId227" Type="http://schemas.openxmlformats.org/officeDocument/2006/relationships/footer" Target="footer108.xml"/><Relationship Id="rId248" Type="http://schemas.openxmlformats.org/officeDocument/2006/relationships/footer" Target="footer118.xml"/><Relationship Id="rId269" Type="http://schemas.openxmlformats.org/officeDocument/2006/relationships/footer" Target="footer129.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header" Target="header135.xml"/><Relationship Id="rId315" Type="http://schemas.openxmlformats.org/officeDocument/2006/relationships/footer" Target="footer152.xml"/><Relationship Id="rId336" Type="http://schemas.openxmlformats.org/officeDocument/2006/relationships/header" Target="header163.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4.xml"/><Relationship Id="rId6" Type="http://schemas.openxmlformats.org/officeDocument/2006/relationships/styles" Target="styles.xml"/><Relationship Id="rId238" Type="http://schemas.openxmlformats.org/officeDocument/2006/relationships/header" Target="header114.xml"/><Relationship Id="rId259" Type="http://schemas.openxmlformats.org/officeDocument/2006/relationships/header" Target="header125.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0.xml"/><Relationship Id="rId291" Type="http://schemas.openxmlformats.org/officeDocument/2006/relationships/footer" Target="footer140.xml"/><Relationship Id="rId305" Type="http://schemas.openxmlformats.org/officeDocument/2006/relationships/footer" Target="footer147.xml"/><Relationship Id="rId326" Type="http://schemas.openxmlformats.org/officeDocument/2006/relationships/footer" Target="footer157.xml"/><Relationship Id="rId347" Type="http://schemas.openxmlformats.org/officeDocument/2006/relationships/footer" Target="footer168.xml"/><Relationship Id="rId44" Type="http://schemas.openxmlformats.org/officeDocument/2006/relationships/footer" Target="footer16.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8.xml"/><Relationship Id="rId228" Type="http://schemas.openxmlformats.org/officeDocument/2006/relationships/header" Target="header109.xml"/><Relationship Id="rId249" Type="http://schemas.openxmlformats.org/officeDocument/2006/relationships/footer" Target="footer119.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4.xml"/><Relationship Id="rId281" Type="http://schemas.openxmlformats.org/officeDocument/2006/relationships/footer" Target="footer135.xml"/><Relationship Id="rId316" Type="http://schemas.openxmlformats.org/officeDocument/2006/relationships/header" Target="header153.xml"/><Relationship Id="rId337" Type="http://schemas.openxmlformats.org/officeDocument/2006/relationships/header" Target="header164.xml"/><Relationship Id="rId34" Type="http://schemas.openxmlformats.org/officeDocument/2006/relationships/header" Target="header12.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footer" Target="footer114.xml"/><Relationship Id="rId250" Type="http://schemas.openxmlformats.org/officeDocument/2006/relationships/header" Target="header120.xml"/><Relationship Id="rId271" Type="http://schemas.openxmlformats.org/officeDocument/2006/relationships/header" Target="header131.xml"/><Relationship Id="rId292" Type="http://schemas.openxmlformats.org/officeDocument/2006/relationships/header" Target="header141.xml"/><Relationship Id="rId306" Type="http://schemas.openxmlformats.org/officeDocument/2006/relationships/header" Target="header148.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327" Type="http://schemas.openxmlformats.org/officeDocument/2006/relationships/footer" Target="footer158.xml"/><Relationship Id="rId348" Type="http://schemas.openxmlformats.org/officeDocument/2006/relationships/fontTable" Target="fontTable.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99.xml"/><Relationship Id="rId229" Type="http://schemas.openxmlformats.org/officeDocument/2006/relationships/header" Target="header110.xml"/><Relationship Id="rId240" Type="http://schemas.openxmlformats.org/officeDocument/2006/relationships/header" Target="header115.xml"/><Relationship Id="rId261" Type="http://schemas.openxmlformats.org/officeDocument/2006/relationships/footer" Target="foot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317" Type="http://schemas.openxmlformats.org/officeDocument/2006/relationships/footer" Target="footer153.xml"/><Relationship Id="rId338" Type="http://schemas.openxmlformats.org/officeDocument/2006/relationships/footer" Target="footer163.xml"/><Relationship Id="rId8" Type="http://schemas.openxmlformats.org/officeDocument/2006/relationships/webSettings" Target="webSetting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4.xml"/><Relationship Id="rId230" Type="http://schemas.openxmlformats.org/officeDocument/2006/relationships/footer" Target="footer109.xml"/><Relationship Id="rId251" Type="http://schemas.openxmlformats.org/officeDocument/2006/relationships/footer" Target="footer120.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272" Type="http://schemas.openxmlformats.org/officeDocument/2006/relationships/footer" Target="footer130.xml"/><Relationship Id="rId293" Type="http://schemas.openxmlformats.org/officeDocument/2006/relationships/footer" Target="footer141.xml"/><Relationship Id="rId307" Type="http://schemas.openxmlformats.org/officeDocument/2006/relationships/header" Target="header149.xml"/><Relationship Id="rId328" Type="http://schemas.openxmlformats.org/officeDocument/2006/relationships/header" Target="header159.xml"/><Relationship Id="rId349"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79" Type="http://schemas.openxmlformats.org/officeDocument/2006/relationships/footer" Target="footer84.xml"/><Relationship Id="rId195" Type="http://schemas.openxmlformats.org/officeDocument/2006/relationships/footer" Target="footer92.xml"/><Relationship Id="rId209" Type="http://schemas.openxmlformats.org/officeDocument/2006/relationships/footer" Target="footer99.xml"/><Relationship Id="rId190" Type="http://schemas.openxmlformats.org/officeDocument/2006/relationships/header" Target="header90.xml"/><Relationship Id="rId204" Type="http://schemas.openxmlformats.org/officeDocument/2006/relationships/header" Target="header97.xml"/><Relationship Id="rId220" Type="http://schemas.openxmlformats.org/officeDocument/2006/relationships/header" Target="header105.xml"/><Relationship Id="rId225" Type="http://schemas.openxmlformats.org/officeDocument/2006/relationships/footer" Target="footer107.xml"/><Relationship Id="rId241" Type="http://schemas.openxmlformats.org/officeDocument/2006/relationships/header" Target="header116.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header" Target="header139.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106" Type="http://schemas.openxmlformats.org/officeDocument/2006/relationships/header" Target="header48.xml"/><Relationship Id="rId127" Type="http://schemas.openxmlformats.org/officeDocument/2006/relationships/header" Target="header59.xml"/><Relationship Id="rId262" Type="http://schemas.openxmlformats.org/officeDocument/2006/relationships/header" Target="header126.xml"/><Relationship Id="rId283" Type="http://schemas.openxmlformats.org/officeDocument/2006/relationships/header" Target="header137.xml"/><Relationship Id="rId313" Type="http://schemas.openxmlformats.org/officeDocument/2006/relationships/header" Target="header152.xml"/><Relationship Id="rId318" Type="http://schemas.openxmlformats.org/officeDocument/2006/relationships/header" Target="header154.xml"/><Relationship Id="rId339" Type="http://schemas.openxmlformats.org/officeDocument/2006/relationships/footer" Target="footer164.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48" Type="http://schemas.openxmlformats.org/officeDocument/2006/relationships/header" Target="header69.xml"/><Relationship Id="rId164" Type="http://schemas.openxmlformats.org/officeDocument/2006/relationships/footer" Target="footer76.xml"/><Relationship Id="rId169" Type="http://schemas.openxmlformats.org/officeDocument/2006/relationships/header" Target="header80.xml"/><Relationship Id="rId185" Type="http://schemas.openxmlformats.org/officeDocument/2006/relationships/footer" Target="footer87.xml"/><Relationship Id="rId334" Type="http://schemas.openxmlformats.org/officeDocument/2006/relationships/header" Target="header162.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85.xml"/><Relationship Id="rId210" Type="http://schemas.openxmlformats.org/officeDocument/2006/relationships/header" Target="header100.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26" Type="http://schemas.openxmlformats.org/officeDocument/2006/relationships/footer" Target="footer7.xml"/><Relationship Id="rId231" Type="http://schemas.openxmlformats.org/officeDocument/2006/relationships/footer" Target="footer110.xml"/><Relationship Id="rId252" Type="http://schemas.openxmlformats.org/officeDocument/2006/relationships/header" Target="header121.xml"/><Relationship Id="rId273" Type="http://schemas.openxmlformats.org/officeDocument/2006/relationships/footer" Target="footer131.xml"/><Relationship Id="rId294" Type="http://schemas.openxmlformats.org/officeDocument/2006/relationships/header" Target="header142.xml"/><Relationship Id="rId308" Type="http://schemas.openxmlformats.org/officeDocument/2006/relationships/footer" Target="footer148.xml"/><Relationship Id="rId329" Type="http://schemas.openxmlformats.org/officeDocument/2006/relationships/footer" Target="footer159.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340" Type="http://schemas.openxmlformats.org/officeDocument/2006/relationships/header" Target="header165.xml"/><Relationship Id="rId196" Type="http://schemas.openxmlformats.org/officeDocument/2006/relationships/header" Target="header93.xml"/><Relationship Id="rId200" Type="http://schemas.openxmlformats.org/officeDocument/2006/relationships/footer" Target="footer94.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footer" Target="footer115.xml"/><Relationship Id="rId263" Type="http://schemas.openxmlformats.org/officeDocument/2006/relationships/footer" Target="footer126.xml"/><Relationship Id="rId284" Type="http://schemas.openxmlformats.org/officeDocument/2006/relationships/footer" Target="footer136.xml"/><Relationship Id="rId319" Type="http://schemas.openxmlformats.org/officeDocument/2006/relationships/header" Target="header155.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header" Target="header160.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211" Type="http://schemas.openxmlformats.org/officeDocument/2006/relationships/header" Target="header101.xml"/><Relationship Id="rId232" Type="http://schemas.openxmlformats.org/officeDocument/2006/relationships/header" Target="header111.xml"/><Relationship Id="rId253" Type="http://schemas.openxmlformats.org/officeDocument/2006/relationships/header" Target="header122.xml"/><Relationship Id="rId274" Type="http://schemas.openxmlformats.org/officeDocument/2006/relationships/header" Target="header132.xml"/><Relationship Id="rId295" Type="http://schemas.openxmlformats.org/officeDocument/2006/relationships/header" Target="header143.xml"/><Relationship Id="rId309" Type="http://schemas.openxmlformats.org/officeDocument/2006/relationships/footer" Target="footer149.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footer" Target="footer154.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footer" Target="footer165.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footer" Target="footer137.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1.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5.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5.xml"/><Relationship Id="rId342" Type="http://schemas.openxmlformats.org/officeDocument/2006/relationships/header" Target="header166.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8.xml"/><Relationship Id="rId286" Type="http://schemas.openxmlformats.org/officeDocument/2006/relationships/header" Target="header138.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footer" Target="footer150.xml"/><Relationship Id="rId332" Type="http://schemas.openxmlformats.org/officeDocument/2006/relationships/footer" Target="footer160.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eader" Target="header133.xml"/><Relationship Id="rId297" Type="http://schemas.openxmlformats.org/officeDocument/2006/relationships/footer" Target="footer143.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6.xml"/><Relationship Id="rId322" Type="http://schemas.openxmlformats.org/officeDocument/2006/relationships/header" Target="header156.xml"/><Relationship Id="rId343" Type="http://schemas.openxmlformats.org/officeDocument/2006/relationships/header" Target="header167.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header" Target="header151.xml"/><Relationship Id="rId333" Type="http://schemas.openxmlformats.org/officeDocument/2006/relationships/footer" Target="footer16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3.xml"/><Relationship Id="rId256" Type="http://schemas.openxmlformats.org/officeDocument/2006/relationships/header" Target="header123.xml"/><Relationship Id="rId277" Type="http://schemas.openxmlformats.org/officeDocument/2006/relationships/header" Target="header134.xml"/><Relationship Id="rId298" Type="http://schemas.openxmlformats.org/officeDocument/2006/relationships/header" Target="header144.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footer" Target="footer145.xml"/><Relationship Id="rId323" Type="http://schemas.openxmlformats.org/officeDocument/2006/relationships/footer" Target="footer156.xml"/><Relationship Id="rId344" Type="http://schemas.openxmlformats.org/officeDocument/2006/relationships/footer" Target="footer16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c3bc29-9e11-4027-900b-c73633d7928a"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5" ma:contentTypeDescription="Create a new document." ma:contentTypeScope="" ma:versionID="b46bf09d3be56434b8c7dde25ed03651">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affed05d1b824d34269160d035d2dddf"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b46321-4863-49fd-9335-6bd80854a530}"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9106-11AA-4795-889E-C08959391C79}">
  <ds:schemaRefs>
    <ds:schemaRef ds:uri="http://schemas.microsoft.com/office/2006/metadata/properties"/>
    <ds:schemaRef ds:uri="http://schemas.microsoft.com/office/infopath/2007/PartnerControls"/>
    <ds:schemaRef ds:uri="e6c3bc29-9e11-4027-900b-c73633d7928a"/>
    <ds:schemaRef ds:uri="1700ab43-7395-48ff-866c-657c86ba7f4e"/>
  </ds:schemaRefs>
</ds:datastoreItem>
</file>

<file path=customXml/itemProps2.xml><?xml version="1.0" encoding="utf-8"?>
<ds:datastoreItem xmlns:ds="http://schemas.openxmlformats.org/officeDocument/2006/customXml" ds:itemID="{7BD20C27-676F-4A6F-8225-0748ABFC5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9448B-3E38-4A61-8875-8BA6072211C4}">
  <ds:schemaRefs>
    <ds:schemaRef ds:uri="http://schemas.microsoft.com/sharepoint/v3/contenttype/forms"/>
  </ds:schemaRefs>
</ds:datastoreItem>
</file>

<file path=customXml/itemProps4.xml><?xml version="1.0" encoding="utf-8"?>
<ds:datastoreItem xmlns:ds="http://schemas.openxmlformats.org/officeDocument/2006/customXml" ds:itemID="{6838ECD6-47F0-463A-9915-02FCD33E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38</Pages>
  <Words>52623</Words>
  <Characters>299954</Characters>
  <Application>Microsoft Office Word</Application>
  <DocSecurity>0</DocSecurity>
  <Lines>2499</Lines>
  <Paragraphs>703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PRINCEN Savina (ECFIN)</dc:creator>
  <cp:keywords/>
  <dc:description/>
  <cp:lastModifiedBy>EC CoDe</cp:lastModifiedBy>
  <cp:revision>37</cp:revision>
  <cp:lastPrinted>2023-11-11T15:14:00Z</cp:lastPrinted>
  <dcterms:created xsi:type="dcterms:W3CDTF">2023-11-10T11:06:00Z</dcterms:created>
  <dcterms:modified xsi:type="dcterms:W3CDTF">2023-11-23T17:20:00Z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2023-09-29T16:32:01Z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bb15c96a-0d9c-4fea-9ab8-7d0c30dffb9f</vt:lpwstr>
  </property>
  <property fmtid="{D5CDD505-2E9C-101B-9397-08002B2CF9AE}" pid="8" name="MSIP_Label_6bd9ddd1-4d20-43f6-abfa-fc3c07406f94_ContentBits">
    <vt:lpwstr>0</vt:lpwstr>
  </property>
  <property fmtid="{D5CDD505-2E9C-101B-9397-08002B2CF9AE}" pid="9" name="ContentTypeId">
    <vt:lpwstr>0x01010062094E9F29D6C04F85860C631ABC812A</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