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1DDB3" w14:textId="73C6DC44" w:rsidR="002A1312" w:rsidRPr="003B35F1" w:rsidRDefault="00014898" w:rsidP="00014898">
      <w:pPr>
        <w:pStyle w:val="Pagedecouverture"/>
        <w:rPr>
          <w:noProof/>
        </w:rPr>
      </w:pPr>
      <w:r>
        <w:rPr>
          <w:noProof/>
        </w:rPr>
        <w:pict w14:anchorId="7717F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A683291-8231-4B86-AE49-B7D32EDDFC71" style="width:455.25pt;height:369.75pt">
            <v:imagedata r:id="rId8" o:title=""/>
          </v:shape>
        </w:pict>
      </w:r>
    </w:p>
    <w:p w14:paraId="00D2FD5D" w14:textId="77777777" w:rsidR="002A1312" w:rsidRPr="003B35F1" w:rsidRDefault="002A1312" w:rsidP="006A4347">
      <w:pPr>
        <w:rPr>
          <w:noProof/>
        </w:rPr>
        <w:sectPr w:rsidR="002A1312" w:rsidRPr="003B35F1" w:rsidSect="00014898">
          <w:footerReference w:type="default" r:id="rId9"/>
          <w:footnotePr>
            <w:numRestart w:val="eachSect"/>
          </w:footnotePr>
          <w:pgSz w:w="11907" w:h="16839"/>
          <w:pgMar w:top="1134" w:right="1417" w:bottom="1134" w:left="1417" w:header="709" w:footer="709" w:gutter="0"/>
          <w:pgNumType w:start="0"/>
          <w:cols w:space="720"/>
          <w:docGrid w:linePitch="360"/>
        </w:sectPr>
      </w:pPr>
    </w:p>
    <w:p w14:paraId="394E8A63" w14:textId="77777777" w:rsidR="002A1312" w:rsidRPr="003B35F1" w:rsidRDefault="002A1312" w:rsidP="006A4347">
      <w:pPr>
        <w:pStyle w:val="Exposdesmotifstitre"/>
        <w:rPr>
          <w:noProof/>
        </w:rPr>
      </w:pPr>
      <w:bookmarkStart w:id="0" w:name="_GoBack"/>
      <w:bookmarkEnd w:id="0"/>
      <w:r w:rsidRPr="003B35F1">
        <w:rPr>
          <w:noProof/>
        </w:rPr>
        <w:lastRenderedPageBreak/>
        <w:t>PASKAIDROJUMA RAKSTS</w:t>
      </w:r>
    </w:p>
    <w:p w14:paraId="151FDB40" w14:textId="77777777" w:rsidR="002A1312" w:rsidRPr="003B35F1" w:rsidRDefault="002A1312" w:rsidP="006A4347">
      <w:pPr>
        <w:pStyle w:val="ManualHeading1"/>
        <w:rPr>
          <w:noProof/>
        </w:rPr>
      </w:pPr>
      <w:r w:rsidRPr="003B35F1">
        <w:rPr>
          <w:noProof/>
        </w:rPr>
        <w:t>1.</w:t>
      </w:r>
      <w:r w:rsidRPr="003B35F1">
        <w:rPr>
          <w:noProof/>
        </w:rPr>
        <w:tab/>
        <w:t>PRIEKŠLIKUMA KONTEKSTS</w:t>
      </w:r>
    </w:p>
    <w:p w14:paraId="022AD8AE" w14:textId="77777777" w:rsidR="002A1312" w:rsidRPr="003B35F1" w:rsidRDefault="002A1312" w:rsidP="006A4347">
      <w:pPr>
        <w:pStyle w:val="ManualHeading2"/>
        <w:rPr>
          <w:rFonts w:eastAsia="Arial Unicode MS"/>
          <w:noProof/>
        </w:rPr>
      </w:pPr>
      <w:r w:rsidRPr="003B35F1">
        <w:rPr>
          <w:noProof/>
          <w:color w:val="000000"/>
          <w:u w:color="000000"/>
          <w:bdr w:val="nil"/>
        </w:rPr>
        <w:t>•</w:t>
      </w:r>
      <w:r w:rsidRPr="003B35F1">
        <w:rPr>
          <w:noProof/>
          <w:color w:val="000000"/>
          <w:u w:color="000000"/>
          <w:bdr w:val="nil"/>
        </w:rPr>
        <w:tab/>
      </w:r>
      <w:r w:rsidRPr="003B35F1">
        <w:rPr>
          <w:noProof/>
        </w:rPr>
        <w:t>Priekšlikuma pamatojums un mērķi</w:t>
      </w:r>
    </w:p>
    <w:p w14:paraId="40C7480E" w14:textId="77777777" w:rsidR="002140F1" w:rsidRPr="003B35F1" w:rsidRDefault="002140F1" w:rsidP="006A4347">
      <w:pPr>
        <w:rPr>
          <w:noProof/>
          <w:szCs w:val="24"/>
        </w:rPr>
      </w:pPr>
      <w:r w:rsidRPr="003B35F1">
        <w:rPr>
          <w:noProof/>
          <w:color w:val="333333"/>
          <w:shd w:val="clear" w:color="auto" w:fill="FFFFFF"/>
        </w:rPr>
        <w:t>Šis priekšlikums attiecas uz grozījumu parakstīšanu Nolīgumā</w:t>
      </w:r>
      <w:r w:rsidRPr="003B35F1">
        <w:rPr>
          <w:noProof/>
        </w:rPr>
        <w:t xml:space="preserve"> starp Eiropas Savienību un Norvēģijas Karalisti (“Norvēģija”) par administratīvo sadarbību, krāpšanas apkarošanu un prasījumu piedziņu pievienotās vērtības nodokļa jomā</w:t>
      </w:r>
      <w:r w:rsidR="008A6CB1" w:rsidRPr="003B35F1">
        <w:rPr>
          <w:rStyle w:val="FootnoteReference"/>
          <w:noProof/>
        </w:rPr>
        <w:footnoteReference w:id="2"/>
      </w:r>
      <w:r w:rsidRPr="003B35F1">
        <w:rPr>
          <w:noProof/>
        </w:rPr>
        <w:t xml:space="preserve"> (“nolīgums”). </w:t>
      </w:r>
    </w:p>
    <w:p w14:paraId="38240772" w14:textId="77777777" w:rsidR="00F02972" w:rsidRPr="003B35F1" w:rsidRDefault="00F02972" w:rsidP="006A4347">
      <w:pPr>
        <w:rPr>
          <w:noProof/>
        </w:rPr>
      </w:pPr>
      <w:r w:rsidRPr="003B35F1">
        <w:rPr>
          <w:noProof/>
        </w:rPr>
        <w:t>Šis nolīgums stājās spēkā 2018. gada septembrī. Nolīgums ļauj ES dalībvalstīm un Norvēģijai sadarboties, līdzīgi kā dalībvalstis sadarbojas saskaņā ar Padomes Regulu (ES) Nr. 904/2010</w:t>
      </w:r>
      <w:r w:rsidRPr="003B35F1">
        <w:rPr>
          <w:rStyle w:val="FootnoteReference"/>
          <w:noProof/>
        </w:rPr>
        <w:footnoteReference w:id="3"/>
      </w:r>
      <w:r w:rsidRPr="003B35F1">
        <w:rPr>
          <w:noProof/>
        </w:rPr>
        <w:t xml:space="preserve"> un Padomes Direktīvu 2010/24/ES</w:t>
      </w:r>
      <w:r w:rsidRPr="003B35F1">
        <w:rPr>
          <w:rStyle w:val="FootnoteReference"/>
          <w:noProof/>
        </w:rPr>
        <w:footnoteReference w:id="4"/>
      </w:r>
      <w:r w:rsidRPr="003B35F1">
        <w:rPr>
          <w:noProof/>
        </w:rPr>
        <w:t xml:space="preserve"> ar mērķi apkarot krāpšanu PVN jomā un savstarpēji palīdzēt piedzīt prasījumus PVN jomā.</w:t>
      </w:r>
    </w:p>
    <w:p w14:paraId="593E8065" w14:textId="77777777" w:rsidR="003B29E5" w:rsidRPr="003B35F1" w:rsidRDefault="003B29E5" w:rsidP="006A4347">
      <w:pPr>
        <w:rPr>
          <w:noProof/>
        </w:rPr>
      </w:pPr>
      <w:r w:rsidRPr="003B35F1">
        <w:rPr>
          <w:noProof/>
        </w:rPr>
        <w:t>Tomēr Padomes Regulā (ES) Nr. 904/2010 ar Padomes Regulu (ES) 2018/1541 ir izdarīti vairāki grozījumi un ieviesti jauni administratīvās sadarbības rīki</w:t>
      </w:r>
      <w:r w:rsidR="00F02972" w:rsidRPr="003B35F1">
        <w:rPr>
          <w:rStyle w:val="FootnoteReference"/>
          <w:noProof/>
        </w:rPr>
        <w:footnoteReference w:id="5"/>
      </w:r>
      <w:r w:rsidRPr="003B35F1">
        <w:rPr>
          <w:noProof/>
        </w:rPr>
        <w:t>. Jaunie rīki ir, piemēram, šādi:</w:t>
      </w:r>
    </w:p>
    <w:p w14:paraId="4DD096AE" w14:textId="77777777" w:rsidR="003B29E5" w:rsidRPr="003B35F1" w:rsidRDefault="003B29E5" w:rsidP="006A4347">
      <w:pPr>
        <w:rPr>
          <w:noProof/>
        </w:rPr>
      </w:pPr>
      <w:r w:rsidRPr="003B35F1">
        <w:rPr>
          <w:noProof/>
        </w:rPr>
        <w:t xml:space="preserve">- </w:t>
      </w:r>
      <w:r w:rsidRPr="003B35F1">
        <w:rPr>
          <w:i/>
          <w:noProof/>
        </w:rPr>
        <w:t>Eurofisc</w:t>
      </w:r>
      <w:r w:rsidRPr="003B35F1">
        <w:rPr>
          <w:noProof/>
        </w:rPr>
        <w:t xml:space="preserve"> tīkla uzlabošana, īstenojot pastiprinātu pārvaldību, tā sauktos turpmākos pasākumus (datu kopīgu apstrādi un analīzi) un kopīgi veiktas administratīvās pārbaudes (kopīgas revīzijas);</w:t>
      </w:r>
    </w:p>
    <w:p w14:paraId="563171F1" w14:textId="77777777" w:rsidR="003B29E5" w:rsidRPr="003B35F1" w:rsidRDefault="003B29E5" w:rsidP="006A4347">
      <w:pPr>
        <w:rPr>
          <w:noProof/>
        </w:rPr>
      </w:pPr>
      <w:r w:rsidRPr="003B35F1">
        <w:rPr>
          <w:noProof/>
        </w:rPr>
        <w:t xml:space="preserve">- sadarbība ar citām ES tiesībaizsardzības struktūrām (Eiropolu, </w:t>
      </w:r>
      <w:r w:rsidRPr="003B35F1">
        <w:rPr>
          <w:i/>
          <w:noProof/>
        </w:rPr>
        <w:t>OLAF</w:t>
      </w:r>
      <w:r w:rsidRPr="003B35F1">
        <w:rPr>
          <w:noProof/>
        </w:rPr>
        <w:t>);</w:t>
      </w:r>
    </w:p>
    <w:p w14:paraId="41ED177F" w14:textId="77777777" w:rsidR="003B29E5" w:rsidRPr="003B35F1" w:rsidRDefault="003B29E5" w:rsidP="006A4347">
      <w:pPr>
        <w:rPr>
          <w:noProof/>
        </w:rPr>
      </w:pPr>
      <w:r w:rsidRPr="003B35F1">
        <w:rPr>
          <w:noProof/>
        </w:rPr>
        <w:t>- dalīšanās ar pamatinformāciju par importu un transportlīdzekļiem.</w:t>
      </w:r>
    </w:p>
    <w:p w14:paraId="3FAB4106" w14:textId="77777777" w:rsidR="003B29E5" w:rsidRPr="003B35F1" w:rsidRDefault="003B29E5" w:rsidP="006A4347">
      <w:pPr>
        <w:rPr>
          <w:noProof/>
        </w:rPr>
      </w:pPr>
      <w:r w:rsidRPr="003B35F1">
        <w:rPr>
          <w:noProof/>
        </w:rPr>
        <w:t>Turklāt tika ieviesta iespēja informācijas apmaiņai izmantot arī citus līdzekļus, nevis tikai standarta veidlapas.</w:t>
      </w:r>
    </w:p>
    <w:p w14:paraId="27EA4D83" w14:textId="77777777" w:rsidR="003B29E5" w:rsidRPr="003B35F1" w:rsidRDefault="003B29E5" w:rsidP="006A4347">
      <w:pPr>
        <w:rPr>
          <w:noProof/>
        </w:rPr>
      </w:pPr>
      <w:r w:rsidRPr="003B35F1">
        <w:rPr>
          <w:noProof/>
        </w:rPr>
        <w:t>Nolīguma 41. panta 5. punktā ir noteiktas formalitātes, kas jāievēro, ja kāda no nolīguma pusēm vēlas pārskatīt nolīgumu. Atbilstīgi tam attiecīgā puse iesniedz priekšlikumu Apvienotajai komitejai, kura sagatavo ieteikumus, jo īpaši par sarunu sākšanu saskaņā ar Pušu starptautisko sarunu noteikumiem.</w:t>
      </w:r>
    </w:p>
    <w:p w14:paraId="62AC5542" w14:textId="77777777" w:rsidR="003B29E5" w:rsidRPr="003B35F1" w:rsidRDefault="003B29E5" w:rsidP="006A4347">
      <w:pPr>
        <w:rPr>
          <w:noProof/>
        </w:rPr>
      </w:pPr>
      <w:r w:rsidRPr="003B35F1">
        <w:rPr>
          <w:noProof/>
        </w:rPr>
        <w:t>Saskaņā ar nolīguma 41. panta 1. punktu izveidotās ES un Norvēģijas Apvienotās komitejas otrajā sanāksmē, kas notika 2021. gada 25. novembrī, Norvēģijas Karaliste iesniedza oficiālu pieprasījumu papildināt un grozīt nolīgumu, lai:</w:t>
      </w:r>
    </w:p>
    <w:p w14:paraId="084FA770" w14:textId="77777777" w:rsidR="003B29E5" w:rsidRPr="003B35F1" w:rsidRDefault="003B29E5" w:rsidP="006A4347">
      <w:pPr>
        <w:rPr>
          <w:noProof/>
        </w:rPr>
      </w:pPr>
      <w:r w:rsidRPr="003B35F1">
        <w:rPr>
          <w:noProof/>
        </w:rPr>
        <w:t>•</w:t>
      </w:r>
      <w:r w:rsidRPr="003B35F1">
        <w:rPr>
          <w:noProof/>
        </w:rPr>
        <w:tab/>
        <w:t xml:space="preserve">ņemtu vērā jaunieviestos administratīvās sadarbības rīkus (citu līdzekļu izmantošana informācijas apmaiņai, nevis tikai standarta veidlapas, kopīgi veiktas administratīvās pārbaudes un turpmākie pasākumi </w:t>
      </w:r>
      <w:r w:rsidRPr="003B35F1">
        <w:rPr>
          <w:i/>
          <w:noProof/>
        </w:rPr>
        <w:t>Eurofisc</w:t>
      </w:r>
      <w:r w:rsidRPr="003B35F1">
        <w:rPr>
          <w:noProof/>
        </w:rPr>
        <w:t xml:space="preserve"> tīklā); </w:t>
      </w:r>
    </w:p>
    <w:p w14:paraId="72D71AB9" w14:textId="77777777" w:rsidR="003B29E5" w:rsidRPr="003B35F1" w:rsidRDefault="003B29E5" w:rsidP="006A4347">
      <w:pPr>
        <w:rPr>
          <w:noProof/>
        </w:rPr>
      </w:pPr>
      <w:r w:rsidRPr="003B35F1">
        <w:rPr>
          <w:noProof/>
        </w:rPr>
        <w:t>•</w:t>
      </w:r>
      <w:r w:rsidRPr="003B35F1">
        <w:rPr>
          <w:noProof/>
        </w:rPr>
        <w:tab/>
        <w:t>atjauninātu atsauci uz atcelto Direktīvu 95/46/EK un aizstātu to ar atsauci uz Eiropas Parlamenta un Padomes 2016. gada 27. aprīļa Regulu (ES) 2016/679 par fizisku personu aizsardzību attiecībā uz personas datu apstrādi un šādu datu brīvu apriti</w:t>
      </w:r>
      <w:r w:rsidR="00F02972" w:rsidRPr="003B35F1">
        <w:rPr>
          <w:rStyle w:val="FootnoteReference"/>
          <w:noProof/>
        </w:rPr>
        <w:footnoteReference w:id="6"/>
      </w:r>
      <w:r w:rsidRPr="003B35F1">
        <w:rPr>
          <w:noProof/>
        </w:rPr>
        <w:t xml:space="preserve"> un, jo īpaši, ieviestu atsauci uz Līguma par Eiropas Ekonomikas zonu (EEZ)</w:t>
      </w:r>
      <w:r w:rsidR="00A51544" w:rsidRPr="003B35F1">
        <w:rPr>
          <w:rStyle w:val="FootnoteReference"/>
          <w:noProof/>
        </w:rPr>
        <w:footnoteReference w:id="7"/>
      </w:r>
      <w:r w:rsidRPr="003B35F1">
        <w:rPr>
          <w:noProof/>
        </w:rPr>
        <w:t xml:space="preserve"> noteikumiem tāpat kā Regulā (ES) 2016/679.</w:t>
      </w:r>
    </w:p>
    <w:p w14:paraId="41291D66" w14:textId="77777777" w:rsidR="003B29E5" w:rsidRPr="003B35F1" w:rsidRDefault="003B29E5" w:rsidP="006A4347">
      <w:pPr>
        <w:rPr>
          <w:noProof/>
        </w:rPr>
      </w:pPr>
      <w:r w:rsidRPr="003B35F1">
        <w:rPr>
          <w:noProof/>
        </w:rPr>
        <w:t xml:space="preserve">Norvēģija līdz šim ir aktīvi piedalījusies lielākajā daļā </w:t>
      </w:r>
      <w:r w:rsidRPr="003B35F1">
        <w:rPr>
          <w:i/>
          <w:noProof/>
        </w:rPr>
        <w:t>Eurofisc</w:t>
      </w:r>
      <w:r w:rsidRPr="003B35F1">
        <w:rPr>
          <w:noProof/>
        </w:rPr>
        <w:t xml:space="preserve"> darbības jomu. Norvēģija 2020. un 2021. gadā brīdināja dalībvalstis par iespējamu krāpšanu un iespējamiem PVN zaudējumiem 5 miljardu EUR apmērā oglekļa kredītu jomā. </w:t>
      </w:r>
    </w:p>
    <w:p w14:paraId="6159A500" w14:textId="77777777" w:rsidR="002A1312" w:rsidRPr="003B35F1" w:rsidRDefault="003B29E5" w:rsidP="006A4347">
      <w:pPr>
        <w:rPr>
          <w:noProof/>
        </w:rPr>
      </w:pPr>
      <w:r w:rsidRPr="003B35F1">
        <w:rPr>
          <w:noProof/>
        </w:rPr>
        <w:t>Nolīguma grozīšana, iekļaujot tajā iepriekš minētos jaunos rīkus, ļautu uzlabot sadarbību un cīņu pret krāpšanu, tādējādi radot pievienoto vērtību abām nolīguma pusēm (Norvēģijai un dalībvalstīm).</w:t>
      </w:r>
    </w:p>
    <w:p w14:paraId="471BCDC3" w14:textId="77777777" w:rsidR="007C647B" w:rsidRPr="003B35F1" w:rsidRDefault="001813CB" w:rsidP="006A4347">
      <w:pPr>
        <w:rPr>
          <w:noProof/>
        </w:rPr>
      </w:pPr>
      <w:r w:rsidRPr="003B35F1">
        <w:rPr>
          <w:noProof/>
        </w:rPr>
        <w:t xml:space="preserve">Padomes lēmums, ar ko pilnvaro </w:t>
      </w:r>
      <w:r w:rsidRPr="003B35F1">
        <w:rPr>
          <w:noProof/>
          <w:color w:val="333333"/>
          <w:shd w:val="clear" w:color="auto" w:fill="FFFFFF"/>
        </w:rPr>
        <w:t>sākt sarunas ar Norvēģijas Karalisti par grozījumiem Nolīgumā starp Eiropas Savienību un Norvēģijas Karalisti par administratīvo sadarbību, krāpšanas apkarošanu un prasījumu piedziņu pievienotās vērtības nodokļa jomā</w:t>
      </w:r>
      <w:r w:rsidRPr="003B35F1">
        <w:rPr>
          <w:noProof/>
        </w:rPr>
        <w:t>, tika pieņemts 2022. gada 17. jūnijā</w:t>
      </w:r>
      <w:r w:rsidR="007C647B" w:rsidRPr="003B35F1">
        <w:rPr>
          <w:rStyle w:val="FootnoteReference"/>
          <w:noProof/>
        </w:rPr>
        <w:footnoteReference w:id="8"/>
      </w:r>
      <w:r w:rsidRPr="003B35F1">
        <w:rPr>
          <w:noProof/>
        </w:rPr>
        <w:t>.</w:t>
      </w:r>
    </w:p>
    <w:p w14:paraId="10B186BD" w14:textId="77777777" w:rsidR="007C647B" w:rsidRPr="003B35F1" w:rsidRDefault="007C647B" w:rsidP="006A4347">
      <w:pPr>
        <w:rPr>
          <w:noProof/>
        </w:rPr>
      </w:pPr>
      <w:r w:rsidRPr="003B35F1">
        <w:rPr>
          <w:noProof/>
        </w:rPr>
        <w:t>Apvienotās komitejas ieteikums sākt sarunas saskaņā ar nolīguma 41. panta 5. punktu (vēstuļu apmaiņa) tika pieņemts 2022. gada oktobrī, izmantojot rakstisko procedūru.</w:t>
      </w:r>
    </w:p>
    <w:p w14:paraId="058AAC6C" w14:textId="0FB07C0D" w:rsidR="007C647B" w:rsidRPr="003B35F1" w:rsidRDefault="00C930DE" w:rsidP="006A4347">
      <w:pPr>
        <w:rPr>
          <w:noProof/>
        </w:rPr>
      </w:pPr>
      <w:r w:rsidRPr="003B35F1">
        <w:rPr>
          <w:noProof/>
        </w:rPr>
        <w:t>2022. gada 18. novembrī notika sarunu kārta, un 2023. gada 27. jūnijā tika panākta vienošanās.</w:t>
      </w:r>
    </w:p>
    <w:p w14:paraId="340561B5" w14:textId="77777777" w:rsidR="004949E5" w:rsidRPr="003B35F1" w:rsidRDefault="007C647B" w:rsidP="006A4347">
      <w:pPr>
        <w:rPr>
          <w:noProof/>
        </w:rPr>
      </w:pPr>
      <w:r w:rsidRPr="003B35F1">
        <w:rPr>
          <w:noProof/>
        </w:rPr>
        <w:t xml:space="preserve">Padome tika pastāvīgi informēta par darba gaitu Nodokļu jautājumu darba grupā un Augsta līmeņa darba grupā. </w:t>
      </w:r>
    </w:p>
    <w:p w14:paraId="4D82389E" w14:textId="77777777" w:rsidR="00606B25" w:rsidRPr="003B35F1" w:rsidRDefault="00606B25" w:rsidP="006A4347">
      <w:pPr>
        <w:rPr>
          <w:noProof/>
        </w:rPr>
      </w:pPr>
      <w:r w:rsidRPr="003B35F1">
        <w:rPr>
          <w:noProof/>
        </w:rPr>
        <w:t>Komisija uzskata, ka mērķi, kurus Padome bija izvirzījusi sarunu norādēs, tika sasniegti un ka teksts, par kuru panākta vienošanās, ir Savienībai pieņemams.</w:t>
      </w:r>
    </w:p>
    <w:p w14:paraId="17C2D367" w14:textId="77777777" w:rsidR="002A1312" w:rsidRPr="003B35F1" w:rsidRDefault="002A1312" w:rsidP="006A4347">
      <w:pPr>
        <w:pStyle w:val="ManualHeading2"/>
        <w:rPr>
          <w:rFonts w:eastAsia="Arial Unicode MS"/>
          <w:noProof/>
          <w:color w:val="000000"/>
          <w:u w:color="000000"/>
          <w:bdr w:val="nil"/>
        </w:rPr>
      </w:pPr>
      <w:r w:rsidRPr="003B35F1">
        <w:rPr>
          <w:noProof/>
          <w:color w:val="000000"/>
          <w:u w:color="000000"/>
          <w:bdr w:val="nil"/>
        </w:rPr>
        <w:t>•</w:t>
      </w:r>
      <w:r w:rsidRPr="003B35F1">
        <w:rPr>
          <w:noProof/>
          <w:color w:val="000000"/>
          <w:u w:color="000000"/>
          <w:bdr w:val="nil"/>
        </w:rPr>
        <w:tab/>
      </w:r>
      <w:r w:rsidRPr="003B35F1">
        <w:rPr>
          <w:noProof/>
        </w:rPr>
        <w:t>Saskanība ar pašreizējiem noteikumiem konkrētajā politikas jomā</w:t>
      </w:r>
    </w:p>
    <w:p w14:paraId="2834CD44" w14:textId="77777777" w:rsidR="00606B25" w:rsidRPr="003B35F1" w:rsidRDefault="00606B25" w:rsidP="006A4347">
      <w:pPr>
        <w:rPr>
          <w:noProof/>
        </w:rPr>
      </w:pPr>
      <w:r w:rsidRPr="003B35F1">
        <w:rPr>
          <w:noProof/>
        </w:rPr>
        <w:t xml:space="preserve">Sarunas par grozījumiem nolīgumā norisinājās saskaņā ar visaptverošajām sarunu norādēm, ko Padome pieņēma 2022. gada 17. jūnijā. </w:t>
      </w:r>
    </w:p>
    <w:p w14:paraId="0CB3820C" w14:textId="77777777" w:rsidR="003B29E5" w:rsidRPr="003B35F1" w:rsidRDefault="003B29E5" w:rsidP="006A4347">
      <w:pPr>
        <w:rPr>
          <w:noProof/>
        </w:rPr>
      </w:pPr>
      <w:r w:rsidRPr="003B35F1">
        <w:rPr>
          <w:noProof/>
        </w:rPr>
        <w:t>Viena no darbībām, kas izziņota Eiropas Komisijas 2020. gada paziņojumā par taisnīgas un vienkāršas nodokļu sistēmas izveidi ekonomikas atveseļošanas atbalstam</w:t>
      </w:r>
      <w:r w:rsidR="00A51544" w:rsidRPr="003B35F1">
        <w:rPr>
          <w:rStyle w:val="FootnoteReference"/>
          <w:noProof/>
        </w:rPr>
        <w:footnoteReference w:id="9"/>
      </w:r>
      <w:r w:rsidRPr="003B35F1">
        <w:rPr>
          <w:noProof/>
        </w:rPr>
        <w:t>, ir PVN jomā īstenotās administratīvās sadarbības ar trešām valstīm uzlabošana.</w:t>
      </w:r>
    </w:p>
    <w:p w14:paraId="5D90BFC1" w14:textId="77777777" w:rsidR="003B29E5" w:rsidRPr="003B35F1" w:rsidRDefault="003B29E5" w:rsidP="006A4347">
      <w:pPr>
        <w:rPr>
          <w:noProof/>
        </w:rPr>
      </w:pPr>
      <w:r w:rsidRPr="003B35F1">
        <w:rPr>
          <w:noProof/>
        </w:rPr>
        <w:t>Turklāt būtu jānorāda, ka grozījumi attiektos uz sadarbības rīkiem, kas jau ir spēkā un ko dalībvalstis piemēro, pamatojoties uz Regulu (ES) Nr. 904/2010.</w:t>
      </w:r>
    </w:p>
    <w:p w14:paraId="15192E33" w14:textId="77777777" w:rsidR="003B29E5" w:rsidRPr="003B35F1" w:rsidRDefault="003B29E5" w:rsidP="006A4347">
      <w:pPr>
        <w:rPr>
          <w:noProof/>
        </w:rPr>
      </w:pPr>
      <w:r w:rsidRPr="003B35F1">
        <w:rPr>
          <w:noProof/>
        </w:rPr>
        <w:t xml:space="preserve">Tāpēc šī iniciatīva atbilst Komisijas pašreizējai politikai PVN jomā, un ar to dalībvalstu un Norvēģijas sadarbība tiktu saskaņota ar ES </w:t>
      </w:r>
      <w:r w:rsidRPr="003B35F1">
        <w:rPr>
          <w:i/>
          <w:noProof/>
        </w:rPr>
        <w:t>acquis</w:t>
      </w:r>
      <w:r w:rsidRPr="003B35F1">
        <w:rPr>
          <w:noProof/>
        </w:rPr>
        <w:t xml:space="preserve">. </w:t>
      </w:r>
    </w:p>
    <w:p w14:paraId="731ECCCC" w14:textId="77777777" w:rsidR="002A1312" w:rsidRPr="003B35F1" w:rsidRDefault="002A1312" w:rsidP="006A4347">
      <w:pPr>
        <w:pStyle w:val="ManualHeading1"/>
        <w:rPr>
          <w:noProof/>
        </w:rPr>
      </w:pPr>
      <w:r w:rsidRPr="003B35F1">
        <w:rPr>
          <w:noProof/>
        </w:rPr>
        <w:t>2.</w:t>
      </w:r>
      <w:r w:rsidRPr="003B35F1">
        <w:rPr>
          <w:noProof/>
        </w:rPr>
        <w:tab/>
        <w:t>JURIDISKAIS PAMATS, SUBSIDIARITĀTE UN PROPORCIONALITĀTE</w:t>
      </w:r>
    </w:p>
    <w:p w14:paraId="7FA3968F" w14:textId="77777777" w:rsidR="002A1312" w:rsidRPr="003B35F1" w:rsidRDefault="002A1312" w:rsidP="006A4347">
      <w:pPr>
        <w:pStyle w:val="ManualHeading2"/>
        <w:rPr>
          <w:rFonts w:eastAsia="Arial Unicode MS"/>
          <w:noProof/>
          <w:u w:color="000000"/>
          <w:bdr w:val="nil"/>
        </w:rPr>
      </w:pPr>
      <w:r w:rsidRPr="003B35F1">
        <w:rPr>
          <w:noProof/>
          <w:u w:color="000000"/>
          <w:bdr w:val="nil"/>
        </w:rPr>
        <w:t>•</w:t>
      </w:r>
      <w:r w:rsidRPr="003B35F1">
        <w:rPr>
          <w:noProof/>
          <w:u w:color="000000"/>
          <w:bdr w:val="nil"/>
        </w:rPr>
        <w:tab/>
        <w:t>Juridiskais pamats</w:t>
      </w:r>
    </w:p>
    <w:p w14:paraId="41D3E4CF" w14:textId="77777777" w:rsidR="003B29E5" w:rsidRPr="003B35F1" w:rsidRDefault="003B29E5" w:rsidP="006A4347">
      <w:pPr>
        <w:rPr>
          <w:noProof/>
        </w:rPr>
      </w:pPr>
      <w:r w:rsidRPr="003B35F1">
        <w:rPr>
          <w:noProof/>
        </w:rPr>
        <w:t>Šis priekšlikums Padomei tiek iesniegts saskaņā ar Līguma par Eiropas Savienības darbību (LESD) 218. panta 5. punktu.</w:t>
      </w:r>
    </w:p>
    <w:p w14:paraId="78FDB296" w14:textId="77777777" w:rsidR="003B29E5" w:rsidRPr="003B35F1" w:rsidRDefault="003B29E5" w:rsidP="006A4347">
      <w:pPr>
        <w:rPr>
          <w:noProof/>
        </w:rPr>
      </w:pPr>
      <w:r w:rsidRPr="003B35F1">
        <w:rPr>
          <w:noProof/>
        </w:rPr>
        <w:t>LESD 3. panta 2. punkts nosaka, ka papildus LESD 3. panta 1. punktā uzskaitītajām Savienības ekskluzīvās kompetences jomām Savienības ekskluzīvā kompetencē “ir arī noslēgt starptautisku līgumu, ja tā slēgšana ir paredzēta Savienības leģislatīvajā aktā vai ja tas ir nepieciešams, lai ļautu Savienībai īstenot tās iekšējo kompetenci, vai tiktāl, ciktāl līguma slēgšana ietekmē Savienības kopīgos noteikumus vai maina to darbības jomu”.</w:t>
      </w:r>
    </w:p>
    <w:p w14:paraId="37B91915" w14:textId="77777777" w:rsidR="003B29E5" w:rsidRPr="003B35F1" w:rsidRDefault="003B29E5" w:rsidP="006A4347">
      <w:pPr>
        <w:rPr>
          <w:noProof/>
        </w:rPr>
      </w:pPr>
      <w:r w:rsidRPr="003B35F1">
        <w:rPr>
          <w:noProof/>
        </w:rPr>
        <w:t>Saskaņā ar Tiesas pastāvīgo judikatūru nolīgums var ietekmēt kopīgos noteikumus vai mainīt to piemērošanas jomu, ja tas attiecas uz jomām, kurās pastāv saskaņošanas pasākumi.</w:t>
      </w:r>
      <w:r w:rsidR="00606B25" w:rsidRPr="003B35F1">
        <w:rPr>
          <w:rStyle w:val="FootnoteReference"/>
          <w:noProof/>
        </w:rPr>
        <w:footnoteReference w:id="10"/>
      </w:r>
      <w:r w:rsidRPr="003B35F1">
        <w:rPr>
          <w:noProof/>
        </w:rPr>
        <w:t xml:space="preserve"> </w:t>
      </w:r>
    </w:p>
    <w:p w14:paraId="53040661" w14:textId="77777777" w:rsidR="003B29E5" w:rsidRPr="003B35F1" w:rsidRDefault="003B29E5" w:rsidP="006A4347">
      <w:pPr>
        <w:rPr>
          <w:noProof/>
        </w:rPr>
      </w:pPr>
      <w:r w:rsidRPr="003B35F1">
        <w:rPr>
          <w:noProof/>
        </w:rPr>
        <w:t>Nolīguma pārskatīšanas priekšmets, t. i., ar Padomes Regulu (ES) 2018/1541 ieviesto jauno administratīvās sadarbības rīku aptveršana, ir Savienības ekskluzīvā kompetencē. Saskaņā ar nolīguma 41. panta 2. punkta k) apakšpunktu atsauces uz Direktīvu 95/46/EK atjaunināšanu un aizstāšanu ar atsauci uz Regulu (ES) 2016/679 var veikt Apvienotajā komitejā. Tomēr minētais atjauninājums var tikt iekļauts arī sarunās par nolīguma tekstu, kuras tiks atsāktas.</w:t>
      </w:r>
    </w:p>
    <w:p w14:paraId="5C75A994" w14:textId="77777777" w:rsidR="00442699" w:rsidRPr="003B35F1" w:rsidRDefault="00442699" w:rsidP="006A4347">
      <w:pPr>
        <w:rPr>
          <w:noProof/>
        </w:rPr>
      </w:pPr>
      <w:r w:rsidRPr="003B35F1">
        <w:rPr>
          <w:noProof/>
        </w:rPr>
        <w:t>Saskaņā ar Līgumiem priekšlikumu par Savienības nolīguma parakstīšanu iesniedz Komisija.</w:t>
      </w:r>
    </w:p>
    <w:p w14:paraId="28F773A6" w14:textId="77777777" w:rsidR="002A1312" w:rsidRPr="003B35F1" w:rsidRDefault="002A1312" w:rsidP="006A4347">
      <w:pPr>
        <w:pStyle w:val="ManualHeading2"/>
        <w:rPr>
          <w:rFonts w:eastAsia="Arial Unicode MS"/>
          <w:noProof/>
          <w:u w:color="000000"/>
          <w:bdr w:val="nil"/>
        </w:rPr>
      </w:pPr>
      <w:r w:rsidRPr="003B35F1">
        <w:rPr>
          <w:noProof/>
          <w:u w:color="000000"/>
          <w:bdr w:val="nil"/>
        </w:rPr>
        <w:t>•</w:t>
      </w:r>
      <w:r w:rsidRPr="003B35F1">
        <w:rPr>
          <w:noProof/>
          <w:u w:color="000000"/>
          <w:bdr w:val="nil"/>
        </w:rPr>
        <w:tab/>
        <w:t>Proporcionalitāte</w:t>
      </w:r>
    </w:p>
    <w:p w14:paraId="381C7BD3" w14:textId="77777777" w:rsidR="002A1312" w:rsidRPr="003B35F1" w:rsidRDefault="003B29E5" w:rsidP="006A4347">
      <w:pPr>
        <w:rPr>
          <w:noProof/>
        </w:rPr>
      </w:pPr>
      <w:r w:rsidRPr="003B35F1">
        <w:rPr>
          <w:noProof/>
        </w:rPr>
        <w:t xml:space="preserve">Nolīguma grozījumos iekļaujamie sadarbības instrumenti atbildīs proporcionalitātes principam un nepārsniegs to, kas ir vajadzīgs, lai sasniegtu mērķi nodrošināt vienotu regulējumu Eiropas Savienības un Norvēģijas Karalistes administratīvajai sadarbībai PVN jomā. Šie nolīguma grozījumi ļaus par PVN tiesību aktu piemērošanu atbildīgajām dalībvalstu iestādēm ar Norvēģijas nodokļu iestādēm sadarboties tādā pašā veidā, kā tās savstarpēji sadarbojas ES, un pamatojoties uz ES </w:t>
      </w:r>
      <w:r w:rsidRPr="003B35F1">
        <w:rPr>
          <w:i/>
          <w:noProof/>
        </w:rPr>
        <w:t>acquis</w:t>
      </w:r>
      <w:r w:rsidRPr="003B35F1">
        <w:rPr>
          <w:noProof/>
        </w:rPr>
        <w:t>.</w:t>
      </w:r>
    </w:p>
    <w:p w14:paraId="37C7234C" w14:textId="77777777" w:rsidR="002A1312" w:rsidRPr="003B35F1" w:rsidRDefault="002A1312" w:rsidP="006A4347">
      <w:pPr>
        <w:pStyle w:val="ManualHeading1"/>
        <w:rPr>
          <w:noProof/>
        </w:rPr>
      </w:pPr>
      <w:r w:rsidRPr="003B35F1">
        <w:rPr>
          <w:noProof/>
        </w:rPr>
        <w:t>3.</w:t>
      </w:r>
      <w:r w:rsidRPr="003B35F1">
        <w:rPr>
          <w:noProof/>
        </w:rPr>
        <w:tab/>
        <w:t>IETEKMES NOVĒRTĒJUMU REZULTĀTI</w:t>
      </w:r>
    </w:p>
    <w:p w14:paraId="6DA1E5AF" w14:textId="77777777" w:rsidR="002A1312" w:rsidRPr="003B35F1" w:rsidRDefault="002A1312" w:rsidP="006A4347">
      <w:pPr>
        <w:pStyle w:val="ManualHeading2"/>
        <w:rPr>
          <w:rFonts w:eastAsia="Arial Unicode MS"/>
          <w:noProof/>
          <w:u w:color="000000"/>
          <w:bdr w:val="nil"/>
        </w:rPr>
      </w:pPr>
      <w:r w:rsidRPr="003B35F1">
        <w:rPr>
          <w:noProof/>
          <w:u w:color="000000"/>
          <w:bdr w:val="nil"/>
        </w:rPr>
        <w:t>•</w:t>
      </w:r>
      <w:r w:rsidRPr="003B35F1">
        <w:rPr>
          <w:noProof/>
          <w:u w:color="000000"/>
          <w:bdr w:val="nil"/>
        </w:rPr>
        <w:tab/>
        <w:t>Ietekmes novērtējums</w:t>
      </w:r>
    </w:p>
    <w:p w14:paraId="76F56AEC" w14:textId="77777777" w:rsidR="00C9273B" w:rsidRPr="003B35F1" w:rsidRDefault="00C9273B" w:rsidP="006A4347">
      <w:pPr>
        <w:rPr>
          <w:noProof/>
        </w:rPr>
      </w:pPr>
      <w:r w:rsidRPr="003B35F1">
        <w:rPr>
          <w:noProof/>
        </w:rPr>
        <w:t>Saskaņā ar Labāka regulējuma 7. rīku</w:t>
      </w:r>
      <w:r w:rsidR="00606B25" w:rsidRPr="003B35F1">
        <w:rPr>
          <w:rStyle w:val="FootnoteReference"/>
          <w:noProof/>
        </w:rPr>
        <w:footnoteReference w:id="11"/>
      </w:r>
      <w:r w:rsidRPr="003B35F1">
        <w:rPr>
          <w:noProof/>
        </w:rPr>
        <w:t xml:space="preserve"> ietekmes novērtējums nav vajadzīgs, ja ietekmi nevar skaidri konstatēt </w:t>
      </w:r>
      <w:r w:rsidRPr="003B35F1">
        <w:rPr>
          <w:i/>
          <w:iCs/>
          <w:noProof/>
        </w:rPr>
        <w:t>ex ante</w:t>
      </w:r>
      <w:r w:rsidRPr="003B35F1">
        <w:rPr>
          <w:noProof/>
        </w:rPr>
        <w:t xml:space="preserve">, ietekme ir neliela vai Komisijai šajā jautājumā ir maz vai vispār nav izvēles iespēju. </w:t>
      </w:r>
    </w:p>
    <w:p w14:paraId="4013E5C8" w14:textId="77777777" w:rsidR="002A1312" w:rsidRPr="003B35F1" w:rsidRDefault="00C9273B" w:rsidP="006A4347">
      <w:pPr>
        <w:rPr>
          <w:noProof/>
        </w:rPr>
      </w:pPr>
      <w:r w:rsidRPr="003B35F1">
        <w:rPr>
          <w:noProof/>
        </w:rPr>
        <w:t>Grozījumu mērķis ir pēc iespējas saskaņot ES tiesību aktus PVN administratīvās sadarbības un datu aizsardzības jomā ar jau spēkā esošo ES un Norvēģijas nolīgumu par sadarbību PVN jomā. Praksē paredzētā priekšlikuma iznākums būs nevis jauns tiesību akts, bet gan grozījumi ES un Norvēģijas nolīgumā.</w:t>
      </w:r>
    </w:p>
    <w:p w14:paraId="566301D9" w14:textId="77777777" w:rsidR="002A1312" w:rsidRPr="003B35F1" w:rsidRDefault="002A1312" w:rsidP="006A4347">
      <w:pPr>
        <w:pStyle w:val="ManualHeading2"/>
        <w:rPr>
          <w:rFonts w:eastAsia="Arial Unicode MS"/>
          <w:noProof/>
          <w:u w:color="000000"/>
          <w:bdr w:val="nil"/>
        </w:rPr>
      </w:pPr>
      <w:r w:rsidRPr="003B35F1">
        <w:rPr>
          <w:noProof/>
          <w:u w:color="000000"/>
          <w:bdr w:val="nil"/>
        </w:rPr>
        <w:t>•</w:t>
      </w:r>
      <w:r w:rsidRPr="003B35F1">
        <w:rPr>
          <w:noProof/>
          <w:u w:color="000000"/>
          <w:bdr w:val="nil"/>
        </w:rPr>
        <w:tab/>
        <w:t>Pamattiesības</w:t>
      </w:r>
    </w:p>
    <w:p w14:paraId="2F4AB3A8" w14:textId="77777777" w:rsidR="002A1312" w:rsidRPr="003B35F1" w:rsidRDefault="00F02972" w:rsidP="006A4347">
      <w:pPr>
        <w:pBdr>
          <w:top w:val="nil"/>
          <w:left w:val="nil"/>
          <w:bottom w:val="nil"/>
          <w:right w:val="nil"/>
          <w:between w:val="nil"/>
          <w:bar w:val="nil"/>
        </w:pBdr>
        <w:spacing w:before="0" w:after="240"/>
        <w:rPr>
          <w:rFonts w:eastAsia="Arial Unicode MS"/>
          <w:noProof/>
        </w:rPr>
      </w:pPr>
      <w:r w:rsidRPr="003B35F1">
        <w:rPr>
          <w:noProof/>
        </w:rPr>
        <w:t>Paredzētajā nolīgumā tiks ievērotas Eiropas Savienības pamatvērtības, kas noteiktas Līguma par Eiropas Savienības darbību 2. pantā un Eiropas Savienības Pamattiesību hartā.</w:t>
      </w:r>
    </w:p>
    <w:p w14:paraId="5FDAF4FE" w14:textId="77777777" w:rsidR="002A1312" w:rsidRPr="003B35F1" w:rsidRDefault="002A1312" w:rsidP="006A4347">
      <w:pPr>
        <w:pStyle w:val="ManualHeading1"/>
        <w:rPr>
          <w:noProof/>
        </w:rPr>
      </w:pPr>
      <w:r w:rsidRPr="003B35F1">
        <w:rPr>
          <w:noProof/>
        </w:rPr>
        <w:t>4.</w:t>
      </w:r>
      <w:r w:rsidRPr="003B35F1">
        <w:rPr>
          <w:noProof/>
        </w:rPr>
        <w:tab/>
        <w:t>IETEKME UZ BUDŽETU</w:t>
      </w:r>
    </w:p>
    <w:p w14:paraId="6DF5A09E" w14:textId="77777777" w:rsidR="002A1312" w:rsidRPr="003B35F1" w:rsidRDefault="003B29E5" w:rsidP="006A4347">
      <w:pPr>
        <w:rPr>
          <w:noProof/>
        </w:rPr>
      </w:pPr>
      <w:r w:rsidRPr="003B35F1">
        <w:rPr>
          <w:noProof/>
        </w:rPr>
        <w:t>Priekšlikums ES budžetu neietekmē.</w:t>
      </w:r>
    </w:p>
    <w:p w14:paraId="031FC044" w14:textId="77777777" w:rsidR="002A1312" w:rsidRPr="003B35F1" w:rsidRDefault="002A1312" w:rsidP="006A4347">
      <w:pPr>
        <w:pStyle w:val="ManualHeading1"/>
        <w:rPr>
          <w:noProof/>
        </w:rPr>
      </w:pPr>
      <w:r w:rsidRPr="003B35F1">
        <w:rPr>
          <w:noProof/>
        </w:rPr>
        <w:t>5.</w:t>
      </w:r>
      <w:r w:rsidRPr="003B35F1">
        <w:rPr>
          <w:noProof/>
        </w:rPr>
        <w:tab/>
        <w:t>CITI ELEMENTI</w:t>
      </w:r>
    </w:p>
    <w:p w14:paraId="741FB5B6" w14:textId="77777777" w:rsidR="002A1312" w:rsidRPr="003B35F1" w:rsidRDefault="002A1312" w:rsidP="006A4347">
      <w:pPr>
        <w:pStyle w:val="ManualHeading2"/>
        <w:rPr>
          <w:rFonts w:eastAsia="Arial Unicode MS"/>
          <w:noProof/>
          <w:u w:color="000000"/>
          <w:bdr w:val="nil"/>
        </w:rPr>
      </w:pPr>
      <w:r w:rsidRPr="003B35F1">
        <w:rPr>
          <w:noProof/>
          <w:u w:color="000000"/>
          <w:bdr w:val="nil"/>
        </w:rPr>
        <w:t>•</w:t>
      </w:r>
      <w:r w:rsidRPr="003B35F1">
        <w:rPr>
          <w:noProof/>
          <w:u w:color="000000"/>
          <w:bdr w:val="nil"/>
        </w:rPr>
        <w:tab/>
        <w:t>Detalizēts konkrētu priekšlikuma noteikumu skaidrojums</w:t>
      </w:r>
    </w:p>
    <w:p w14:paraId="7F8AEC1F" w14:textId="1E72F2D5" w:rsidR="002A58E7" w:rsidRPr="003B35F1" w:rsidRDefault="002A58E7" w:rsidP="006A4347">
      <w:pPr>
        <w:pBdr>
          <w:top w:val="nil"/>
          <w:left w:val="nil"/>
          <w:bottom w:val="nil"/>
          <w:right w:val="nil"/>
          <w:between w:val="nil"/>
          <w:bar w:val="nil"/>
        </w:pBdr>
        <w:spacing w:before="0" w:after="240"/>
        <w:rPr>
          <w:rFonts w:eastAsia="Arial Unicode MS"/>
          <w:noProof/>
          <w:szCs w:val="24"/>
        </w:rPr>
      </w:pPr>
      <w:r w:rsidRPr="003B35F1">
        <w:rPr>
          <w:noProof/>
        </w:rPr>
        <w:t xml:space="preserve">Paredzētie grozījumi nodrošinās dalībvalstīm tādus jaunus rīkus sadarbībai ar Norvēģiju, kas ir līdzīgi tiem, kuri Regulā (ES) Nr. 904/2010 ieviesti ar Regulu (ES) 2018/1541. Turklāt ar šiem grozījumiem atsauce uz atcelto Direktīvu 95/46/EK tiek nomainīta ar atsauci uz valsts noteikumiem, kas pieņemti saskaņā ar EEZ līguma XI pielikuma 5.e punktu un Regulu (ES) 2016/679 par personas datu aizsardzību. </w:t>
      </w:r>
      <w:bookmarkStart w:id="2" w:name="_Hlk141776107"/>
      <w:r w:rsidRPr="003B35F1">
        <w:rPr>
          <w:noProof/>
        </w:rPr>
        <w:t xml:space="preserve">Tika arī precizēts, ka ar Apvienoto komiteju nenotiek apspriešanās par domstarpībām saistībā ar personas datu aizsardzības noteikumiem, kas minēti EEZ līguma XI pielikuma 5.e punktā.  </w:t>
      </w:r>
      <w:bookmarkEnd w:id="2"/>
    </w:p>
    <w:p w14:paraId="0F914C7D" w14:textId="242D431D" w:rsidR="006B5A7C" w:rsidRPr="003B35F1" w:rsidRDefault="006B5A7C" w:rsidP="006A4347">
      <w:pPr>
        <w:pBdr>
          <w:top w:val="nil"/>
          <w:left w:val="nil"/>
          <w:bottom w:val="nil"/>
          <w:right w:val="nil"/>
          <w:between w:val="nil"/>
          <w:bar w:val="nil"/>
        </w:pBdr>
        <w:spacing w:before="0" w:after="240"/>
        <w:rPr>
          <w:rFonts w:eastAsia="Arial Unicode MS"/>
          <w:noProof/>
          <w:szCs w:val="24"/>
        </w:rPr>
      </w:pPr>
      <w:r w:rsidRPr="003B35F1">
        <w:rPr>
          <w:noProof/>
        </w:rPr>
        <w:t>Grozījumi attiecas konkrēti uz šādiem punktiem.</w:t>
      </w:r>
    </w:p>
    <w:p w14:paraId="5388CDDF" w14:textId="13B874E8" w:rsidR="006B5A7C" w:rsidRPr="003B35F1" w:rsidRDefault="00463FCE" w:rsidP="006A4347">
      <w:pPr>
        <w:pBdr>
          <w:top w:val="nil"/>
          <w:left w:val="nil"/>
          <w:bottom w:val="nil"/>
          <w:right w:val="nil"/>
          <w:between w:val="nil"/>
          <w:bar w:val="nil"/>
        </w:pBdr>
        <w:spacing w:before="0" w:after="240"/>
        <w:rPr>
          <w:rFonts w:eastAsia="Arial Unicode MS"/>
          <w:b/>
          <w:bCs/>
          <w:noProof/>
        </w:rPr>
      </w:pPr>
      <w:r w:rsidRPr="003B35F1">
        <w:rPr>
          <w:b/>
          <w:noProof/>
        </w:rPr>
        <w:t>1.</w:t>
      </w:r>
      <w:r w:rsidRPr="003B35F1">
        <w:rPr>
          <w:noProof/>
        </w:rPr>
        <w:t xml:space="preserve"> </w:t>
      </w:r>
      <w:r w:rsidRPr="003B35F1">
        <w:rPr>
          <w:b/>
          <w:noProof/>
        </w:rPr>
        <w:t>Kopīgi veiktas administratīvās pārbaudes (tā sauktās kopīgās revīzijas)</w:t>
      </w:r>
    </w:p>
    <w:p w14:paraId="5F9B66B1" w14:textId="3ADA9BF6" w:rsidR="00B14535" w:rsidRPr="003B35F1" w:rsidRDefault="00B14535" w:rsidP="006A4347">
      <w:pPr>
        <w:pBdr>
          <w:top w:val="nil"/>
          <w:left w:val="nil"/>
          <w:bottom w:val="nil"/>
          <w:right w:val="nil"/>
          <w:between w:val="nil"/>
          <w:bar w:val="nil"/>
        </w:pBdr>
        <w:spacing w:before="0" w:after="240"/>
        <w:rPr>
          <w:rFonts w:eastAsia="Arial Unicode MS"/>
          <w:bCs/>
          <w:iCs/>
          <w:noProof/>
        </w:rPr>
      </w:pPr>
      <w:bookmarkStart w:id="3" w:name="_Hlk141776151"/>
      <w:r w:rsidRPr="003B35F1">
        <w:rPr>
          <w:noProof/>
        </w:rPr>
        <w:t>Ar 13. panta 2.a punktu tiktu ieviestas iespējas kopīgi veikt administratīvās pārbaudes, kā tas jau paredzēts sadarbībai starp dalībvalstīm saskaņā ar Regulas (ES) 904/2010 28. panta 2.a punktu. Ar šo pantu vienas valsts kompetento iestāžu pilnvarotiem ierēdņiem tiktu atļauts piedalīties administratīvajās pārbaudēs, ko veic citas valsts amatpersonas, un piedalīties kopīgi veiktās administratīvajās pārbaudēs.</w:t>
      </w:r>
    </w:p>
    <w:bookmarkEnd w:id="3"/>
    <w:p w14:paraId="0D1E9EB6" w14:textId="6262960C" w:rsidR="006B5A7C" w:rsidRPr="003B35F1" w:rsidRDefault="00463FCE" w:rsidP="006A4347">
      <w:pPr>
        <w:pBdr>
          <w:top w:val="nil"/>
          <w:left w:val="nil"/>
          <w:bottom w:val="nil"/>
          <w:right w:val="nil"/>
          <w:between w:val="nil"/>
          <w:bar w:val="nil"/>
        </w:pBdr>
        <w:spacing w:before="0" w:after="240"/>
        <w:rPr>
          <w:rFonts w:eastAsia="Arial Unicode MS"/>
          <w:noProof/>
        </w:rPr>
      </w:pPr>
      <w:r w:rsidRPr="003B35F1">
        <w:rPr>
          <w:b/>
          <w:noProof/>
        </w:rPr>
        <w:t xml:space="preserve">2. </w:t>
      </w:r>
      <w:r w:rsidRPr="003B35F1">
        <w:rPr>
          <w:b/>
          <w:i/>
          <w:noProof/>
        </w:rPr>
        <w:t>Eurofisc</w:t>
      </w:r>
      <w:r w:rsidRPr="003B35F1">
        <w:rPr>
          <w:b/>
          <w:noProof/>
        </w:rPr>
        <w:t xml:space="preserve"> — turpmākie pasākumi </w:t>
      </w:r>
    </w:p>
    <w:p w14:paraId="1998BF62" w14:textId="329F849A" w:rsidR="00B778AF" w:rsidRPr="003B35F1" w:rsidRDefault="00DC215B" w:rsidP="006A4347">
      <w:pPr>
        <w:pBdr>
          <w:top w:val="nil"/>
          <w:left w:val="nil"/>
          <w:bottom w:val="nil"/>
          <w:right w:val="nil"/>
          <w:between w:val="nil"/>
          <w:bar w:val="nil"/>
        </w:pBdr>
        <w:spacing w:before="0" w:after="240"/>
        <w:rPr>
          <w:rFonts w:eastAsia="Arial Unicode MS"/>
          <w:bCs/>
          <w:iCs/>
          <w:noProof/>
        </w:rPr>
      </w:pPr>
      <w:r w:rsidRPr="003B35F1">
        <w:rPr>
          <w:noProof/>
        </w:rPr>
        <w:t xml:space="preserve">15. panta 1.a punkts ļautu veikt turpmākus pasākumus — kā tas jau ir iespējams starp dalībvalstīm saskaņā ar Regulas (ES) 904/2010 33. panta 2. punkta d) apakšpunktu — </w:t>
      </w:r>
      <w:r w:rsidRPr="003B35F1">
        <w:rPr>
          <w:i/>
          <w:noProof/>
        </w:rPr>
        <w:t>Eurofisc</w:t>
      </w:r>
      <w:r w:rsidRPr="003B35F1">
        <w:rPr>
          <w:noProof/>
        </w:rPr>
        <w:t xml:space="preserve"> ietvaros, piedaloties Norvēģijai.</w:t>
      </w:r>
      <w:r w:rsidRPr="003B35F1">
        <w:rPr>
          <w:noProof/>
          <w:color w:val="C00000"/>
          <w:sz w:val="18"/>
        </w:rPr>
        <w:t xml:space="preserve"> </w:t>
      </w:r>
      <w:r w:rsidRPr="003B35F1">
        <w:rPr>
          <w:i/>
          <w:noProof/>
        </w:rPr>
        <w:t>Eurofisc</w:t>
      </w:r>
      <w:r w:rsidRPr="003B35F1">
        <w:rPr>
          <w:noProof/>
        </w:rPr>
        <w:t xml:space="preserve"> ietvaros dalībvalstis un Norvēģija varētu koordinēt iesaistīto valstu administratīvās pārbaudes par krāpšanu, ko konstatējuši </w:t>
      </w:r>
      <w:r w:rsidRPr="003B35F1">
        <w:rPr>
          <w:i/>
          <w:noProof/>
        </w:rPr>
        <w:t>Eurofisc</w:t>
      </w:r>
      <w:r w:rsidRPr="003B35F1">
        <w:rPr>
          <w:noProof/>
        </w:rPr>
        <w:t xml:space="preserve"> koordinācijas ierēdņi. </w:t>
      </w:r>
    </w:p>
    <w:p w14:paraId="1B1E07BF" w14:textId="1BFD1101" w:rsidR="0099250D" w:rsidRPr="003B35F1" w:rsidRDefault="00463FCE" w:rsidP="006A4347">
      <w:pPr>
        <w:pBdr>
          <w:top w:val="nil"/>
          <w:left w:val="nil"/>
          <w:bottom w:val="nil"/>
          <w:right w:val="nil"/>
          <w:between w:val="nil"/>
          <w:bar w:val="nil"/>
        </w:pBdr>
        <w:spacing w:before="0" w:after="240"/>
        <w:rPr>
          <w:b/>
          <w:bCs/>
          <w:noProof/>
        </w:rPr>
      </w:pPr>
      <w:r w:rsidRPr="003B35F1">
        <w:rPr>
          <w:b/>
          <w:noProof/>
        </w:rPr>
        <w:t>3.</w:t>
      </w:r>
      <w:r w:rsidRPr="003B35F1">
        <w:rPr>
          <w:noProof/>
        </w:rPr>
        <w:t xml:space="preserve"> </w:t>
      </w:r>
      <w:r w:rsidRPr="003B35F1">
        <w:rPr>
          <w:b/>
          <w:noProof/>
        </w:rPr>
        <w:t>Juridiskās atsauces uz personas datu aizsardzību atjaunināšana</w:t>
      </w:r>
    </w:p>
    <w:p w14:paraId="1C54697C" w14:textId="381AFC98" w:rsidR="00B778AF" w:rsidRPr="003B35F1" w:rsidRDefault="00B95E88" w:rsidP="006A4347">
      <w:pPr>
        <w:pBdr>
          <w:top w:val="nil"/>
          <w:left w:val="nil"/>
          <w:bottom w:val="nil"/>
          <w:right w:val="nil"/>
          <w:between w:val="nil"/>
          <w:bar w:val="nil"/>
        </w:pBdr>
        <w:spacing w:before="0" w:after="240"/>
        <w:rPr>
          <w:rFonts w:eastAsia="Arial Unicode MS"/>
          <w:iCs/>
          <w:noProof/>
        </w:rPr>
      </w:pPr>
      <w:bookmarkStart w:id="4" w:name="_Hlk141776196"/>
      <w:r w:rsidRPr="003B35F1">
        <w:rPr>
          <w:noProof/>
        </w:rPr>
        <w:t>Tā kā Vispārīgā datu aizsardzības regula (ES) 2016/679 ir transponēta ar pielāgojumu EEZ līgumā, ierosinātie 6. panta grozījumi aizstāj atsauci uz Direktīvu 95/46/EK ar atsauci uz Regulu (ES) 2016/679 un EEZ līguma XI pielikuma 5.e punktu.</w:t>
      </w:r>
    </w:p>
    <w:p w14:paraId="7B4BD2E2" w14:textId="0EF3C651" w:rsidR="00B95E88" w:rsidRPr="003B35F1" w:rsidRDefault="00B95E88" w:rsidP="006A4347">
      <w:pPr>
        <w:pBdr>
          <w:top w:val="nil"/>
          <w:left w:val="nil"/>
          <w:bottom w:val="nil"/>
          <w:right w:val="nil"/>
          <w:between w:val="nil"/>
          <w:bar w:val="nil"/>
        </w:pBdr>
        <w:spacing w:before="0" w:after="240"/>
        <w:rPr>
          <w:rFonts w:eastAsia="Arial Unicode MS"/>
          <w:iCs/>
          <w:noProof/>
        </w:rPr>
      </w:pPr>
      <w:r w:rsidRPr="003B35F1">
        <w:rPr>
          <w:noProof/>
        </w:rPr>
        <w:t xml:space="preserve">Visbeidzot, tā kā ierosinātajā 6. pantā būtu iekļauta atsauce uz EEZ līguma XI pielikuma 5.e punktu, būtu jāgroza Līguma 42. pants, lai skaidri norādītu, ka vispārīgas domstarpības par datu aizsardzību nav Apvienotās komitejas kompetencē. </w:t>
      </w:r>
    </w:p>
    <w:bookmarkEnd w:id="4"/>
    <w:p w14:paraId="4C081CB3" w14:textId="77777777" w:rsidR="002A1312" w:rsidRPr="003B35F1" w:rsidRDefault="002A1312" w:rsidP="006A4347">
      <w:pPr>
        <w:rPr>
          <w:noProof/>
        </w:rPr>
        <w:sectPr w:rsidR="002A1312" w:rsidRPr="003B35F1" w:rsidSect="00014898">
          <w:footerReference w:type="default" r:id="rId10"/>
          <w:footerReference w:type="first" r:id="rId11"/>
          <w:footnotePr>
            <w:numRestart w:val="eachSect"/>
          </w:footnotePr>
          <w:pgSz w:w="11907" w:h="16839"/>
          <w:pgMar w:top="1134" w:right="1417" w:bottom="1134" w:left="1417" w:header="709" w:footer="709" w:gutter="0"/>
          <w:cols w:space="708"/>
          <w:docGrid w:linePitch="360"/>
        </w:sectPr>
      </w:pPr>
    </w:p>
    <w:p w14:paraId="5C2088DB" w14:textId="3CD79A1D" w:rsidR="00803B34" w:rsidRDefault="00803B34" w:rsidP="00803B34">
      <w:pPr>
        <w:pStyle w:val="Rfrenceinterinstitutionnelle"/>
        <w:rPr>
          <w:noProof/>
        </w:rPr>
      </w:pPr>
      <w:r w:rsidRPr="00803B34">
        <w:t>2023/0417 (NLE)</w:t>
      </w:r>
    </w:p>
    <w:p w14:paraId="6E41D890" w14:textId="612ED14E" w:rsidR="002A1312" w:rsidRPr="003B35F1" w:rsidRDefault="003B35F1" w:rsidP="003B35F1">
      <w:pPr>
        <w:pStyle w:val="Statut"/>
        <w:rPr>
          <w:noProof/>
        </w:rPr>
      </w:pPr>
      <w:r w:rsidRPr="003B35F1">
        <w:rPr>
          <w:noProof/>
        </w:rPr>
        <w:t>Priekšlikums</w:t>
      </w:r>
    </w:p>
    <w:p w14:paraId="6F1E0ED6" w14:textId="34B09D2E" w:rsidR="002A1312" w:rsidRPr="003B35F1" w:rsidRDefault="003B35F1" w:rsidP="003B35F1">
      <w:pPr>
        <w:pStyle w:val="Typedudocument"/>
        <w:rPr>
          <w:noProof/>
        </w:rPr>
      </w:pPr>
      <w:r w:rsidRPr="003B35F1">
        <w:rPr>
          <w:noProof/>
        </w:rPr>
        <w:t>PADOMES LĒMUMS</w:t>
      </w:r>
    </w:p>
    <w:p w14:paraId="6F2C11C3" w14:textId="40B81034" w:rsidR="002A1312" w:rsidRPr="003B35F1" w:rsidRDefault="003B35F1" w:rsidP="003B35F1">
      <w:pPr>
        <w:pStyle w:val="Titreobjet"/>
        <w:rPr>
          <w:noProof/>
        </w:rPr>
      </w:pPr>
      <w:r w:rsidRPr="003B35F1">
        <w:rPr>
          <w:noProof/>
        </w:rPr>
        <w:t>par to, lai Savienības vārdā parakstītu grozījumus nolīgumā starp Eiropas Savienību un Norvēģijas Karalisti par administratīvo sadarbību, krāpšanas apkarošanu un prasījumu piedziņu pievienotās vērtības nodokļa jomā</w:t>
      </w:r>
    </w:p>
    <w:p w14:paraId="08B266F2" w14:textId="77777777" w:rsidR="002A1312" w:rsidRPr="003B35F1" w:rsidRDefault="002A1312" w:rsidP="006A4347">
      <w:pPr>
        <w:pStyle w:val="Institutionquiagit"/>
        <w:rPr>
          <w:noProof/>
        </w:rPr>
      </w:pPr>
      <w:r w:rsidRPr="003B35F1">
        <w:rPr>
          <w:noProof/>
        </w:rPr>
        <w:t>EIROPAS SAVIENĪBAS PADOME,</w:t>
      </w:r>
    </w:p>
    <w:p w14:paraId="3F240431" w14:textId="77777777" w:rsidR="002A1312" w:rsidRPr="003B35F1" w:rsidRDefault="002A1312" w:rsidP="006A4347">
      <w:pPr>
        <w:rPr>
          <w:noProof/>
        </w:rPr>
      </w:pPr>
      <w:r w:rsidRPr="003B35F1">
        <w:rPr>
          <w:noProof/>
        </w:rPr>
        <w:t xml:space="preserve">ņemot vērā Līgumu par Eiropas Savienības darbību un jo īpaši tā 113. pantu saistībā ar 218. panta 5. punktu, </w:t>
      </w:r>
    </w:p>
    <w:p w14:paraId="63C1A111" w14:textId="77777777" w:rsidR="002A1312" w:rsidRPr="003B35F1" w:rsidRDefault="002A1312" w:rsidP="006A4347">
      <w:pPr>
        <w:rPr>
          <w:noProof/>
        </w:rPr>
      </w:pPr>
      <w:r w:rsidRPr="003B35F1">
        <w:rPr>
          <w:noProof/>
        </w:rPr>
        <w:t>ņemot vērā Eiropas Komisijas priekšlikumu,</w:t>
      </w:r>
    </w:p>
    <w:p w14:paraId="164CFE24" w14:textId="77777777" w:rsidR="002A1312" w:rsidRPr="003B35F1" w:rsidRDefault="002A1312" w:rsidP="006A4347">
      <w:pPr>
        <w:rPr>
          <w:noProof/>
        </w:rPr>
      </w:pPr>
      <w:r w:rsidRPr="003B35F1">
        <w:rPr>
          <w:noProof/>
        </w:rPr>
        <w:t>tā kā:</w:t>
      </w:r>
    </w:p>
    <w:p w14:paraId="0459D22A" w14:textId="7A8B3133" w:rsidR="00200BB7" w:rsidRPr="003B35F1" w:rsidRDefault="007B7081" w:rsidP="007B7081">
      <w:pPr>
        <w:pStyle w:val="ManualConsidrant"/>
        <w:rPr>
          <w:noProof/>
        </w:rPr>
      </w:pPr>
      <w:r w:rsidRPr="007B7081">
        <w:t>(1)</w:t>
      </w:r>
      <w:r w:rsidRPr="007B7081">
        <w:tab/>
      </w:r>
      <w:r w:rsidR="00CE5859" w:rsidRPr="003B35F1">
        <w:rPr>
          <w:noProof/>
        </w:rPr>
        <w:t>nolīgumā starp Eiropas Savienību un Norvēģijas Karalisti par administratīvo sadarbību, krāpšanas apkarošanu un prasījumu piedziņu pievienotās vērtības nodokļa jomā</w:t>
      </w:r>
      <w:r w:rsidR="00CE5859" w:rsidRPr="003B35F1">
        <w:rPr>
          <w:rStyle w:val="FootnoteReference"/>
          <w:noProof/>
        </w:rPr>
        <w:footnoteReference w:id="12"/>
      </w:r>
      <w:r w:rsidR="00CE5859" w:rsidRPr="003B35F1">
        <w:rPr>
          <w:noProof/>
        </w:rPr>
        <w:t xml:space="preserve"> (“nolīgums”) paredzētajam sadarbības regulējumam ir ļoti pozitīvi rezultāti.</w:t>
      </w:r>
    </w:p>
    <w:p w14:paraId="7D02F4A3" w14:textId="215CA74E" w:rsidR="00200BB7" w:rsidRPr="003B35F1" w:rsidRDefault="007B7081" w:rsidP="007B7081">
      <w:pPr>
        <w:pStyle w:val="ManualConsidrant"/>
        <w:rPr>
          <w:noProof/>
        </w:rPr>
      </w:pPr>
      <w:r w:rsidRPr="007B7081">
        <w:t>(2)</w:t>
      </w:r>
      <w:r w:rsidRPr="007B7081">
        <w:tab/>
      </w:r>
      <w:r w:rsidR="00CE5859" w:rsidRPr="003B35F1">
        <w:rPr>
          <w:noProof/>
        </w:rPr>
        <w:t>Ar Padomes Regulu (ES) 2018/1541</w:t>
      </w:r>
      <w:r w:rsidR="00CE5859" w:rsidRPr="003B35F1">
        <w:rPr>
          <w:rStyle w:val="FootnoteReference"/>
          <w:noProof/>
        </w:rPr>
        <w:footnoteReference w:id="13"/>
      </w:r>
      <w:r w:rsidR="00CE5859" w:rsidRPr="003B35F1">
        <w:rPr>
          <w:noProof/>
        </w:rPr>
        <w:t xml:space="preserve"> grozot Padomes Regulu (ES) 904/2010, ES tiesību aktos ir ieviesti jauni sadarbības rīki. </w:t>
      </w:r>
    </w:p>
    <w:p w14:paraId="22BE7350" w14:textId="46721356" w:rsidR="00F02972" w:rsidRPr="003B35F1" w:rsidRDefault="007B7081" w:rsidP="007B7081">
      <w:pPr>
        <w:pStyle w:val="ManualConsidrant"/>
        <w:rPr>
          <w:noProof/>
        </w:rPr>
      </w:pPr>
      <w:r w:rsidRPr="007B7081">
        <w:t>(3)</w:t>
      </w:r>
      <w:r w:rsidRPr="007B7081">
        <w:tab/>
      </w:r>
      <w:r w:rsidR="00F02972" w:rsidRPr="003B35F1">
        <w:rPr>
          <w:noProof/>
        </w:rPr>
        <w:t xml:space="preserve">Padome 2022. gada 26. aprīlī pilnvaroja Komisiju sākt sarunas par grozījumu izdarīšanu nolīgumā ar Norvēģiju par administratīvo sadarbību, krāpšanas apkarošanu un prasījumu piedziņu pievienotās vērtības nodokļa jomā. </w:t>
      </w:r>
    </w:p>
    <w:p w14:paraId="7F5A7B6E" w14:textId="0108B771" w:rsidR="00F02972" w:rsidRPr="003B35F1" w:rsidRDefault="007B7081" w:rsidP="007B7081">
      <w:pPr>
        <w:pStyle w:val="ManualConsidrant"/>
        <w:rPr>
          <w:noProof/>
        </w:rPr>
      </w:pPr>
      <w:r w:rsidRPr="007B7081">
        <w:t>(4)</w:t>
      </w:r>
      <w:r w:rsidRPr="007B7081">
        <w:tab/>
      </w:r>
      <w:r w:rsidR="00F02972" w:rsidRPr="003B35F1">
        <w:rPr>
          <w:noProof/>
        </w:rPr>
        <w:t xml:space="preserve">Nolīguma starp Eiropas Savienību un Norvēģijas Karalisti par administratīvo sadarbību, krāpšanas apkarošanu un prasījumu piedziņu pievienotās vērtības nodokļa jomā grozījumu teksts (“nolīguma grozījumi”), kas ir sarunu rezultāts, pienācīgi atspoguļo Padomes dotās sarunu norādes. </w:t>
      </w:r>
    </w:p>
    <w:p w14:paraId="4D3E3414" w14:textId="3164BF39" w:rsidR="00F02972" w:rsidRPr="003B35F1" w:rsidRDefault="007B7081" w:rsidP="007B7081">
      <w:pPr>
        <w:pStyle w:val="ManualConsidrant"/>
        <w:rPr>
          <w:noProof/>
        </w:rPr>
      </w:pPr>
      <w:r w:rsidRPr="007B7081">
        <w:t>(5)</w:t>
      </w:r>
      <w:r w:rsidRPr="007B7081">
        <w:tab/>
      </w:r>
      <w:r w:rsidR="00F02972" w:rsidRPr="003B35F1">
        <w:rPr>
          <w:noProof/>
        </w:rPr>
        <w:t>Saskaņā ar Eiropas Parlamenta un Padomes Regulas (EK) Nr. 2018/1725</w:t>
      </w:r>
      <w:r w:rsidR="003904F5" w:rsidRPr="003B35F1">
        <w:rPr>
          <w:rStyle w:val="FootnoteReference"/>
          <w:noProof/>
        </w:rPr>
        <w:footnoteReference w:id="14"/>
      </w:r>
      <w:r w:rsidR="00F02972" w:rsidRPr="003B35F1">
        <w:rPr>
          <w:noProof/>
        </w:rPr>
        <w:t xml:space="preserve"> 42. panta 1. punktu ir notikusi apspriešanās ar Eiropas Datu aizsardzības uzraudzītāju. </w:t>
      </w:r>
    </w:p>
    <w:p w14:paraId="2A996B95" w14:textId="14E85DD7" w:rsidR="00F02972" w:rsidRPr="003B35F1" w:rsidRDefault="007B7081" w:rsidP="007B7081">
      <w:pPr>
        <w:pStyle w:val="ManualConsidrant"/>
        <w:rPr>
          <w:noProof/>
        </w:rPr>
      </w:pPr>
      <w:r w:rsidRPr="007B7081">
        <w:t>(6)</w:t>
      </w:r>
      <w:r w:rsidRPr="007B7081">
        <w:tab/>
      </w:r>
      <w:r w:rsidR="00F02972" w:rsidRPr="003B35F1">
        <w:rPr>
          <w:noProof/>
        </w:rPr>
        <w:t>Nolīguma grozījumi būtu jāparaksta,</w:t>
      </w:r>
    </w:p>
    <w:p w14:paraId="5AC0FF54" w14:textId="77777777" w:rsidR="002A1312" w:rsidRPr="003B35F1" w:rsidRDefault="002A1312" w:rsidP="006A4347">
      <w:pPr>
        <w:pStyle w:val="Formuledadoption"/>
        <w:rPr>
          <w:noProof/>
        </w:rPr>
      </w:pPr>
      <w:r w:rsidRPr="003B35F1">
        <w:rPr>
          <w:noProof/>
        </w:rPr>
        <w:t xml:space="preserve">IR PIEŅĒMUSI ŠO LĒMUMU. </w:t>
      </w:r>
    </w:p>
    <w:p w14:paraId="39102F4E" w14:textId="77777777" w:rsidR="002A1312" w:rsidRPr="003B35F1" w:rsidRDefault="002A1312" w:rsidP="006A4347">
      <w:pPr>
        <w:pStyle w:val="Titrearticle"/>
        <w:rPr>
          <w:noProof/>
        </w:rPr>
      </w:pPr>
      <w:r w:rsidRPr="003B35F1">
        <w:rPr>
          <w:noProof/>
        </w:rPr>
        <w:t>1. pants</w:t>
      </w:r>
    </w:p>
    <w:p w14:paraId="3CF38B7E" w14:textId="2375E8FB" w:rsidR="002A1312" w:rsidRPr="003B35F1" w:rsidRDefault="00F02972" w:rsidP="006A4347">
      <w:pPr>
        <w:rPr>
          <w:noProof/>
        </w:rPr>
      </w:pPr>
      <w:r w:rsidRPr="003B35F1">
        <w:rPr>
          <w:noProof/>
        </w:rPr>
        <w:t>Ar šo atļauj Savienības vārdā parakstīt grozījumus Nolīgumā starp Eiropas Savienību un Norvēģijas Karalisti par administratīvo sadarbību, krāpšanas apkarošanu un prasījumu piedziņu pievienotās vērtības nodokļa jomā ar noteikumu, ka minētie nolīguma grozījumi tiks noslēgti.</w:t>
      </w:r>
      <w:r w:rsidR="003904F5" w:rsidRPr="003B35F1">
        <w:rPr>
          <w:rStyle w:val="FootnoteReference"/>
          <w:noProof/>
        </w:rPr>
        <w:footnoteReference w:id="15"/>
      </w:r>
    </w:p>
    <w:p w14:paraId="08CE9003" w14:textId="4552A173" w:rsidR="00134382" w:rsidRPr="003B35F1" w:rsidRDefault="00134382" w:rsidP="006A4347">
      <w:pPr>
        <w:pStyle w:val="Titrearticle"/>
        <w:rPr>
          <w:noProof/>
        </w:rPr>
      </w:pPr>
      <w:r w:rsidRPr="003B35F1">
        <w:rPr>
          <w:noProof/>
        </w:rPr>
        <w:t>2. pants</w:t>
      </w:r>
    </w:p>
    <w:p w14:paraId="777785A0" w14:textId="7984D58E" w:rsidR="00134382" w:rsidRPr="003B35F1" w:rsidRDefault="001F68E7" w:rsidP="006A4347">
      <w:pPr>
        <w:rPr>
          <w:noProof/>
        </w:rPr>
      </w:pPr>
      <w:r w:rsidRPr="003B35F1">
        <w:rPr>
          <w:noProof/>
        </w:rPr>
        <w:t>Padomes Ģenerālsekretariāts izveido instrumentu, ar ko nolīguma sarunu vadītāja norādītajai(-ām) personai(-ām) piešķir visas pilnvaras parakstīt minēto nolīgumu ar noteikumu, ka tas tiks noslēgts.</w:t>
      </w:r>
    </w:p>
    <w:p w14:paraId="3F4E305A" w14:textId="056AE67D" w:rsidR="002A1312" w:rsidRPr="003B35F1" w:rsidRDefault="002A1312" w:rsidP="00537697">
      <w:pPr>
        <w:pStyle w:val="Titrearticle"/>
        <w:rPr>
          <w:noProof/>
        </w:rPr>
      </w:pPr>
      <w:bookmarkStart w:id="5" w:name="_Hlk138865462"/>
      <w:r w:rsidRPr="003B35F1">
        <w:rPr>
          <w:noProof/>
        </w:rPr>
        <w:t>3. pants</w:t>
      </w:r>
    </w:p>
    <w:p w14:paraId="35A1D5D2" w14:textId="77777777" w:rsidR="002A1312" w:rsidRPr="003B35F1" w:rsidRDefault="002A1312" w:rsidP="006A4347">
      <w:pPr>
        <w:keepLines/>
        <w:rPr>
          <w:noProof/>
        </w:rPr>
      </w:pPr>
      <w:r w:rsidRPr="003B35F1">
        <w:rPr>
          <w:noProof/>
        </w:rPr>
        <w:t xml:space="preserve">Šis lēmums stājas spēkā trešajā dienā pēc tā publicēšanas </w:t>
      </w:r>
      <w:r w:rsidRPr="003B35F1">
        <w:rPr>
          <w:i/>
          <w:noProof/>
        </w:rPr>
        <w:t>Eiropas Savienības Oficiālajā Vēstnesī</w:t>
      </w:r>
      <w:r w:rsidRPr="003B35F1">
        <w:rPr>
          <w:noProof/>
        </w:rPr>
        <w:t>.</w:t>
      </w:r>
    </w:p>
    <w:bookmarkEnd w:id="5"/>
    <w:p w14:paraId="0EBFF524" w14:textId="32A35B38" w:rsidR="002A1312" w:rsidRPr="003B35F1" w:rsidRDefault="007B01B0" w:rsidP="00537697">
      <w:pPr>
        <w:pStyle w:val="Fait"/>
        <w:rPr>
          <w:noProof/>
        </w:rPr>
      </w:pPr>
      <w:r w:rsidRPr="007B01B0">
        <w:t>Briselē,</w:t>
      </w:r>
    </w:p>
    <w:p w14:paraId="752C0DA3" w14:textId="77777777" w:rsidR="002A1312" w:rsidRPr="003B35F1" w:rsidRDefault="002A1312" w:rsidP="00537697">
      <w:pPr>
        <w:pStyle w:val="Institutionquisigne"/>
        <w:rPr>
          <w:noProof/>
        </w:rPr>
      </w:pPr>
      <w:r w:rsidRPr="003B35F1">
        <w:rPr>
          <w:noProof/>
        </w:rPr>
        <w:tab/>
        <w:t>Padomes vārdā –</w:t>
      </w:r>
    </w:p>
    <w:p w14:paraId="361422D2" w14:textId="77777777" w:rsidR="002A1312" w:rsidRPr="003B35F1" w:rsidRDefault="002A1312" w:rsidP="006A4347">
      <w:pPr>
        <w:pStyle w:val="Personnequisigne"/>
        <w:rPr>
          <w:noProof/>
        </w:rPr>
      </w:pPr>
      <w:r w:rsidRPr="003B35F1">
        <w:rPr>
          <w:noProof/>
        </w:rPr>
        <w:tab/>
        <w:t>priekšsēdētājs</w:t>
      </w:r>
    </w:p>
    <w:sectPr w:rsidR="002A1312" w:rsidRPr="003B35F1" w:rsidSect="00014898">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2E97" w14:textId="77777777" w:rsidR="000A1BBD" w:rsidRDefault="000A1BBD" w:rsidP="002A1312">
      <w:pPr>
        <w:spacing w:before="0" w:after="0"/>
      </w:pPr>
      <w:r>
        <w:separator/>
      </w:r>
    </w:p>
  </w:endnote>
  <w:endnote w:type="continuationSeparator" w:id="0">
    <w:p w14:paraId="0021E830" w14:textId="77777777" w:rsidR="000A1BBD" w:rsidRDefault="000A1BBD" w:rsidP="002A1312">
      <w:pPr>
        <w:spacing w:before="0" w:after="0"/>
      </w:pPr>
      <w:r>
        <w:continuationSeparator/>
      </w:r>
    </w:p>
  </w:endnote>
  <w:endnote w:type="continuationNotice" w:id="1">
    <w:p w14:paraId="11F373A1" w14:textId="77777777" w:rsidR="000A1BBD" w:rsidRDefault="000A1B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861D6" w14:textId="304A3A1E" w:rsidR="002A1312" w:rsidRPr="00014898" w:rsidRDefault="00014898" w:rsidP="00014898">
    <w:pPr>
      <w:pStyle w:val="Footer"/>
      <w:rPr>
        <w:rFonts w:ascii="Arial" w:hAnsi="Arial" w:cs="Arial"/>
        <w:b/>
        <w:sz w:val="48"/>
      </w:rPr>
    </w:pPr>
    <w:r w:rsidRPr="00014898">
      <w:rPr>
        <w:rFonts w:ascii="Arial" w:hAnsi="Arial" w:cs="Arial"/>
        <w:b/>
        <w:sz w:val="48"/>
      </w:rPr>
      <w:t>LV</w:t>
    </w:r>
    <w:r w:rsidRPr="00014898">
      <w:rPr>
        <w:rFonts w:ascii="Arial" w:hAnsi="Arial" w:cs="Arial"/>
        <w:b/>
        <w:sz w:val="48"/>
      </w:rPr>
      <w:tab/>
    </w:r>
    <w:r w:rsidRPr="00014898">
      <w:rPr>
        <w:rFonts w:ascii="Arial" w:hAnsi="Arial" w:cs="Arial"/>
        <w:b/>
        <w:sz w:val="48"/>
      </w:rPr>
      <w:tab/>
    </w:r>
    <w:r w:rsidRPr="00014898">
      <w:tab/>
    </w:r>
    <w:r w:rsidRPr="00014898">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FF256" w14:textId="2DCDD8C2" w:rsidR="00014898" w:rsidRPr="00014898" w:rsidRDefault="00014898" w:rsidP="00014898">
    <w:pPr>
      <w:pStyle w:val="Footer"/>
      <w:rPr>
        <w:rFonts w:ascii="Arial" w:hAnsi="Arial" w:cs="Arial"/>
        <w:b/>
        <w:sz w:val="48"/>
      </w:rPr>
    </w:pPr>
    <w:r w:rsidRPr="00014898">
      <w:rPr>
        <w:rFonts w:ascii="Arial" w:hAnsi="Arial" w:cs="Arial"/>
        <w:b/>
        <w:sz w:val="48"/>
      </w:rPr>
      <w:t>LV</w:t>
    </w:r>
    <w:r w:rsidRPr="00014898">
      <w:rPr>
        <w:rFonts w:ascii="Arial" w:hAnsi="Arial" w:cs="Arial"/>
        <w:b/>
        <w:sz w:val="48"/>
      </w:rPr>
      <w:tab/>
    </w:r>
    <w:r>
      <w:fldChar w:fldCharType="begin"/>
    </w:r>
    <w:r>
      <w:instrText xml:space="preserve"> PAGE  \* MERGEFORMAT </w:instrText>
    </w:r>
    <w:r>
      <w:fldChar w:fldCharType="separate"/>
    </w:r>
    <w:r w:rsidR="00537697">
      <w:rPr>
        <w:noProof/>
      </w:rPr>
      <w:t>6</w:t>
    </w:r>
    <w:r>
      <w:fldChar w:fldCharType="end"/>
    </w:r>
    <w:r>
      <w:tab/>
    </w:r>
    <w:r w:rsidRPr="00014898">
      <w:tab/>
    </w:r>
    <w:r w:rsidRPr="00014898">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43254" w14:textId="77777777" w:rsidR="00014898" w:rsidRPr="00014898" w:rsidRDefault="00014898" w:rsidP="00014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51AC1" w14:textId="77777777" w:rsidR="000A1BBD" w:rsidRDefault="000A1BBD" w:rsidP="002A1312">
      <w:pPr>
        <w:spacing w:before="0" w:after="0"/>
      </w:pPr>
      <w:r>
        <w:separator/>
      </w:r>
    </w:p>
  </w:footnote>
  <w:footnote w:type="continuationSeparator" w:id="0">
    <w:p w14:paraId="6E09CD55" w14:textId="77777777" w:rsidR="000A1BBD" w:rsidRDefault="000A1BBD" w:rsidP="002A1312">
      <w:pPr>
        <w:spacing w:before="0" w:after="0"/>
      </w:pPr>
      <w:r>
        <w:continuationSeparator/>
      </w:r>
    </w:p>
  </w:footnote>
  <w:footnote w:type="continuationNotice" w:id="1">
    <w:p w14:paraId="09380727" w14:textId="77777777" w:rsidR="000A1BBD" w:rsidRDefault="000A1BBD">
      <w:pPr>
        <w:spacing w:before="0" w:after="0"/>
      </w:pPr>
    </w:p>
  </w:footnote>
  <w:footnote w:id="2">
    <w:p w14:paraId="4DC1D5B9" w14:textId="77777777" w:rsidR="008A6CB1" w:rsidRPr="000F19D4" w:rsidRDefault="008A6CB1" w:rsidP="008A6CB1">
      <w:pPr>
        <w:pStyle w:val="FootnoteText"/>
      </w:pPr>
      <w:r>
        <w:rPr>
          <w:rStyle w:val="FootnoteReference"/>
        </w:rPr>
        <w:footnoteRef/>
      </w:r>
      <w:r>
        <w:tab/>
        <w:t>Nolīgums starp Eiropas Savienību un Norvēģijas Karalisti par administratīvo sadarbību, krāpšanas apkarošanu un prasījumu piedziņu pievienotās vērtības nodokļa jomā (OV L 195, 1.8.2018., 3.–22. lpp.).</w:t>
      </w:r>
    </w:p>
  </w:footnote>
  <w:footnote w:id="3">
    <w:p w14:paraId="2030E86F" w14:textId="77777777" w:rsidR="00F02972" w:rsidRPr="00063A7A" w:rsidRDefault="00F02972" w:rsidP="00F02972">
      <w:pPr>
        <w:pStyle w:val="FootnoteText"/>
      </w:pPr>
      <w:r>
        <w:rPr>
          <w:rStyle w:val="FootnoteReference"/>
        </w:rPr>
        <w:footnoteRef/>
      </w:r>
      <w:r>
        <w:tab/>
      </w:r>
      <w:bookmarkStart w:id="1" w:name="_Hlk138863782"/>
      <w:r>
        <w:t>Padomes Regula (ES) Nr. 904/2010 (2010. gada 7. oktobris) par administratīvu sadarbību un krāpšanas apkarošanu pievienotās vērtības nodokļa jomā (OV L 268, 12.10.2010., 1. lpp.).</w:t>
      </w:r>
    </w:p>
    <w:bookmarkEnd w:id="1"/>
  </w:footnote>
  <w:footnote w:id="4">
    <w:p w14:paraId="0F51B614" w14:textId="77777777" w:rsidR="00F02972" w:rsidRPr="00063A7A" w:rsidRDefault="00F02972" w:rsidP="00F02972">
      <w:pPr>
        <w:pStyle w:val="FootnoteText"/>
      </w:pPr>
      <w:r>
        <w:rPr>
          <w:rStyle w:val="FootnoteReference"/>
        </w:rPr>
        <w:footnoteRef/>
      </w:r>
      <w:r>
        <w:tab/>
        <w:t>Padomes Direktīva 2010/24/ES (2010. gada 16. marts) par savstarpēju palīdzību prasījumu piedziņā saistībā ar noteiktiem maksājumiem, nodokļiem, un citiem pasākumiem (OV L 84, 31.3.2010., 1. lpp.).</w:t>
      </w:r>
    </w:p>
  </w:footnote>
  <w:footnote w:id="5">
    <w:p w14:paraId="4CC2E93E" w14:textId="77777777" w:rsidR="00F02972" w:rsidRPr="00412B60" w:rsidRDefault="00F02972" w:rsidP="00F02972">
      <w:pPr>
        <w:pStyle w:val="FootnoteText"/>
      </w:pPr>
      <w:r>
        <w:rPr>
          <w:rStyle w:val="FootnoteReference"/>
        </w:rPr>
        <w:footnoteRef/>
      </w:r>
      <w:r>
        <w:tab/>
        <w:t>Padomes Regula (ES) 2018/1541 (2018. gada 2. oktobris), ar ko groza Regulas (ES) Nr. 904/2010 un (ES) 2017/2454 attiecībā uz pasākumiem administratīvās sadarbības stiprināšanai pievienotās vērtības nodokļa jomā (OV L 259/1, 16.10.2018., 1.–11. lpp.).</w:t>
      </w:r>
    </w:p>
  </w:footnote>
  <w:footnote w:id="6">
    <w:p w14:paraId="6C7AD067" w14:textId="77777777" w:rsidR="00F02972" w:rsidRPr="008E4196" w:rsidRDefault="00F02972" w:rsidP="00F02972">
      <w:pPr>
        <w:pStyle w:val="FootnoteText"/>
      </w:pPr>
      <w:r>
        <w:rPr>
          <w:rStyle w:val="FootnoteReference"/>
        </w:rPr>
        <w:footnoteRef/>
      </w:r>
      <w:r>
        <w:tab/>
        <w:t>Eiropas Parlamenta un Padomes Regula (ES) 2016/679 (2016. gada 27. aprīlis) par fizisku personu aizsardzību attiecībā uz personas datu apstrādi un šādu datu brīvu apriti un ar ko atceļ Direktīvu 95/46/EK (Vispārīgā datu aizsardzības regula) (OV L 119, 4.5.2016., 1.–88. lpp.).</w:t>
      </w:r>
    </w:p>
  </w:footnote>
  <w:footnote w:id="7">
    <w:p w14:paraId="3E99FA4D" w14:textId="77777777" w:rsidR="00A51544" w:rsidRPr="0051661D" w:rsidRDefault="00A51544" w:rsidP="00A51544">
      <w:pPr>
        <w:pStyle w:val="FootnoteText"/>
      </w:pPr>
      <w:r>
        <w:rPr>
          <w:rStyle w:val="FootnoteReference"/>
        </w:rPr>
        <w:footnoteRef/>
      </w:r>
      <w:r>
        <w:tab/>
        <w:t>https://www.efta.int/eea/eea-agreement</w:t>
      </w:r>
    </w:p>
  </w:footnote>
  <w:footnote w:id="8">
    <w:p w14:paraId="3424319E" w14:textId="77777777" w:rsidR="007C647B" w:rsidRPr="007C647B" w:rsidRDefault="007C647B" w:rsidP="007C647B">
      <w:pPr>
        <w:pStyle w:val="FootnoteText"/>
      </w:pPr>
      <w:r>
        <w:rPr>
          <w:rStyle w:val="FootnoteReference"/>
        </w:rPr>
        <w:footnoteRef/>
      </w:r>
      <w:r>
        <w:tab/>
        <w:t>Padomes Lēmums (ES) 2022/1311 (2022. gada 17. jūnijs), ar ko pilnvaro sākt sarunas ar Norvēģijas Karalisti par grozījumu Nolīgumā starp Eiropas Savienību un Norvēģijas Karalisti par administratīvo sadarbību, krāpšanas apkarošanu un prasījumu piedziņu pievienotās vērtības nodokļa jomā (OV L 198, 27.7.2022., 14.–15. lpp.).</w:t>
      </w:r>
    </w:p>
  </w:footnote>
  <w:footnote w:id="9">
    <w:p w14:paraId="6B904579" w14:textId="77777777" w:rsidR="00A51544" w:rsidRPr="009E6B41" w:rsidRDefault="00A51544" w:rsidP="00A51544">
      <w:pPr>
        <w:pStyle w:val="FootnoteText"/>
      </w:pPr>
      <w:r>
        <w:rPr>
          <w:rStyle w:val="FootnoteReference"/>
        </w:rPr>
        <w:footnoteRef/>
      </w:r>
      <w:r>
        <w:tab/>
        <w:t>14. darbība, COM/2020/312 final.</w:t>
      </w:r>
    </w:p>
  </w:footnote>
  <w:footnote w:id="10">
    <w:p w14:paraId="18C63350" w14:textId="77777777" w:rsidR="00606B25" w:rsidRPr="003230D6" w:rsidRDefault="00606B25" w:rsidP="00606B25">
      <w:pPr>
        <w:pStyle w:val="FootnoteText"/>
        <w:ind w:left="686" w:hanging="686"/>
      </w:pPr>
      <w:r>
        <w:rPr>
          <w:rStyle w:val="FootnoteReference"/>
        </w:rPr>
        <w:footnoteRef/>
      </w:r>
      <w:r>
        <w:tab/>
        <w:t xml:space="preserve">Tiesas atzinums 3/15, ECLI:EU:C:2017:114, 118. punkts un tajā citētā judikatūra. </w:t>
      </w:r>
    </w:p>
  </w:footnote>
  <w:footnote w:id="11">
    <w:p w14:paraId="06AB3D63" w14:textId="77777777" w:rsidR="00606B25" w:rsidRPr="007C647B" w:rsidRDefault="00606B25" w:rsidP="00606B25">
      <w:pPr>
        <w:pStyle w:val="FootnoteText"/>
      </w:pPr>
      <w:r>
        <w:rPr>
          <w:rStyle w:val="FootnoteReference"/>
        </w:rPr>
        <w:footnoteRef/>
      </w:r>
      <w:r>
        <w:tab/>
        <w:t>https://ec.europa.eu/info/sites/default/files/br_toolbox-nov_2021_en_0.pdf</w:t>
      </w:r>
    </w:p>
  </w:footnote>
  <w:footnote w:id="12">
    <w:p w14:paraId="1D508DA3" w14:textId="3C534477" w:rsidR="00CE5859" w:rsidRPr="003C1E8C" w:rsidRDefault="00CE5859" w:rsidP="00CE5859">
      <w:pPr>
        <w:pStyle w:val="FootnoteText"/>
        <w:jc w:val="left"/>
      </w:pPr>
      <w:r>
        <w:rPr>
          <w:rStyle w:val="FootnoteReference"/>
        </w:rPr>
        <w:footnoteRef/>
      </w:r>
      <w:r>
        <w:tab/>
        <w:t>Nolīgums starp Eiropas Savienību un Norvēģijas Karalisti par administratīvo sadarbību, krāpšanas apkarošanu un prasījumu piedziņu pievienotās vērtības nodokļa jomā (OV L 195, 1.8.2018., 3.–22. lpp.).</w:t>
      </w:r>
    </w:p>
  </w:footnote>
  <w:footnote w:id="13">
    <w:p w14:paraId="05727C6E" w14:textId="77777777" w:rsidR="00CE5859" w:rsidRDefault="00CE5859" w:rsidP="00CE5859">
      <w:pPr>
        <w:pStyle w:val="FootnoteText"/>
      </w:pPr>
      <w:r>
        <w:rPr>
          <w:rStyle w:val="FootnoteReference"/>
        </w:rPr>
        <w:footnoteRef/>
      </w:r>
      <w:r>
        <w:tab/>
        <w:t>Padomes Regula (ES) 2018/1541 (2018. gada 2. oktobris), ar ko groza Regulas (ES) Nr. 904/2010 un (ES) 2017/2454 attiecībā uz pasākumiem administratīvās sadarbības stiprināšanai pievienotās vērtības nodokļa jomā (OV L 259/1, 16.10.2018., 1.–11. lpp.).</w:t>
      </w:r>
    </w:p>
  </w:footnote>
  <w:footnote w:id="14">
    <w:p w14:paraId="34E4F78E" w14:textId="223C0602" w:rsidR="003904F5" w:rsidRPr="003904F5" w:rsidRDefault="003904F5">
      <w:pPr>
        <w:pStyle w:val="FootnoteText"/>
      </w:pPr>
      <w:r>
        <w:rPr>
          <w:rStyle w:val="FootnoteReference"/>
        </w:rPr>
        <w:footnoteRef/>
      </w:r>
      <w:r>
        <w:tab/>
        <w:t>Eiropas Parlamenta un Padomes Regula (ES) 2018/1725 (2018. gada 23. oktobris) par fizisku personu aizsardzību attiecībā uz personas datu apstrādi Savienības iestādēs, struktūrās, birojos un aģentūrās un par šādu datu brīvu apriti un ar ko atceļ Regulu (EK) Nr. 45/2001 un Lēmumu Nr. 1247/2002/EK (OV L 295, 21.11.2018., 39.–98. lpp.).</w:t>
      </w:r>
    </w:p>
  </w:footnote>
  <w:footnote w:id="15">
    <w:p w14:paraId="01904D47" w14:textId="0BCBEAFE" w:rsidR="003904F5" w:rsidRPr="003904F5" w:rsidRDefault="003904F5">
      <w:pPr>
        <w:pStyle w:val="FootnoteText"/>
      </w:pPr>
      <w:r>
        <w:rPr>
          <w:rStyle w:val="FootnoteReference"/>
        </w:rPr>
        <w:footnoteRef/>
      </w:r>
      <w:r>
        <w:tab/>
        <w:t>Nolīguma grozījumu tekstu publicēs kopā ar lēmumu par to noslēgšanu.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050F6E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6C25EE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5D0445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EAEBDD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 w:numId="36">
    <w:abstractNumId w:val="15"/>
  </w:num>
  <w:num w:numId="37">
    <w:abstractNumId w:val="8"/>
  </w:num>
  <w:num w:numId="38">
    <w:abstractNumId w:val="17"/>
  </w:num>
  <w:num w:numId="39">
    <w:abstractNumId w:val="7"/>
  </w:num>
  <w:num w:numId="40">
    <w:abstractNumId w:val="9"/>
  </w:num>
  <w:num w:numId="41">
    <w:abstractNumId w:val="10"/>
  </w:num>
  <w:num w:numId="42">
    <w:abstractNumId w:val="5"/>
  </w:num>
  <w:num w:numId="43">
    <w:abstractNumId w:val="16"/>
  </w:num>
  <w:num w:numId="44">
    <w:abstractNumId w:val="4"/>
  </w:num>
  <w:num w:numId="45">
    <w:abstractNumId w:val="11"/>
  </w:num>
  <w:num w:numId="46">
    <w:abstractNumId w:val="13"/>
  </w:num>
  <w:num w:numId="47">
    <w:abstractNumId w:val="14"/>
  </w:num>
  <w:num w:numId="48">
    <w:abstractNumId w:val="6"/>
  </w:num>
  <w:num w:numId="49">
    <w:abstractNumId w:val="12"/>
  </w:num>
  <w:num w:numId="5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1-24 08:14:5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A683291-8231-4B86-AE49-B7D32EDDFC71"/>
    <w:docVar w:name="LW_COVERPAGE_TYPE" w:val="1"/>
    <w:docVar w:name="LW_CROSSREFERENCE" w:val="&lt;UNUSED&gt;"/>
    <w:docVar w:name="LW_DocType" w:val="COM"/>
    <w:docVar w:name="LW_EMISSION" w:val="24.11.2023"/>
    <w:docVar w:name="LW_EMISSION_ISODATE" w:val="2023-11-24"/>
    <w:docVar w:name="LW_EMISSION_LOCATION" w:val="BRX"/>
    <w:docVar w:name="LW_EMISSION_PREFIX" w:val="Brisel\u275?, "/>
    <w:docVar w:name="LW_EMISSION_SUFFIX" w:val="."/>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NLE"/>
    <w:docVar w:name="LW_REF.II.NEW.CP_NUMBER" w:val="0417"/>
    <w:docVar w:name="LW_REF.II.NEW.CP_YEAR" w:val="2023"/>
    <w:docVar w:name="LW_REF.INST.NEW" w:val="COM"/>
    <w:docVar w:name="LW_REF.INST.NEW_ADOPTED" w:val="final"/>
    <w:docVar w:name="LW_REF.INST.NEW_TEXT" w:val="(2023) 73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šlikums"/>
    <w:docVar w:name="LW_SUPERTITRE" w:val="&lt;UNUSED&gt;"/>
    <w:docVar w:name="LW_TITRE.OBJ.CP" w:val="par to, lai Savienības vārdā parakstītu grozījumus nolīgumā starp Eiropas Savienību un Norvēģijas Karalisti par administratīvo sadarbību, krāpšanas apkarošanu un prasījumu piedziņu pievienotās vērtības nodokļa jomā"/>
    <w:docVar w:name="LW_TYPE.DOC.CP" w:val="PADOMES LĒMUMS"/>
    <w:docVar w:name="LwApiVersions" w:val="LW4CoDe 1.23.2.0; LW 8.0, Build 20211117"/>
  </w:docVars>
  <w:rsids>
    <w:rsidRoot w:val="002A1312"/>
    <w:rsid w:val="00014898"/>
    <w:rsid w:val="00014B31"/>
    <w:rsid w:val="0004384D"/>
    <w:rsid w:val="0006295D"/>
    <w:rsid w:val="00066039"/>
    <w:rsid w:val="00092D1F"/>
    <w:rsid w:val="000A1BBD"/>
    <w:rsid w:val="000A209D"/>
    <w:rsid w:val="000E4EE5"/>
    <w:rsid w:val="000F19D4"/>
    <w:rsid w:val="001065F5"/>
    <w:rsid w:val="0011511F"/>
    <w:rsid w:val="001238EF"/>
    <w:rsid w:val="00127A79"/>
    <w:rsid w:val="00134382"/>
    <w:rsid w:val="00136F04"/>
    <w:rsid w:val="001813CB"/>
    <w:rsid w:val="001831B5"/>
    <w:rsid w:val="00197613"/>
    <w:rsid w:val="001F68E7"/>
    <w:rsid w:val="00200BB7"/>
    <w:rsid w:val="002024C8"/>
    <w:rsid w:val="002140F1"/>
    <w:rsid w:val="00227061"/>
    <w:rsid w:val="00233DC7"/>
    <w:rsid w:val="00237629"/>
    <w:rsid w:val="00247779"/>
    <w:rsid w:val="002505B3"/>
    <w:rsid w:val="0026645C"/>
    <w:rsid w:val="00285BEE"/>
    <w:rsid w:val="0029533F"/>
    <w:rsid w:val="002A1312"/>
    <w:rsid w:val="002A1795"/>
    <w:rsid w:val="002A58E7"/>
    <w:rsid w:val="002B30AF"/>
    <w:rsid w:val="002F0000"/>
    <w:rsid w:val="0033344A"/>
    <w:rsid w:val="0034093E"/>
    <w:rsid w:val="00377504"/>
    <w:rsid w:val="003904F5"/>
    <w:rsid w:val="00396099"/>
    <w:rsid w:val="003B29E5"/>
    <w:rsid w:val="003B35F1"/>
    <w:rsid w:val="003F0049"/>
    <w:rsid w:val="00406337"/>
    <w:rsid w:val="00422C3B"/>
    <w:rsid w:val="0042648E"/>
    <w:rsid w:val="00427D02"/>
    <w:rsid w:val="00442699"/>
    <w:rsid w:val="00463FCE"/>
    <w:rsid w:val="0046740F"/>
    <w:rsid w:val="004778BE"/>
    <w:rsid w:val="004936D2"/>
    <w:rsid w:val="004949E5"/>
    <w:rsid w:val="004B0479"/>
    <w:rsid w:val="004E4B0D"/>
    <w:rsid w:val="004E545B"/>
    <w:rsid w:val="00537697"/>
    <w:rsid w:val="00565624"/>
    <w:rsid w:val="005B1EB6"/>
    <w:rsid w:val="005F5E49"/>
    <w:rsid w:val="00606B25"/>
    <w:rsid w:val="00647520"/>
    <w:rsid w:val="006532DF"/>
    <w:rsid w:val="006820C3"/>
    <w:rsid w:val="00686D24"/>
    <w:rsid w:val="00695BC4"/>
    <w:rsid w:val="006962FB"/>
    <w:rsid w:val="006A4264"/>
    <w:rsid w:val="006A4347"/>
    <w:rsid w:val="006A7E3D"/>
    <w:rsid w:val="006B5A7C"/>
    <w:rsid w:val="006E6DCE"/>
    <w:rsid w:val="006F434A"/>
    <w:rsid w:val="007153C8"/>
    <w:rsid w:val="0071777F"/>
    <w:rsid w:val="00721097"/>
    <w:rsid w:val="00721D7A"/>
    <w:rsid w:val="00751690"/>
    <w:rsid w:val="00756418"/>
    <w:rsid w:val="007726C1"/>
    <w:rsid w:val="00773331"/>
    <w:rsid w:val="0078124A"/>
    <w:rsid w:val="007932EF"/>
    <w:rsid w:val="007A0D87"/>
    <w:rsid w:val="007A32B0"/>
    <w:rsid w:val="007B01B0"/>
    <w:rsid w:val="007B40C9"/>
    <w:rsid w:val="007B7081"/>
    <w:rsid w:val="007C647B"/>
    <w:rsid w:val="007E05B0"/>
    <w:rsid w:val="00803B34"/>
    <w:rsid w:val="00816575"/>
    <w:rsid w:val="00874D22"/>
    <w:rsid w:val="008A2914"/>
    <w:rsid w:val="008A6CB1"/>
    <w:rsid w:val="008E4D8E"/>
    <w:rsid w:val="008E62DD"/>
    <w:rsid w:val="009204D3"/>
    <w:rsid w:val="009267D9"/>
    <w:rsid w:val="00933F10"/>
    <w:rsid w:val="0099250D"/>
    <w:rsid w:val="0099563B"/>
    <w:rsid w:val="00A01652"/>
    <w:rsid w:val="00A36E72"/>
    <w:rsid w:val="00A47DE8"/>
    <w:rsid w:val="00A51544"/>
    <w:rsid w:val="00AA6AE2"/>
    <w:rsid w:val="00AF2E52"/>
    <w:rsid w:val="00B14535"/>
    <w:rsid w:val="00B7010B"/>
    <w:rsid w:val="00B74B12"/>
    <w:rsid w:val="00B75AEE"/>
    <w:rsid w:val="00B778AF"/>
    <w:rsid w:val="00B83DE9"/>
    <w:rsid w:val="00B95E88"/>
    <w:rsid w:val="00BB6539"/>
    <w:rsid w:val="00BE115F"/>
    <w:rsid w:val="00BF35F2"/>
    <w:rsid w:val="00C12301"/>
    <w:rsid w:val="00C274FD"/>
    <w:rsid w:val="00C335C5"/>
    <w:rsid w:val="00C51664"/>
    <w:rsid w:val="00C56CB3"/>
    <w:rsid w:val="00C81301"/>
    <w:rsid w:val="00C9273B"/>
    <w:rsid w:val="00C930DE"/>
    <w:rsid w:val="00C97F89"/>
    <w:rsid w:val="00CE5859"/>
    <w:rsid w:val="00D02FD3"/>
    <w:rsid w:val="00D12E0B"/>
    <w:rsid w:val="00D20381"/>
    <w:rsid w:val="00D77994"/>
    <w:rsid w:val="00DC215B"/>
    <w:rsid w:val="00DC2FD5"/>
    <w:rsid w:val="00DD0F3D"/>
    <w:rsid w:val="00DE122B"/>
    <w:rsid w:val="00E278A2"/>
    <w:rsid w:val="00E60135"/>
    <w:rsid w:val="00F02972"/>
    <w:rsid w:val="00FB1E53"/>
    <w:rsid w:val="00FC38F8"/>
    <w:rsid w:val="00FD1A89"/>
    <w:rsid w:val="00FE78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D13ACE1"/>
  <w15:docId w15:val="{37150B1C-21DC-4E09-9AC3-0AF5FBF9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06B25"/>
    <w:rPr>
      <w:sz w:val="16"/>
      <w:szCs w:val="16"/>
    </w:rPr>
  </w:style>
  <w:style w:type="paragraph" w:styleId="CommentText">
    <w:name w:val="annotation text"/>
    <w:basedOn w:val="Normal"/>
    <w:link w:val="CommentTextChar"/>
    <w:uiPriority w:val="99"/>
    <w:unhideWhenUsed/>
    <w:rsid w:val="00606B25"/>
    <w:rPr>
      <w:sz w:val="20"/>
      <w:szCs w:val="20"/>
    </w:rPr>
  </w:style>
  <w:style w:type="character" w:customStyle="1" w:styleId="CommentTextChar">
    <w:name w:val="Comment Text Char"/>
    <w:basedOn w:val="DefaultParagraphFont"/>
    <w:link w:val="CommentText"/>
    <w:uiPriority w:val="99"/>
    <w:rsid w:val="00606B25"/>
    <w:rPr>
      <w:rFonts w:ascii="Times New Roman" w:hAnsi="Times New Roman" w:cs="Times New Roman"/>
      <w:sz w:val="20"/>
      <w:szCs w:val="20"/>
      <w:lang w:val="lv-LV"/>
    </w:rPr>
  </w:style>
  <w:style w:type="paragraph" w:styleId="Revision">
    <w:name w:val="Revision"/>
    <w:hidden/>
    <w:uiPriority w:val="99"/>
    <w:semiHidden/>
    <w:rsid w:val="007C647B"/>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2140F1"/>
    <w:rPr>
      <w:b/>
      <w:bCs/>
    </w:rPr>
  </w:style>
  <w:style w:type="character" w:customStyle="1" w:styleId="CommentSubjectChar">
    <w:name w:val="Comment Subject Char"/>
    <w:basedOn w:val="CommentTextChar"/>
    <w:link w:val="CommentSubject"/>
    <w:uiPriority w:val="99"/>
    <w:semiHidden/>
    <w:rsid w:val="002140F1"/>
    <w:rPr>
      <w:rFonts w:ascii="Times New Roman" w:hAnsi="Times New Roman" w:cs="Times New Roman"/>
      <w:b/>
      <w:bCs/>
      <w:sz w:val="20"/>
      <w:szCs w:val="20"/>
      <w:lang w:val="lv-LV"/>
    </w:rPr>
  </w:style>
  <w:style w:type="paragraph" w:styleId="ListBullet">
    <w:name w:val="List Bullet"/>
    <w:basedOn w:val="Normal"/>
    <w:uiPriority w:val="99"/>
    <w:semiHidden/>
    <w:unhideWhenUsed/>
    <w:rsid w:val="006820C3"/>
    <w:pPr>
      <w:numPr>
        <w:numId w:val="1"/>
      </w:numPr>
      <w:contextualSpacing/>
    </w:pPr>
  </w:style>
  <w:style w:type="paragraph" w:styleId="ListBullet2">
    <w:name w:val="List Bullet 2"/>
    <w:basedOn w:val="Normal"/>
    <w:uiPriority w:val="99"/>
    <w:semiHidden/>
    <w:unhideWhenUsed/>
    <w:rsid w:val="006820C3"/>
    <w:pPr>
      <w:numPr>
        <w:numId w:val="2"/>
      </w:numPr>
      <w:contextualSpacing/>
    </w:pPr>
  </w:style>
  <w:style w:type="paragraph" w:styleId="ListBullet3">
    <w:name w:val="List Bullet 3"/>
    <w:basedOn w:val="Normal"/>
    <w:uiPriority w:val="99"/>
    <w:semiHidden/>
    <w:unhideWhenUsed/>
    <w:rsid w:val="006820C3"/>
    <w:pPr>
      <w:numPr>
        <w:numId w:val="3"/>
      </w:numPr>
      <w:contextualSpacing/>
    </w:pPr>
  </w:style>
  <w:style w:type="paragraph" w:styleId="ListBullet4">
    <w:name w:val="List Bullet 4"/>
    <w:basedOn w:val="Normal"/>
    <w:uiPriority w:val="99"/>
    <w:semiHidden/>
    <w:unhideWhenUsed/>
    <w:rsid w:val="006820C3"/>
    <w:pPr>
      <w:numPr>
        <w:numId w:val="4"/>
      </w:numPr>
      <w:contextualSpacing/>
    </w:pPr>
  </w:style>
  <w:style w:type="paragraph" w:styleId="ListParagraph">
    <w:name w:val="List Paragraph"/>
    <w:aliases w:val="Listaszerű bekezdés1,List Paragraph à moi,Colorful List - Accent 11,Medium Grid 1 - Accent 21,Listaszeru bekezdés1,Colorful List - Accent 111,Dot pt,F5 List Paragraph,No Spacing1,List Paragraph Char Char Char,Bullets,L,EC"/>
    <w:basedOn w:val="Normal"/>
    <w:uiPriority w:val="34"/>
    <w:qFormat/>
    <w:rsid w:val="006B5A7C"/>
    <w:pPr>
      <w:spacing w:before="0" w:after="200" w:line="276" w:lineRule="auto"/>
      <w:ind w:left="720"/>
      <w:contextualSpacing/>
      <w:jc w:val="left"/>
    </w:pPr>
    <w:rPr>
      <w:rFonts w:asciiTheme="minorHAnsi" w:hAnsiTheme="minorHAnsi" w:cstheme="minorBidi"/>
      <w:sz w:val="22"/>
    </w:rPr>
  </w:style>
  <w:style w:type="character" w:styleId="Hyperlink">
    <w:name w:val="Hyperlink"/>
    <w:basedOn w:val="DefaultParagraphFont"/>
    <w:uiPriority w:val="99"/>
    <w:unhideWhenUsed/>
    <w:rsid w:val="004E4B0D"/>
    <w:rPr>
      <w:color w:val="0000FF" w:themeColor="hyperlink"/>
      <w:u w:val="single"/>
    </w:rPr>
  </w:style>
  <w:style w:type="paragraph" w:styleId="EndnoteText">
    <w:name w:val="endnote text"/>
    <w:basedOn w:val="Normal"/>
    <w:link w:val="EndnoteTextChar"/>
    <w:uiPriority w:val="99"/>
    <w:semiHidden/>
    <w:unhideWhenUsed/>
    <w:rsid w:val="003904F5"/>
    <w:pPr>
      <w:spacing w:before="0" w:after="0"/>
    </w:pPr>
    <w:rPr>
      <w:sz w:val="20"/>
      <w:szCs w:val="20"/>
    </w:rPr>
  </w:style>
  <w:style w:type="character" w:customStyle="1" w:styleId="EndnoteTextChar">
    <w:name w:val="Endnote Text Char"/>
    <w:basedOn w:val="DefaultParagraphFont"/>
    <w:link w:val="EndnoteText"/>
    <w:uiPriority w:val="99"/>
    <w:semiHidden/>
    <w:rsid w:val="003904F5"/>
    <w:rPr>
      <w:rFonts w:ascii="Times New Roman" w:hAnsi="Times New Roman" w:cs="Times New Roman"/>
      <w:sz w:val="20"/>
      <w:szCs w:val="20"/>
      <w:lang w:val="lv-LV"/>
    </w:rPr>
  </w:style>
  <w:style w:type="character" w:styleId="EndnoteReference">
    <w:name w:val="endnote reference"/>
    <w:basedOn w:val="DefaultParagraphFont"/>
    <w:uiPriority w:val="99"/>
    <w:semiHidden/>
    <w:unhideWhenUsed/>
    <w:rsid w:val="003904F5"/>
    <w:rPr>
      <w:vertAlign w:val="superscript"/>
    </w:rPr>
  </w:style>
  <w:style w:type="character" w:customStyle="1" w:styleId="UnresolvedMention">
    <w:name w:val="Unresolved Mention"/>
    <w:basedOn w:val="DefaultParagraphFont"/>
    <w:uiPriority w:val="99"/>
    <w:semiHidden/>
    <w:unhideWhenUsed/>
    <w:rsid w:val="002024C8"/>
    <w:rPr>
      <w:color w:val="605E5C"/>
      <w:shd w:val="clear" w:color="auto" w:fill="E1DFDD"/>
    </w:rPr>
  </w:style>
  <w:style w:type="paragraph" w:styleId="Header">
    <w:name w:val="header"/>
    <w:basedOn w:val="Normal"/>
    <w:link w:val="HeaderChar"/>
    <w:uiPriority w:val="99"/>
    <w:unhideWhenUsed/>
    <w:rsid w:val="00014898"/>
    <w:pPr>
      <w:tabs>
        <w:tab w:val="center" w:pos="4535"/>
        <w:tab w:val="right" w:pos="9071"/>
      </w:tabs>
      <w:spacing w:before="0"/>
    </w:pPr>
  </w:style>
  <w:style w:type="character" w:customStyle="1" w:styleId="HeaderChar">
    <w:name w:val="Header Char"/>
    <w:basedOn w:val="DefaultParagraphFont"/>
    <w:link w:val="Header"/>
    <w:uiPriority w:val="99"/>
    <w:rsid w:val="00014898"/>
    <w:rPr>
      <w:rFonts w:ascii="Times New Roman" w:hAnsi="Times New Roman" w:cs="Times New Roman"/>
      <w:sz w:val="24"/>
      <w:lang w:val="lv-LV"/>
    </w:rPr>
  </w:style>
  <w:style w:type="paragraph" w:styleId="Footer">
    <w:name w:val="footer"/>
    <w:basedOn w:val="Normal"/>
    <w:link w:val="FooterChar"/>
    <w:uiPriority w:val="99"/>
    <w:unhideWhenUsed/>
    <w:rsid w:val="0001489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14898"/>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014898"/>
    <w:pPr>
      <w:tabs>
        <w:tab w:val="center" w:pos="7285"/>
        <w:tab w:val="right" w:pos="14003"/>
      </w:tabs>
      <w:spacing w:before="0"/>
    </w:pPr>
  </w:style>
  <w:style w:type="paragraph" w:customStyle="1" w:styleId="FooterLandscape">
    <w:name w:val="FooterLandscape"/>
    <w:basedOn w:val="Normal"/>
    <w:rsid w:val="0001489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1489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14898"/>
    <w:pPr>
      <w:spacing w:before="0"/>
      <w:jc w:val="right"/>
    </w:pPr>
    <w:rPr>
      <w:sz w:val="28"/>
    </w:rPr>
  </w:style>
  <w:style w:type="paragraph" w:customStyle="1" w:styleId="FooterSensitivity">
    <w:name w:val="Footer Sensitivity"/>
    <w:basedOn w:val="Normal"/>
    <w:rsid w:val="0001489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997787">
      <w:bodyDiv w:val="1"/>
      <w:marLeft w:val="0"/>
      <w:marRight w:val="0"/>
      <w:marTop w:val="0"/>
      <w:marBottom w:val="0"/>
      <w:divBdr>
        <w:top w:val="none" w:sz="0" w:space="0" w:color="auto"/>
        <w:left w:val="none" w:sz="0" w:space="0" w:color="auto"/>
        <w:bottom w:val="none" w:sz="0" w:space="0" w:color="auto"/>
        <w:right w:val="none" w:sz="0" w:space="0" w:color="auto"/>
      </w:divBdr>
    </w:div>
    <w:div w:id="1578438032">
      <w:bodyDiv w:val="1"/>
      <w:marLeft w:val="0"/>
      <w:marRight w:val="0"/>
      <w:marTop w:val="0"/>
      <w:marBottom w:val="0"/>
      <w:divBdr>
        <w:top w:val="none" w:sz="0" w:space="0" w:color="auto"/>
        <w:left w:val="none" w:sz="0" w:space="0" w:color="auto"/>
        <w:bottom w:val="none" w:sz="0" w:space="0" w:color="auto"/>
        <w:right w:val="none" w:sz="0" w:space="0" w:color="auto"/>
      </w:divBdr>
    </w:div>
    <w:div w:id="1703363196">
      <w:bodyDiv w:val="1"/>
      <w:marLeft w:val="0"/>
      <w:marRight w:val="0"/>
      <w:marTop w:val="0"/>
      <w:marBottom w:val="0"/>
      <w:divBdr>
        <w:top w:val="none" w:sz="0" w:space="0" w:color="auto"/>
        <w:left w:val="none" w:sz="0" w:space="0" w:color="auto"/>
        <w:bottom w:val="none" w:sz="0" w:space="0" w:color="auto"/>
        <w:right w:val="none" w:sz="0" w:space="0" w:color="auto"/>
      </w:divBdr>
    </w:div>
    <w:div w:id="1856916184">
      <w:bodyDiv w:val="1"/>
      <w:marLeft w:val="0"/>
      <w:marRight w:val="0"/>
      <w:marTop w:val="0"/>
      <w:marBottom w:val="0"/>
      <w:divBdr>
        <w:top w:val="none" w:sz="0" w:space="0" w:color="auto"/>
        <w:left w:val="none" w:sz="0" w:space="0" w:color="auto"/>
        <w:bottom w:val="none" w:sz="0" w:space="0" w:color="auto"/>
        <w:right w:val="none" w:sz="0" w:space="0" w:color="auto"/>
      </w:divBdr>
      <w:divsChild>
        <w:div w:id="594630545">
          <w:marLeft w:val="0"/>
          <w:marRight w:val="0"/>
          <w:marTop w:val="0"/>
          <w:marBottom w:val="0"/>
          <w:divBdr>
            <w:top w:val="none" w:sz="0" w:space="0" w:color="auto"/>
            <w:left w:val="none" w:sz="0" w:space="0" w:color="auto"/>
            <w:bottom w:val="none" w:sz="0" w:space="0" w:color="auto"/>
            <w:right w:val="none" w:sz="0" w:space="0" w:color="auto"/>
          </w:divBdr>
        </w:div>
      </w:divsChild>
    </w:div>
    <w:div w:id="19630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A6792-31D4-4914-9719-56443797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7</Pages>
  <Words>1503</Words>
  <Characters>9892</Characters>
  <Application>Microsoft Office Word</Application>
  <DocSecurity>0</DocSecurity>
  <Lines>176</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44</cp:revision>
  <dcterms:created xsi:type="dcterms:W3CDTF">2023-11-06T15:22:00Z</dcterms:created>
  <dcterms:modified xsi:type="dcterms:W3CDTF">2023-11-24T07:14:00Z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2023-06-28T14:34:00Z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30e8fa39-7e3c-4bd1-8fbf-9c4183dba8dd</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SJ-019</vt:lpwstr>
  </property>
  <property fmtid="{D5CDD505-2E9C-101B-9397-08002B2CF9AE}" pid="17" name="DQCStatus">
    <vt:lpwstr>Green (DQC version 03)</vt:lpwstr>
  </property>
</Properties>
</file>